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tabs>
          <w:tab w:val="left" w:pos="330"/>
          <w:tab w:val="center" w:pos="4535"/>
        </w:tabs>
        <w:kinsoku/>
        <w:wordWrap/>
        <w:overflowPunct/>
        <w:topLinePunct w:val="0"/>
        <w:autoSpaceDE/>
        <w:autoSpaceDN/>
        <w:bidi w:val="0"/>
        <w:adjustRightInd/>
        <w:snapToGrid/>
        <w:spacing w:line="560" w:lineRule="exact"/>
        <w:jc w:val="center"/>
        <w:textAlignment w:val="auto"/>
        <w:rPr>
          <w:rFonts w:ascii="宋体" w:hAnsi="宋体"/>
          <w:b/>
          <w:color w:val="auto"/>
          <w:sz w:val="36"/>
          <w:szCs w:val="36"/>
          <w:highlight w:val="none"/>
        </w:rPr>
      </w:pPr>
    </w:p>
    <w:p>
      <w:pPr>
        <w:pageBreakBefore w:val="0"/>
        <w:tabs>
          <w:tab w:val="left" w:pos="330"/>
          <w:tab w:val="center" w:pos="4535"/>
        </w:tabs>
        <w:kinsoku/>
        <w:wordWrap/>
        <w:overflowPunct/>
        <w:topLinePunct w:val="0"/>
        <w:autoSpaceDE/>
        <w:autoSpaceDN/>
        <w:bidi w:val="0"/>
        <w:adjustRightInd/>
        <w:snapToGrid/>
        <w:spacing w:line="560" w:lineRule="exact"/>
        <w:jc w:val="center"/>
        <w:textAlignment w:val="auto"/>
        <w:rPr>
          <w:rFonts w:ascii="宋体" w:hAnsi="宋体"/>
          <w:b/>
          <w:color w:val="auto"/>
          <w:sz w:val="36"/>
          <w:szCs w:val="36"/>
          <w:highlight w:val="none"/>
        </w:rPr>
      </w:pPr>
    </w:p>
    <w:p>
      <w:pPr>
        <w:pStyle w:val="2"/>
        <w:pageBreakBefore w:val="0"/>
        <w:kinsoku/>
        <w:wordWrap/>
        <w:overflowPunct/>
        <w:topLinePunct w:val="0"/>
        <w:autoSpaceDE/>
        <w:autoSpaceDN/>
        <w:bidi w:val="0"/>
        <w:adjustRightInd/>
        <w:snapToGrid/>
        <w:spacing w:before="0" w:after="0" w:line="560" w:lineRule="exact"/>
        <w:textAlignment w:val="auto"/>
        <w:rPr>
          <w:color w:val="auto"/>
          <w:highlight w:val="none"/>
        </w:rPr>
      </w:pPr>
    </w:p>
    <w:p>
      <w:pPr>
        <w:pageBreakBefore w:val="0"/>
        <w:kinsoku/>
        <w:wordWrap/>
        <w:overflowPunct/>
        <w:topLinePunct w:val="0"/>
        <w:autoSpaceDE/>
        <w:autoSpaceDN/>
        <w:bidi w:val="0"/>
        <w:adjustRightInd/>
        <w:snapToGrid/>
        <w:spacing w:line="560" w:lineRule="exact"/>
        <w:jc w:val="center"/>
        <w:textAlignment w:val="auto"/>
        <w:rPr>
          <w:rFonts w:ascii="方正小标宋_GBK" w:hAnsi="宋体" w:eastAsia="方正小标宋_GBK"/>
          <w:b w:val="0"/>
          <w:bCs/>
          <w:color w:val="auto"/>
          <w:sz w:val="44"/>
          <w:szCs w:val="44"/>
          <w:highlight w:val="none"/>
        </w:rPr>
      </w:pPr>
      <w:r>
        <w:rPr>
          <w:rFonts w:hint="eastAsia" w:ascii="方正小标宋_GBK" w:hAnsi="宋体" w:eastAsia="方正小标宋_GBK"/>
          <w:b w:val="0"/>
          <w:bCs/>
          <w:color w:val="auto"/>
          <w:sz w:val="44"/>
          <w:szCs w:val="44"/>
          <w:highlight w:val="none"/>
        </w:rPr>
        <w:fldChar w:fldCharType="begin">
          <w:fldData xml:space="preserve">OQBCADgARQBGADIAMQA1ADgANAA1AEEANAA0AEEAMwA4ADgAQwA5ADgAQgBEADYANwBCADMANgAz
AEUAQQA3AA==
</w:fldData>
        </w:fldChar>
      </w:r>
      <w:r>
        <w:rPr>
          <w:rFonts w:hint="eastAsia" w:ascii="方正小标宋_GBK" w:hAnsi="宋体" w:eastAsia="方正小标宋_GBK"/>
          <w:b w:val="0"/>
          <w:bCs/>
          <w:color w:val="auto"/>
          <w:sz w:val="44"/>
          <w:szCs w:val="44"/>
          <w:highlight w:val="none"/>
        </w:rPr>
        <w:instrText xml:space="preserve">Addin 项目名称</w:instrText>
      </w:r>
      <w:r>
        <w:rPr>
          <w:rFonts w:hint="eastAsia" w:ascii="方正小标宋_GBK" w:hAnsi="宋体" w:eastAsia="方正小标宋_GBK"/>
          <w:b w:val="0"/>
          <w:bCs/>
          <w:color w:val="auto"/>
          <w:sz w:val="44"/>
          <w:szCs w:val="44"/>
          <w:highlight w:val="none"/>
        </w:rPr>
        <w:fldChar w:fldCharType="separate"/>
      </w:r>
      <w:r>
        <w:rPr>
          <w:rFonts w:hint="eastAsia" w:ascii="方正小标宋_GBK" w:hAnsi="宋体" w:eastAsia="方正小标宋_GBK"/>
          <w:b w:val="0"/>
          <w:bCs/>
          <w:color w:val="auto"/>
          <w:sz w:val="44"/>
          <w:szCs w:val="44"/>
          <w:highlight w:val="none"/>
        </w:rPr>
        <w:t>报纸印刷</w:t>
      </w:r>
      <w:r>
        <w:rPr>
          <w:rFonts w:hint="eastAsia" w:ascii="方正小标宋_GBK" w:hAnsi="宋体" w:eastAsia="方正小标宋_GBK"/>
          <w:b w:val="0"/>
          <w:bCs/>
          <w:color w:val="auto"/>
          <w:sz w:val="44"/>
          <w:szCs w:val="44"/>
          <w:highlight w:val="none"/>
        </w:rPr>
        <w:fldChar w:fldCharType="end"/>
      </w:r>
      <w:r>
        <w:rPr>
          <w:rFonts w:hint="eastAsia" w:ascii="方正小标宋_GBK" w:hAnsi="宋体" w:eastAsia="方正小标宋_GBK"/>
          <w:b w:val="0"/>
          <w:bCs/>
          <w:color w:val="auto"/>
          <w:sz w:val="44"/>
          <w:szCs w:val="44"/>
          <w:highlight w:val="none"/>
          <w:lang w:val="en-US" w:eastAsia="zh-CN"/>
        </w:rPr>
        <w:t>项目</w:t>
      </w:r>
      <w:r>
        <w:rPr>
          <w:rFonts w:hint="eastAsia" w:ascii="方正小标宋_GBK" w:hAnsi="宋体" w:eastAsia="方正小标宋_GBK"/>
          <w:b w:val="0"/>
          <w:bCs/>
          <w:color w:val="auto"/>
          <w:sz w:val="44"/>
          <w:szCs w:val="44"/>
          <w:highlight w:val="none"/>
        </w:rPr>
        <w:t>财政支出绩效评价报告</w:t>
      </w:r>
    </w:p>
    <w:p>
      <w:pPr>
        <w:pageBreakBefore w:val="0"/>
        <w:kinsoku/>
        <w:wordWrap/>
        <w:overflowPunct/>
        <w:topLinePunct w:val="0"/>
        <w:autoSpaceDE/>
        <w:autoSpaceDN/>
        <w:bidi w:val="0"/>
        <w:adjustRightInd/>
        <w:snapToGrid/>
        <w:spacing w:line="560" w:lineRule="exact"/>
        <w:jc w:val="center"/>
        <w:textAlignment w:val="auto"/>
        <w:rPr>
          <w:rFonts w:hint="eastAsia" w:eastAsia="仿宋_GB2312" w:cs="宋体"/>
          <w:kern w:val="0"/>
          <w:sz w:val="36"/>
          <w:szCs w:val="36"/>
          <w:highlight w:val="none"/>
        </w:rPr>
      </w:pPr>
    </w:p>
    <w:p>
      <w:pPr>
        <w:pageBreakBefore w:val="0"/>
        <w:kinsoku/>
        <w:wordWrap/>
        <w:overflowPunct/>
        <w:topLinePunct w:val="0"/>
        <w:autoSpaceDE/>
        <w:autoSpaceDN/>
        <w:bidi w:val="0"/>
        <w:adjustRightInd/>
        <w:snapToGrid/>
        <w:spacing w:line="560" w:lineRule="exact"/>
        <w:jc w:val="center"/>
        <w:textAlignment w:val="auto"/>
        <w:rPr>
          <w:rFonts w:eastAsia="仿宋_GB2312" w:cs="宋体"/>
          <w:kern w:val="0"/>
          <w:sz w:val="36"/>
          <w:szCs w:val="36"/>
          <w:highlight w:val="none"/>
        </w:rPr>
      </w:pPr>
      <w:r>
        <w:rPr>
          <w:rFonts w:hint="eastAsia" w:eastAsia="仿宋_GB2312" w:cs="宋体"/>
          <w:kern w:val="0"/>
          <w:sz w:val="36"/>
          <w:szCs w:val="36"/>
          <w:highlight w:val="none"/>
        </w:rPr>
        <w:t>（ 2020年度）</w:t>
      </w:r>
    </w:p>
    <w:p>
      <w:pPr>
        <w:pageBreakBefore w:val="0"/>
        <w:kinsoku/>
        <w:wordWrap/>
        <w:overflowPunct/>
        <w:topLinePunct w:val="0"/>
        <w:autoSpaceDE/>
        <w:autoSpaceDN/>
        <w:bidi w:val="0"/>
        <w:adjustRightInd/>
        <w:snapToGrid/>
        <w:spacing w:line="560" w:lineRule="exact"/>
        <w:textAlignment w:val="auto"/>
        <w:rPr>
          <w:rFonts w:ascii="方正仿宋_GBK" w:hAnsi="Arial Narrow" w:eastAsia="方正仿宋_GBK"/>
          <w:b/>
          <w:color w:val="auto"/>
          <w:sz w:val="32"/>
          <w:szCs w:val="32"/>
          <w:highlight w:val="none"/>
        </w:rPr>
      </w:pPr>
    </w:p>
    <w:p>
      <w:pPr>
        <w:pageBreakBefore w:val="0"/>
        <w:kinsoku/>
        <w:wordWrap/>
        <w:overflowPunct/>
        <w:topLinePunct w:val="0"/>
        <w:autoSpaceDE/>
        <w:autoSpaceDN/>
        <w:bidi w:val="0"/>
        <w:adjustRightInd/>
        <w:snapToGrid/>
        <w:spacing w:line="560" w:lineRule="exact"/>
        <w:textAlignment w:val="auto"/>
        <w:rPr>
          <w:rFonts w:ascii="宋体" w:hAnsi="宋体"/>
          <w:color w:val="auto"/>
          <w:sz w:val="28"/>
          <w:highlight w:val="none"/>
        </w:rPr>
      </w:pP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项目名称：报纸印刷</w:t>
      </w: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项目预算单位：塔城地区日报社</w:t>
      </w: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项目实施单位：塔城地区日报社</w:t>
      </w: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委托部门：塔城地区财政局</w:t>
      </w: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评价机构：塔城地区日报社</w:t>
      </w: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p>
    <w:p>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二〇二一 年一月</w:t>
      </w:r>
    </w:p>
    <w:p>
      <w:pPr>
        <w:pStyle w:val="2"/>
        <w:pageBreakBefore w:val="0"/>
        <w:kinsoku/>
        <w:wordWrap/>
        <w:overflowPunct/>
        <w:topLinePunct w:val="0"/>
        <w:autoSpaceDE/>
        <w:autoSpaceDN/>
        <w:bidi w:val="0"/>
        <w:adjustRightInd/>
        <w:snapToGrid/>
        <w:spacing w:before="0" w:after="0" w:line="560" w:lineRule="exact"/>
        <w:textAlignment w:val="auto"/>
        <w:rPr>
          <w:rFonts w:ascii="宋体" w:hAnsi="宋体"/>
          <w:color w:val="auto"/>
          <w:sz w:val="28"/>
          <w:highlight w:val="none"/>
        </w:rPr>
      </w:pPr>
    </w:p>
    <w:p>
      <w:pPr>
        <w:pageBreakBefore w:val="0"/>
        <w:kinsoku/>
        <w:wordWrap/>
        <w:overflowPunct/>
        <w:topLinePunct w:val="0"/>
        <w:autoSpaceDE/>
        <w:autoSpaceDN/>
        <w:bidi w:val="0"/>
        <w:adjustRightInd/>
        <w:snapToGrid/>
        <w:spacing w:line="560" w:lineRule="exact"/>
        <w:textAlignment w:val="auto"/>
        <w:rPr>
          <w:rFonts w:ascii="宋体" w:hAnsi="宋体"/>
          <w:color w:val="auto"/>
          <w:sz w:val="28"/>
          <w:highlight w:val="none"/>
        </w:rPr>
      </w:pPr>
    </w:p>
    <w:p>
      <w:pPr>
        <w:pageBreakBefore w:val="0"/>
        <w:kinsoku/>
        <w:wordWrap/>
        <w:overflowPunct/>
        <w:topLinePunct w:val="0"/>
        <w:autoSpaceDE/>
        <w:autoSpaceDN/>
        <w:bidi w:val="0"/>
        <w:adjustRightInd/>
        <w:snapToGrid/>
        <w:spacing w:line="560" w:lineRule="exact"/>
        <w:textAlignment w:val="auto"/>
        <w:rPr>
          <w:rFonts w:ascii="宋体" w:hAnsi="宋体"/>
          <w:color w:val="auto"/>
          <w:sz w:val="28"/>
          <w:highlight w:val="none"/>
        </w:rPr>
      </w:pPr>
    </w:p>
    <w:p>
      <w:pPr>
        <w:pStyle w:val="2"/>
        <w:pageBreakBefore w:val="0"/>
        <w:kinsoku/>
        <w:wordWrap/>
        <w:overflowPunct/>
        <w:topLinePunct w:val="0"/>
        <w:autoSpaceDE/>
        <w:autoSpaceDN/>
        <w:bidi w:val="0"/>
        <w:adjustRightInd/>
        <w:snapToGrid/>
        <w:spacing w:before="0" w:after="0" w:line="560" w:lineRule="exact"/>
        <w:textAlignment w:val="auto"/>
        <w:rPr>
          <w:color w:val="auto"/>
          <w:highlight w:val="none"/>
        </w:rPr>
      </w:pPr>
    </w:p>
    <w:p>
      <w:pPr>
        <w:pageBreakBefore w:val="0"/>
        <w:kinsoku/>
        <w:wordWrap/>
        <w:overflowPunct/>
        <w:topLinePunct w:val="0"/>
        <w:autoSpaceDE/>
        <w:autoSpaceDN/>
        <w:bidi w:val="0"/>
        <w:adjustRightInd/>
        <w:snapToGrid/>
        <w:spacing w:line="560" w:lineRule="exact"/>
        <w:jc w:val="center"/>
        <w:textAlignment w:val="auto"/>
        <w:rPr>
          <w:rFonts w:hint="eastAsia" w:hAnsi="宋体" w:eastAsia="仿宋_GB2312" w:cs="宋体"/>
          <w:color w:val="auto"/>
          <w:kern w:val="0"/>
          <w:sz w:val="36"/>
          <w:szCs w:val="36"/>
          <w:highlight w:val="none"/>
          <w:shd w:val="clear" w:color="FFFFFF" w:fill="FFFFFF"/>
        </w:rPr>
      </w:pP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hAnsi="宋体"/>
          <w:bCs/>
          <w:color w:val="auto"/>
          <w:sz w:val="32"/>
          <w:szCs w:val="32"/>
          <w:highlight w:val="none"/>
        </w:rPr>
        <w:sectPr>
          <w:headerReference r:id="rId3" w:type="default"/>
          <w:footerReference r:id="rId4" w:type="default"/>
          <w:pgSz w:w="11906" w:h="16838"/>
          <w:pgMar w:top="1440" w:right="1800" w:bottom="1440" w:left="1800" w:header="851" w:footer="992" w:gutter="0"/>
          <w:pgNumType w:start="0"/>
          <w:cols w:space="425" w:num="1"/>
          <w:titlePg/>
          <w:docGrid w:type="lines" w:linePitch="312" w:charSpace="0"/>
        </w:sectPr>
      </w:pPr>
      <w:r>
        <w:rPr>
          <w:rFonts w:ascii="宋体" w:hAnsi="宋体"/>
          <w:bCs/>
          <w:color w:val="auto"/>
          <w:sz w:val="32"/>
          <w:szCs w:val="32"/>
          <w:highlight w:val="none"/>
        </w:rPr>
        <w:br w:type="page"/>
      </w:r>
    </w:p>
    <w:p>
      <w:pPr>
        <w:pageBreakBefore w:val="0"/>
        <w:kinsoku/>
        <w:wordWrap/>
        <w:overflowPunct/>
        <w:topLinePunct w:val="0"/>
        <w:autoSpaceDE/>
        <w:autoSpaceDN/>
        <w:bidi w:val="0"/>
        <w:adjustRightInd/>
        <w:snapToGrid/>
        <w:spacing w:line="560" w:lineRule="exact"/>
        <w:ind w:firstLine="640"/>
        <w:textAlignment w:val="auto"/>
        <w:rPr>
          <w:rStyle w:val="27"/>
          <w:rFonts w:hint="eastAsia" w:ascii="黑体" w:hAnsi="黑体" w:eastAsia="黑体"/>
          <w:b w:val="0"/>
          <w:color w:val="auto"/>
          <w:spacing w:val="-4"/>
          <w:sz w:val="32"/>
          <w:szCs w:val="32"/>
          <w:highlight w:val="none"/>
          <w:lang w:eastAsia="zh-CN"/>
        </w:rPr>
      </w:pPr>
      <w:bookmarkStart w:id="0" w:name="_Toc16171"/>
      <w:bookmarkStart w:id="1" w:name="_Toc30152832"/>
      <w:r>
        <w:rPr>
          <w:rStyle w:val="27"/>
          <w:rFonts w:hint="eastAsia" w:ascii="黑体" w:hAnsi="黑体" w:eastAsia="黑体"/>
          <w:b w:val="0"/>
          <w:color w:val="auto"/>
          <w:spacing w:val="-4"/>
          <w:sz w:val="32"/>
          <w:szCs w:val="32"/>
          <w:highlight w:val="none"/>
        </w:rPr>
        <w:t>一、</w:t>
      </w:r>
      <w:r>
        <w:rPr>
          <w:rStyle w:val="27"/>
          <w:rFonts w:hint="eastAsia" w:ascii="黑体" w:hAnsi="黑体" w:eastAsia="黑体"/>
          <w:b w:val="0"/>
          <w:color w:val="auto"/>
          <w:spacing w:val="-4"/>
          <w:sz w:val="32"/>
          <w:szCs w:val="32"/>
          <w:highlight w:val="none"/>
          <w:lang w:eastAsia="zh-CN"/>
        </w:rPr>
        <w:t>基本情况</w:t>
      </w:r>
    </w:p>
    <w:p>
      <w:pPr>
        <w:pageBreakBefore w:val="0"/>
        <w:kinsoku/>
        <w:wordWrap/>
        <w:overflowPunct/>
        <w:topLinePunct w:val="0"/>
        <w:autoSpaceDE/>
        <w:autoSpaceDN/>
        <w:bidi w:val="0"/>
        <w:adjustRightInd/>
        <w:snapToGrid/>
        <w:spacing w:line="560" w:lineRule="exact"/>
        <w:ind w:firstLine="627" w:firstLineChars="200"/>
        <w:textAlignment w:val="auto"/>
        <w:rPr>
          <w:rStyle w:val="27"/>
          <w:rFonts w:hint="eastAsia" w:ascii="楷体_GB2312" w:hAnsi="楷体_GB2312" w:eastAsia="楷体_GB2312" w:cs="楷体_GB2312"/>
          <w:b/>
          <w:bCs w:val="0"/>
          <w:color w:val="auto"/>
          <w:spacing w:val="-4"/>
          <w:sz w:val="32"/>
          <w:szCs w:val="32"/>
          <w:highlight w:val="none"/>
        </w:rPr>
      </w:pPr>
      <w:r>
        <w:rPr>
          <w:rStyle w:val="27"/>
          <w:rFonts w:hint="eastAsia" w:ascii="楷体_GB2312" w:hAnsi="楷体_GB2312" w:eastAsia="楷体_GB2312" w:cs="楷体_GB2312"/>
          <w:b/>
          <w:bCs w:val="0"/>
          <w:color w:val="auto"/>
          <w:spacing w:val="-4"/>
          <w:sz w:val="32"/>
          <w:szCs w:val="32"/>
          <w:highlight w:val="none"/>
          <w:lang w:eastAsia="zh-CN"/>
        </w:rPr>
        <w:t>（一）</w:t>
      </w:r>
      <w:r>
        <w:rPr>
          <w:rStyle w:val="27"/>
          <w:rFonts w:hint="eastAsia" w:ascii="楷体_GB2312" w:hAnsi="楷体_GB2312" w:eastAsia="楷体_GB2312" w:cs="楷体_GB2312"/>
          <w:b/>
          <w:bCs w:val="0"/>
          <w:color w:val="auto"/>
          <w:spacing w:val="-4"/>
          <w:sz w:val="32"/>
          <w:szCs w:val="32"/>
          <w:highlight w:val="none"/>
        </w:rPr>
        <w:t>项目概况</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2" w:name="_Toc30152830"/>
      <w:r>
        <w:rPr>
          <w:rFonts w:hint="eastAsia" w:ascii="仿宋_GB2312" w:hAnsi="仿宋_GB2312" w:eastAsia="仿宋_GB2312" w:cs="仿宋_GB2312"/>
          <w:b/>
          <w:bCs/>
          <w:color w:val="auto"/>
          <w:sz w:val="32"/>
          <w:szCs w:val="32"/>
          <w:highlight w:val="none"/>
          <w:lang w:val="en-US" w:eastAsia="zh-CN"/>
        </w:rPr>
        <w:t>1</w:t>
      </w:r>
      <w:bookmarkEnd w:id="2"/>
      <w:r>
        <w:rPr>
          <w:rFonts w:hint="eastAsia" w:ascii="仿宋_GB2312" w:hAnsi="仿宋_GB2312" w:eastAsia="仿宋_GB2312" w:cs="仿宋_GB2312"/>
          <w:b/>
          <w:bCs/>
          <w:color w:val="auto"/>
          <w:sz w:val="32"/>
          <w:szCs w:val="32"/>
          <w:highlight w:val="none"/>
          <w:lang w:val="en-US" w:eastAsia="zh-CN"/>
        </w:rPr>
        <w:t>、项目背景</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塔城日报作为地委机关报，一直以来，印刷费都是财政拨款。目前，《塔城日报》由新疆塔城中信天成印刷有限公司、新疆八艺印刷厂承印。党报印刷质量是及时、准确、优质做好党的新闻宣传工作的重要一环。其出问题，无从谈起宣传使命任务的完成。因此，塔城日报社高度重视报纸印刷质量，从经费、监管多方面做好报纸印刷工作。</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2、主要内容及实施情况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（1）主要内容</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塔城日报》汉文周一至周五出版4开8版（彩印4个版），周六出四开四版（彩印两个版）；哈萨克文版出版对开4版（彩印2个版）；每周六期共265期，每期印刷3万份。2020年印刷总体平稳，未出现大的印刷事故。</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3" w:name="_Toc30152831"/>
      <w:r>
        <w:rPr>
          <w:rFonts w:hint="eastAsia" w:ascii="仿宋_GB2312" w:hAnsi="仿宋_GB2312" w:eastAsia="仿宋_GB2312" w:cs="仿宋_GB2312"/>
          <w:b/>
          <w:bCs/>
          <w:color w:val="auto"/>
          <w:sz w:val="32"/>
          <w:szCs w:val="32"/>
          <w:highlight w:val="none"/>
          <w:lang w:val="en-US" w:eastAsia="zh-CN"/>
        </w:rPr>
        <w:t>3、资金投入及使用情况</w:t>
      </w:r>
      <w:bookmarkEnd w:id="3"/>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（1）资金投入情况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2020年，塔城日报印刷费来源于[2020]0509号文件批复的资金，总投入资金290.31万元，全部为本级财政资金安排，按照签订的合同条款实施。</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2020年财政下达报社印刷费资金290.31万元，实际使用290.31万元，全部为本级财政资金，支付完成率100%。</w:t>
      </w:r>
    </w:p>
    <w:p>
      <w:pPr>
        <w:pageBreakBefore w:val="0"/>
        <w:numPr>
          <w:ilvl w:val="0"/>
          <w:numId w:val="1"/>
        </w:numPr>
        <w:kinsoku/>
        <w:wordWrap/>
        <w:overflowPunct/>
        <w:topLinePunct w:val="0"/>
        <w:autoSpaceDE/>
        <w:autoSpaceDN/>
        <w:bidi w:val="0"/>
        <w:adjustRightInd/>
        <w:snapToGrid/>
        <w:spacing w:line="560" w:lineRule="exact"/>
        <w:ind w:firstLine="627" w:firstLineChars="200"/>
        <w:textAlignment w:val="auto"/>
        <w:rPr>
          <w:rStyle w:val="27"/>
          <w:rFonts w:hint="eastAsia" w:ascii="楷体_GB2312" w:hAnsi="楷体_GB2312" w:eastAsia="楷体_GB2312" w:cs="楷体_GB2312"/>
          <w:b/>
          <w:bCs w:val="0"/>
          <w:color w:val="auto"/>
          <w:spacing w:val="-4"/>
          <w:sz w:val="32"/>
          <w:szCs w:val="32"/>
          <w:highlight w:val="none"/>
          <w:lang w:eastAsia="zh-CN"/>
        </w:rPr>
      </w:pPr>
      <w:r>
        <w:rPr>
          <w:rStyle w:val="27"/>
          <w:rFonts w:hint="eastAsia" w:ascii="楷体_GB2312" w:hAnsi="楷体_GB2312" w:eastAsia="楷体_GB2312" w:cs="楷体_GB2312"/>
          <w:b/>
          <w:bCs w:val="0"/>
          <w:color w:val="auto"/>
          <w:spacing w:val="-4"/>
          <w:sz w:val="32"/>
          <w:szCs w:val="32"/>
          <w:highlight w:val="none"/>
          <w:lang w:eastAsia="zh-CN"/>
        </w:rPr>
        <w:t>项目绩效目标</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1、总目标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计划2020年，《塔城日报》汉文周一至周五出版4开8版（彩印4个版），周六出四开四版（彩印两个版）；哈萨克文版出版对开4版（彩印2个版）；每周六期共265期，每期印刷3万份。</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在2019年底，塔城日报社就与新疆塔城中信天成印刷有限公司、新疆八艺印刷厂洽谈2020年印刷事宜，及时签订印刷合同。2020年，虽出现小的印刷问题，但没有产生大的影响，完成全年265期报刊印刷；保证每天早上9点前完成报刊印刷保证报刊发行的及时性。</w:t>
      </w:r>
    </w:p>
    <w:p>
      <w:pPr>
        <w:pageBreakBefore w:val="0"/>
        <w:kinsoku/>
        <w:wordWrap/>
        <w:overflowPunct/>
        <w:topLinePunct w:val="0"/>
        <w:autoSpaceDE/>
        <w:autoSpaceDN/>
        <w:bidi w:val="0"/>
        <w:adjustRightInd/>
        <w:snapToGrid/>
        <w:spacing w:line="560" w:lineRule="exact"/>
        <w:ind w:firstLine="480" w:firstLineChars="150"/>
        <w:contextualSpacing/>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二、绩效评价工作开展情况</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（一）绩效评价目的、对象和范围</w:t>
      </w:r>
    </w:p>
    <w:p>
      <w:pPr>
        <w:pageBreakBefore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1、评价目的</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旨在通过评价改善预算部门的财政支出管理，优化资源配置及提高公共服务水平。运用科学、规范的绩效评价方法，按照财政部《关于印发&lt;项目支出绩效评价管理办法&gt;的通知》，对报纸印刷项目进行科学评价，评价购置资金项目预算编制合理性、资金使用合规性、项目管理的规范性、项目目标的实现情况、服务对象的满意度等，通过本次绩效评价来总结经验和教训，促进项目成果转化和应用，为今后类似项目的长效管理，提供可行性参考建议。从专项资金的角度提出有针对性的建议，提高对报纸印刷项目的有效利用度，进一步提升塔城日报的印刷质量。</w:t>
      </w:r>
    </w:p>
    <w:p>
      <w:pPr>
        <w:pageBreakBefore w:val="0"/>
        <w:numPr>
          <w:ilvl w:val="0"/>
          <w:numId w:val="2"/>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评价对象：</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塔城日报社印刷费项目进行绩效评价。</w:t>
      </w:r>
    </w:p>
    <w:p>
      <w:pPr>
        <w:pageBreakBefore w:val="0"/>
        <w:numPr>
          <w:ilvl w:val="0"/>
          <w:numId w:val="2"/>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评价范围：</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从此项目的项目决策、项目过程、项目产出、项目效益等方面进行综合评价。</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（二）绩效评价原则、评价指标体系、评价方法、评价标准等。</w:t>
      </w:r>
    </w:p>
    <w:p>
      <w:pPr>
        <w:pStyle w:val="5"/>
        <w:pageBreakBefore w:val="0"/>
        <w:kinsoku/>
        <w:wordWrap/>
        <w:overflowPunct/>
        <w:topLinePunct w:val="0"/>
        <w:autoSpaceDE/>
        <w:autoSpaceDN/>
        <w:bidi w:val="0"/>
        <w:adjustRightInd/>
        <w:snapToGrid/>
        <w:spacing w:before="0" w:after="0" w:line="560" w:lineRule="exact"/>
        <w:ind w:firstLine="482" w:firstLineChars="150"/>
        <w:textAlignment w:val="auto"/>
        <w:rPr>
          <w:rFonts w:hint="eastAsia" w:ascii="仿宋_GB2312" w:hAnsi="仿宋_GB2312" w:eastAsia="仿宋_GB2312" w:cs="仿宋_GB2312"/>
          <w:b/>
          <w:bCs/>
          <w:color w:val="auto"/>
          <w:kern w:val="28"/>
          <w:sz w:val="32"/>
          <w:szCs w:val="32"/>
          <w:highlight w:val="none"/>
          <w:lang w:val="en-US" w:eastAsia="zh-CN" w:bidi="ar-SA"/>
        </w:rPr>
      </w:pPr>
      <w:r>
        <w:rPr>
          <w:rFonts w:hint="eastAsia" w:ascii="仿宋_GB2312" w:hAnsi="仿宋_GB2312" w:eastAsia="仿宋_GB2312" w:cs="仿宋_GB2312"/>
          <w:b/>
          <w:bCs/>
          <w:color w:val="auto"/>
          <w:kern w:val="28"/>
          <w:sz w:val="32"/>
          <w:szCs w:val="32"/>
          <w:highlight w:val="none"/>
          <w:lang w:val="en-US" w:eastAsia="zh-CN" w:bidi="ar-SA"/>
        </w:rPr>
        <w:t>1、本次绩效评价主要遵循以下原则：</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（1）科学公正。绩效评价应当运用科学合理的方法，按照规范的程序，对项目绩效进行客观、公正的反映。</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（2）统筹兼顾。单位自评、部门评价和财政评价应职责明确，各有侧重，相互衔接。</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（4）公开透明。绩效评价结果应依法依规公开，并自觉接受社会监督。</w:t>
      </w:r>
    </w:p>
    <w:bookmarkEnd w:id="0"/>
    <w:bookmarkEnd w:id="1"/>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color w:val="auto"/>
          <w:highlight w:val="none"/>
        </w:rPr>
      </w:pPr>
      <w:bookmarkStart w:id="4" w:name="_Toc30152847"/>
      <w:r>
        <w:rPr>
          <w:rFonts w:hint="eastAsia" w:ascii="仿宋_GB2312" w:hAnsi="仿宋_GB2312" w:eastAsia="仿宋_GB2312" w:cs="仿宋_GB2312"/>
          <w:b/>
          <w:bCs/>
          <w:color w:val="auto"/>
          <w:highlight w:val="none"/>
        </w:rPr>
        <w:t>2、评价指标体系</w:t>
      </w:r>
    </w:p>
    <w:p>
      <w:pPr>
        <w:pageBreakBefore w:val="0"/>
        <w:kinsoku/>
        <w:wordWrap/>
        <w:overflowPunct/>
        <w:topLinePunct w:val="0"/>
        <w:autoSpaceDE/>
        <w:autoSpaceDN/>
        <w:bidi w:val="0"/>
        <w:adjustRightInd/>
        <w:snapToGrid/>
        <w:spacing w:line="560" w:lineRule="exact"/>
        <w:ind w:firstLine="641"/>
        <w:textAlignment w:val="auto"/>
        <w:rPr>
          <w:rFonts w:ascii="宋体" w:hAnsi="宋体" w:cs="宋体"/>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w:t>
      </w:r>
      <w:r>
        <w:rPr>
          <w:rFonts w:hint="eastAsia" w:ascii="仿宋_GB2312" w:hAnsi="仿宋_GB2312" w:eastAsia="仿宋_GB2312" w:cs="仿宋_GB2312"/>
          <w:color w:val="auto"/>
          <w:spacing w:val="17"/>
          <w:sz w:val="32"/>
          <w:szCs w:val="32"/>
          <w:highlight w:val="none"/>
          <w:lang w:val="en-US" w:eastAsia="zh-CN"/>
        </w:rPr>
        <w:t>决策</w:t>
      </w:r>
      <w:r>
        <w:rPr>
          <w:rFonts w:hint="eastAsia" w:ascii="仿宋_GB2312" w:hAnsi="仿宋_GB2312" w:eastAsia="仿宋_GB2312" w:cs="仿宋_GB2312"/>
          <w:color w:val="auto"/>
          <w:spacing w:val="17"/>
          <w:sz w:val="32"/>
          <w:szCs w:val="32"/>
          <w:highlight w:val="none"/>
        </w:rPr>
        <w:t>、项目</w:t>
      </w:r>
      <w:r>
        <w:rPr>
          <w:rFonts w:hint="eastAsia" w:ascii="仿宋_GB2312" w:hAnsi="仿宋_GB2312" w:eastAsia="仿宋_GB2312" w:cs="仿宋_GB2312"/>
          <w:color w:val="auto"/>
          <w:spacing w:val="17"/>
          <w:sz w:val="32"/>
          <w:szCs w:val="32"/>
          <w:highlight w:val="none"/>
          <w:lang w:val="en-US" w:eastAsia="zh-CN"/>
        </w:rPr>
        <w:t>过程</w:t>
      </w:r>
      <w:r>
        <w:rPr>
          <w:rFonts w:hint="eastAsia" w:ascii="仿宋_GB2312" w:hAnsi="仿宋_GB2312" w:eastAsia="仿宋_GB2312" w:cs="仿宋_GB2312"/>
          <w:color w:val="auto"/>
          <w:spacing w:val="17"/>
          <w:sz w:val="32"/>
          <w:szCs w:val="32"/>
          <w:highlight w:val="none"/>
        </w:rPr>
        <w:t>、项目</w:t>
      </w:r>
      <w:r>
        <w:rPr>
          <w:rFonts w:hint="eastAsia" w:ascii="仿宋_GB2312" w:hAnsi="仿宋_GB2312" w:eastAsia="仿宋_GB2312" w:cs="仿宋_GB2312"/>
          <w:color w:val="auto"/>
          <w:spacing w:val="17"/>
          <w:sz w:val="32"/>
          <w:szCs w:val="32"/>
          <w:highlight w:val="none"/>
          <w:lang w:val="en-US" w:eastAsia="zh-CN"/>
        </w:rPr>
        <w:t>产出</w:t>
      </w:r>
      <w:r>
        <w:rPr>
          <w:rFonts w:hint="eastAsia" w:ascii="仿宋_GB2312" w:hAnsi="仿宋_GB2312" w:eastAsia="仿宋_GB2312" w:cs="仿宋_GB2312"/>
          <w:color w:val="auto"/>
          <w:spacing w:val="17"/>
          <w:sz w:val="32"/>
          <w:szCs w:val="32"/>
          <w:highlight w:val="none"/>
        </w:rPr>
        <w:t>、项目</w:t>
      </w:r>
      <w:r>
        <w:rPr>
          <w:rFonts w:hint="eastAsia" w:ascii="仿宋_GB2312" w:hAnsi="仿宋_GB2312" w:eastAsia="仿宋_GB2312" w:cs="仿宋_GB2312"/>
          <w:color w:val="auto"/>
          <w:spacing w:val="17"/>
          <w:sz w:val="32"/>
          <w:szCs w:val="32"/>
          <w:highlight w:val="none"/>
          <w:lang w:val="en-US" w:eastAsia="zh-CN"/>
        </w:rPr>
        <w:t>效益</w:t>
      </w:r>
      <w:r>
        <w:rPr>
          <w:rFonts w:hint="eastAsia" w:ascii="仿宋_GB2312" w:hAnsi="仿宋_GB2312" w:eastAsia="仿宋_GB2312" w:cs="仿宋_GB2312"/>
          <w:color w:val="auto"/>
          <w:spacing w:val="17"/>
          <w:sz w:val="32"/>
          <w:szCs w:val="32"/>
          <w:highlight w:val="none"/>
        </w:rPr>
        <w:t>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确定各个指标相对于项目总体绩效的权重分值。在绩效评价指标体系中，项目资金</w:t>
      </w:r>
      <w:r>
        <w:rPr>
          <w:rFonts w:hint="eastAsia" w:ascii="仿宋_GB2312" w:hAnsi="仿宋_GB2312" w:eastAsia="仿宋_GB2312" w:cs="仿宋_GB2312"/>
          <w:color w:val="auto"/>
          <w:spacing w:val="17"/>
          <w:sz w:val="32"/>
          <w:szCs w:val="32"/>
          <w:highlight w:val="none"/>
          <w:lang w:val="en-US" w:eastAsia="zh-CN"/>
        </w:rPr>
        <w:t>决策</w:t>
      </w:r>
      <w:r>
        <w:rPr>
          <w:rFonts w:hint="eastAsia" w:ascii="仿宋_GB2312" w:hAnsi="仿宋_GB2312" w:eastAsia="仿宋_GB2312" w:cs="仿宋_GB2312"/>
          <w:color w:val="auto"/>
          <w:spacing w:val="17"/>
          <w:sz w:val="32"/>
          <w:szCs w:val="32"/>
          <w:highlight w:val="none"/>
        </w:rPr>
        <w:t>权重为</w:t>
      </w:r>
      <w:r>
        <w:rPr>
          <w:rFonts w:hint="eastAsia" w:ascii="仿宋_GB2312" w:hAnsi="仿宋_GB2312" w:eastAsia="仿宋_GB2312" w:cs="仿宋_GB2312"/>
          <w:color w:val="auto"/>
          <w:spacing w:val="17"/>
          <w:sz w:val="32"/>
          <w:szCs w:val="32"/>
          <w:highlight w:val="none"/>
          <w:lang w:val="en-US" w:eastAsia="zh-CN"/>
        </w:rPr>
        <w:t>5%</w:t>
      </w:r>
      <w:r>
        <w:rPr>
          <w:rFonts w:hint="eastAsia" w:ascii="仿宋_GB2312" w:hAnsi="仿宋_GB2312" w:eastAsia="仿宋_GB2312" w:cs="仿宋_GB2312"/>
          <w:color w:val="auto"/>
          <w:spacing w:val="17"/>
          <w:sz w:val="32"/>
          <w:szCs w:val="32"/>
          <w:highlight w:val="none"/>
        </w:rPr>
        <w:t>，项目</w:t>
      </w:r>
      <w:r>
        <w:rPr>
          <w:rFonts w:hint="eastAsia" w:ascii="仿宋_GB2312" w:hAnsi="仿宋_GB2312" w:eastAsia="仿宋_GB2312" w:cs="仿宋_GB2312"/>
          <w:color w:val="auto"/>
          <w:spacing w:val="17"/>
          <w:sz w:val="32"/>
          <w:szCs w:val="32"/>
          <w:highlight w:val="none"/>
          <w:lang w:val="en-US" w:eastAsia="zh-CN"/>
        </w:rPr>
        <w:t>过程</w:t>
      </w:r>
      <w:r>
        <w:rPr>
          <w:rFonts w:hint="eastAsia" w:ascii="仿宋_GB2312" w:hAnsi="仿宋_GB2312" w:eastAsia="仿宋_GB2312" w:cs="仿宋_GB2312"/>
          <w:color w:val="auto"/>
          <w:spacing w:val="17"/>
          <w:sz w:val="32"/>
          <w:szCs w:val="32"/>
          <w:highlight w:val="none"/>
        </w:rPr>
        <w:t>权重值占5</w:t>
      </w:r>
      <w:r>
        <w:rPr>
          <w:rFonts w:hint="eastAsia" w:ascii="仿宋_GB2312" w:hAnsi="仿宋_GB2312" w:eastAsia="仿宋_GB2312" w:cs="仿宋_GB2312"/>
          <w:color w:val="auto"/>
          <w:spacing w:val="17"/>
          <w:sz w:val="32"/>
          <w:szCs w:val="32"/>
          <w:highlight w:val="none"/>
          <w:lang w:val="en-US" w:eastAsia="zh-CN"/>
        </w:rPr>
        <w:t>%</w:t>
      </w:r>
      <w:r>
        <w:rPr>
          <w:rFonts w:hint="eastAsia" w:ascii="仿宋_GB2312" w:hAnsi="仿宋_GB2312" w:eastAsia="仿宋_GB2312" w:cs="仿宋_GB2312"/>
          <w:color w:val="auto"/>
          <w:spacing w:val="17"/>
          <w:sz w:val="32"/>
          <w:szCs w:val="32"/>
          <w:highlight w:val="none"/>
        </w:rPr>
        <w:t>，项目</w:t>
      </w:r>
      <w:r>
        <w:rPr>
          <w:rFonts w:hint="eastAsia" w:ascii="仿宋_GB2312" w:hAnsi="仿宋_GB2312" w:eastAsia="仿宋_GB2312" w:cs="仿宋_GB2312"/>
          <w:color w:val="auto"/>
          <w:spacing w:val="17"/>
          <w:sz w:val="32"/>
          <w:szCs w:val="32"/>
          <w:highlight w:val="none"/>
          <w:lang w:val="en-US" w:eastAsia="zh-CN"/>
        </w:rPr>
        <w:t>产出</w:t>
      </w:r>
      <w:r>
        <w:rPr>
          <w:rFonts w:hint="eastAsia" w:ascii="仿宋_GB2312" w:hAnsi="仿宋_GB2312" w:eastAsia="仿宋_GB2312" w:cs="仿宋_GB2312"/>
          <w:color w:val="auto"/>
          <w:spacing w:val="17"/>
          <w:sz w:val="32"/>
          <w:szCs w:val="32"/>
          <w:highlight w:val="none"/>
        </w:rPr>
        <w:t>权重值占</w:t>
      </w:r>
      <w:r>
        <w:rPr>
          <w:rFonts w:hint="eastAsia" w:ascii="仿宋_GB2312" w:hAnsi="仿宋_GB2312" w:eastAsia="仿宋_GB2312" w:cs="仿宋_GB2312"/>
          <w:color w:val="auto"/>
          <w:spacing w:val="17"/>
          <w:sz w:val="32"/>
          <w:szCs w:val="32"/>
          <w:highlight w:val="none"/>
          <w:lang w:val="en-US" w:eastAsia="zh-CN"/>
        </w:rPr>
        <w:t>50%</w:t>
      </w:r>
      <w:r>
        <w:rPr>
          <w:rFonts w:hint="eastAsia" w:ascii="仿宋_GB2312" w:hAnsi="仿宋_GB2312" w:eastAsia="仿宋_GB2312" w:cs="仿宋_GB2312"/>
          <w:color w:val="auto"/>
          <w:spacing w:val="17"/>
          <w:sz w:val="32"/>
          <w:szCs w:val="32"/>
          <w:highlight w:val="none"/>
        </w:rPr>
        <w:t>，项目</w:t>
      </w:r>
      <w:r>
        <w:rPr>
          <w:rFonts w:hint="eastAsia" w:ascii="仿宋_GB2312" w:hAnsi="仿宋_GB2312" w:eastAsia="仿宋_GB2312" w:cs="仿宋_GB2312"/>
          <w:color w:val="auto"/>
          <w:spacing w:val="17"/>
          <w:sz w:val="32"/>
          <w:szCs w:val="32"/>
          <w:highlight w:val="none"/>
          <w:lang w:val="en-US" w:eastAsia="zh-CN"/>
        </w:rPr>
        <w:t>效益</w:t>
      </w:r>
      <w:r>
        <w:rPr>
          <w:rFonts w:hint="eastAsia" w:ascii="仿宋_GB2312" w:hAnsi="仿宋_GB2312" w:eastAsia="仿宋_GB2312" w:cs="仿宋_GB2312"/>
          <w:color w:val="auto"/>
          <w:spacing w:val="17"/>
          <w:sz w:val="32"/>
          <w:szCs w:val="32"/>
          <w:highlight w:val="none"/>
        </w:rPr>
        <w:t>权重占</w:t>
      </w:r>
      <w:r>
        <w:rPr>
          <w:rFonts w:hint="eastAsia" w:ascii="仿宋_GB2312" w:hAnsi="仿宋_GB2312" w:eastAsia="仿宋_GB2312" w:cs="仿宋_GB2312"/>
          <w:color w:val="auto"/>
          <w:spacing w:val="17"/>
          <w:sz w:val="32"/>
          <w:szCs w:val="32"/>
          <w:highlight w:val="none"/>
          <w:lang w:val="en-US" w:eastAsia="zh-CN"/>
        </w:rPr>
        <w:t>40%</w:t>
      </w:r>
      <w:r>
        <w:rPr>
          <w:rFonts w:hint="eastAsia" w:ascii="仿宋_GB2312" w:hAnsi="仿宋_GB2312" w:eastAsia="仿宋_GB2312" w:cs="仿宋_GB2312"/>
          <w:color w:val="auto"/>
          <w:spacing w:val="17"/>
          <w:sz w:val="32"/>
          <w:szCs w:val="32"/>
          <w:highlight w:val="none"/>
        </w:rPr>
        <w:t>。</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exact"/>
        <w:ind w:firstLine="708" w:firstLineChars="200"/>
        <w:jc w:val="both"/>
        <w:textAlignment w:val="auto"/>
        <w:rPr>
          <w:rFonts w:ascii="仿宋_GB2312" w:hAnsi="仿宋_GB2312" w:eastAsia="仿宋_GB2312" w:cs="仿宋_GB2312"/>
          <w:b w:val="0"/>
          <w:bCs w:val="0"/>
          <w:color w:val="auto"/>
          <w:spacing w:val="17"/>
          <w:kern w:val="2"/>
          <w:highlight w:val="none"/>
        </w:rPr>
      </w:pPr>
      <w:r>
        <w:rPr>
          <w:rFonts w:hint="eastAsia" w:ascii="仿宋_GB2312" w:hAnsi="仿宋_GB2312" w:eastAsia="仿宋_GB2312" w:cs="仿宋_GB2312"/>
          <w:b w:val="0"/>
          <w:bCs w:val="0"/>
          <w:color w:val="auto"/>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exact"/>
        <w:jc w:val="both"/>
        <w:textAlignment w:val="auto"/>
        <w:outlineLvl w:val="9"/>
        <w:rPr>
          <w:rFonts w:hint="eastAsia" w:ascii="仿宋_GB2312" w:hAnsi="仿宋_GB2312" w:eastAsia="仿宋_GB2312" w:cs="仿宋_GB2312"/>
          <w:b w:val="0"/>
          <w:bCs w:val="0"/>
          <w:color w:val="auto"/>
          <w:spacing w:val="17"/>
          <w:highlight w:val="none"/>
        </w:rPr>
      </w:pPr>
      <w:r>
        <w:rPr>
          <w:rFonts w:hint="eastAsia" w:ascii="仿宋_GB2312" w:hAnsi="仿宋_GB2312" w:eastAsia="仿宋_GB2312" w:cs="仿宋_GB2312"/>
          <w:b w:val="0"/>
          <w:bCs w:val="0"/>
          <w:color w:val="auto"/>
          <w:spacing w:val="17"/>
          <w:highlight w:val="none"/>
        </w:rPr>
        <w:t>具体评价指标体系详情见</w:t>
      </w:r>
      <w:r>
        <w:rPr>
          <w:rFonts w:hint="eastAsia" w:ascii="仿宋_GB2312" w:hAnsi="仿宋_GB2312" w:eastAsia="仿宋_GB2312" w:cs="仿宋_GB2312"/>
          <w:b w:val="0"/>
          <w:bCs w:val="0"/>
          <w:color w:val="auto"/>
          <w:spacing w:val="17"/>
          <w:highlight w:val="none"/>
          <w:lang w:val="en-US" w:eastAsia="zh-CN"/>
        </w:rPr>
        <w:t>附件</w:t>
      </w:r>
      <w:r>
        <w:rPr>
          <w:rFonts w:hint="eastAsia" w:ascii="仿宋_GB2312" w:hAnsi="仿宋_GB2312" w:eastAsia="仿宋_GB2312" w:cs="仿宋_GB2312"/>
          <w:b w:val="0"/>
          <w:bCs w:val="0"/>
          <w:color w:val="auto"/>
          <w:spacing w:val="17"/>
          <w:highlight w:val="none"/>
        </w:rPr>
        <w:t>1</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3、绩效评价方法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（1）比较法</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通过对绩效目标与实施效果、历史与当期情况，综合分析绩效目标实现程度。对</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pacing w:val="17"/>
          <w:sz w:val="32"/>
          <w:szCs w:val="32"/>
          <w:highlight w:val="none"/>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firstLine="641"/>
        <w:textAlignment w:val="auto"/>
        <w:rPr>
          <w:rFonts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（2）因素分析法</w:t>
      </w:r>
    </w:p>
    <w:p>
      <w:pPr>
        <w:pageBreakBefore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通过综合分析影响绩效目标实现、实施效果的内外因素，评价绩效目标实现程度。通过对</w:t>
      </w:r>
      <w:r>
        <w:rPr>
          <w:rFonts w:hint="eastAsia" w:ascii="仿宋_GB2312" w:hAnsi="仿宋_GB2312" w:eastAsia="仿宋_GB2312" w:cs="仿宋_GB2312"/>
          <w:color w:val="auto"/>
          <w:sz w:val="32"/>
          <w:szCs w:val="32"/>
          <w:highlight w:val="none"/>
        </w:rPr>
        <w:t>项目</w:t>
      </w:r>
      <w:r>
        <w:rPr>
          <w:rFonts w:hint="eastAsia" w:ascii="仿宋_GB2312" w:hAnsi="仿宋_GB2312" w:eastAsia="仿宋_GB2312" w:cs="仿宋_GB2312"/>
          <w:color w:val="auto"/>
          <w:spacing w:val="17"/>
          <w:sz w:val="32"/>
          <w:szCs w:val="32"/>
          <w:highlight w:val="none"/>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bCs/>
          <w:color w:val="auto"/>
          <w:highlight w:val="none"/>
          <w:lang w:val="en-US" w:eastAsia="zh-CN"/>
        </w:rPr>
      </w:pPr>
      <w:r>
        <w:rPr>
          <w:rFonts w:hint="eastAsia" w:ascii="仿宋_GB2312" w:hAnsi="仿宋_GB2312" w:eastAsia="仿宋_GB2312" w:cs="仿宋_GB2312"/>
          <w:b/>
          <w:bCs/>
          <w:color w:val="auto"/>
          <w:highlight w:val="none"/>
          <w:lang w:val="en-US" w:eastAsia="zh-CN"/>
        </w:rPr>
        <w:t>4、评价标准</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auto"/>
          <w:spacing w:val="17"/>
          <w:sz w:val="32"/>
          <w:szCs w:val="32"/>
          <w:highlight w:val="none"/>
          <w:lang w:val="en-US" w:eastAsia="zh-CN"/>
        </w:rPr>
      </w:pPr>
      <w:r>
        <w:rPr>
          <w:rFonts w:hint="default" w:ascii="仿宋_GB2312" w:hAnsi="仿宋_GB2312" w:eastAsia="仿宋_GB2312" w:cs="仿宋_GB2312"/>
          <w:color w:val="auto"/>
          <w:spacing w:val="17"/>
          <w:sz w:val="32"/>
          <w:szCs w:val="32"/>
          <w:highlight w:val="none"/>
          <w:lang w:val="en-US" w:eastAsia="zh-CN"/>
        </w:rPr>
        <w:t>绩效评价标准通常包括计划标准、行业标准、历史标准等，用于对绩效指标完成情况进行比较。本次评价主要采用了计划标准和行业标准。</w:t>
      </w:r>
    </w:p>
    <w:p>
      <w:pPr>
        <w:pageBreakBefore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（三）绩效评价工作过程</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b/>
          <w:bCs/>
          <w:color w:val="auto"/>
          <w:spacing w:val="17"/>
          <w:sz w:val="32"/>
          <w:szCs w:val="32"/>
          <w:highlight w:val="none"/>
          <w:lang w:val="en-US" w:eastAsia="zh-CN"/>
        </w:rPr>
        <w:t>前期准备。</w:t>
      </w:r>
      <w:r>
        <w:rPr>
          <w:rFonts w:hint="eastAsia" w:ascii="仿宋_GB2312" w:hAnsi="仿宋_GB2312" w:eastAsia="仿宋_GB2312" w:cs="仿宋_GB2312"/>
          <w:color w:val="auto"/>
          <w:spacing w:val="17"/>
          <w:sz w:val="32"/>
          <w:szCs w:val="32"/>
          <w:highlight w:val="none"/>
          <w:lang w:val="en-US" w:eastAsia="zh-CN"/>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exact"/>
        <w:ind w:firstLine="641"/>
        <w:textAlignment w:val="auto"/>
        <w:rPr>
          <w:rFonts w:hint="default" w:ascii="仿宋_GB2312" w:hAnsi="仿宋_GB2312" w:eastAsia="仿宋_GB2312" w:cs="仿宋_GB2312"/>
          <w:color w:val="auto"/>
          <w:spacing w:val="17"/>
          <w:sz w:val="32"/>
          <w:szCs w:val="32"/>
          <w:highlight w:val="none"/>
          <w:lang w:val="en-US" w:eastAsia="zh-CN"/>
        </w:rPr>
      </w:pPr>
      <w:r>
        <w:rPr>
          <w:rFonts w:hint="eastAsia" w:ascii="仿宋_GB2312" w:hAnsi="仿宋_GB2312" w:eastAsia="仿宋_GB2312" w:cs="仿宋_GB2312"/>
          <w:b/>
          <w:bCs/>
          <w:color w:val="auto"/>
          <w:spacing w:val="17"/>
          <w:sz w:val="32"/>
          <w:szCs w:val="32"/>
          <w:highlight w:val="none"/>
          <w:lang w:val="en-US" w:eastAsia="zh-CN"/>
        </w:rPr>
        <w:t>组织实施。</w:t>
      </w:r>
      <w:r>
        <w:rPr>
          <w:rFonts w:hint="eastAsia" w:ascii="仿宋_GB2312" w:hAnsi="仿宋_GB2312" w:eastAsia="仿宋_GB2312" w:cs="仿宋_GB2312"/>
          <w:color w:val="auto"/>
          <w:spacing w:val="17"/>
          <w:sz w:val="32"/>
          <w:szCs w:val="32"/>
          <w:highlight w:val="none"/>
          <w:lang w:val="en-US" w:eastAsia="zh-CN"/>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exact"/>
        <w:ind w:firstLine="641"/>
        <w:textAlignment w:val="auto"/>
        <w:rPr>
          <w:color w:val="auto"/>
          <w:highlight w:val="none"/>
        </w:rPr>
      </w:pPr>
      <w:r>
        <w:rPr>
          <w:rFonts w:hint="eastAsia" w:ascii="仿宋_GB2312" w:hAnsi="仿宋_GB2312" w:eastAsia="仿宋_GB2312" w:cs="仿宋_GB2312"/>
          <w:b/>
          <w:bCs/>
          <w:color w:val="auto"/>
          <w:spacing w:val="17"/>
          <w:sz w:val="32"/>
          <w:szCs w:val="32"/>
          <w:highlight w:val="none"/>
          <w:lang w:val="en-US" w:eastAsia="zh-CN"/>
        </w:rPr>
        <w:t>分析评价。</w:t>
      </w:r>
      <w:r>
        <w:rPr>
          <w:rFonts w:hint="eastAsia" w:ascii="仿宋_GB2312" w:hAnsi="仿宋_GB2312" w:eastAsia="仿宋_GB2312" w:cs="仿宋_GB2312"/>
          <w:color w:val="auto"/>
          <w:spacing w:val="17"/>
          <w:sz w:val="32"/>
          <w:szCs w:val="32"/>
          <w:highlight w:val="none"/>
          <w:lang w:val="en-US" w:eastAsia="zh-CN"/>
        </w:rPr>
        <w:t>根据收集梳理的资料围绕项目立项、资金落实、业务管理、财务管理、项目产出、项目效益等内容，对照已确定的绩效评价指标进行详细全面的分析评价，逐项打分并形成绩效评价最终结果</w:t>
      </w:r>
      <w:r>
        <w:rPr>
          <w:rFonts w:hint="eastAsia" w:ascii="Times New Roman" w:hAnsi="Times New Roman" w:eastAsia="仿宋_GB2312"/>
          <w:bCs/>
          <w:color w:val="auto"/>
          <w:sz w:val="28"/>
          <w:szCs w:val="28"/>
          <w:highlight w:val="none"/>
        </w:rPr>
        <w:t>。</w:t>
      </w:r>
    </w:p>
    <w:p>
      <w:pPr>
        <w:pageBreakBefore w:val="0"/>
        <w:numPr>
          <w:ilvl w:val="0"/>
          <w:numId w:val="3"/>
        </w:numPr>
        <w:kinsoku/>
        <w:wordWrap/>
        <w:overflowPunct/>
        <w:topLinePunct w:val="0"/>
        <w:autoSpaceDE/>
        <w:autoSpaceDN/>
        <w:bidi w:val="0"/>
        <w:adjustRightInd/>
        <w:snapToGrid/>
        <w:spacing w:line="560" w:lineRule="exact"/>
        <w:ind w:firstLine="641"/>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exact"/>
        <w:ind w:firstLine="641"/>
        <w:jc w:val="both"/>
        <w:textAlignment w:val="auto"/>
        <w:outlineLvl w:val="9"/>
        <w:rPr>
          <w:rFonts w:hint="eastAsia" w:ascii="仿宋_GB2312" w:hAnsi="仿宋_GB2312" w:eastAsia="仿宋_GB2312" w:cs="仿宋_GB2312"/>
          <w:b w:val="0"/>
          <w:bCs w:val="0"/>
          <w:color w:val="auto"/>
          <w:spacing w:val="17"/>
          <w:kern w:val="2"/>
          <w:sz w:val="32"/>
          <w:szCs w:val="32"/>
          <w:highlight w:val="none"/>
          <w:lang w:val="en-US" w:eastAsia="zh-CN" w:bidi="ar-SA"/>
        </w:rPr>
      </w:pPr>
      <w:r>
        <w:rPr>
          <w:rFonts w:hint="eastAsia" w:ascii="仿宋_GB2312" w:hAnsi="仿宋_GB2312" w:eastAsia="仿宋_GB2312" w:cs="仿宋_GB2312"/>
          <w:b w:val="0"/>
          <w:bCs w:val="0"/>
          <w:color w:val="auto"/>
          <w:spacing w:val="17"/>
          <w:kern w:val="2"/>
          <w:sz w:val="32"/>
          <w:szCs w:val="32"/>
          <w:highlight w:val="none"/>
          <w:lang w:val="en-US" w:eastAsia="zh-CN" w:bidi="ar-SA"/>
        </w:rPr>
        <w:t>对印刷项目进行客观评价，最终评分结果：总得分为 98.05分，属于“优”。其中，项目决策类指标权重为5分，得分为 5分，得分率为 100%。项目过程类指标权重为5分，得分为5 分，得分率为 100%。项目产出类指标权重为50分，得分为50分，得分率为100%。项目效益类指标权重为40分，得分为38.05分，得分率为95.1%。</w:t>
      </w:r>
    </w:p>
    <w:p>
      <w:pPr>
        <w:pStyle w:val="2"/>
        <w:pageBreakBefore w:val="0"/>
        <w:kinsoku/>
        <w:wordWrap/>
        <w:overflowPunct/>
        <w:topLinePunct w:val="0"/>
        <w:autoSpaceDE/>
        <w:autoSpaceDN/>
        <w:bidi w:val="0"/>
        <w:adjustRightInd/>
        <w:snapToGrid/>
        <w:spacing w:before="0" w:after="0" w:line="560" w:lineRule="exact"/>
        <w:textAlignment w:val="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表</w:t>
      </w:r>
      <w:r>
        <w:rPr>
          <w:rFonts w:hint="eastAsia" w:ascii="仿宋_GB2312" w:hAnsi="仿宋_GB2312" w:eastAsia="仿宋_GB2312" w:cs="仿宋_GB2312"/>
          <w:color w:val="auto"/>
          <w:sz w:val="30"/>
          <w:szCs w:val="30"/>
          <w:highlight w:val="none"/>
          <w:lang w:val="en-US" w:eastAsia="zh-CN"/>
        </w:rPr>
        <w:t>1</w:t>
      </w:r>
      <w:r>
        <w:rPr>
          <w:rFonts w:hint="eastAsia" w:ascii="仿宋_GB2312" w:hAnsi="仿宋_GB2312" w:eastAsia="仿宋_GB2312" w:cs="仿宋_GB2312"/>
          <w:color w:val="auto"/>
          <w:sz w:val="30"/>
          <w:szCs w:val="30"/>
          <w:highlight w:val="none"/>
        </w:rPr>
        <w:t>综合评分表</w:t>
      </w:r>
    </w:p>
    <w:p>
      <w:pPr>
        <w:pageBreakBefore w:val="0"/>
        <w:kinsoku/>
        <w:wordWrap/>
        <w:overflowPunct/>
        <w:topLinePunct w:val="0"/>
        <w:autoSpaceDE/>
        <w:autoSpaceDN/>
        <w:bidi w:val="0"/>
        <w:adjustRightInd/>
        <w:snapToGrid/>
        <w:spacing w:line="560" w:lineRule="exact"/>
        <w:textAlignment w:val="auto"/>
        <w:rPr>
          <w:color w:val="auto"/>
          <w:highlight w:val="none"/>
        </w:rPr>
      </w:pPr>
    </w:p>
    <w:p>
      <w:pPr>
        <w:pageBreakBefore w:val="0"/>
        <w:kinsoku/>
        <w:wordWrap/>
        <w:overflowPunct/>
        <w:topLinePunct w:val="0"/>
        <w:autoSpaceDE/>
        <w:autoSpaceDN/>
        <w:bidi w:val="0"/>
        <w:adjustRightInd/>
        <w:snapToGrid/>
        <w:spacing w:line="560" w:lineRule="exact"/>
        <w:textAlignment w:val="auto"/>
        <w:rPr>
          <w:color w:val="auto"/>
          <w:highlight w:val="none"/>
        </w:rPr>
      </w:pPr>
    </w:p>
    <w:tbl>
      <w:tblPr>
        <w:tblStyle w:val="25"/>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过程</w:t>
            </w:r>
          </w:p>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eastAsiaTheme="minorEastAsia"/>
                <w:color w:val="auto"/>
                <w:kern w:val="0"/>
                <w:sz w:val="22"/>
                <w:szCs w:val="22"/>
                <w:highlight w:val="none"/>
                <w:lang w:eastAsia="zh-CN"/>
              </w:rPr>
            </w:pPr>
            <w:r>
              <w:rPr>
                <w:rFonts w:hint="eastAsia" w:ascii="宋体" w:hAnsi="宋体" w:cs="宋体"/>
                <w:color w:val="auto"/>
                <w:kern w:val="0"/>
                <w:sz w:val="22"/>
                <w:szCs w:val="22"/>
                <w:highlight w:val="none"/>
              </w:rPr>
              <w:t>1</w:t>
            </w:r>
            <w:r>
              <w:rPr>
                <w:rFonts w:hint="eastAsia" w:ascii="宋体" w:hAnsi="宋体" w:cs="宋体"/>
                <w:color w:val="auto"/>
                <w:kern w:val="0"/>
                <w:sz w:val="22"/>
                <w:szCs w:val="22"/>
                <w:highlight w:val="none"/>
                <w:lang w:val="en-US" w:eastAsia="zh-CN"/>
              </w:rPr>
              <w:t>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tabs>
                <w:tab w:val="left" w:pos="305"/>
              </w:tabs>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实施效益</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28.05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93.5%</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28.05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cs="宋体" w:eastAsiaTheme="minorEastAsia"/>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10</w:t>
            </w:r>
          </w:p>
        </w:tc>
      </w:tr>
    </w:tbl>
    <w:p>
      <w:pPr>
        <w:pageBreakBefore w:val="0"/>
        <w:kinsoku/>
        <w:wordWrap/>
        <w:overflowPunct/>
        <w:topLinePunct w:val="0"/>
        <w:autoSpaceDE/>
        <w:autoSpaceDN/>
        <w:bidi w:val="0"/>
        <w:adjustRightInd/>
        <w:snapToGrid/>
        <w:spacing w:line="560" w:lineRule="exact"/>
        <w:ind w:firstLine="320" w:firstLineChars="100"/>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四、绩效评价指标分析</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color w:val="auto"/>
          <w:highlight w:val="none"/>
        </w:rPr>
      </w:pPr>
      <w:r>
        <w:rPr>
          <w:rFonts w:hint="eastAsia" w:ascii="楷体_GB2312" w:hAnsi="楷体_GB2312" w:eastAsia="楷体_GB2312" w:cs="楷体_GB2312"/>
          <w:color w:val="auto"/>
          <w:highlight w:val="none"/>
        </w:rPr>
        <w:t>（一）项目决策情况</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rPr>
      </w:pPr>
      <w:r>
        <w:rPr>
          <w:rStyle w:val="50"/>
          <w:rFonts w:hint="eastAsia"/>
          <w:color w:val="auto"/>
          <w:highlight w:val="none"/>
        </w:rPr>
        <w:t>项目决策指标从项目立项、绩效目标、资金投入3个方面对项目的决策进行考察，项目决策类指标分值</w:t>
      </w:r>
      <w:r>
        <w:rPr>
          <w:rStyle w:val="50"/>
          <w:rFonts w:hint="eastAsia"/>
          <w:color w:val="auto"/>
          <w:highlight w:val="none"/>
          <w:lang w:val="en-US" w:eastAsia="zh-CN"/>
        </w:rPr>
        <w:t>5</w:t>
      </w:r>
      <w:r>
        <w:rPr>
          <w:rStyle w:val="50"/>
          <w:rFonts w:hint="eastAsia"/>
          <w:color w:val="auto"/>
          <w:highlight w:val="none"/>
        </w:rPr>
        <w:t>分，实际得分</w:t>
      </w:r>
      <w:r>
        <w:rPr>
          <w:rStyle w:val="50"/>
          <w:rFonts w:hint="eastAsia"/>
          <w:color w:val="auto"/>
          <w:highlight w:val="none"/>
          <w:lang w:val="en-US" w:eastAsia="zh-CN"/>
        </w:rPr>
        <w:t>5</w:t>
      </w:r>
      <w:r>
        <w:rPr>
          <w:rStyle w:val="50"/>
          <w:rFonts w:hint="eastAsia"/>
          <w:color w:val="auto"/>
          <w:highlight w:val="none"/>
        </w:rPr>
        <w:t>分，得分率</w:t>
      </w:r>
      <w:r>
        <w:rPr>
          <w:rStyle w:val="50"/>
          <w:rFonts w:hint="eastAsia"/>
          <w:color w:val="auto"/>
          <w:highlight w:val="none"/>
          <w:lang w:val="en-US" w:eastAsia="zh-CN"/>
        </w:rPr>
        <w:t>100</w:t>
      </w:r>
      <w:r>
        <w:rPr>
          <w:rStyle w:val="50"/>
          <w:rFonts w:hint="eastAsia"/>
          <w:color w:val="auto"/>
          <w:highlight w:val="none"/>
        </w:rPr>
        <w:t>%。项目决策指标得分情况如表所示。</w:t>
      </w:r>
    </w:p>
    <w:tbl>
      <w:tblPr>
        <w:tblStyle w:val="25"/>
        <w:tblW w:w="8522" w:type="dxa"/>
        <w:tblInd w:w="0" w:type="dxa"/>
        <w:tblLayout w:type="fixed"/>
        <w:tblCellMar>
          <w:top w:w="0" w:type="dxa"/>
          <w:left w:w="108" w:type="dxa"/>
          <w:bottom w:w="0" w:type="dxa"/>
          <w:right w:w="108" w:type="dxa"/>
        </w:tblCellMar>
      </w:tblPr>
      <w:tblGrid>
        <w:gridCol w:w="2515"/>
        <w:gridCol w:w="2269"/>
        <w:gridCol w:w="1986"/>
        <w:gridCol w:w="1752"/>
      </w:tblGrid>
      <w:tr>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方正仿宋_GBK" w:hAnsi="Tahoma" w:eastAsia="方正仿宋_GBK" w:cs="Tahoma"/>
                <w:color w:val="auto"/>
                <w:kern w:val="0"/>
                <w:sz w:val="28"/>
                <w:szCs w:val="28"/>
                <w:highlight w:val="none"/>
              </w:rPr>
            </w:pPr>
            <w:r>
              <w:rPr>
                <w:rFonts w:hint="eastAsia" w:ascii="仿宋_GB2312" w:hAnsi="仿宋_GB2312" w:eastAsia="仿宋_GB2312" w:cs="仿宋_GB2312"/>
                <w:b/>
                <w:bCs/>
                <w:color w:val="auto"/>
                <w:kern w:val="0"/>
                <w:sz w:val="32"/>
                <w:szCs w:val="32"/>
                <w:highlight w:val="none"/>
              </w:rPr>
              <w:t>项目决策指标得分情况</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三级指标</w:t>
            </w:r>
          </w:p>
        </w:tc>
        <w:tc>
          <w:tcPr>
            <w:tcW w:w="2269"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权重</w:t>
            </w:r>
          </w:p>
        </w:tc>
        <w:tc>
          <w:tcPr>
            <w:tcW w:w="1986"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得分率</w:t>
            </w:r>
          </w:p>
        </w:tc>
        <w:tc>
          <w:tcPr>
            <w:tcW w:w="1752" w:type="dxa"/>
            <w:tcBorders>
              <w:top w:val="nil"/>
              <w:left w:val="nil"/>
              <w:bottom w:val="single" w:color="auto" w:sz="8" w:space="0"/>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实际得分</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项目立项</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绩效目标</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资金投入</w:t>
            </w:r>
          </w:p>
        </w:tc>
        <w:tc>
          <w:tcPr>
            <w:tcW w:w="2269"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2</w:t>
            </w:r>
          </w:p>
        </w:tc>
        <w:tc>
          <w:tcPr>
            <w:tcW w:w="1986"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752" w:type="dxa"/>
            <w:tcBorders>
              <w:top w:val="nil"/>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2</w:t>
            </w:r>
          </w:p>
        </w:tc>
      </w:tr>
      <w:tr>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合计</w:t>
            </w:r>
          </w:p>
        </w:tc>
        <w:tc>
          <w:tcPr>
            <w:tcW w:w="2269"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5</w:t>
            </w:r>
          </w:p>
        </w:tc>
        <w:tc>
          <w:tcPr>
            <w:tcW w:w="1986"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752" w:type="dxa"/>
            <w:tcBorders>
              <w:top w:val="single" w:color="auto" w:sz="8" w:space="0"/>
              <w:left w:val="nil"/>
              <w:bottom w:val="single" w:color="auto" w:sz="8" w:space="0"/>
              <w:right w:val="single" w:color="auto" w:sz="8"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w:t>
            </w:r>
          </w:p>
        </w:tc>
      </w:tr>
    </w:tbl>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rPr>
      </w:pPr>
      <w:r>
        <w:rPr>
          <w:rStyle w:val="50"/>
          <w:rFonts w:hint="eastAsia"/>
          <w:color w:val="auto"/>
          <w:highlight w:val="none"/>
        </w:rPr>
        <w:t>对于“项目立项”，</w:t>
      </w:r>
      <w:r>
        <w:rPr>
          <w:rStyle w:val="50"/>
          <w:rFonts w:hint="eastAsia"/>
          <w:color w:val="auto"/>
          <w:highlight w:val="none"/>
          <w:lang w:eastAsia="zh-CN"/>
        </w:rPr>
        <w:t>报社印刷</w:t>
      </w:r>
      <w:r>
        <w:rPr>
          <w:rStyle w:val="50"/>
          <w:rFonts w:hint="eastAsia"/>
          <w:color w:val="auto"/>
          <w:highlight w:val="none"/>
        </w:rPr>
        <w:t>项目的立项符合规划，项目单位的绩效指标设置表述清晰、设置合理、指标设置完整，但</w:t>
      </w:r>
      <w:r>
        <w:rPr>
          <w:rStyle w:val="50"/>
          <w:rFonts w:hint="eastAsia"/>
          <w:color w:val="auto"/>
          <w:highlight w:val="none"/>
          <w:lang w:eastAsia="zh-CN"/>
        </w:rPr>
        <w:t>印刷中出现一些问题</w:t>
      </w:r>
      <w:r>
        <w:rPr>
          <w:rStyle w:val="50"/>
          <w:rFonts w:hint="eastAsia"/>
          <w:color w:val="auto"/>
          <w:highlight w:val="none"/>
        </w:rPr>
        <w:t>。根据评分标准，实际得分率为</w:t>
      </w:r>
      <w:r>
        <w:rPr>
          <w:rStyle w:val="50"/>
          <w:rFonts w:hint="eastAsia"/>
          <w:color w:val="auto"/>
          <w:highlight w:val="none"/>
          <w:lang w:val="en-US" w:eastAsia="zh-CN"/>
        </w:rPr>
        <w:t>10</w:t>
      </w:r>
      <w:r>
        <w:rPr>
          <w:rStyle w:val="50"/>
          <w:rFonts w:hint="eastAsia"/>
          <w:color w:val="auto"/>
          <w:highlight w:val="none"/>
        </w:rPr>
        <w:t>0%。</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rPr>
      </w:pPr>
      <w:r>
        <w:rPr>
          <w:rStyle w:val="50"/>
          <w:rFonts w:hint="eastAsia"/>
          <w:color w:val="auto"/>
          <w:highlight w:val="none"/>
        </w:rPr>
        <w:t>对于“绩效目标”，</w:t>
      </w:r>
      <w:r>
        <w:rPr>
          <w:rStyle w:val="50"/>
          <w:rFonts w:hint="eastAsia"/>
          <w:color w:val="auto"/>
          <w:highlight w:val="none"/>
          <w:lang w:eastAsia="zh-CN"/>
        </w:rPr>
        <w:t>报社印刷</w:t>
      </w:r>
      <w:r>
        <w:rPr>
          <w:rStyle w:val="50"/>
          <w:rFonts w:hint="eastAsia"/>
          <w:color w:val="auto"/>
          <w:highlight w:val="none"/>
        </w:rPr>
        <w:t>项目设置了较为详细的项目支出绩效目标，项目绩效目标的设置，满足合理性和明确性的要求。</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rPr>
      </w:pPr>
      <w:r>
        <w:rPr>
          <w:rStyle w:val="50"/>
          <w:rFonts w:hint="eastAsia"/>
          <w:color w:val="auto"/>
          <w:highlight w:val="none"/>
        </w:rPr>
        <w:t>对于“资金投入”，</w:t>
      </w:r>
      <w:r>
        <w:rPr>
          <w:rStyle w:val="50"/>
          <w:rFonts w:hint="eastAsia"/>
          <w:color w:val="auto"/>
          <w:highlight w:val="none"/>
          <w:lang w:eastAsia="zh-CN"/>
        </w:rPr>
        <w:t>报社印刷</w:t>
      </w:r>
      <w:r>
        <w:rPr>
          <w:rStyle w:val="50"/>
          <w:rFonts w:hint="eastAsia"/>
          <w:color w:val="auto"/>
          <w:highlight w:val="none"/>
        </w:rPr>
        <w:t>项目资金全部投入到位，总投资</w:t>
      </w:r>
      <w:r>
        <w:rPr>
          <w:rStyle w:val="50"/>
          <w:rFonts w:hint="eastAsia"/>
          <w:color w:val="auto"/>
          <w:highlight w:val="none"/>
          <w:lang w:val="en-US" w:eastAsia="zh-CN"/>
        </w:rPr>
        <w:t>290.31</w:t>
      </w:r>
      <w:r>
        <w:rPr>
          <w:rStyle w:val="50"/>
          <w:rFonts w:hint="eastAsia"/>
          <w:color w:val="auto"/>
          <w:highlight w:val="none"/>
        </w:rPr>
        <w:t>万元。根据评分标准，该指标实际得分率100%。</w:t>
      </w:r>
    </w:p>
    <w:p>
      <w:pPr>
        <w:pStyle w:val="2"/>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color w:val="auto"/>
          <w:highlight w:val="none"/>
        </w:rPr>
      </w:pPr>
      <w:r>
        <w:rPr>
          <w:rFonts w:hint="eastAsia" w:ascii="楷体_GB2312" w:hAnsi="楷体_GB2312" w:eastAsia="楷体_GB2312" w:cs="楷体_GB2312"/>
          <w:color w:val="auto"/>
          <w:highlight w:val="none"/>
        </w:rPr>
        <w:t>（二）项目过程情况</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rPr>
      </w:pPr>
      <w:r>
        <w:rPr>
          <w:rStyle w:val="50"/>
          <w:rFonts w:hint="eastAsia"/>
          <w:color w:val="auto"/>
          <w:highlight w:val="none"/>
        </w:rPr>
        <w:t>项目管理指标从资金到位率、预算执行率、资金使用合规性、管理制度健全性、制度执行有效性5个方面对项目的管理情况进行考察。项目管理类指标分值</w:t>
      </w:r>
      <w:r>
        <w:rPr>
          <w:rStyle w:val="50"/>
          <w:rFonts w:hint="eastAsia"/>
          <w:color w:val="auto"/>
          <w:highlight w:val="none"/>
          <w:lang w:val="en-US" w:eastAsia="zh-CN"/>
        </w:rPr>
        <w:t>5</w:t>
      </w:r>
      <w:r>
        <w:rPr>
          <w:rStyle w:val="50"/>
          <w:rFonts w:hint="eastAsia"/>
          <w:color w:val="auto"/>
          <w:highlight w:val="none"/>
        </w:rPr>
        <w:t>分，实际得分</w:t>
      </w:r>
      <w:r>
        <w:rPr>
          <w:rStyle w:val="50"/>
          <w:rFonts w:hint="eastAsia"/>
          <w:color w:val="auto"/>
          <w:highlight w:val="none"/>
          <w:lang w:val="en-US" w:eastAsia="zh-CN"/>
        </w:rPr>
        <w:t>5</w:t>
      </w:r>
      <w:r>
        <w:rPr>
          <w:rStyle w:val="50"/>
          <w:rFonts w:hint="eastAsia"/>
          <w:color w:val="auto"/>
          <w:highlight w:val="none"/>
        </w:rPr>
        <w:t>分，得分率为100%。项目管理指标得分情况如表所示。</w:t>
      </w:r>
    </w:p>
    <w:tbl>
      <w:tblPr>
        <w:tblStyle w:val="25"/>
        <w:tblW w:w="8522" w:type="dxa"/>
        <w:tblInd w:w="0" w:type="dxa"/>
        <w:tblLayout w:type="fixed"/>
        <w:tblCellMar>
          <w:top w:w="0" w:type="dxa"/>
          <w:left w:w="108" w:type="dxa"/>
          <w:bottom w:w="0" w:type="dxa"/>
          <w:right w:w="108" w:type="dxa"/>
        </w:tblCellMar>
      </w:tblPr>
      <w:tblGrid>
        <w:gridCol w:w="2232"/>
        <w:gridCol w:w="2407"/>
        <w:gridCol w:w="1986"/>
        <w:gridCol w:w="1897"/>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项目管理指标得分情况</w:t>
            </w:r>
          </w:p>
        </w:tc>
      </w:tr>
      <w:tr>
        <w:tblPrEx>
          <w:tblCellMar>
            <w:top w:w="0" w:type="dxa"/>
            <w:left w:w="108" w:type="dxa"/>
            <w:bottom w:w="0" w:type="dxa"/>
            <w:right w:w="108" w:type="dxa"/>
          </w:tblCellMar>
        </w:tblPrEx>
        <w:trPr>
          <w:trHeight w:val="510" w:hRule="exact"/>
          <w:tblHeader/>
        </w:trPr>
        <w:tc>
          <w:tcPr>
            <w:tcW w:w="2232" w:type="dxa"/>
            <w:tcBorders>
              <w:top w:val="nil"/>
              <w:left w:val="single" w:color="auto" w:sz="8" w:space="0"/>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三级指标</w:t>
            </w:r>
          </w:p>
        </w:tc>
        <w:tc>
          <w:tcPr>
            <w:tcW w:w="240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权重</w:t>
            </w:r>
          </w:p>
        </w:tc>
        <w:tc>
          <w:tcPr>
            <w:tcW w:w="1986"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得分率</w:t>
            </w:r>
          </w:p>
        </w:tc>
        <w:tc>
          <w:tcPr>
            <w:tcW w:w="1897" w:type="dxa"/>
            <w:tcBorders>
              <w:top w:val="nil"/>
              <w:left w:val="nil"/>
              <w:bottom w:val="nil"/>
              <w:right w:val="single" w:color="auto" w:sz="8" w:space="0"/>
            </w:tcBorders>
            <w:shd w:val="clear" w:color="000000" w:fill="A6A6A6"/>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实际得分</w:t>
            </w:r>
          </w:p>
        </w:tc>
      </w:tr>
      <w:tr>
        <w:tblPrEx>
          <w:tblCellMar>
            <w:top w:w="0" w:type="dxa"/>
            <w:left w:w="108" w:type="dxa"/>
            <w:bottom w:w="0" w:type="dxa"/>
            <w:right w:w="108" w:type="dxa"/>
          </w:tblCellMar>
        </w:tblPrEx>
        <w:trPr>
          <w:trHeight w:val="510" w:hRule="exact"/>
        </w:trPr>
        <w:tc>
          <w:tcPr>
            <w:tcW w:w="2232"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预算执行率</w:t>
            </w:r>
          </w:p>
        </w:tc>
        <w:tc>
          <w:tcPr>
            <w:tcW w:w="2407"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897"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资金到位率</w:t>
            </w:r>
          </w:p>
        </w:tc>
        <w:tc>
          <w:tcPr>
            <w:tcW w:w="240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89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资金使用合规性</w:t>
            </w:r>
          </w:p>
        </w:tc>
        <w:tc>
          <w:tcPr>
            <w:tcW w:w="240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89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管理制度健全性</w:t>
            </w:r>
          </w:p>
        </w:tc>
        <w:tc>
          <w:tcPr>
            <w:tcW w:w="240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89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1</w:t>
            </w:r>
          </w:p>
        </w:tc>
      </w:tr>
      <w:tr>
        <w:tblPrEx>
          <w:tblCellMar>
            <w:top w:w="0" w:type="dxa"/>
            <w:left w:w="108" w:type="dxa"/>
            <w:bottom w:w="0" w:type="dxa"/>
            <w:right w:w="108" w:type="dxa"/>
          </w:tblCellMar>
        </w:tblPrEx>
        <w:trPr>
          <w:trHeight w:val="510" w:hRule="exact"/>
        </w:trPr>
        <w:tc>
          <w:tcPr>
            <w:tcW w:w="2232" w:type="dxa"/>
            <w:tcBorders>
              <w:top w:val="nil"/>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制度执行有效性</w:t>
            </w:r>
          </w:p>
        </w:tc>
        <w:tc>
          <w:tcPr>
            <w:tcW w:w="240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p>
        </w:tc>
        <w:tc>
          <w:tcPr>
            <w:tcW w:w="1986"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897" w:type="dxa"/>
            <w:tcBorders>
              <w:top w:val="nil"/>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p>
        </w:tc>
      </w:tr>
      <w:tr>
        <w:tblPrEx>
          <w:tblCellMar>
            <w:top w:w="0" w:type="dxa"/>
            <w:left w:w="108" w:type="dxa"/>
            <w:bottom w:w="0" w:type="dxa"/>
            <w:right w:w="108" w:type="dxa"/>
          </w:tblCellMar>
        </w:tblPrEx>
        <w:trPr>
          <w:trHeight w:val="670" w:hRule="exact"/>
        </w:trPr>
        <w:tc>
          <w:tcPr>
            <w:tcW w:w="2232"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合  计</w:t>
            </w:r>
          </w:p>
        </w:tc>
        <w:tc>
          <w:tcPr>
            <w:tcW w:w="2407"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5</w:t>
            </w:r>
          </w:p>
        </w:tc>
        <w:tc>
          <w:tcPr>
            <w:tcW w:w="1986"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100%</w:t>
            </w:r>
          </w:p>
        </w:tc>
        <w:tc>
          <w:tcPr>
            <w:tcW w:w="1897" w:type="dxa"/>
            <w:tcBorders>
              <w:top w:val="single" w:color="auto" w:sz="4" w:space="0"/>
              <w:left w:val="nil"/>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w:t>
            </w:r>
          </w:p>
        </w:tc>
      </w:tr>
    </w:tbl>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rPr>
      </w:pPr>
      <w:r>
        <w:rPr>
          <w:rStyle w:val="50"/>
          <w:rFonts w:hint="eastAsia"/>
          <w:color w:val="auto"/>
          <w:highlight w:val="none"/>
        </w:rPr>
        <w:t>对于“预算执行率”，项目经过向本级财政申请资金，20</w:t>
      </w:r>
      <w:r>
        <w:rPr>
          <w:rStyle w:val="50"/>
          <w:rFonts w:hint="eastAsia"/>
          <w:color w:val="auto"/>
          <w:highlight w:val="none"/>
          <w:lang w:val="en-US" w:eastAsia="zh-CN"/>
        </w:rPr>
        <w:t>20</w:t>
      </w:r>
      <w:r>
        <w:rPr>
          <w:rStyle w:val="50"/>
          <w:rFonts w:hint="eastAsia"/>
          <w:color w:val="auto"/>
          <w:highlight w:val="none"/>
        </w:rPr>
        <w:t>年取得财政拨款资金</w:t>
      </w:r>
      <w:r>
        <w:rPr>
          <w:rStyle w:val="50"/>
          <w:rFonts w:hint="eastAsia"/>
          <w:color w:val="auto"/>
          <w:highlight w:val="none"/>
          <w:lang w:val="en-US" w:eastAsia="zh-CN"/>
        </w:rPr>
        <w:t>290.31</w:t>
      </w:r>
      <w:r>
        <w:rPr>
          <w:rStyle w:val="50"/>
          <w:rFonts w:hint="eastAsia"/>
          <w:color w:val="auto"/>
          <w:highlight w:val="none"/>
        </w:rPr>
        <w:t>万元，项目资金预算经过集体讨论，并经批复。项目预算资金为</w:t>
      </w:r>
      <w:r>
        <w:rPr>
          <w:rStyle w:val="50"/>
          <w:rFonts w:hint="eastAsia"/>
          <w:color w:val="auto"/>
          <w:highlight w:val="none"/>
          <w:lang w:val="en-US" w:eastAsia="zh-CN"/>
        </w:rPr>
        <w:t>290.31</w:t>
      </w:r>
      <w:r>
        <w:rPr>
          <w:rStyle w:val="50"/>
          <w:rFonts w:hint="eastAsia"/>
          <w:color w:val="auto"/>
          <w:highlight w:val="none"/>
        </w:rPr>
        <w:t>万元，实际使用</w:t>
      </w:r>
      <w:r>
        <w:rPr>
          <w:rStyle w:val="50"/>
          <w:rFonts w:hint="eastAsia"/>
          <w:color w:val="auto"/>
          <w:highlight w:val="none"/>
          <w:lang w:val="en-US" w:eastAsia="zh-CN"/>
        </w:rPr>
        <w:t>290.31</w:t>
      </w:r>
      <w:r>
        <w:rPr>
          <w:rStyle w:val="50"/>
          <w:rFonts w:hint="eastAsia"/>
          <w:color w:val="auto"/>
          <w:highlight w:val="none"/>
        </w:rPr>
        <w:t>万元。根据评分标准，该指标实际得分率100%。</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rPr>
      </w:pPr>
      <w:r>
        <w:rPr>
          <w:rStyle w:val="50"/>
          <w:rFonts w:hint="eastAsia"/>
          <w:color w:val="auto"/>
          <w:highlight w:val="none"/>
        </w:rPr>
        <w:t>对于“资金到位率”，项目资金到位及时，到位率为100%。根据评分标准，该指标不扣分。</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rPr>
      </w:pPr>
      <w:r>
        <w:rPr>
          <w:rStyle w:val="50"/>
          <w:rFonts w:hint="eastAsia"/>
          <w:color w:val="auto"/>
          <w:highlight w:val="none"/>
        </w:rPr>
        <w:t>对于“资金使用合规性”</w:t>
      </w:r>
      <w:r>
        <w:rPr>
          <w:rStyle w:val="50"/>
          <w:rFonts w:hint="eastAsia"/>
          <w:color w:val="auto"/>
          <w:highlight w:val="none"/>
          <w:lang w:eastAsia="zh-CN"/>
        </w:rPr>
        <w:t>报社印刷</w:t>
      </w:r>
      <w:r>
        <w:rPr>
          <w:rStyle w:val="50"/>
          <w:rFonts w:hint="eastAsia"/>
          <w:color w:val="auto"/>
          <w:highlight w:val="none"/>
        </w:rPr>
        <w:t>项目按照专项资金列支的范围使用资金，支出范围合规；资金支出能按财务制度执行，并能按国库集中支付制度规定执行，不存在资金违纪违规使用情况。按评分标准，指标实际得分率100%。</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rPr>
      </w:pPr>
      <w:r>
        <w:rPr>
          <w:rStyle w:val="50"/>
          <w:rFonts w:hint="eastAsia"/>
          <w:color w:val="auto"/>
          <w:highlight w:val="none"/>
        </w:rPr>
        <w:t>对于“管理制度健全性”，</w:t>
      </w:r>
      <w:r>
        <w:rPr>
          <w:rStyle w:val="50"/>
          <w:rFonts w:hint="eastAsia"/>
          <w:color w:val="auto"/>
          <w:highlight w:val="none"/>
          <w:lang w:eastAsia="zh-CN"/>
        </w:rPr>
        <w:t>报社印刷</w:t>
      </w:r>
      <w:r>
        <w:rPr>
          <w:rStyle w:val="50"/>
          <w:rFonts w:hint="eastAsia"/>
          <w:color w:val="auto"/>
          <w:highlight w:val="none"/>
        </w:rPr>
        <w:t>项目机构健全，分工明确，不存在不相容岗位兼任情况。根据评分标准，该指标不扣分。</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rPr>
      </w:pPr>
      <w:r>
        <w:rPr>
          <w:rStyle w:val="50"/>
          <w:rFonts w:hint="eastAsia"/>
          <w:color w:val="auto"/>
          <w:highlight w:val="none"/>
          <w:lang w:val="en-US" w:eastAsia="zh-CN"/>
        </w:rPr>
        <w:t xml:space="preserve">  对于“制度执行有效性”</w:t>
      </w:r>
      <w:r>
        <w:rPr>
          <w:rStyle w:val="50"/>
          <w:rFonts w:hint="eastAsia"/>
          <w:color w:val="auto"/>
          <w:highlight w:val="none"/>
          <w:lang w:val="en-US" w:eastAsia="zh-CN"/>
        </w:rPr>
        <w:tab/>
      </w:r>
      <w:r>
        <w:rPr>
          <w:rStyle w:val="50"/>
          <w:rFonts w:hint="eastAsia"/>
          <w:color w:val="auto"/>
          <w:highlight w:val="none"/>
          <w:lang w:val="en-US" w:eastAsia="zh-CN"/>
        </w:rPr>
        <w:t>，报社有印刷的相关制度，严格执行，</w:t>
      </w:r>
      <w:r>
        <w:rPr>
          <w:rStyle w:val="50"/>
          <w:rFonts w:hint="eastAsia"/>
          <w:color w:val="auto"/>
          <w:highlight w:val="none"/>
        </w:rPr>
        <w:t>根据评分标准，该指标不扣分。</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color w:val="auto"/>
          <w:highlight w:val="none"/>
        </w:rPr>
      </w:pPr>
      <w:r>
        <w:rPr>
          <w:rFonts w:hint="eastAsia" w:ascii="楷体_GB2312" w:hAnsi="楷体_GB2312" w:eastAsia="楷体_GB2312" w:cs="楷体_GB2312"/>
          <w:color w:val="auto"/>
          <w:highlight w:val="none"/>
          <w:lang w:val="en-US" w:eastAsia="zh-CN"/>
        </w:rPr>
        <w:t>(三)</w:t>
      </w:r>
      <w:r>
        <w:rPr>
          <w:rFonts w:hint="eastAsia" w:ascii="楷体_GB2312" w:hAnsi="楷体_GB2312" w:eastAsia="楷体_GB2312" w:cs="楷体_GB2312"/>
          <w:color w:val="auto"/>
          <w:highlight w:val="none"/>
        </w:rPr>
        <w:t>项目产出</w:t>
      </w:r>
    </w:p>
    <w:p>
      <w:pPr>
        <w:pStyle w:val="19"/>
        <w:jc w:val="center"/>
        <w:rPr>
          <w:rFonts w:hint="eastAsia" w:ascii="仿宋_GB2312" w:hAnsi="仿宋_GB2312" w:eastAsia="仿宋_GB2312" w:cs="仿宋_GB2312"/>
          <w:b/>
          <w:bCs/>
          <w:color w:val="auto"/>
          <w:kern w:val="0"/>
          <w:sz w:val="32"/>
          <w:szCs w:val="32"/>
          <w:highlight w:val="none"/>
          <w:lang w:val="en-US" w:eastAsia="zh-CN" w:bidi="ar-SA"/>
        </w:rPr>
      </w:pPr>
      <w:r>
        <w:rPr>
          <w:rFonts w:hint="eastAsia" w:ascii="仿宋_GB2312" w:hAnsi="仿宋_GB2312" w:eastAsia="仿宋_GB2312" w:cs="仿宋_GB2312"/>
          <w:b/>
          <w:bCs/>
          <w:color w:val="auto"/>
          <w:kern w:val="0"/>
          <w:sz w:val="32"/>
          <w:szCs w:val="32"/>
          <w:highlight w:val="none"/>
          <w:lang w:val="en-US" w:eastAsia="zh-CN" w:bidi="ar-SA"/>
        </w:rPr>
        <w:t>项目产出指标得分情况</w:t>
      </w:r>
    </w:p>
    <w:tbl>
      <w:tblPr>
        <w:tblStyle w:val="25"/>
        <w:tblW w:w="8473" w:type="dxa"/>
        <w:tblInd w:w="0" w:type="dxa"/>
        <w:tblLayout w:type="fixed"/>
        <w:tblCellMar>
          <w:top w:w="0" w:type="dxa"/>
          <w:left w:w="108" w:type="dxa"/>
          <w:bottom w:w="0" w:type="dxa"/>
          <w:right w:w="108" w:type="dxa"/>
        </w:tblCellMar>
      </w:tblPr>
      <w:tblGrid>
        <w:gridCol w:w="2517"/>
        <w:gridCol w:w="1986"/>
        <w:gridCol w:w="1984"/>
        <w:gridCol w:w="1986"/>
      </w:tblGrid>
      <w:tr>
        <w:tblPrEx>
          <w:tblCellMar>
            <w:top w:w="0" w:type="dxa"/>
            <w:left w:w="108" w:type="dxa"/>
            <w:bottom w:w="0" w:type="dxa"/>
            <w:right w:w="108" w:type="dxa"/>
          </w:tblCellMar>
        </w:tblPrEx>
        <w:trPr>
          <w:trHeight w:val="510" w:hRule="exact"/>
          <w:tblHead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二级指标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实际得分</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产出数量</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eastAsia="zh-CN"/>
              </w:rPr>
            </w:pPr>
            <w:r>
              <w:rPr>
                <w:rFonts w:hint="eastAsia" w:ascii="仿宋_GB2312" w:hAnsi="仿宋_GB2312" w:eastAsia="仿宋_GB2312" w:cs="仿宋_GB2312"/>
                <w:b w:val="0"/>
                <w:bCs w:val="0"/>
                <w:color w:val="auto"/>
                <w:kern w:val="0"/>
                <w:sz w:val="32"/>
                <w:szCs w:val="32"/>
                <w:highlight w:val="none"/>
              </w:rPr>
              <w:t>1</w:t>
            </w:r>
            <w:r>
              <w:rPr>
                <w:rFonts w:hint="eastAsia" w:ascii="仿宋_GB2312" w:hAnsi="仿宋_GB2312" w:eastAsia="仿宋_GB2312" w:cs="仿宋_GB2312"/>
                <w:b w:val="0"/>
                <w:bCs w:val="0"/>
                <w:color w:val="auto"/>
                <w:kern w:val="0"/>
                <w:sz w:val="32"/>
                <w:szCs w:val="32"/>
                <w:highlight w:val="none"/>
                <w:lang w:val="en-US" w:eastAsia="zh-CN"/>
              </w:rPr>
              <w:t>5</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100%</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eastAsia="zh-CN"/>
              </w:rPr>
            </w:pPr>
            <w:r>
              <w:rPr>
                <w:rFonts w:hint="eastAsia" w:ascii="仿宋_GB2312" w:hAnsi="仿宋_GB2312" w:eastAsia="仿宋_GB2312" w:cs="仿宋_GB2312"/>
                <w:b w:val="0"/>
                <w:bCs w:val="0"/>
                <w:color w:val="auto"/>
                <w:kern w:val="0"/>
                <w:sz w:val="32"/>
                <w:szCs w:val="32"/>
                <w:highlight w:val="none"/>
              </w:rPr>
              <w:t>1</w:t>
            </w:r>
            <w:r>
              <w:rPr>
                <w:rFonts w:hint="eastAsia" w:ascii="仿宋_GB2312" w:hAnsi="仿宋_GB2312" w:eastAsia="仿宋_GB2312" w:cs="仿宋_GB2312"/>
                <w:b w:val="0"/>
                <w:bCs w:val="0"/>
                <w:color w:val="auto"/>
                <w:kern w:val="0"/>
                <w:sz w:val="32"/>
                <w:szCs w:val="32"/>
                <w:highlight w:val="none"/>
                <w:lang w:val="en-US" w:eastAsia="zh-CN"/>
              </w:rPr>
              <w:t>5</w:t>
            </w:r>
          </w:p>
        </w:tc>
      </w:tr>
      <w:tr>
        <w:tblPrEx>
          <w:tblCellMar>
            <w:top w:w="0" w:type="dxa"/>
            <w:left w:w="108" w:type="dxa"/>
            <w:bottom w:w="0" w:type="dxa"/>
            <w:right w:w="108" w:type="dxa"/>
          </w:tblCellMar>
        </w:tblPrEx>
        <w:trPr>
          <w:trHeight w:val="51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产出质量</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10</w:t>
            </w:r>
          </w:p>
        </w:tc>
        <w:tc>
          <w:tcPr>
            <w:tcW w:w="1984"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CN"/>
              </w:rPr>
              <w:t>100</w:t>
            </w:r>
            <w:r>
              <w:rPr>
                <w:rFonts w:hint="eastAsia" w:ascii="仿宋_GB2312" w:hAnsi="仿宋_GB2312" w:eastAsia="仿宋_GB2312" w:cs="仿宋_GB2312"/>
                <w:b w:val="0"/>
                <w:bCs w:val="0"/>
                <w:color w:val="auto"/>
                <w:kern w:val="0"/>
                <w:sz w:val="32"/>
                <w:szCs w:val="32"/>
                <w:highlight w:val="none"/>
              </w:rPr>
              <w:t>%</w:t>
            </w:r>
          </w:p>
        </w:tc>
        <w:tc>
          <w:tcPr>
            <w:tcW w:w="1986" w:type="dxa"/>
            <w:tcBorders>
              <w:top w:val="single" w:color="auto" w:sz="4" w:space="0"/>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产出时效</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eastAsia="zh-CN"/>
              </w:rPr>
            </w:pPr>
            <w:r>
              <w:rPr>
                <w:rFonts w:hint="eastAsia" w:ascii="仿宋_GB2312" w:hAnsi="仿宋_GB2312" w:eastAsia="仿宋_GB2312" w:cs="仿宋_GB2312"/>
                <w:b w:val="0"/>
                <w:bCs w:val="0"/>
                <w:color w:val="auto"/>
                <w:kern w:val="0"/>
                <w:sz w:val="32"/>
                <w:szCs w:val="32"/>
                <w:highlight w:val="none"/>
              </w:rPr>
              <w:t>1</w:t>
            </w:r>
            <w:r>
              <w:rPr>
                <w:rFonts w:hint="eastAsia" w:ascii="仿宋_GB2312" w:hAnsi="仿宋_GB2312" w:eastAsia="仿宋_GB2312" w:cs="仿宋_GB2312"/>
                <w:b w:val="0"/>
                <w:bCs w:val="0"/>
                <w:color w:val="auto"/>
                <w:kern w:val="0"/>
                <w:sz w:val="32"/>
                <w:szCs w:val="32"/>
                <w:highlight w:val="none"/>
                <w:lang w:val="en-US" w:eastAsia="zh-CN"/>
              </w:rPr>
              <w:t>5</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100%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eastAsia="zh-CN"/>
              </w:rPr>
            </w:pPr>
            <w:r>
              <w:rPr>
                <w:rFonts w:hint="eastAsia" w:ascii="仿宋_GB2312" w:hAnsi="仿宋_GB2312" w:eastAsia="仿宋_GB2312" w:cs="仿宋_GB2312"/>
                <w:b w:val="0"/>
                <w:bCs w:val="0"/>
                <w:color w:val="auto"/>
                <w:kern w:val="0"/>
                <w:sz w:val="32"/>
                <w:szCs w:val="32"/>
                <w:highlight w:val="none"/>
              </w:rPr>
              <w:t>1</w:t>
            </w:r>
            <w:r>
              <w:rPr>
                <w:rFonts w:hint="eastAsia" w:ascii="仿宋_GB2312" w:hAnsi="仿宋_GB2312" w:eastAsia="仿宋_GB2312" w:cs="仿宋_GB2312"/>
                <w:b w:val="0"/>
                <w:bCs w:val="0"/>
                <w:color w:val="auto"/>
                <w:kern w:val="0"/>
                <w:sz w:val="32"/>
                <w:szCs w:val="32"/>
                <w:highlight w:val="none"/>
                <w:lang w:val="en-US" w:eastAsia="zh-CN"/>
              </w:rPr>
              <w:t>5</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产出成本</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10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CN"/>
              </w:rPr>
              <w:t>100</w:t>
            </w:r>
            <w:r>
              <w:rPr>
                <w:rFonts w:hint="eastAsia" w:ascii="仿宋_GB2312" w:hAnsi="仿宋_GB2312" w:eastAsia="仿宋_GB2312" w:cs="仿宋_GB2312"/>
                <w:b w:val="0"/>
                <w:bCs w:val="0"/>
                <w:color w:val="auto"/>
                <w:kern w:val="0"/>
                <w:sz w:val="32"/>
                <w:szCs w:val="32"/>
                <w:highlight w:val="none"/>
              </w:rPr>
              <w:t>%</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10</w:t>
            </w:r>
          </w:p>
        </w:tc>
      </w:tr>
      <w:tr>
        <w:tblPrEx>
          <w:tblCellMar>
            <w:top w:w="0" w:type="dxa"/>
            <w:left w:w="108" w:type="dxa"/>
            <w:bottom w:w="0" w:type="dxa"/>
            <w:right w:w="108" w:type="dxa"/>
          </w:tblCellMar>
        </w:tblPrEx>
        <w:trPr>
          <w:trHeight w:val="510" w:hRule="exact"/>
        </w:trPr>
        <w:tc>
          <w:tcPr>
            <w:tcW w:w="2517" w:type="dxa"/>
            <w:tcBorders>
              <w:top w:val="nil"/>
              <w:left w:val="single" w:color="auto" w:sz="4" w:space="0"/>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合  计</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CN"/>
              </w:rPr>
              <w:t>5</w:t>
            </w:r>
            <w:r>
              <w:rPr>
                <w:rFonts w:hint="eastAsia" w:ascii="仿宋_GB2312" w:hAnsi="仿宋_GB2312" w:eastAsia="仿宋_GB2312" w:cs="仿宋_GB2312"/>
                <w:b w:val="0"/>
                <w:bCs w:val="0"/>
                <w:color w:val="auto"/>
                <w:kern w:val="0"/>
                <w:sz w:val="32"/>
                <w:szCs w:val="32"/>
                <w:highlight w:val="none"/>
              </w:rPr>
              <w:t>0</w:t>
            </w:r>
          </w:p>
        </w:tc>
        <w:tc>
          <w:tcPr>
            <w:tcW w:w="1984"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100%</w:t>
            </w:r>
          </w:p>
        </w:tc>
        <w:tc>
          <w:tcPr>
            <w:tcW w:w="1986" w:type="dxa"/>
            <w:tcBorders>
              <w:top w:val="nil"/>
              <w:left w:val="nil"/>
              <w:bottom w:val="single" w:color="auto" w:sz="4" w:space="0"/>
              <w:right w:val="single" w:color="auto" w:sz="4" w:space="0"/>
            </w:tcBorders>
            <w:noWrap/>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50</w:t>
            </w:r>
          </w:p>
        </w:tc>
      </w:tr>
    </w:tbl>
    <w:p>
      <w:pPr>
        <w:pageBreakBefore w:val="0"/>
        <w:kinsoku/>
        <w:wordWrap/>
        <w:overflowPunct/>
        <w:topLinePunct w:val="0"/>
        <w:autoSpaceDE/>
        <w:autoSpaceDN/>
        <w:bidi w:val="0"/>
        <w:adjustRightInd/>
        <w:snapToGrid/>
        <w:spacing w:line="560" w:lineRule="exact"/>
        <w:ind w:firstLine="640"/>
        <w:textAlignment w:val="auto"/>
        <w:rPr>
          <w:rStyle w:val="27"/>
          <w:rFonts w:hint="eastAsia" w:ascii="仿宋_GB2312" w:hAnsi="仿宋_GB2312" w:eastAsia="仿宋_GB2312" w:cs="仿宋_GB2312"/>
          <w:b w:val="0"/>
          <w:bCs/>
          <w:color w:val="auto"/>
          <w:spacing w:val="-4"/>
          <w:sz w:val="32"/>
          <w:szCs w:val="32"/>
          <w:highlight w:val="none"/>
          <w:lang w:val="en-US" w:eastAsia="zh-CN"/>
        </w:rPr>
      </w:pPr>
      <w:r>
        <w:rPr>
          <w:rStyle w:val="27"/>
          <w:rFonts w:hint="eastAsia" w:ascii="仿宋_GB2312" w:hAnsi="仿宋_GB2312" w:eastAsia="仿宋_GB2312" w:cs="仿宋_GB2312"/>
          <w:b w:val="0"/>
          <w:bCs/>
          <w:color w:val="auto"/>
          <w:spacing w:val="-4"/>
          <w:sz w:val="32"/>
          <w:szCs w:val="32"/>
          <w:highlight w:val="none"/>
        </w:rPr>
        <w:t>数量指标方面：</w:t>
      </w:r>
      <w:r>
        <w:rPr>
          <w:rStyle w:val="27"/>
          <w:rFonts w:hint="eastAsia" w:ascii="仿宋_GB2312" w:hAnsi="仿宋_GB2312" w:eastAsia="仿宋_GB2312" w:cs="仿宋_GB2312"/>
          <w:b w:val="0"/>
          <w:bCs/>
          <w:color w:val="auto"/>
          <w:spacing w:val="-4"/>
          <w:sz w:val="32"/>
          <w:szCs w:val="32"/>
          <w:highlight w:val="none"/>
          <w:lang w:eastAsia="zh-CN"/>
        </w:rPr>
        <w:t>印刷数量≥</w:t>
      </w:r>
      <w:r>
        <w:rPr>
          <w:rStyle w:val="27"/>
          <w:rFonts w:hint="eastAsia" w:ascii="仿宋_GB2312" w:hAnsi="仿宋_GB2312" w:eastAsia="仿宋_GB2312" w:cs="仿宋_GB2312"/>
          <w:b w:val="0"/>
          <w:bCs/>
          <w:color w:val="auto"/>
          <w:spacing w:val="-4"/>
          <w:sz w:val="32"/>
          <w:szCs w:val="32"/>
          <w:highlight w:val="none"/>
          <w:lang w:val="en-US" w:eastAsia="zh-CN"/>
        </w:rPr>
        <w:t>250期，实际完成值265期，实际完成率100%。</w:t>
      </w:r>
    </w:p>
    <w:p>
      <w:pPr>
        <w:pageBreakBefore w:val="0"/>
        <w:widowControl/>
        <w:kinsoku/>
        <w:wordWrap/>
        <w:overflowPunct/>
        <w:topLinePunct w:val="0"/>
        <w:autoSpaceDE/>
        <w:autoSpaceDN/>
        <w:bidi w:val="0"/>
        <w:adjustRightInd/>
        <w:snapToGrid/>
        <w:spacing w:line="560" w:lineRule="exact"/>
        <w:ind w:firstLine="640" w:firstLineChars="200"/>
        <w:textAlignment w:val="auto"/>
        <w:rPr>
          <w:rStyle w:val="27"/>
          <w:rFonts w:hint="eastAsia" w:ascii="仿宋_GB2312" w:hAnsi="仿宋_GB2312" w:eastAsia="仿宋_GB2312" w:cs="仿宋_GB2312"/>
          <w:b w:val="0"/>
          <w:bCs/>
          <w:color w:val="auto"/>
          <w:spacing w:val="-4"/>
          <w:sz w:val="32"/>
          <w:szCs w:val="32"/>
          <w:highlight w:val="none"/>
          <w:lang w:val="en-US" w:eastAsia="zh-CN"/>
        </w:rPr>
      </w:pPr>
      <w:r>
        <w:rPr>
          <w:rStyle w:val="50"/>
          <w:rFonts w:hint="eastAsia" w:ascii="仿宋_GB2312" w:hAnsi="仿宋_GB2312" w:eastAsia="仿宋_GB2312" w:cs="仿宋_GB2312"/>
          <w:color w:val="auto"/>
          <w:sz w:val="32"/>
          <w:szCs w:val="32"/>
          <w:highlight w:val="none"/>
        </w:rPr>
        <w:t>质量指标方面：</w:t>
      </w:r>
      <w:r>
        <w:rPr>
          <w:rStyle w:val="50"/>
          <w:rFonts w:hint="eastAsia" w:ascii="仿宋_GB2312" w:hAnsi="仿宋_GB2312" w:eastAsia="仿宋_GB2312" w:cs="仿宋_GB2312"/>
          <w:color w:val="auto"/>
          <w:sz w:val="32"/>
          <w:szCs w:val="32"/>
          <w:highlight w:val="none"/>
          <w:lang w:eastAsia="zh-CN"/>
        </w:rPr>
        <w:t>印刷不合格率≤</w:t>
      </w:r>
      <w:r>
        <w:rPr>
          <w:rStyle w:val="50"/>
          <w:rFonts w:hint="eastAsia" w:ascii="仿宋_GB2312" w:hAnsi="仿宋_GB2312" w:eastAsia="仿宋_GB2312" w:cs="仿宋_GB2312"/>
          <w:color w:val="auto"/>
          <w:sz w:val="32"/>
          <w:szCs w:val="32"/>
          <w:highlight w:val="none"/>
          <w:lang w:val="en-US" w:eastAsia="zh-CN"/>
        </w:rPr>
        <w:t>5%，实际完成值6%(</w:t>
      </w:r>
      <w:r>
        <w:rPr>
          <w:rFonts w:hint="eastAsia" w:ascii="仿宋_GB2312" w:hAnsi="仿宋_GB2312" w:eastAsia="仿宋_GB2312" w:cs="仿宋_GB2312"/>
          <w:color w:val="auto"/>
          <w:kern w:val="0"/>
          <w:sz w:val="32"/>
          <w:szCs w:val="32"/>
          <w:highlight w:val="none"/>
        </w:rPr>
        <w:t>实际产出数：</w:t>
      </w:r>
      <w:r>
        <w:rPr>
          <w:rFonts w:hint="eastAsia" w:ascii="仿宋_GB2312" w:hAnsi="仿宋_GB2312" w:eastAsia="仿宋_GB2312" w:cs="仿宋_GB2312"/>
          <w:color w:val="auto"/>
          <w:kern w:val="0"/>
          <w:sz w:val="32"/>
          <w:szCs w:val="32"/>
          <w:highlight w:val="none"/>
          <w:lang w:val="en-US" w:eastAsia="zh-CN"/>
        </w:rPr>
        <w:t>265期</w:t>
      </w:r>
      <w:r>
        <w:rPr>
          <w:rFonts w:hint="eastAsia" w:ascii="仿宋_GB2312" w:hAnsi="仿宋_GB2312" w:eastAsia="仿宋_GB2312" w:cs="仿宋_GB2312"/>
          <w:color w:val="auto"/>
          <w:kern w:val="0"/>
          <w:sz w:val="32"/>
          <w:szCs w:val="32"/>
          <w:highlight w:val="none"/>
        </w:rPr>
        <w:t>质量达标产出数</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255期,</w:t>
      </w:r>
      <w:r>
        <w:rPr>
          <w:rFonts w:hint="eastAsia" w:ascii="仿宋_GB2312" w:hAnsi="仿宋_GB2312" w:eastAsia="仿宋_GB2312" w:cs="仿宋_GB2312"/>
          <w:color w:val="auto"/>
          <w:kern w:val="0"/>
          <w:sz w:val="32"/>
          <w:szCs w:val="32"/>
          <w:highlight w:val="none"/>
        </w:rPr>
        <w:t>质量达标</w:t>
      </w:r>
      <w:r>
        <w:rPr>
          <w:rFonts w:hint="eastAsia" w:ascii="仿宋_GB2312" w:hAnsi="仿宋_GB2312" w:eastAsia="仿宋_GB2312" w:cs="仿宋_GB2312"/>
          <w:color w:val="auto"/>
          <w:kern w:val="0"/>
          <w:sz w:val="32"/>
          <w:szCs w:val="32"/>
          <w:highlight w:val="none"/>
          <w:lang w:eastAsia="zh-CN"/>
        </w:rPr>
        <w:t>率</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255</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265</w:t>
      </w:r>
      <w:r>
        <w:rPr>
          <w:rFonts w:hint="eastAsia" w:ascii="仿宋_GB2312" w:hAnsi="仿宋_GB2312" w:eastAsia="仿宋_GB2312" w:cs="仿宋_GB2312"/>
          <w:color w:val="auto"/>
          <w:kern w:val="0"/>
          <w:sz w:val="32"/>
          <w:szCs w:val="32"/>
          <w:highlight w:val="none"/>
        </w:rPr>
        <w:t>）×100%=</w:t>
      </w:r>
      <w:r>
        <w:rPr>
          <w:rFonts w:hint="eastAsia" w:ascii="仿宋_GB2312" w:hAnsi="仿宋_GB2312" w:eastAsia="仿宋_GB2312" w:cs="仿宋_GB2312"/>
          <w:color w:val="auto"/>
          <w:kern w:val="0"/>
          <w:sz w:val="32"/>
          <w:szCs w:val="32"/>
          <w:highlight w:val="none"/>
          <w:lang w:val="en-US" w:eastAsia="zh-CN"/>
        </w:rPr>
        <w:t>96</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,不合格率4%</w:t>
      </w:r>
      <w:r>
        <w:rPr>
          <w:rStyle w:val="50"/>
          <w:rFonts w:hint="eastAsia" w:ascii="仿宋_GB2312" w:hAnsi="仿宋_GB2312" w:eastAsia="仿宋_GB2312" w:cs="仿宋_GB2312"/>
          <w:color w:val="auto"/>
          <w:sz w:val="32"/>
          <w:szCs w:val="32"/>
          <w:highlight w:val="none"/>
          <w:lang w:val="en-US" w:eastAsia="zh-CN"/>
        </w:rPr>
        <w:t>，按照评价体系，该指标完成率100%</w:t>
      </w:r>
      <w:r>
        <w:rPr>
          <w:rStyle w:val="27"/>
          <w:rFonts w:hint="eastAsia" w:ascii="仿宋_GB2312" w:hAnsi="仿宋_GB2312" w:eastAsia="仿宋_GB2312" w:cs="仿宋_GB2312"/>
          <w:b w:val="0"/>
          <w:bCs/>
          <w:color w:val="auto"/>
          <w:spacing w:val="-4"/>
          <w:sz w:val="32"/>
          <w:szCs w:val="32"/>
          <w:highlight w:val="none"/>
          <w:lang w:val="en-US" w:eastAsia="zh-CN"/>
        </w:rPr>
        <w:t>。</w:t>
      </w:r>
    </w:p>
    <w:p>
      <w:pPr>
        <w:pageBreakBefore w:val="0"/>
        <w:kinsoku/>
        <w:wordWrap/>
        <w:overflowPunct/>
        <w:topLinePunct w:val="0"/>
        <w:autoSpaceDE/>
        <w:autoSpaceDN/>
        <w:bidi w:val="0"/>
        <w:adjustRightInd/>
        <w:snapToGrid/>
        <w:spacing w:line="560" w:lineRule="exact"/>
        <w:ind w:firstLine="640"/>
        <w:textAlignment w:val="auto"/>
        <w:rPr>
          <w:rStyle w:val="27"/>
          <w:rFonts w:hint="eastAsia" w:ascii="仿宋_GB2312" w:hAnsi="仿宋_GB2312" w:eastAsia="仿宋_GB2312" w:cs="仿宋_GB2312"/>
          <w:b w:val="0"/>
          <w:bCs/>
          <w:color w:val="auto"/>
          <w:spacing w:val="-4"/>
          <w:sz w:val="32"/>
          <w:szCs w:val="32"/>
          <w:highlight w:val="none"/>
          <w:lang w:val="en-US" w:eastAsia="zh-CN"/>
        </w:rPr>
      </w:pPr>
      <w:r>
        <w:rPr>
          <w:rStyle w:val="50"/>
          <w:rFonts w:hint="eastAsia" w:ascii="仿宋_GB2312" w:hAnsi="仿宋_GB2312" w:eastAsia="仿宋_GB2312" w:cs="仿宋_GB2312"/>
          <w:b w:val="0"/>
          <w:bCs w:val="0"/>
          <w:color w:val="auto"/>
          <w:sz w:val="32"/>
          <w:szCs w:val="32"/>
          <w:highlight w:val="none"/>
          <w:lang w:val="en-US" w:eastAsia="zh-CN"/>
        </w:rPr>
        <w:t>成本指标方面：印刷单位成本≤0.5元/份，实际完成值0.21元/份，</w:t>
      </w:r>
      <w:r>
        <w:rPr>
          <w:rStyle w:val="27"/>
          <w:rFonts w:hint="eastAsia" w:ascii="仿宋_GB2312" w:hAnsi="仿宋_GB2312" w:eastAsia="仿宋_GB2312" w:cs="仿宋_GB2312"/>
          <w:b w:val="0"/>
          <w:bCs/>
          <w:color w:val="auto"/>
          <w:spacing w:val="-4"/>
          <w:sz w:val="32"/>
          <w:szCs w:val="32"/>
          <w:highlight w:val="none"/>
          <w:lang w:val="en-US" w:eastAsia="zh-CN"/>
        </w:rPr>
        <w:t>实际完成率100%。</w:t>
      </w:r>
    </w:p>
    <w:p>
      <w:pPr>
        <w:pageBreakBefore w:val="0"/>
        <w:kinsoku/>
        <w:wordWrap/>
        <w:overflowPunct/>
        <w:topLinePunct w:val="0"/>
        <w:autoSpaceDE/>
        <w:autoSpaceDN/>
        <w:bidi w:val="0"/>
        <w:adjustRightInd/>
        <w:snapToGrid/>
        <w:spacing w:line="560" w:lineRule="exact"/>
        <w:ind w:firstLine="640"/>
        <w:textAlignment w:val="auto"/>
        <w:rPr>
          <w:rStyle w:val="27"/>
          <w:rFonts w:hint="eastAsia" w:ascii="仿宋_GB2312" w:hAnsi="仿宋_GB2312" w:eastAsia="仿宋_GB2312" w:cs="仿宋_GB2312"/>
          <w:b w:val="0"/>
          <w:bCs/>
          <w:color w:val="auto"/>
          <w:spacing w:val="-4"/>
          <w:sz w:val="32"/>
          <w:szCs w:val="32"/>
          <w:highlight w:val="none"/>
          <w:lang w:val="en-US" w:eastAsia="zh-CN"/>
        </w:rPr>
      </w:pPr>
      <w:r>
        <w:rPr>
          <w:rStyle w:val="50"/>
          <w:rFonts w:hint="eastAsia" w:ascii="仿宋_GB2312" w:hAnsi="仿宋_GB2312" w:eastAsia="仿宋_GB2312" w:cs="仿宋_GB2312"/>
          <w:color w:val="auto"/>
          <w:sz w:val="32"/>
          <w:szCs w:val="32"/>
          <w:highlight w:val="none"/>
          <w:lang w:val="en-US" w:eastAsia="zh-CN"/>
        </w:rPr>
        <w:t>时效指标方面：出版及时率100%，实际完成值100%，</w:t>
      </w:r>
      <w:r>
        <w:rPr>
          <w:rStyle w:val="27"/>
          <w:rFonts w:hint="eastAsia" w:ascii="仿宋_GB2312" w:hAnsi="仿宋_GB2312" w:eastAsia="仿宋_GB2312" w:cs="仿宋_GB2312"/>
          <w:b w:val="0"/>
          <w:bCs/>
          <w:color w:val="auto"/>
          <w:spacing w:val="-4"/>
          <w:sz w:val="32"/>
          <w:szCs w:val="32"/>
          <w:highlight w:val="none"/>
          <w:lang w:val="en-US" w:eastAsia="zh-CN"/>
        </w:rPr>
        <w:t>实际完成率100%。</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321" w:firstLineChars="100"/>
        <w:jc w:val="both"/>
        <w:textAlignment w:val="auto"/>
        <w:rPr>
          <w:rFonts w:hint="eastAsia" w:ascii="楷体_GB2312" w:hAnsi="楷体_GB2312" w:eastAsia="楷体_GB2312" w:cs="楷体_GB2312"/>
          <w:color w:val="auto"/>
          <w:highlight w:val="none"/>
          <w:lang w:val="en-US" w:eastAsia="zh-CN"/>
        </w:rPr>
      </w:pPr>
      <w:r>
        <w:rPr>
          <w:rFonts w:hint="eastAsia" w:ascii="楷体_GB2312" w:hAnsi="楷体_GB2312" w:eastAsia="楷体_GB2312" w:cs="楷体_GB2312"/>
          <w:color w:val="auto"/>
          <w:highlight w:val="none"/>
          <w:lang w:val="en-US" w:eastAsia="zh-CN"/>
        </w:rPr>
        <w:t>（四）效益情况</w:t>
      </w:r>
    </w:p>
    <w:p>
      <w:pPr>
        <w:pStyle w:val="19"/>
        <w:jc w:val="center"/>
        <w:rPr>
          <w:rFonts w:hint="eastAsia" w:ascii="仿宋_GB2312" w:hAnsi="仿宋_GB2312" w:eastAsia="仿宋_GB2312" w:cs="仿宋_GB2312"/>
          <w:b/>
          <w:bCs w:val="0"/>
          <w:color w:val="auto"/>
          <w:sz w:val="32"/>
          <w:szCs w:val="32"/>
          <w:highlight w:val="none"/>
        </w:rPr>
      </w:pPr>
      <w:r>
        <w:rPr>
          <w:rFonts w:hint="eastAsia" w:ascii="仿宋_GB2312" w:hAnsi="仿宋_GB2312" w:eastAsia="仿宋_GB2312" w:cs="仿宋_GB2312"/>
          <w:b/>
          <w:bCs w:val="0"/>
          <w:color w:val="auto"/>
          <w:sz w:val="32"/>
          <w:szCs w:val="32"/>
          <w:highlight w:val="none"/>
        </w:rPr>
        <w:t>项目</w:t>
      </w:r>
      <w:r>
        <w:rPr>
          <w:rFonts w:hint="eastAsia" w:ascii="仿宋_GB2312" w:hAnsi="仿宋_GB2312" w:eastAsia="仿宋_GB2312" w:cs="仿宋_GB2312"/>
          <w:b/>
          <w:bCs w:val="0"/>
          <w:color w:val="auto"/>
          <w:sz w:val="32"/>
          <w:szCs w:val="32"/>
          <w:highlight w:val="none"/>
          <w:lang w:eastAsia="zh-CN"/>
        </w:rPr>
        <w:t>效益</w:t>
      </w:r>
      <w:r>
        <w:rPr>
          <w:rFonts w:hint="eastAsia" w:ascii="仿宋_GB2312" w:hAnsi="仿宋_GB2312" w:eastAsia="仿宋_GB2312" w:cs="仿宋_GB2312"/>
          <w:b/>
          <w:bCs w:val="0"/>
          <w:color w:val="auto"/>
          <w:sz w:val="32"/>
          <w:szCs w:val="32"/>
          <w:highlight w:val="none"/>
        </w:rPr>
        <w:t>指标得分情况</w:t>
      </w:r>
    </w:p>
    <w:tbl>
      <w:tblPr>
        <w:tblStyle w:val="25"/>
        <w:tblW w:w="832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74"/>
        <w:gridCol w:w="2981"/>
        <w:gridCol w:w="1323"/>
        <w:gridCol w:w="1323"/>
        <w:gridCol w:w="132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5" w:hRule="atLeast"/>
        </w:trPr>
        <w:tc>
          <w:tcPr>
            <w:tcW w:w="4355" w:type="dxa"/>
            <w:gridSpan w:val="2"/>
            <w:tcBorders>
              <w:tl2br w:val="nil"/>
              <w:tr2bl w:val="nil"/>
            </w:tcBorders>
            <w:shd w:val="clear" w:color="auto" w:fill="auto"/>
            <w:noWrap/>
            <w:tcMar>
              <w:top w:w="10" w:type="dxa"/>
              <w:left w:w="10" w:type="dxa"/>
              <w:right w:w="10" w:type="dxa"/>
            </w:tcMar>
            <w:vAlign w:val="center"/>
          </w:tcPr>
          <w:p>
            <w:pPr>
              <w:widowControl/>
              <w:spacing w:line="4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三级指标</w:t>
            </w:r>
          </w:p>
        </w:tc>
        <w:tc>
          <w:tcPr>
            <w:tcW w:w="1323" w:type="dxa"/>
            <w:tcBorders>
              <w:tl2br w:val="nil"/>
              <w:tr2bl w:val="nil"/>
            </w:tcBorders>
            <w:shd w:val="clear" w:color="auto" w:fill="auto"/>
            <w:noWrap/>
            <w:tcMar>
              <w:top w:w="10" w:type="dxa"/>
              <w:left w:w="10" w:type="dxa"/>
              <w:right w:w="10" w:type="dxa"/>
            </w:tcMar>
            <w:vAlign w:val="center"/>
          </w:tcPr>
          <w:p>
            <w:pPr>
              <w:widowControl/>
              <w:spacing w:line="4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权重</w:t>
            </w:r>
          </w:p>
        </w:tc>
        <w:tc>
          <w:tcPr>
            <w:tcW w:w="1323" w:type="dxa"/>
            <w:tcBorders>
              <w:tl2br w:val="nil"/>
              <w:tr2bl w:val="nil"/>
            </w:tcBorders>
            <w:shd w:val="clear" w:color="auto" w:fill="auto"/>
            <w:noWrap/>
            <w:tcMar>
              <w:top w:w="10" w:type="dxa"/>
              <w:left w:w="10" w:type="dxa"/>
              <w:right w:w="10" w:type="dxa"/>
            </w:tcMar>
            <w:vAlign w:val="center"/>
          </w:tcPr>
          <w:p>
            <w:pPr>
              <w:widowControl/>
              <w:spacing w:line="4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得分率</w:t>
            </w:r>
          </w:p>
        </w:tc>
        <w:tc>
          <w:tcPr>
            <w:tcW w:w="1322" w:type="dxa"/>
            <w:tcBorders>
              <w:tl2br w:val="nil"/>
              <w:tr2bl w:val="nil"/>
            </w:tcBorders>
            <w:shd w:val="clear" w:color="auto" w:fill="auto"/>
            <w:noWrap/>
            <w:tcMar>
              <w:top w:w="10" w:type="dxa"/>
              <w:left w:w="10" w:type="dxa"/>
              <w:right w:w="10" w:type="dxa"/>
            </w:tcMar>
            <w:vAlign w:val="center"/>
          </w:tcPr>
          <w:p>
            <w:pPr>
              <w:widowControl/>
              <w:spacing w:line="400" w:lineRule="exact"/>
              <w:jc w:val="center"/>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实际得分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vMerge w:val="restart"/>
            <w:tcBorders>
              <w:tl2br w:val="nil"/>
              <w:tr2bl w:val="nil"/>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实施效益</w:t>
            </w:r>
          </w:p>
        </w:tc>
        <w:tc>
          <w:tcPr>
            <w:tcW w:w="2981"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社会效益</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CN"/>
              </w:rPr>
              <w:t>1</w:t>
            </w:r>
            <w:r>
              <w:rPr>
                <w:rFonts w:hint="eastAsia" w:ascii="仿宋_GB2312" w:hAnsi="仿宋_GB2312" w:eastAsia="仿宋_GB2312" w:cs="仿宋_GB2312"/>
                <w:b w:val="0"/>
                <w:bCs w:val="0"/>
                <w:color w:val="auto"/>
                <w:kern w:val="0"/>
                <w:sz w:val="32"/>
                <w:szCs w:val="32"/>
                <w:highlight w:val="none"/>
              </w:rPr>
              <w:t>5</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CN"/>
              </w:rPr>
              <w:t>87</w:t>
            </w:r>
            <w:r>
              <w:rPr>
                <w:rFonts w:hint="eastAsia" w:ascii="仿宋_GB2312" w:hAnsi="仿宋_GB2312" w:eastAsia="仿宋_GB2312" w:cs="仿宋_GB2312"/>
                <w:b w:val="0"/>
                <w:bCs w:val="0"/>
                <w:color w:val="auto"/>
                <w:kern w:val="0"/>
                <w:sz w:val="32"/>
                <w:szCs w:val="32"/>
                <w:highlight w:val="none"/>
              </w:rPr>
              <w:t>%</w:t>
            </w:r>
          </w:p>
        </w:tc>
        <w:tc>
          <w:tcPr>
            <w:tcW w:w="1322"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13.05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vMerge w:val="continue"/>
            <w:tcBorders>
              <w:tl2br w:val="nil"/>
              <w:tr2bl w:val="nil"/>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p>
        </w:tc>
        <w:tc>
          <w:tcPr>
            <w:tcW w:w="2981"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可持续影响指标</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15</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100%</w:t>
            </w:r>
          </w:p>
        </w:tc>
        <w:tc>
          <w:tcPr>
            <w:tcW w:w="1322"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CN"/>
              </w:rPr>
              <w:t>1</w:t>
            </w:r>
            <w:r>
              <w:rPr>
                <w:rFonts w:hint="eastAsia" w:ascii="仿宋_GB2312" w:hAnsi="仿宋_GB2312" w:eastAsia="仿宋_GB2312" w:cs="仿宋_GB2312"/>
                <w:b w:val="0"/>
                <w:bCs w:val="0"/>
                <w:color w:val="auto"/>
                <w:kern w:val="0"/>
                <w:sz w:val="32"/>
                <w:szCs w:val="32"/>
                <w:highlight w:val="none"/>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tcBorders>
              <w:tl2br w:val="nil"/>
              <w:tr2bl w:val="nil"/>
            </w:tcBorders>
            <w:shd w:val="clear" w:color="auto" w:fill="auto"/>
            <w:noWrap/>
            <w:tcMar>
              <w:top w:w="10" w:type="dxa"/>
              <w:left w:w="10" w:type="dxa"/>
              <w:right w:w="10" w:type="dxa"/>
            </w:tcMar>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满意度</w:t>
            </w:r>
          </w:p>
        </w:tc>
        <w:tc>
          <w:tcPr>
            <w:tcW w:w="2981"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满意度</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10</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100%</w:t>
            </w:r>
          </w:p>
        </w:tc>
        <w:tc>
          <w:tcPr>
            <w:tcW w:w="1322"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p>
        </w:tc>
        <w:tc>
          <w:tcPr>
            <w:tcW w:w="2981"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合  计</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40</w:t>
            </w:r>
          </w:p>
        </w:tc>
        <w:tc>
          <w:tcPr>
            <w:tcW w:w="1323"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95.1%</w:t>
            </w:r>
          </w:p>
        </w:tc>
        <w:tc>
          <w:tcPr>
            <w:tcW w:w="1322" w:type="dxa"/>
            <w:tcBorders>
              <w:tl2br w:val="nil"/>
              <w:tr2bl w:val="nil"/>
            </w:tcBorders>
            <w:shd w:val="clear" w:color="auto" w:fill="auto"/>
            <w:noWrap/>
            <w:tcMar>
              <w:top w:w="10" w:type="dxa"/>
              <w:left w:w="10" w:type="dxa"/>
              <w:right w:w="10" w:type="dxa"/>
            </w:tcMar>
            <w:vAlign w:val="bottom"/>
          </w:tcPr>
          <w:p>
            <w:pPr>
              <w:pageBreakBefore w:val="0"/>
              <w:widowControl/>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38.05</w:t>
            </w:r>
          </w:p>
        </w:tc>
      </w:tr>
    </w:tbl>
    <w:p>
      <w:pPr>
        <w:pageBreakBefore w:val="0"/>
        <w:kinsoku/>
        <w:wordWrap/>
        <w:overflowPunct/>
        <w:topLinePunct w:val="0"/>
        <w:autoSpaceDE/>
        <w:autoSpaceDN/>
        <w:bidi w:val="0"/>
        <w:adjustRightInd/>
        <w:snapToGrid/>
        <w:spacing w:line="560" w:lineRule="exact"/>
        <w:ind w:firstLine="640"/>
        <w:textAlignment w:val="auto"/>
        <w:rPr>
          <w:rStyle w:val="50"/>
          <w:rFonts w:hint="default"/>
          <w:color w:val="auto"/>
          <w:highlight w:val="none"/>
          <w:lang w:val="en-US" w:eastAsia="zh-CN"/>
        </w:rPr>
      </w:pPr>
      <w:r>
        <w:rPr>
          <w:rStyle w:val="50"/>
          <w:rFonts w:hint="eastAsia"/>
          <w:color w:val="auto"/>
          <w:highlight w:val="none"/>
          <w:lang w:val="en-US" w:eastAsia="zh-CN"/>
        </w:rPr>
        <w:t>社会效益指标方面：保障公共文化服务质量显著提升，实际完成值有所提升，实际完成率87%。</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lang w:val="en-US" w:eastAsia="zh-CN"/>
        </w:rPr>
      </w:pPr>
      <w:r>
        <w:rPr>
          <w:rStyle w:val="50"/>
          <w:rFonts w:hint="eastAsia"/>
          <w:color w:val="auto"/>
          <w:highlight w:val="none"/>
          <w:lang w:val="en-US" w:eastAsia="zh-CN"/>
        </w:rPr>
        <w:t>可持续影响指标方面：阅读量≥30000份，实际完成值30485份，实际完成率100%。</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lang w:val="en-US" w:eastAsia="zh-CN"/>
        </w:rPr>
      </w:pPr>
      <w:r>
        <w:rPr>
          <w:rStyle w:val="50"/>
          <w:rFonts w:hint="eastAsia"/>
          <w:color w:val="auto"/>
          <w:highlight w:val="none"/>
          <w:lang w:val="en-US" w:eastAsia="zh-CN"/>
        </w:rPr>
        <w:t>满意度指标方面：读者满意度≥95%，实际完成值95%，实际完成率100%。</w:t>
      </w:r>
    </w:p>
    <w:p>
      <w:pPr>
        <w:pageBreakBefore w:val="0"/>
        <w:kinsoku/>
        <w:wordWrap/>
        <w:overflowPunct/>
        <w:topLinePunct w:val="0"/>
        <w:autoSpaceDE/>
        <w:autoSpaceDN/>
        <w:bidi w:val="0"/>
        <w:adjustRightInd/>
        <w:snapToGrid/>
        <w:spacing w:line="560" w:lineRule="exact"/>
        <w:ind w:firstLine="641"/>
        <w:textAlignment w:val="auto"/>
        <w:rPr>
          <w:rStyle w:val="50"/>
          <w:color w:val="auto"/>
          <w:highlight w:val="none"/>
        </w:rPr>
      </w:pPr>
      <w:r>
        <w:rPr>
          <w:rFonts w:hint="eastAsia" w:ascii="黑体" w:hAnsi="黑体" w:eastAsia="黑体"/>
          <w:color w:val="auto"/>
          <w:sz w:val="32"/>
          <w:szCs w:val="32"/>
          <w:highlight w:val="none"/>
        </w:rPr>
        <w:t>五、主要经验及做法、存在的问题及原因分析</w:t>
      </w:r>
    </w:p>
    <w:p>
      <w:pPr>
        <w:pageBreakBefore w:val="0"/>
        <w:kinsoku/>
        <w:wordWrap/>
        <w:overflowPunct/>
        <w:topLinePunct w:val="0"/>
        <w:autoSpaceDE/>
        <w:autoSpaceDN/>
        <w:bidi w:val="0"/>
        <w:adjustRightInd/>
        <w:snapToGrid/>
        <w:spacing w:line="560" w:lineRule="exact"/>
        <w:ind w:firstLine="567" w:firstLineChars="181"/>
        <w:textAlignment w:val="auto"/>
        <w:rPr>
          <w:rFonts w:ascii="楷体" w:hAnsi="楷体" w:eastAsia="楷体"/>
          <w:b/>
          <w:color w:val="auto"/>
          <w:spacing w:val="-4"/>
          <w:sz w:val="32"/>
          <w:szCs w:val="32"/>
          <w:highlight w:val="none"/>
        </w:rPr>
      </w:pPr>
      <w:r>
        <w:rPr>
          <w:rFonts w:hint="eastAsia" w:ascii="楷体" w:hAnsi="楷体" w:eastAsia="楷体"/>
          <w:b/>
          <w:color w:val="auto"/>
          <w:spacing w:val="-4"/>
          <w:sz w:val="32"/>
          <w:szCs w:val="32"/>
          <w:highlight w:val="none"/>
        </w:rPr>
        <w:t>（一）主要经验及做法</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严格坚持先做事、后验收、再拨付的原则，杜绝了资金被挤占和挪用现象的发生，跟踪检查到位。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4"/>
        </w:numPr>
        <w:kinsoku/>
        <w:wordWrap/>
        <w:overflowPunct/>
        <w:topLinePunct w:val="0"/>
        <w:autoSpaceDE/>
        <w:autoSpaceDN/>
        <w:bidi w:val="0"/>
        <w:adjustRightInd/>
        <w:snapToGrid/>
        <w:spacing w:line="560" w:lineRule="exact"/>
        <w:ind w:firstLine="641"/>
        <w:textAlignment w:val="auto"/>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存在的问题及原因分析</w:t>
      </w:r>
    </w:p>
    <w:p>
      <w:pPr>
        <w:pageBreakBefore w:val="0"/>
        <w:kinsoku/>
        <w:wordWrap/>
        <w:overflowPunct/>
        <w:topLinePunct w:val="0"/>
        <w:autoSpaceDE/>
        <w:autoSpaceDN/>
        <w:bidi w:val="0"/>
        <w:adjustRightInd/>
        <w:snapToGrid/>
        <w:spacing w:line="560" w:lineRule="exact"/>
        <w:ind w:firstLine="640"/>
        <w:textAlignment w:val="auto"/>
        <w:rPr>
          <w:rStyle w:val="50"/>
          <w:rFonts w:hint="eastAsia"/>
          <w:b/>
          <w:bCs/>
          <w:color w:val="auto"/>
          <w:highlight w:val="none"/>
          <w:lang w:val="en-US" w:eastAsia="zh-CN"/>
        </w:rPr>
      </w:pPr>
      <w:r>
        <w:rPr>
          <w:rStyle w:val="50"/>
          <w:rFonts w:hint="eastAsia"/>
          <w:b/>
          <w:bCs/>
          <w:color w:val="auto"/>
          <w:highlight w:val="none"/>
          <w:lang w:val="en-US" w:eastAsia="zh-CN"/>
        </w:rPr>
        <w:t>1、存在的问题</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lang w:val="en-US" w:eastAsia="zh-CN"/>
        </w:rPr>
      </w:pPr>
      <w:r>
        <w:rPr>
          <w:rStyle w:val="50"/>
          <w:rFonts w:hint="eastAsia"/>
          <w:color w:val="auto"/>
          <w:highlight w:val="none"/>
          <w:lang w:val="en-US" w:eastAsia="zh-CN"/>
        </w:rPr>
        <w:t>根据调查问卷的结果，报纸的印刷质量还有待进一步提高。</w:t>
      </w:r>
    </w:p>
    <w:p>
      <w:pPr>
        <w:pageBreakBefore w:val="0"/>
        <w:kinsoku/>
        <w:wordWrap/>
        <w:overflowPunct/>
        <w:topLinePunct w:val="0"/>
        <w:autoSpaceDE/>
        <w:autoSpaceDN/>
        <w:bidi w:val="0"/>
        <w:adjustRightInd/>
        <w:snapToGrid/>
        <w:spacing w:line="560" w:lineRule="exact"/>
        <w:ind w:firstLine="640"/>
        <w:textAlignment w:val="auto"/>
        <w:rPr>
          <w:rStyle w:val="50"/>
          <w:rFonts w:hint="eastAsia"/>
          <w:b/>
          <w:bCs/>
          <w:color w:val="auto"/>
          <w:highlight w:val="none"/>
          <w:lang w:val="en-US" w:eastAsia="zh-CN"/>
        </w:rPr>
      </w:pPr>
      <w:r>
        <w:rPr>
          <w:rStyle w:val="50"/>
          <w:rFonts w:hint="eastAsia"/>
          <w:b/>
          <w:bCs/>
          <w:color w:val="auto"/>
          <w:highlight w:val="none"/>
          <w:lang w:val="en-US" w:eastAsia="zh-CN"/>
        </w:rPr>
        <w:t>2、原因分析</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lang w:val="en-US" w:eastAsia="zh-CN"/>
        </w:rPr>
      </w:pPr>
      <w:r>
        <w:rPr>
          <w:rStyle w:val="50"/>
          <w:rFonts w:hint="eastAsia"/>
          <w:color w:val="auto"/>
          <w:highlight w:val="none"/>
          <w:lang w:val="en-US" w:eastAsia="zh-CN"/>
        </w:rPr>
        <w:t>（1）塔城日报3万份报纸中，2.2万份都是由新疆塔城中信天成印刷有限公司，该公司设备CTP是精细化电子设备，已经使用近10年，现故障频出，印刷工人无法自行解决；P19轮转机使用10年，设备老化，也不时出现故障。</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lang w:val="en-US" w:eastAsia="zh-CN"/>
        </w:rPr>
      </w:pPr>
      <w:r>
        <w:rPr>
          <w:rStyle w:val="50"/>
          <w:rFonts w:hint="eastAsia"/>
          <w:color w:val="auto"/>
          <w:highlight w:val="none"/>
          <w:lang w:val="en-US" w:eastAsia="zh-CN"/>
        </w:rPr>
        <w:t>（2）印刷工人学历和专业技能等综合素质普遍偏低，加上企业管理制度偏软、偏松、职工工作责任心欠缺，对质量把控不严。</w:t>
      </w:r>
    </w:p>
    <w:p>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有关建议</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lang w:val="en-US" w:eastAsia="zh-CN"/>
        </w:rPr>
      </w:pPr>
      <w:r>
        <w:rPr>
          <w:rStyle w:val="50"/>
          <w:rFonts w:hint="eastAsia"/>
          <w:color w:val="auto"/>
          <w:highlight w:val="none"/>
          <w:lang w:val="en-US" w:eastAsia="zh-CN"/>
        </w:rPr>
        <w:t xml:space="preserve">1、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kinsoku/>
        <w:wordWrap/>
        <w:overflowPunct/>
        <w:topLinePunct w:val="0"/>
        <w:autoSpaceDE/>
        <w:autoSpaceDN/>
        <w:bidi w:val="0"/>
        <w:adjustRightInd/>
        <w:snapToGrid/>
        <w:spacing w:line="560" w:lineRule="exact"/>
        <w:ind w:firstLine="640"/>
        <w:textAlignment w:val="auto"/>
        <w:rPr>
          <w:rStyle w:val="50"/>
          <w:rFonts w:hint="eastAsia"/>
          <w:color w:val="auto"/>
          <w:highlight w:val="none"/>
          <w:lang w:val="en-US" w:eastAsia="zh-CN"/>
        </w:rPr>
      </w:pPr>
      <w:r>
        <w:rPr>
          <w:rStyle w:val="50"/>
          <w:rFonts w:hint="eastAsia"/>
          <w:color w:val="auto"/>
          <w:highlight w:val="none"/>
          <w:lang w:val="en-US" w:eastAsia="zh-CN"/>
        </w:rPr>
        <w:t>2、财政和项目实施单位严格实行“三专”管理，即设专户、建专账、定专人。同时，资金拨付除坚持按项目计划、工程进度和质量分阶段验收拨款外，还坚持部门联审制，项目单位先做事、后报账，从而确保专项资金专款专用，有效地防止了截留、挤占和挪用。</w:t>
      </w:r>
    </w:p>
    <w:p>
      <w:pPr>
        <w:pageBreakBefore w:val="0"/>
        <w:numPr>
          <w:ilvl w:val="0"/>
          <w:numId w:val="5"/>
        </w:numPr>
        <w:kinsoku/>
        <w:wordWrap/>
        <w:overflowPunct/>
        <w:topLinePunct w:val="0"/>
        <w:autoSpaceDE/>
        <w:autoSpaceDN/>
        <w:bidi w:val="0"/>
        <w:adjustRightInd/>
        <w:snapToGrid/>
        <w:spacing w:line="560" w:lineRule="exact"/>
        <w:ind w:firstLine="641"/>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其他需要说</w:t>
      </w:r>
      <w:bookmarkStart w:id="5" w:name="page8"/>
      <w:bookmarkEnd w:id="5"/>
      <w:r>
        <w:rPr>
          <w:rFonts w:hint="eastAsia" w:ascii="黑体" w:hAnsi="黑体" w:eastAsia="黑体"/>
          <w:color w:val="auto"/>
          <w:sz w:val="32"/>
          <w:szCs w:val="32"/>
          <w:highlight w:val="none"/>
        </w:rPr>
        <w:t>明的问题</w:t>
      </w:r>
    </w:p>
    <w:p>
      <w:pPr>
        <w:pStyle w:val="2"/>
        <w:pageBreakBefore w:val="0"/>
        <w:kinsoku/>
        <w:wordWrap/>
        <w:overflowPunct/>
        <w:topLinePunct w:val="0"/>
        <w:autoSpaceDE/>
        <w:autoSpaceDN/>
        <w:bidi w:val="0"/>
        <w:adjustRightInd/>
        <w:snapToGrid/>
        <w:spacing w:before="0" w:after="0" w:line="560" w:lineRule="exact"/>
        <w:ind w:firstLine="1280" w:firstLineChars="400"/>
        <w:jc w:val="both"/>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无。</w:t>
      </w:r>
    </w:p>
    <w:p>
      <w:pPr>
        <w:rPr>
          <w:rFonts w:hint="eastAsia" w:ascii="仿宋_GB2312" w:hAnsi="仿宋_GB2312" w:eastAsia="仿宋_GB2312" w:cs="仿宋_GB2312"/>
          <w:b w:val="0"/>
          <w:bCs w:val="0"/>
          <w:color w:val="auto"/>
          <w:kern w:val="2"/>
          <w:sz w:val="32"/>
          <w:szCs w:val="32"/>
          <w:highlight w:val="none"/>
          <w:lang w:val="en-US" w:eastAsia="zh-CN" w:bidi="ar-SA"/>
        </w:rPr>
      </w:pPr>
    </w:p>
    <w:p>
      <w:pPr>
        <w:jc w:val="both"/>
        <w:rPr>
          <w:rFonts w:hint="eastAsia" w:ascii="仿宋_GB2312" w:hAnsi="仿宋_GB2312" w:eastAsia="仿宋_GB2312" w:cs="仿宋_GB2312"/>
          <w:b w:val="0"/>
          <w:bCs w:val="0"/>
          <w:color w:val="auto"/>
          <w:kern w:val="2"/>
          <w:sz w:val="32"/>
          <w:szCs w:val="32"/>
          <w:highlight w:val="none"/>
          <w:lang w:val="en-US" w:eastAsia="zh-CN" w:bidi="ar-SA"/>
        </w:rPr>
      </w:pPr>
    </w:p>
    <w:tbl>
      <w:tblPr>
        <w:tblStyle w:val="25"/>
        <w:tblW w:w="9495" w:type="dxa"/>
        <w:tblInd w:w="0" w:type="dxa"/>
        <w:shd w:val="clear" w:color="auto" w:fill="auto"/>
        <w:tblLayout w:type="fixed"/>
        <w:tblCellMar>
          <w:top w:w="0" w:type="dxa"/>
          <w:left w:w="0" w:type="dxa"/>
          <w:bottom w:w="0" w:type="dxa"/>
          <w:right w:w="0" w:type="dxa"/>
        </w:tblCellMar>
      </w:tblPr>
      <w:tblGrid>
        <w:gridCol w:w="840"/>
        <w:gridCol w:w="840"/>
        <w:gridCol w:w="1200"/>
        <w:gridCol w:w="840"/>
        <w:gridCol w:w="840"/>
        <w:gridCol w:w="840"/>
        <w:gridCol w:w="840"/>
        <w:gridCol w:w="1680"/>
        <w:gridCol w:w="1575"/>
      </w:tblGrid>
      <w:tr>
        <w:tblPrEx>
          <w:shd w:val="clear" w:color="auto" w:fill="auto"/>
          <w:tblCellMar>
            <w:top w:w="0" w:type="dxa"/>
            <w:left w:w="0" w:type="dxa"/>
            <w:bottom w:w="0" w:type="dxa"/>
            <w:right w:w="0" w:type="dxa"/>
          </w:tblCellMar>
        </w:tblPrEx>
        <w:trPr>
          <w:trHeight w:val="409" w:hRule="atLeast"/>
        </w:trPr>
        <w:tc>
          <w:tcPr>
            <w:tcW w:w="9495"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val="0"/>
                <w:bCs/>
                <w:i w:val="0"/>
                <w:color w:val="auto"/>
                <w:kern w:val="0"/>
                <w:sz w:val="44"/>
                <w:szCs w:val="44"/>
                <w:highlight w:val="none"/>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495"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32"/>
                <w:szCs w:val="32"/>
                <w:highlight w:val="none"/>
                <w:u w:val="none"/>
              </w:rPr>
            </w:pPr>
            <w:r>
              <w:rPr>
                <w:rFonts w:hint="eastAsia" w:ascii="宋体" w:hAnsi="宋体" w:eastAsia="宋体" w:cs="宋体"/>
                <w:i w:val="0"/>
                <w:color w:val="auto"/>
                <w:kern w:val="0"/>
                <w:sz w:val="32"/>
                <w:szCs w:val="32"/>
                <w:highlight w:val="none"/>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项目名称</w:t>
            </w:r>
          </w:p>
        </w:tc>
        <w:tc>
          <w:tcPr>
            <w:tcW w:w="7815"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印刷费</w:t>
            </w:r>
          </w:p>
        </w:tc>
      </w:tr>
      <w:tr>
        <w:tblPrEx>
          <w:shd w:val="clear" w:color="auto" w:fill="auto"/>
          <w:tblCellMar>
            <w:top w:w="0" w:type="dxa"/>
            <w:left w:w="0" w:type="dxa"/>
            <w:bottom w:w="0" w:type="dxa"/>
            <w:right w:w="0" w:type="dxa"/>
          </w:tblCellMar>
        </w:tblPrEx>
        <w:trPr>
          <w:trHeight w:val="58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主管部门</w:t>
            </w:r>
          </w:p>
        </w:tc>
        <w:tc>
          <w:tcPr>
            <w:tcW w:w="456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实施单位</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塔城地区日报社</w:t>
            </w:r>
          </w:p>
        </w:tc>
      </w:tr>
      <w:tr>
        <w:tblPrEx>
          <w:shd w:val="clear" w:color="auto" w:fill="auto"/>
          <w:tblCellMar>
            <w:top w:w="0" w:type="dxa"/>
            <w:left w:w="0" w:type="dxa"/>
            <w:bottom w:w="0" w:type="dxa"/>
            <w:right w:w="0" w:type="dxa"/>
          </w:tblCellMar>
        </w:tblPrEx>
        <w:trPr>
          <w:trHeight w:val="52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项目资金</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eastAsia" w:ascii="Arial" w:hAnsi="Arial" w:cs="Arial"/>
                <w:i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rPr>
                <w:rFonts w:hint="default" w:ascii="Arial" w:hAnsi="Arial" w:cs="Arial"/>
                <w:i w:val="0"/>
                <w:color w:val="auto"/>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年初预算数</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全年预算数</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全年执行数</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执行率</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（万元）</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290.31</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290.31</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290.31</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100.00%</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2"/>
                <w:szCs w:val="22"/>
                <w:highlight w:val="none"/>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290.31</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290.31</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290.31</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2"/>
                <w:szCs w:val="22"/>
                <w:highlight w:val="none"/>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22"/>
                <w:szCs w:val="22"/>
                <w:highlight w:val="none"/>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年度总体目标</w:t>
            </w:r>
          </w:p>
        </w:tc>
        <w:tc>
          <w:tcPr>
            <w:tcW w:w="540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预期目标</w:t>
            </w:r>
          </w:p>
        </w:tc>
        <w:tc>
          <w:tcPr>
            <w:tcW w:w="32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实际完成情况</w:t>
            </w:r>
          </w:p>
        </w:tc>
      </w:tr>
      <w:tr>
        <w:tblPrEx>
          <w:shd w:val="clear" w:color="auto" w:fill="auto"/>
          <w:tblCellMar>
            <w:top w:w="0" w:type="dxa"/>
            <w:left w:w="0" w:type="dxa"/>
            <w:bottom w:w="0" w:type="dxa"/>
            <w:right w:w="0" w:type="dxa"/>
          </w:tblCellMar>
        </w:tblPrEx>
        <w:trPr>
          <w:trHeight w:val="4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540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完成《塔城日报》300期左右的印刷任务</w:t>
            </w:r>
          </w:p>
        </w:tc>
        <w:tc>
          <w:tcPr>
            <w:tcW w:w="325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完成《塔城日报》300期左右的印刷任务</w:t>
            </w:r>
          </w:p>
        </w:tc>
      </w:tr>
      <w:tr>
        <w:tblPrEx>
          <w:shd w:val="clear" w:color="auto" w:fill="auto"/>
          <w:tblCellMar>
            <w:top w:w="0" w:type="dxa"/>
            <w:left w:w="0" w:type="dxa"/>
            <w:bottom w:w="0" w:type="dxa"/>
            <w:right w:w="0" w:type="dxa"/>
          </w:tblCellMar>
        </w:tblPrEx>
        <w:trPr>
          <w:trHeight w:val="412"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一级指标</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二级指标</w:t>
            </w:r>
          </w:p>
        </w:tc>
        <w:tc>
          <w:tcPr>
            <w:tcW w:w="252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三级指标</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年度指标值</w:t>
            </w:r>
          </w:p>
        </w:tc>
        <w:tc>
          <w:tcPr>
            <w:tcW w:w="168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实际完成值</w:t>
            </w: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27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252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68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r>
      <w:tr>
        <w:tblPrEx>
          <w:shd w:val="clear" w:color="auto" w:fill="auto"/>
          <w:tblCellMar>
            <w:top w:w="0" w:type="dxa"/>
            <w:left w:w="0" w:type="dxa"/>
            <w:bottom w:w="0" w:type="dxa"/>
            <w:right w:w="0" w:type="dxa"/>
          </w:tblCellMar>
        </w:tblPrEx>
        <w:trPr>
          <w:trHeight w:val="660" w:hRule="atLeast"/>
        </w:trPr>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年度绩效指标完成情况</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数量指标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印刷数量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≥250期</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265期</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质量指标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印刷不合格率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4%</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both"/>
              <w:rPr>
                <w:rFonts w:hint="eastAsia" w:ascii="宋体" w:hAnsi="宋体" w:eastAsia="宋体" w:cs="宋体"/>
                <w:i w:val="0"/>
                <w:color w:val="auto"/>
                <w:sz w:val="18"/>
                <w:szCs w:val="18"/>
                <w:highlight w:val="none"/>
                <w:u w:val="none"/>
                <w:lang w:val="en-US" w:eastAsia="zh-CN"/>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时效指标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出版及时率</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100%</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r>
      <w:tr>
        <w:tblPrEx>
          <w:tblCellMar>
            <w:top w:w="0" w:type="dxa"/>
            <w:left w:w="0" w:type="dxa"/>
            <w:bottom w:w="0" w:type="dxa"/>
            <w:right w:w="0" w:type="dxa"/>
          </w:tblCellMar>
        </w:tblPrEx>
        <w:trPr>
          <w:trHeight w:val="100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成本指标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印刷单位成本</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≤0.5元/份</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0.21元/份</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传染病防控</w:t>
            </w:r>
            <w:bookmarkStart w:id="7" w:name="_GoBack"/>
            <w:bookmarkEnd w:id="7"/>
            <w:r>
              <w:rPr>
                <w:rFonts w:hint="eastAsia" w:ascii="宋体" w:hAnsi="宋体" w:eastAsia="宋体" w:cs="宋体"/>
                <w:i w:val="0"/>
                <w:color w:val="auto"/>
                <w:kern w:val="0"/>
                <w:sz w:val="18"/>
                <w:szCs w:val="18"/>
                <w:highlight w:val="none"/>
                <w:u w:val="none"/>
                <w:lang w:val="en-US" w:eastAsia="zh-CN" w:bidi="ar"/>
              </w:rPr>
              <w:t>报纸按每期8个版出版，每份0.21元小于每份0.5元</w:t>
            </w: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经济效益指标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社会效益指标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保障公共文化服务质量</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显著提升</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显著提升</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生态效益指标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可持续影响指标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阅读量</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≥30000份</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30485份</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r>
      <w:tr>
        <w:tblPrEx>
          <w:tblCellMar>
            <w:top w:w="0" w:type="dxa"/>
            <w:left w:w="0" w:type="dxa"/>
            <w:bottom w:w="0" w:type="dxa"/>
            <w:right w:w="0" w:type="dxa"/>
          </w:tblCellMar>
        </w:tblPrEx>
        <w:trPr>
          <w:trHeight w:val="660" w:hRule="atLeast"/>
        </w:trPr>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服务对象满意度指标</w:t>
            </w:r>
          </w:p>
        </w:tc>
        <w:tc>
          <w:tcPr>
            <w:tcW w:w="252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读者满意度</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≥95%</w:t>
            </w:r>
          </w:p>
        </w:tc>
        <w:tc>
          <w:tcPr>
            <w:tcW w:w="16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
              </w:rPr>
              <w:t>95%</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auto"/>
                <w:sz w:val="18"/>
                <w:szCs w:val="18"/>
                <w:highlight w:val="none"/>
                <w:u w:val="none"/>
              </w:rPr>
            </w:pPr>
          </w:p>
        </w:tc>
      </w:tr>
    </w:tbl>
    <w:p>
      <w:pPr>
        <w:pStyle w:val="2"/>
        <w:jc w:val="both"/>
        <w:rPr>
          <w:rFonts w:hint="eastAsia"/>
          <w:color w:val="auto"/>
          <w:highlight w:val="none"/>
          <w:lang w:val="en-US" w:eastAsia="zh-CN"/>
        </w:rPr>
      </w:pPr>
    </w:p>
    <w:p>
      <w:pPr>
        <w:rPr>
          <w:rFonts w:hint="eastAsia" w:ascii="仿宋_GB2312" w:hAnsi="仿宋_GB2312" w:eastAsia="仿宋_GB2312" w:cs="仿宋_GB2312"/>
          <w:b w:val="0"/>
          <w:bCs w:val="0"/>
          <w:color w:val="auto"/>
          <w:kern w:val="2"/>
          <w:sz w:val="32"/>
          <w:szCs w:val="32"/>
          <w:highlight w:val="none"/>
          <w:lang w:val="en-US" w:eastAsia="zh-CN" w:bidi="ar-SA"/>
        </w:rPr>
      </w:pPr>
    </w:p>
    <w:p>
      <w:pPr>
        <w:pStyle w:val="2"/>
        <w:rPr>
          <w:rFonts w:hint="eastAsia" w:ascii="仿宋_GB2312" w:hAnsi="仿宋_GB2312" w:eastAsia="仿宋_GB2312" w:cs="仿宋_GB2312"/>
          <w:b w:val="0"/>
          <w:bCs w:val="0"/>
          <w:color w:val="auto"/>
          <w:kern w:val="2"/>
          <w:sz w:val="32"/>
          <w:szCs w:val="32"/>
          <w:highlight w:val="none"/>
          <w:lang w:val="en-US" w:eastAsia="zh-CN" w:bidi="ar-SA"/>
        </w:rPr>
      </w:pPr>
    </w:p>
    <w:p>
      <w:pPr>
        <w:rPr>
          <w:rFonts w:hint="eastAsia" w:ascii="仿宋_GB2312" w:hAnsi="仿宋_GB2312" w:eastAsia="仿宋_GB2312" w:cs="仿宋_GB2312"/>
          <w:b w:val="0"/>
          <w:bCs w:val="0"/>
          <w:color w:val="auto"/>
          <w:kern w:val="2"/>
          <w:sz w:val="32"/>
          <w:szCs w:val="32"/>
          <w:highlight w:val="none"/>
          <w:lang w:val="en-US" w:eastAsia="zh-CN" w:bidi="ar-SA"/>
        </w:rPr>
      </w:pPr>
    </w:p>
    <w:p>
      <w:pPr>
        <w:pStyle w:val="2"/>
        <w:rPr>
          <w:rFonts w:hint="eastAsia" w:ascii="仿宋_GB2312" w:hAnsi="仿宋_GB2312" w:eastAsia="仿宋_GB2312" w:cs="仿宋_GB2312"/>
          <w:b w:val="0"/>
          <w:bCs w:val="0"/>
          <w:color w:val="auto"/>
          <w:kern w:val="2"/>
          <w:sz w:val="32"/>
          <w:szCs w:val="32"/>
          <w:highlight w:val="none"/>
          <w:lang w:val="en-US" w:eastAsia="zh-CN" w:bidi="ar-SA"/>
        </w:rPr>
      </w:pPr>
    </w:p>
    <w:p>
      <w:pPr>
        <w:rPr>
          <w:rFonts w:hint="eastAsia"/>
          <w:color w:val="auto"/>
          <w:highlight w:val="none"/>
          <w:lang w:val="en-US" w:eastAsia="zh-CN"/>
        </w:rPr>
        <w:sectPr>
          <w:headerReference r:id="rId5" w:type="default"/>
          <w:footerReference r:id="rId6" w:type="default"/>
          <w:pgSz w:w="11906" w:h="16838"/>
          <w:pgMar w:top="1440" w:right="1800" w:bottom="1440" w:left="1800" w:header="851" w:footer="992" w:gutter="0"/>
          <w:cols w:space="425" w:num="1"/>
          <w:docGrid w:type="lines" w:linePitch="312" w:charSpace="0"/>
        </w:sectPr>
      </w:pPr>
    </w:p>
    <w:p>
      <w:pPr>
        <w:pStyle w:val="2"/>
        <w:rPr>
          <w:rFonts w:hint="eastAsia"/>
          <w:color w:val="auto"/>
          <w:highlight w:val="none"/>
          <w:lang w:val="en-US" w:eastAsia="zh-CN"/>
        </w:rPr>
      </w:pPr>
    </w:p>
    <w:p>
      <w:pPr>
        <w:pageBreakBefore w:val="0"/>
        <w:kinsoku/>
        <w:wordWrap/>
        <w:overflowPunct/>
        <w:topLinePunct w:val="0"/>
        <w:autoSpaceDE/>
        <w:autoSpaceDN/>
        <w:bidi w:val="0"/>
        <w:adjustRightInd/>
        <w:snapToGrid/>
        <w:spacing w:line="560" w:lineRule="exact"/>
        <w:textAlignment w:val="auto"/>
        <w:rPr>
          <w:rFonts w:hint="eastAsia"/>
          <w:color w:val="auto"/>
          <w:highlight w:val="none"/>
          <w:lang w:val="en-US" w:eastAsia="zh-CN"/>
        </w:rPr>
      </w:pPr>
      <w:r>
        <w:rPr>
          <w:rFonts w:hint="eastAsia" w:ascii="仿宋_GB2312"/>
          <w:bCs/>
          <w:color w:val="auto"/>
          <w:sz w:val="32"/>
          <w:szCs w:val="32"/>
          <w:highlight w:val="none"/>
          <w:lang w:val="en-US" w:eastAsia="zh-CN"/>
        </w:rPr>
        <w:t>附件1</w:t>
      </w:r>
    </w:p>
    <w:tbl>
      <w:tblPr>
        <w:tblStyle w:val="25"/>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lang w:val="en-US" w:eastAsia="zh-CN"/>
              </w:rPr>
              <w:t>权重</w:t>
            </w:r>
          </w:p>
        </w:tc>
        <w:tc>
          <w:tcPr>
            <w:tcW w:w="1363" w:type="dxa"/>
            <w:shd w:val="clear" w:color="auto" w:fill="FFFFFF"/>
            <w:noWrap w:val="0"/>
            <w:vAlign w:val="center"/>
          </w:tcPr>
          <w:p>
            <w:pPr>
              <w:pageBreakBefore w:val="0"/>
              <w:widowControl/>
              <w:tabs>
                <w:tab w:val="left" w:pos="1333"/>
                <w:tab w:val="center" w:pos="3623"/>
              </w:tabs>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cs="宋体"/>
                <w:b/>
                <w:bCs/>
                <w:color w:val="auto"/>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项目立项符合法律法规、相关政策、发展规划以及部门职责，用以反映和考核项目立项依据情况。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①项目立项符合国家法律法规、国民经济发展规划和相关政策；</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②项目立项符合行业发展规划和政策要求；</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③项目立项与部门职责范围相符，属于部门履职所需；</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④项目属于公共财政支持范围，符合中央、地方事权支出责任划分原则；</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⑤项目</w:t>
            </w:r>
            <w:r>
              <w:rPr>
                <w:rFonts w:hint="eastAsia" w:ascii="宋体" w:hAnsi="宋体" w:eastAsia="宋体" w:cs="宋体"/>
                <w:color w:val="auto"/>
                <w:kern w:val="0"/>
                <w:sz w:val="22"/>
                <w:szCs w:val="22"/>
                <w:highlight w:val="none"/>
                <w:lang w:eastAsia="zh-CN"/>
              </w:rPr>
              <w:t>不</w:t>
            </w:r>
            <w:r>
              <w:rPr>
                <w:rFonts w:hint="eastAsia" w:ascii="宋体" w:hAnsi="宋体" w:eastAsia="宋体" w:cs="宋体"/>
                <w:color w:val="auto"/>
                <w:kern w:val="0"/>
                <w:sz w:val="22"/>
                <w:szCs w:val="22"/>
                <w:highlight w:val="none"/>
              </w:rPr>
              <w:t>与相关部门同类项目或部门内部相关项目重复。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项目申请、设立过程符合相关要求，用以反映和考核项目立项的规范情况。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①项目按照规定的程序申请设立；</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②审批文件、材料符合相关要求；</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③事前已经过必要的可行性研究、风险评估、绩效评估、集体决策。</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0.5</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项目所设定的绩效目标依据充分，符合客观实际，用以反映和考核项目绩效目标与项目实施的相符情况。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①项目有绩效目标；</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②项目绩效目标与实际工作内容具有相关性；</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③项目预期产出效益和效果符合正常的业绩水平；</w:t>
            </w:r>
          </w:p>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④项目与预算确定的项目投资额或资金量相匹配。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依据绩效目标设定的绩效指标清晰、细化、可衡量，用以反映和考核项目绩效目标的明细化情况。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①将项目绩效目标细化分解为具体的绩效指标；</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②通过清晰、可衡量的指标值予以体现；</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③与项目目标任务数或计划数相对应。</w:t>
            </w:r>
            <w:r>
              <w:rPr>
                <w:rFonts w:hint="eastAsia" w:ascii="宋体" w:hAnsi="宋体" w:eastAsia="宋体" w:cs="宋体"/>
                <w:color w:val="auto"/>
                <w:kern w:val="0"/>
                <w:sz w:val="22"/>
                <w:szCs w:val="22"/>
                <w:highlight w:val="none"/>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项目预算编制经过科学论证、有明确标准，资金额度与年度目标相适应，用以反映和考核项目预算编制的科学性、合理性情况。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①预算编制经过科学论证；</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②预算内容与项目内容匹配；</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③预算额度测算依据充分，按照标准编制；</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④预算确定的项目投资额或资金量与工作任务相匹配。</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项目预算资金分配有测算依据，与</w:t>
            </w:r>
            <w:r>
              <w:rPr>
                <w:rFonts w:hint="eastAsia" w:ascii="宋体" w:hAnsi="宋体" w:eastAsia="宋体" w:cs="宋体"/>
                <w:color w:val="auto"/>
                <w:kern w:val="0"/>
                <w:sz w:val="22"/>
                <w:szCs w:val="22"/>
                <w:highlight w:val="none"/>
                <w:lang w:eastAsia="zh-CN"/>
              </w:rPr>
              <w:t>印刷企业</w:t>
            </w:r>
            <w:r>
              <w:rPr>
                <w:rFonts w:hint="eastAsia" w:ascii="宋体" w:hAnsi="宋体" w:eastAsia="宋体" w:cs="宋体"/>
                <w:color w:val="auto"/>
                <w:kern w:val="0"/>
                <w:sz w:val="22"/>
                <w:szCs w:val="22"/>
                <w:highlight w:val="none"/>
              </w:rPr>
              <w:t>实际相适应，用以反映和考核项目预算资金分配的科学性、合理性情况。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①预算资金分配依据充分；</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②资金分配额度合理，与</w:t>
            </w:r>
            <w:r>
              <w:rPr>
                <w:rFonts w:hint="eastAsia" w:ascii="宋体" w:hAnsi="宋体" w:eastAsia="宋体" w:cs="宋体"/>
                <w:color w:val="auto"/>
                <w:kern w:val="0"/>
                <w:sz w:val="22"/>
                <w:szCs w:val="22"/>
                <w:highlight w:val="none"/>
                <w:lang w:eastAsia="zh-CN"/>
              </w:rPr>
              <w:t>印刷企业</w:t>
            </w:r>
            <w:r>
              <w:rPr>
                <w:rFonts w:hint="eastAsia" w:ascii="宋体" w:hAnsi="宋体" w:eastAsia="宋体" w:cs="宋体"/>
                <w:color w:val="auto"/>
                <w:kern w:val="0"/>
                <w:sz w:val="22"/>
                <w:szCs w:val="22"/>
                <w:highlight w:val="none"/>
              </w:rPr>
              <w:t>实际相适应。</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5" w:hRule="atLeast"/>
          <w:jc w:val="center"/>
        </w:trPr>
        <w:tc>
          <w:tcPr>
            <w:tcW w:w="839" w:type="dxa"/>
            <w:vMerge w:val="restart"/>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color w:val="auto"/>
                <w:highlight w:val="none"/>
              </w:rPr>
            </w:pPr>
            <w:r>
              <w:rPr>
                <w:rFonts w:hint="eastAsia"/>
                <w:color w:val="auto"/>
                <w:highlight w:val="none"/>
              </w:rPr>
              <w:t>预算资金：</w:t>
            </w:r>
            <w:r>
              <w:rPr>
                <w:rFonts w:hint="eastAsia"/>
                <w:color w:val="auto"/>
                <w:highlight w:val="none"/>
                <w:lang w:val="en-US" w:eastAsia="zh-CN"/>
              </w:rPr>
              <w:t>290.31</w:t>
            </w:r>
            <w:r>
              <w:rPr>
                <w:rFonts w:hint="eastAsia"/>
                <w:color w:val="auto"/>
                <w:highlight w:val="none"/>
              </w:rPr>
              <w:t>万元</w:t>
            </w:r>
          </w:p>
          <w:p>
            <w:pPr>
              <w:pageBreakBefore w:val="0"/>
              <w:widowControl/>
              <w:kinsoku/>
              <w:wordWrap/>
              <w:overflowPunct/>
              <w:topLinePunct w:val="0"/>
              <w:autoSpaceDE/>
              <w:autoSpaceDN/>
              <w:bidi w:val="0"/>
              <w:adjustRightInd/>
              <w:snapToGrid/>
              <w:spacing w:line="560" w:lineRule="exact"/>
              <w:textAlignment w:val="auto"/>
              <w:rPr>
                <w:rFonts w:hint="eastAsia"/>
                <w:color w:val="auto"/>
                <w:highlight w:val="none"/>
              </w:rPr>
            </w:pPr>
            <w:r>
              <w:rPr>
                <w:rFonts w:hint="eastAsia"/>
                <w:color w:val="auto"/>
                <w:highlight w:val="none"/>
              </w:rPr>
              <w:t>实际到位资金：</w:t>
            </w:r>
            <w:r>
              <w:rPr>
                <w:rFonts w:hint="eastAsia"/>
                <w:color w:val="auto"/>
                <w:highlight w:val="none"/>
                <w:lang w:val="en-US" w:eastAsia="zh-CN"/>
              </w:rPr>
              <w:t>290.31</w:t>
            </w:r>
            <w:r>
              <w:rPr>
                <w:rFonts w:hint="eastAsia"/>
                <w:color w:val="auto"/>
                <w:highlight w:val="none"/>
              </w:rPr>
              <w:t>万元</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资金到位率100%</w:t>
            </w:r>
          </w:p>
          <w:p>
            <w:pPr>
              <w:pStyle w:val="5"/>
              <w:pageBreakBefore w:val="0"/>
              <w:kinsoku/>
              <w:wordWrap/>
              <w:overflowPunct/>
              <w:topLinePunct w:val="0"/>
              <w:autoSpaceDE/>
              <w:autoSpaceDN/>
              <w:bidi w:val="0"/>
              <w:adjustRightInd/>
              <w:snapToGrid/>
              <w:spacing w:before="0" w:after="0" w:line="560" w:lineRule="exact"/>
              <w:textAlignment w:val="auto"/>
              <w:rPr>
                <w:color w:val="auto"/>
                <w:highlight w:val="none"/>
              </w:rPr>
            </w:pP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p>
        </w:tc>
        <w:tc>
          <w:tcPr>
            <w:tcW w:w="767"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color w:val="auto"/>
                <w:highlight w:val="none"/>
              </w:rPr>
            </w:pPr>
            <w:r>
              <w:rPr>
                <w:rFonts w:hint="eastAsia" w:ascii="宋体" w:hAnsi="宋体" w:eastAsia="宋体" w:cs="宋体"/>
                <w:color w:val="auto"/>
                <w:kern w:val="0"/>
                <w:sz w:val="22"/>
                <w:szCs w:val="22"/>
                <w:highlight w:val="none"/>
              </w:rPr>
              <w:t>实际到位资金</w:t>
            </w:r>
            <w:r>
              <w:rPr>
                <w:rFonts w:hint="eastAsia" w:ascii="宋体" w:hAnsi="宋体" w:eastAsia="宋体" w:cs="宋体"/>
                <w:color w:val="auto"/>
                <w:kern w:val="0"/>
                <w:sz w:val="22"/>
                <w:szCs w:val="22"/>
                <w:highlight w:val="none"/>
                <w:lang w:eastAsia="zh-CN"/>
              </w:rPr>
              <w:t>：</w:t>
            </w:r>
            <w:r>
              <w:rPr>
                <w:rFonts w:hint="eastAsia"/>
                <w:color w:val="auto"/>
                <w:highlight w:val="none"/>
                <w:lang w:val="en-US" w:eastAsia="zh-CN"/>
              </w:rPr>
              <w:t>290.31</w:t>
            </w:r>
            <w:r>
              <w:rPr>
                <w:rFonts w:hint="eastAsia"/>
                <w:color w:val="auto"/>
                <w:highlight w:val="none"/>
              </w:rPr>
              <w:t>万元</w:t>
            </w:r>
          </w:p>
          <w:p>
            <w:pPr>
              <w:pageBreakBefore w:val="0"/>
              <w:widowControl/>
              <w:kinsoku/>
              <w:wordWrap/>
              <w:overflowPunct/>
              <w:topLinePunct w:val="0"/>
              <w:autoSpaceDE/>
              <w:autoSpaceDN/>
              <w:bidi w:val="0"/>
              <w:adjustRightInd/>
              <w:snapToGrid/>
              <w:spacing w:line="560" w:lineRule="exact"/>
              <w:textAlignment w:val="auto"/>
              <w:rPr>
                <w:rFonts w:hint="eastAsia"/>
                <w:color w:val="auto"/>
                <w:highlight w:val="none"/>
              </w:rPr>
            </w:pPr>
            <w:r>
              <w:rPr>
                <w:rFonts w:hint="eastAsia" w:ascii="宋体" w:hAnsi="宋体" w:eastAsia="宋体" w:cs="宋体"/>
                <w:color w:val="auto"/>
                <w:kern w:val="0"/>
                <w:sz w:val="22"/>
                <w:szCs w:val="22"/>
                <w:highlight w:val="none"/>
              </w:rPr>
              <w:t>实际支出资金</w:t>
            </w:r>
            <w:r>
              <w:rPr>
                <w:rFonts w:hint="eastAsia" w:ascii="宋体" w:hAnsi="宋体" w:eastAsia="宋体" w:cs="宋体"/>
                <w:color w:val="auto"/>
                <w:kern w:val="0"/>
                <w:sz w:val="22"/>
                <w:szCs w:val="22"/>
                <w:highlight w:val="none"/>
                <w:lang w:eastAsia="zh-CN"/>
              </w:rPr>
              <w:t>：</w:t>
            </w:r>
            <w:r>
              <w:rPr>
                <w:rFonts w:hint="eastAsia"/>
                <w:color w:val="auto"/>
                <w:highlight w:val="none"/>
                <w:lang w:val="en-US" w:eastAsia="zh-CN"/>
              </w:rPr>
              <w:t>290.31</w:t>
            </w:r>
            <w:r>
              <w:rPr>
                <w:rFonts w:hint="eastAsia"/>
                <w:color w:val="auto"/>
                <w:highlight w:val="none"/>
              </w:rPr>
              <w:t>万元</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预算执行率100%</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1</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①符合国家财经法规和财务管理制度以及有关专项资金管理办法的规定；</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②资金的拨付有完整的审批程序和手续；</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③符合项目预算批复或合同规定的用途；</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w:t>
            </w:r>
            <w:r>
              <w:rPr>
                <w:rFonts w:hint="eastAsia" w:ascii="宋体" w:hAnsi="宋体" w:eastAsia="宋体" w:cs="宋体"/>
                <w:color w:val="auto"/>
                <w:kern w:val="0"/>
                <w:sz w:val="22"/>
                <w:szCs w:val="22"/>
                <w:highlight w:val="none"/>
                <w:lang w:eastAsia="zh-CN"/>
              </w:rPr>
              <w:t>不</w:t>
            </w:r>
            <w:r>
              <w:rPr>
                <w:rFonts w:hint="eastAsia" w:ascii="宋体" w:hAnsi="宋体" w:eastAsia="宋体" w:cs="宋体"/>
                <w:color w:val="auto"/>
                <w:kern w:val="0"/>
                <w:sz w:val="22"/>
                <w:szCs w:val="22"/>
                <w:highlight w:val="none"/>
              </w:rPr>
              <w:t>存在截留、挤占、挪用、虚列支出等情况。</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①已制定或具有相应的财务和业务管理制度；</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②财务和业务管理制度合法、合规、完整。</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项目实施符合相关管理规定，用以反映和考核相关管理制度的有效执行情况。</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①遵守相关法律法规和相关管理规定；</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②项目调整及支出调整手续完备；</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③项目合同书等资料齐全并及时归档；</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④项目实施的人员条件、场地设备、信息支撑等落实到位。</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1</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实际完成率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实际产出数：</w:t>
            </w:r>
            <w:r>
              <w:rPr>
                <w:rFonts w:hint="eastAsia" w:ascii="宋体" w:hAnsi="宋体" w:eastAsia="宋体" w:cs="宋体"/>
                <w:color w:val="auto"/>
                <w:kern w:val="0"/>
                <w:sz w:val="22"/>
                <w:szCs w:val="22"/>
                <w:highlight w:val="none"/>
                <w:lang w:val="en-US" w:eastAsia="zh-CN"/>
              </w:rPr>
              <w:t>265期</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rPr>
              <w:t>计划产出数：</w:t>
            </w:r>
            <w:r>
              <w:rPr>
                <w:rFonts w:hint="eastAsia" w:ascii="宋体" w:hAnsi="宋体" w:eastAsia="宋体" w:cs="宋体"/>
                <w:color w:val="auto"/>
                <w:kern w:val="0"/>
                <w:sz w:val="22"/>
                <w:szCs w:val="22"/>
                <w:highlight w:val="none"/>
                <w:lang w:val="en-US" w:eastAsia="zh-CN"/>
              </w:rPr>
              <w:t>260期</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w:t>
            </w:r>
            <w:r>
              <w:rPr>
                <w:rFonts w:hint="eastAsia" w:ascii="宋体" w:hAnsi="宋体" w:eastAsia="宋体" w:cs="宋体"/>
                <w:color w:val="auto"/>
                <w:kern w:val="0"/>
                <w:sz w:val="22"/>
                <w:szCs w:val="22"/>
                <w:highlight w:val="none"/>
                <w:lang w:eastAsia="zh-CN"/>
              </w:rPr>
              <w:t>完成率</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val="en-US" w:eastAsia="zh-CN"/>
              </w:rPr>
              <w:t>265</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val="en-US" w:eastAsia="zh-CN"/>
              </w:rPr>
              <w:t>260</w:t>
            </w:r>
            <w:r>
              <w:rPr>
                <w:rFonts w:hint="eastAsia" w:ascii="宋体" w:hAnsi="宋体" w:eastAsia="宋体" w:cs="宋体"/>
                <w:color w:val="auto"/>
                <w:kern w:val="0"/>
                <w:sz w:val="22"/>
                <w:szCs w:val="22"/>
                <w:highlight w:val="none"/>
              </w:rPr>
              <w:t>）×100%=100</w:t>
            </w:r>
            <w:r>
              <w:rPr>
                <w:rFonts w:hint="eastAsia" w:ascii="宋体" w:hAnsi="宋体" w:eastAsia="宋体" w:cs="宋体"/>
                <w:color w:val="auto"/>
                <w:kern w:val="0"/>
                <w:sz w:val="22"/>
                <w:szCs w:val="22"/>
                <w:highlight w:val="none"/>
                <w:lang w:val="en-US" w:eastAsia="zh-CN"/>
              </w:rPr>
              <w:t>.1</w:t>
            </w:r>
            <w:r>
              <w:rPr>
                <w:rFonts w:hint="eastAsia" w:ascii="宋体" w:hAnsi="宋体" w:eastAsia="宋体" w:cs="宋体"/>
                <w:color w:val="auto"/>
                <w:kern w:val="0"/>
                <w:sz w:val="22"/>
                <w:szCs w:val="22"/>
                <w:highlight w:val="none"/>
              </w:rPr>
              <w:t>%</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实际产出数：</w:t>
            </w:r>
            <w:r>
              <w:rPr>
                <w:rFonts w:hint="eastAsia" w:ascii="宋体" w:hAnsi="宋体" w:eastAsia="宋体" w:cs="宋体"/>
                <w:color w:val="auto"/>
                <w:kern w:val="0"/>
                <w:sz w:val="22"/>
                <w:szCs w:val="22"/>
                <w:highlight w:val="none"/>
                <w:lang w:val="en-US" w:eastAsia="zh-CN"/>
              </w:rPr>
              <w:t>265期</w:t>
            </w:r>
          </w:p>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rPr>
              <w:t>质量达标产出数</w:t>
            </w:r>
            <w:r>
              <w:rPr>
                <w:rFonts w:hint="eastAsia" w:ascii="宋体" w:hAnsi="宋体" w:eastAsia="宋体" w:cs="宋体"/>
                <w:color w:val="auto"/>
                <w:kern w:val="0"/>
                <w:sz w:val="22"/>
                <w:szCs w:val="22"/>
                <w:highlight w:val="none"/>
                <w:lang w:eastAsia="zh-CN"/>
              </w:rPr>
              <w:t>：</w:t>
            </w:r>
            <w:r>
              <w:rPr>
                <w:rFonts w:hint="eastAsia" w:ascii="宋体" w:hAnsi="宋体" w:eastAsia="宋体" w:cs="宋体"/>
                <w:color w:val="auto"/>
                <w:kern w:val="0"/>
                <w:sz w:val="22"/>
                <w:szCs w:val="22"/>
                <w:highlight w:val="none"/>
                <w:lang w:val="en-US" w:eastAsia="zh-CN"/>
              </w:rPr>
              <w:t>255期</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w:t>
            </w:r>
            <w:r>
              <w:rPr>
                <w:rFonts w:hint="eastAsia" w:ascii="宋体" w:hAnsi="宋体" w:eastAsia="宋体" w:cs="宋体"/>
                <w:color w:val="auto"/>
                <w:kern w:val="0"/>
                <w:sz w:val="22"/>
                <w:szCs w:val="22"/>
                <w:highlight w:val="none"/>
                <w:lang w:eastAsia="zh-CN"/>
              </w:rPr>
              <w:t>率</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val="en-US" w:eastAsia="zh-CN"/>
              </w:rPr>
              <w:t>250</w:t>
            </w:r>
            <w:r>
              <w:rPr>
                <w:rFonts w:hint="eastAsia" w:ascii="宋体" w:hAnsi="宋体" w:eastAsia="宋体" w:cs="宋体"/>
                <w:color w:val="auto"/>
                <w:kern w:val="0"/>
                <w:sz w:val="22"/>
                <w:szCs w:val="22"/>
                <w:highlight w:val="none"/>
              </w:rPr>
              <w:t>/</w:t>
            </w:r>
            <w:r>
              <w:rPr>
                <w:rFonts w:hint="eastAsia" w:ascii="宋体" w:hAnsi="宋体" w:eastAsia="宋体" w:cs="宋体"/>
                <w:color w:val="auto"/>
                <w:kern w:val="0"/>
                <w:sz w:val="22"/>
                <w:szCs w:val="22"/>
                <w:highlight w:val="none"/>
                <w:lang w:val="en-US" w:eastAsia="zh-CN"/>
              </w:rPr>
              <w:t>265</w:t>
            </w:r>
            <w:r>
              <w:rPr>
                <w:rFonts w:hint="eastAsia" w:ascii="宋体" w:hAnsi="宋体" w:eastAsia="宋体" w:cs="宋体"/>
                <w:color w:val="auto"/>
                <w:kern w:val="0"/>
                <w:sz w:val="22"/>
                <w:szCs w:val="22"/>
                <w:highlight w:val="none"/>
              </w:rPr>
              <w:t>）×100%=</w:t>
            </w:r>
            <w:r>
              <w:rPr>
                <w:rFonts w:hint="eastAsia" w:ascii="宋体" w:hAnsi="宋体" w:eastAsia="宋体" w:cs="宋体"/>
                <w:color w:val="auto"/>
                <w:kern w:val="0"/>
                <w:sz w:val="22"/>
                <w:szCs w:val="22"/>
                <w:highlight w:val="none"/>
                <w:lang w:val="en-US" w:eastAsia="zh-CN"/>
              </w:rPr>
              <w:t>94</w:t>
            </w:r>
            <w:r>
              <w:rPr>
                <w:rFonts w:hint="eastAsia" w:ascii="宋体" w:hAnsi="宋体" w:eastAsia="宋体" w:cs="宋体"/>
                <w:color w:val="auto"/>
                <w:kern w:val="0"/>
                <w:sz w:val="22"/>
                <w:szCs w:val="22"/>
                <w:highlight w:val="none"/>
              </w:rPr>
              <w:t>%</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10</w:t>
            </w:r>
          </w:p>
        </w:tc>
        <w:tc>
          <w:tcPr>
            <w:tcW w:w="1363" w:type="dxa"/>
            <w:shd w:val="clear" w:color="000000" w:fill="FFFFFF"/>
            <w:noWrap w:val="0"/>
            <w:vAlign w:val="center"/>
          </w:tcPr>
          <w:p>
            <w:pPr>
              <w:pageBreakBefore w:val="0"/>
              <w:widowControl/>
              <w:tabs>
                <w:tab w:val="left" w:pos="305"/>
              </w:tabs>
              <w:kinsoku/>
              <w:wordWrap/>
              <w:overflowPunct/>
              <w:topLinePunct w:val="0"/>
              <w:autoSpaceDE/>
              <w:autoSpaceDN/>
              <w:bidi w:val="0"/>
              <w:adjustRightInd/>
              <w:snapToGrid/>
              <w:spacing w:line="560" w:lineRule="exact"/>
              <w:jc w:val="left"/>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lang w:eastAsia="zh-CN"/>
              </w:rPr>
              <w:tab/>
            </w:r>
            <w:r>
              <w:rPr>
                <w:rFonts w:hint="eastAsia" w:ascii="宋体" w:hAnsi="宋体" w:cs="宋体"/>
                <w:color w:val="auto"/>
                <w:kern w:val="0"/>
                <w:sz w:val="22"/>
                <w:szCs w:val="22"/>
                <w:highlight w:val="none"/>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767" w:type="dxa"/>
            <w:shd w:val="clear" w:color="auto" w:fill="FFFFFF"/>
            <w:noWrap w:val="0"/>
            <w:vAlign w:val="center"/>
          </w:tcPr>
          <w:p>
            <w:pPr>
              <w:pageBreakBefore w:val="0"/>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完成及时性</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每天早上9.00前完成报刊印刷保证报刊发行的及时性</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15</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767"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成本节约率</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eastAsia" w:ascii="宋体" w:hAnsi="宋体" w:cs="宋体"/>
                <w:color w:val="auto"/>
                <w:kern w:val="0"/>
                <w:sz w:val="18"/>
                <w:szCs w:val="18"/>
                <w:highlight w:val="none"/>
              </w:rPr>
            </w:pPr>
            <w:r>
              <w:rPr>
                <w:rFonts w:hint="eastAsia" w:ascii="宋体" w:hAnsi="宋体" w:eastAsia="宋体" w:cs="宋体"/>
                <w:color w:val="auto"/>
                <w:kern w:val="0"/>
                <w:sz w:val="22"/>
                <w:szCs w:val="22"/>
                <w:highlight w:val="none"/>
              </w:rPr>
              <w:t>计划成本0.50元/份</w:t>
            </w:r>
          </w:p>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实际成本0.46元/份</w:t>
            </w:r>
            <w:r>
              <w:rPr>
                <w:rFonts w:hint="eastAsia" w:ascii="宋体" w:hAnsi="宋体" w:eastAsia="宋体" w:cs="宋体"/>
                <w:color w:val="auto"/>
                <w:kern w:val="0"/>
                <w:sz w:val="22"/>
                <w:szCs w:val="22"/>
                <w:highlight w:val="none"/>
              </w:rPr>
              <w:br w:type="textWrapping"/>
            </w:r>
            <w:r>
              <w:rPr>
                <w:rFonts w:hint="eastAsia" w:ascii="宋体" w:hAnsi="宋体" w:eastAsia="宋体" w:cs="宋体"/>
                <w:color w:val="auto"/>
                <w:kern w:val="0"/>
                <w:sz w:val="22"/>
                <w:szCs w:val="22"/>
                <w:highlight w:val="none"/>
                <w:lang w:eastAsia="zh-CN"/>
              </w:rPr>
              <w:t>成本节约率：</w:t>
            </w:r>
            <w:r>
              <w:rPr>
                <w:rFonts w:hint="eastAsia" w:ascii="宋体" w:hAnsi="宋体" w:eastAsia="宋体" w:cs="宋体"/>
                <w:color w:val="auto"/>
                <w:kern w:val="0"/>
                <w:sz w:val="22"/>
                <w:szCs w:val="22"/>
                <w:highlight w:val="none"/>
              </w:rPr>
              <w:t>[（0.50-0.46）/0.50]×100%=</w:t>
            </w:r>
            <w:r>
              <w:rPr>
                <w:rFonts w:hint="eastAsia" w:ascii="宋体" w:hAnsi="宋体" w:eastAsia="宋体" w:cs="宋体"/>
                <w:color w:val="auto"/>
                <w:kern w:val="0"/>
                <w:sz w:val="22"/>
                <w:szCs w:val="22"/>
                <w:highlight w:val="none"/>
                <w:lang w:eastAsia="zh-CN"/>
              </w:rPr>
              <w:t>－</w:t>
            </w:r>
            <w:r>
              <w:rPr>
                <w:rFonts w:hint="eastAsia" w:ascii="宋体" w:hAnsi="宋体" w:eastAsia="宋体" w:cs="宋体"/>
                <w:color w:val="auto"/>
                <w:kern w:val="0"/>
                <w:sz w:val="22"/>
                <w:szCs w:val="22"/>
                <w:highlight w:val="none"/>
                <w:lang w:val="en-US" w:eastAsia="zh-CN"/>
              </w:rPr>
              <w:t>0.42</w:t>
            </w:r>
            <w:r>
              <w:rPr>
                <w:rFonts w:hint="eastAsia" w:ascii="宋体" w:hAnsi="宋体" w:eastAsia="宋体" w:cs="宋体"/>
                <w:color w:val="auto"/>
                <w:kern w:val="0"/>
                <w:sz w:val="22"/>
                <w:szCs w:val="22"/>
                <w:highlight w:val="none"/>
              </w:rPr>
              <w:br w:type="textWrapping"/>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cs="宋体"/>
                <w:color w:val="auto"/>
                <w:kern w:val="0"/>
                <w:sz w:val="22"/>
                <w:szCs w:val="22"/>
                <w:highlight w:val="none"/>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67" w:type="dxa"/>
            <w:vMerge w:val="restart"/>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实施效益</w:t>
            </w:r>
          </w:p>
        </w:tc>
        <w:tc>
          <w:tcPr>
            <w:tcW w:w="235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5188"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项目实施产生</w:t>
            </w:r>
            <w:r>
              <w:rPr>
                <w:rFonts w:hint="eastAsia" w:ascii="宋体" w:hAnsi="宋体" w:eastAsia="宋体" w:cs="宋体"/>
                <w:color w:val="auto"/>
                <w:kern w:val="0"/>
                <w:sz w:val="22"/>
                <w:szCs w:val="22"/>
                <w:highlight w:val="none"/>
                <w:lang w:eastAsia="zh-CN"/>
              </w:rPr>
              <w:t>了较好的</w:t>
            </w:r>
            <w:r>
              <w:rPr>
                <w:rFonts w:hint="eastAsia" w:ascii="宋体" w:hAnsi="宋体" w:eastAsia="宋体" w:cs="宋体"/>
                <w:color w:val="auto"/>
                <w:kern w:val="0"/>
                <w:sz w:val="22"/>
                <w:szCs w:val="22"/>
                <w:highlight w:val="none"/>
              </w:rPr>
              <w:t>社会效益、经济效益、可持续影响</w:t>
            </w:r>
            <w:r>
              <w:rPr>
                <w:rFonts w:hint="eastAsia" w:ascii="宋体" w:hAnsi="宋体" w:eastAsia="宋体" w:cs="宋体"/>
                <w:color w:val="auto"/>
                <w:kern w:val="0"/>
                <w:sz w:val="22"/>
                <w:szCs w:val="22"/>
                <w:highlight w:val="none"/>
                <w:lang w:eastAsia="zh-CN"/>
              </w:rPr>
              <w:t>，报纸发行</w:t>
            </w:r>
            <w:r>
              <w:rPr>
                <w:rFonts w:hint="eastAsia" w:ascii="宋体" w:hAnsi="宋体" w:eastAsia="宋体" w:cs="宋体"/>
                <w:color w:val="auto"/>
                <w:kern w:val="0"/>
                <w:sz w:val="22"/>
                <w:szCs w:val="22"/>
                <w:highlight w:val="none"/>
                <w:lang w:val="en-US" w:eastAsia="zh-CN"/>
              </w:rPr>
              <w:t>3万份，</w:t>
            </w:r>
            <w:r>
              <w:rPr>
                <w:rFonts w:hint="eastAsia" w:ascii="宋体" w:hAnsi="宋体" w:eastAsia="宋体" w:cs="宋体"/>
                <w:color w:val="auto"/>
                <w:kern w:val="0"/>
                <w:sz w:val="22"/>
                <w:szCs w:val="22"/>
                <w:highlight w:val="none"/>
              </w:rPr>
              <w:t>保障公共文化服务质量</w:t>
            </w:r>
            <w:r>
              <w:rPr>
                <w:rFonts w:hint="eastAsia" w:ascii="宋体" w:hAnsi="宋体" w:eastAsia="宋体" w:cs="宋体"/>
                <w:color w:val="auto"/>
                <w:kern w:val="0"/>
                <w:sz w:val="22"/>
                <w:szCs w:val="22"/>
                <w:highlight w:val="none"/>
                <w:lang w:eastAsia="zh-CN"/>
              </w:rPr>
              <w:t>，为</w:t>
            </w:r>
            <w:r>
              <w:rPr>
                <w:rFonts w:hint="eastAsia" w:ascii="宋体" w:hAnsi="宋体" w:eastAsia="宋体" w:cs="宋体"/>
                <w:color w:val="auto"/>
                <w:kern w:val="0"/>
                <w:sz w:val="22"/>
                <w:szCs w:val="22"/>
                <w:highlight w:val="none"/>
              </w:rPr>
              <w:t>提升群众精神文化素养</w:t>
            </w:r>
            <w:r>
              <w:rPr>
                <w:rFonts w:hint="eastAsia" w:ascii="宋体" w:hAnsi="宋体" w:eastAsia="宋体" w:cs="宋体"/>
                <w:color w:val="auto"/>
                <w:kern w:val="0"/>
                <w:sz w:val="22"/>
                <w:szCs w:val="22"/>
                <w:highlight w:val="none"/>
                <w:lang w:eastAsia="zh-CN"/>
              </w:rPr>
              <w:t>作出贡献</w:t>
            </w:r>
            <w:r>
              <w:rPr>
                <w:rFonts w:hint="eastAsia" w:ascii="宋体" w:hAnsi="宋体" w:eastAsia="宋体" w:cs="宋体"/>
                <w:color w:val="auto"/>
                <w:kern w:val="0"/>
                <w:sz w:val="22"/>
                <w:szCs w:val="22"/>
                <w:highlight w:val="none"/>
              </w:rPr>
              <w:t>。</w:t>
            </w:r>
          </w:p>
        </w:tc>
        <w:tc>
          <w:tcPr>
            <w:tcW w:w="1300"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rPr>
            </w:pPr>
            <w:r>
              <w:rPr>
                <w:rFonts w:hint="eastAsia" w:ascii="宋体" w:hAnsi="宋体" w:eastAsia="宋体" w:cs="宋体"/>
                <w:color w:val="auto"/>
                <w:kern w:val="0"/>
                <w:sz w:val="22"/>
                <w:szCs w:val="22"/>
                <w:highlight w:val="none"/>
                <w:lang w:val="en-US" w:eastAsia="zh-CN"/>
              </w:rPr>
              <w:t>30</w:t>
            </w:r>
          </w:p>
        </w:tc>
        <w:tc>
          <w:tcPr>
            <w:tcW w:w="136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28.05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767" w:type="dxa"/>
            <w:vMerge w:val="continue"/>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p>
        </w:tc>
        <w:tc>
          <w:tcPr>
            <w:tcW w:w="873" w:type="dxa"/>
            <w:shd w:val="clear" w:color="auto"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满意度</w:t>
            </w:r>
          </w:p>
        </w:tc>
        <w:tc>
          <w:tcPr>
            <w:tcW w:w="235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5188"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textAlignment w:val="auto"/>
              <w:rPr>
                <w:rFonts w:hint="default"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eastAsia="zh-CN"/>
              </w:rPr>
              <w:t>通过调查问卷，</w:t>
            </w:r>
            <w:r>
              <w:rPr>
                <w:rFonts w:hint="eastAsia" w:ascii="宋体" w:hAnsi="宋体" w:eastAsia="宋体" w:cs="宋体"/>
                <w:color w:val="auto"/>
                <w:kern w:val="0"/>
                <w:sz w:val="22"/>
                <w:szCs w:val="22"/>
                <w:highlight w:val="none"/>
              </w:rPr>
              <w:t>读者对塔城日报</w:t>
            </w:r>
            <w:r>
              <w:rPr>
                <w:rFonts w:hint="eastAsia" w:ascii="宋体" w:hAnsi="宋体" w:eastAsia="宋体" w:cs="宋体"/>
                <w:color w:val="auto"/>
                <w:kern w:val="0"/>
                <w:sz w:val="22"/>
                <w:szCs w:val="22"/>
                <w:highlight w:val="none"/>
                <w:lang w:eastAsia="zh-CN"/>
              </w:rPr>
              <w:t>真实性、</w:t>
            </w:r>
            <w:r>
              <w:rPr>
                <w:rFonts w:hint="eastAsia" w:ascii="宋体" w:hAnsi="宋体" w:eastAsia="宋体" w:cs="宋体"/>
                <w:color w:val="auto"/>
                <w:kern w:val="0"/>
                <w:sz w:val="22"/>
                <w:szCs w:val="22"/>
                <w:highlight w:val="none"/>
              </w:rPr>
              <w:t>公信力</w:t>
            </w:r>
            <w:r>
              <w:rPr>
                <w:rFonts w:hint="eastAsia" w:ascii="宋体" w:hAnsi="宋体" w:eastAsia="宋体" w:cs="宋体"/>
                <w:color w:val="auto"/>
                <w:kern w:val="0"/>
                <w:sz w:val="22"/>
                <w:szCs w:val="22"/>
                <w:highlight w:val="none"/>
                <w:lang w:eastAsia="zh-CN"/>
              </w:rPr>
              <w:t>、</w:t>
            </w:r>
            <w:r>
              <w:rPr>
                <w:rFonts w:hint="eastAsia" w:ascii="宋体" w:hAnsi="宋体" w:eastAsia="宋体" w:cs="宋体"/>
                <w:color w:val="auto"/>
                <w:kern w:val="0"/>
                <w:sz w:val="22"/>
                <w:szCs w:val="22"/>
                <w:highlight w:val="none"/>
              </w:rPr>
              <w:t>权威性的满意率</w:t>
            </w:r>
            <w:r>
              <w:rPr>
                <w:rFonts w:hint="eastAsia" w:ascii="宋体" w:hAnsi="宋体" w:eastAsia="宋体" w:cs="宋体"/>
                <w:color w:val="auto"/>
                <w:kern w:val="0"/>
                <w:sz w:val="22"/>
                <w:szCs w:val="22"/>
                <w:highlight w:val="none"/>
                <w:lang w:eastAsia="zh-CN"/>
              </w:rPr>
              <w:t>均超过</w:t>
            </w:r>
            <w:r>
              <w:rPr>
                <w:rFonts w:hint="eastAsia" w:ascii="宋体" w:hAnsi="宋体" w:eastAsia="宋体" w:cs="宋体"/>
                <w:color w:val="auto"/>
                <w:kern w:val="0"/>
                <w:sz w:val="22"/>
                <w:szCs w:val="22"/>
                <w:highlight w:val="none"/>
                <w:lang w:val="en-US" w:eastAsia="zh-CN"/>
              </w:rPr>
              <w:t>95%。</w:t>
            </w:r>
          </w:p>
        </w:tc>
        <w:tc>
          <w:tcPr>
            <w:tcW w:w="1300"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lang w:val="en-US" w:eastAsia="zh-CN"/>
              </w:rPr>
              <w:t>10</w:t>
            </w:r>
          </w:p>
        </w:tc>
        <w:tc>
          <w:tcPr>
            <w:tcW w:w="1363" w:type="dxa"/>
            <w:shd w:val="clear" w:color="000000" w:fill="FFFFFF"/>
            <w:noWrap w:val="0"/>
            <w:vAlign w:val="center"/>
          </w:tcPr>
          <w:p>
            <w:pPr>
              <w:pageBreakBefore w:val="0"/>
              <w:widowControl/>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10</w:t>
            </w:r>
          </w:p>
        </w:tc>
      </w:tr>
    </w:tbl>
    <w:p>
      <w:pPr>
        <w:pStyle w:val="2"/>
        <w:pageBreakBefore w:val="0"/>
        <w:kinsoku/>
        <w:wordWrap/>
        <w:overflowPunct/>
        <w:topLinePunct w:val="0"/>
        <w:autoSpaceDE/>
        <w:autoSpaceDN/>
        <w:bidi w:val="0"/>
        <w:adjustRightInd/>
        <w:snapToGrid/>
        <w:spacing w:before="0" w:after="0" w:line="560" w:lineRule="exact"/>
        <w:textAlignment w:val="auto"/>
        <w:rPr>
          <w:rFonts w:hint="default"/>
          <w:color w:val="auto"/>
          <w:highlight w:val="none"/>
          <w:lang w:val="en-US" w:eastAsia="zh-CN"/>
        </w:rPr>
      </w:pPr>
    </w:p>
    <w:p>
      <w:pPr>
        <w:pageBreakBefore w:val="0"/>
        <w:kinsoku/>
        <w:wordWrap/>
        <w:overflowPunct/>
        <w:topLinePunct w:val="0"/>
        <w:autoSpaceDE/>
        <w:autoSpaceDN/>
        <w:bidi w:val="0"/>
        <w:adjustRightInd/>
        <w:snapToGrid/>
        <w:spacing w:line="560" w:lineRule="exact"/>
        <w:textAlignment w:val="auto"/>
        <w:rPr>
          <w:color w:val="auto"/>
          <w:highlight w:val="none"/>
        </w:rPr>
      </w:pPr>
    </w:p>
    <w:bookmarkEnd w:id="4"/>
    <w:p>
      <w:pPr>
        <w:keepNext w:val="0"/>
        <w:keepLines w:val="0"/>
        <w:pageBreakBefore w:val="0"/>
        <w:widowControl w:val="0"/>
        <w:kinsoku/>
        <w:wordWrap/>
        <w:overflowPunct/>
        <w:topLinePunct w:val="0"/>
        <w:autoSpaceDE/>
        <w:autoSpaceDN/>
        <w:bidi w:val="0"/>
        <w:adjustRightInd/>
        <w:snapToGrid/>
        <w:spacing w:line="560" w:lineRule="exact"/>
        <w:ind w:left="0" w:firstLine="720" w:firstLineChars="200"/>
        <w:textAlignment w:val="auto"/>
        <w:rPr>
          <w:rFonts w:hint="eastAsia" w:ascii="黑体" w:eastAsia="黑体"/>
          <w:color w:val="auto"/>
          <w:sz w:val="36"/>
          <w:szCs w:val="36"/>
          <w:highlight w:val="none"/>
          <w:lang w:val="en-US" w:eastAsia="zh-CN"/>
        </w:rPr>
        <w:sectPr>
          <w:pgSz w:w="16838" w:h="11906" w:orient="landscape"/>
          <w:pgMar w:top="1800" w:right="1440" w:bottom="1800" w:left="1440" w:header="851" w:footer="992" w:gutter="0"/>
          <w:cols w:space="425" w:num="1"/>
          <w:docGrid w:type="lines" w:linePitch="312" w:charSpace="0"/>
        </w:sectPr>
      </w:pPr>
      <w:bookmarkStart w:id="6" w:name="_Toc30152834"/>
    </w:p>
    <w:p>
      <w:pPr>
        <w:keepNext w:val="0"/>
        <w:keepLines w:val="0"/>
        <w:pageBreakBefore w:val="0"/>
        <w:widowControl w:val="0"/>
        <w:kinsoku/>
        <w:wordWrap/>
        <w:overflowPunct/>
        <w:topLinePunct w:val="0"/>
        <w:autoSpaceDE/>
        <w:autoSpaceDN/>
        <w:bidi w:val="0"/>
        <w:adjustRightInd/>
        <w:snapToGrid/>
        <w:spacing w:line="560" w:lineRule="exact"/>
        <w:ind w:left="0" w:firstLine="720" w:firstLineChars="200"/>
        <w:textAlignment w:val="auto"/>
        <w:rPr>
          <w:rFonts w:hint="eastAsia" w:ascii="黑体" w:eastAsia="黑体"/>
          <w:color w:val="auto"/>
          <w:sz w:val="36"/>
          <w:szCs w:val="36"/>
          <w:highlight w:val="none"/>
          <w:lang w:val="en-US" w:eastAsia="zh-CN"/>
        </w:rPr>
      </w:pPr>
      <w:r>
        <w:rPr>
          <w:rFonts w:hint="eastAsia" w:ascii="黑体" w:eastAsia="黑体"/>
          <w:color w:val="auto"/>
          <w:sz w:val="36"/>
          <w:szCs w:val="36"/>
          <w:highlight w:val="none"/>
          <w:lang w:val="en-US" w:eastAsia="zh-CN"/>
        </w:rPr>
        <w:t>附：</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《塔城日报》印刷质量管理办法</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《塔城日报》由新疆塔城中信天成印刷有限责任公司、新疆</w:t>
      </w:r>
      <w:r>
        <w:rPr>
          <w:rFonts w:hint="eastAsia" w:ascii="仿宋_GB2312" w:eastAsia="仿宋_GB2312"/>
          <w:color w:val="auto"/>
          <w:sz w:val="32"/>
          <w:szCs w:val="32"/>
          <w:highlight w:val="none"/>
          <w:lang w:eastAsia="zh-CN"/>
        </w:rPr>
        <w:t>八艺印刷厂</w:t>
      </w:r>
      <w:r>
        <w:rPr>
          <w:rFonts w:hint="eastAsia" w:ascii="仿宋_GB2312" w:eastAsia="仿宋_GB2312"/>
          <w:color w:val="auto"/>
          <w:sz w:val="32"/>
          <w:szCs w:val="32"/>
          <w:highlight w:val="none"/>
        </w:rPr>
        <w:t>承印。为保证报纸印刷质量，特制定印刷质量管理办法。</w:t>
      </w:r>
    </w:p>
    <w:p>
      <w:pPr>
        <w:keepNext w:val="0"/>
        <w:keepLines w:val="0"/>
        <w:pageBreakBefore w:val="0"/>
        <w:widowControl w:val="0"/>
        <w:kinsoku/>
        <w:wordWrap/>
        <w:overflowPunct/>
        <w:topLinePunct w:val="0"/>
        <w:autoSpaceDE/>
        <w:autoSpaceDN/>
        <w:bidi w:val="0"/>
        <w:adjustRightInd/>
        <w:snapToGrid/>
        <w:spacing w:line="560" w:lineRule="exact"/>
        <w:ind w:left="0" w:firstLine="720" w:firstLineChars="200"/>
        <w:textAlignment w:val="auto"/>
        <w:rPr>
          <w:rFonts w:hint="eastAsia" w:ascii="楷体_GB2312" w:eastAsia="楷体_GB2312"/>
          <w:color w:val="auto"/>
          <w:sz w:val="36"/>
          <w:szCs w:val="36"/>
          <w:highlight w:val="none"/>
        </w:rPr>
      </w:pPr>
      <w:r>
        <w:rPr>
          <w:rFonts w:hint="eastAsia" w:ascii="楷体_GB2312" w:eastAsia="楷体_GB2312"/>
          <w:color w:val="auto"/>
          <w:sz w:val="36"/>
          <w:szCs w:val="36"/>
          <w:highlight w:val="none"/>
        </w:rPr>
        <w:t>印刷成品要求：</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1、成品整洁、无明显条痕、糊版、脏版、缺笔断划，不得有透印现象。</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2、文字清晰，实地均匀，色彩真实。</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3、版“左右”居中，天头略大于地脚。无破边、褶子、折斜、裁斜、切坏和脱页现象。</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4、印刷各版幅面，正反套印允差“上下”“左右”不大于2mm。</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同一幅面双色以上，套印允差应符合下表</w:t>
      </w:r>
    </w:p>
    <w:tbl>
      <w:tblPr>
        <w:tblStyle w:val="25"/>
        <w:tblW w:w="79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23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620" w:type="dxa"/>
            <w:vMerge w:val="restart"/>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产品种类</w:t>
            </w:r>
          </w:p>
        </w:tc>
        <w:tc>
          <w:tcPr>
            <w:tcW w:w="1620" w:type="dxa"/>
            <w:vMerge w:val="restart"/>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双色产品</w:t>
            </w:r>
          </w:p>
        </w:tc>
        <w:tc>
          <w:tcPr>
            <w:tcW w:w="4680" w:type="dxa"/>
            <w:gridSpan w:val="2"/>
            <w:vAlign w:val="center"/>
          </w:tcPr>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多色产品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620" w:type="dxa"/>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jc w:val="center"/>
              <w:textAlignment w:val="auto"/>
              <w:rPr>
                <w:rFonts w:hint="eastAsia" w:ascii="仿宋_GB2312" w:eastAsia="仿宋_GB2312"/>
                <w:color w:val="auto"/>
                <w:sz w:val="28"/>
                <w:szCs w:val="28"/>
                <w:highlight w:val="none"/>
              </w:rPr>
            </w:pPr>
          </w:p>
        </w:tc>
        <w:tc>
          <w:tcPr>
            <w:tcW w:w="1620" w:type="dxa"/>
            <w:vMerge w:val="continue"/>
            <w:vAlign w:val="center"/>
          </w:tcPr>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jc w:val="center"/>
              <w:textAlignment w:val="auto"/>
              <w:rPr>
                <w:rFonts w:hint="eastAsia" w:ascii="仿宋_GB2312" w:eastAsia="仿宋_GB2312"/>
                <w:color w:val="auto"/>
                <w:sz w:val="28"/>
                <w:szCs w:val="28"/>
                <w:highlight w:val="none"/>
              </w:rPr>
            </w:pPr>
          </w:p>
        </w:tc>
        <w:tc>
          <w:tcPr>
            <w:tcW w:w="234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jc w:val="both"/>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主体部位</w:t>
            </w:r>
          </w:p>
        </w:tc>
        <w:tc>
          <w:tcPr>
            <w:tcW w:w="234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jc w:val="both"/>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一般部位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62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允差</w:t>
            </w:r>
          </w:p>
        </w:tc>
        <w:tc>
          <w:tcPr>
            <w:tcW w:w="1620"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≤1mm</w:t>
            </w:r>
          </w:p>
        </w:tc>
        <w:tc>
          <w:tcPr>
            <w:tcW w:w="234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jc w:val="both"/>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≤0.5mm</w:t>
            </w:r>
          </w:p>
        </w:tc>
        <w:tc>
          <w:tcPr>
            <w:tcW w:w="2340" w:type="dxa"/>
            <w:vAlign w:val="center"/>
          </w:tcPr>
          <w:p>
            <w:pPr>
              <w:keepNext w:val="0"/>
              <w:keepLines w:val="0"/>
              <w:pageBreakBefore w:val="0"/>
              <w:widowControl w:val="0"/>
              <w:kinsoku/>
              <w:wordWrap/>
              <w:overflowPunct/>
              <w:topLinePunct w:val="0"/>
              <w:autoSpaceDE/>
              <w:autoSpaceDN/>
              <w:bidi w:val="0"/>
              <w:adjustRightInd/>
              <w:snapToGrid/>
              <w:spacing w:line="560" w:lineRule="exact"/>
              <w:ind w:left="0" w:firstLine="560" w:firstLineChars="200"/>
              <w:jc w:val="both"/>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≤0.7mm</w:t>
            </w:r>
          </w:p>
        </w:tc>
      </w:tr>
    </w:tbl>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注：主体部位指画面反映主题的部分，如图案、文字、标志。</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5、墨色以报头字及小特号标题字为准。密度为1.1±0.20印刷幅面墨色均匀。以常用六号宋体“的”字的平均密度为准，密度为：0.25±0.05。</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6、多色印刷彩色幅面以付印样为基本参照。实地密度应符合下表。</w:t>
      </w:r>
    </w:p>
    <w:tbl>
      <w:tblPr>
        <w:tblStyle w:val="25"/>
        <w:tblW w:w="85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1996"/>
        <w:gridCol w:w="1836"/>
        <w:gridCol w:w="1836"/>
        <w:gridCol w:w="18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103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色别</w:t>
            </w:r>
          </w:p>
        </w:tc>
        <w:tc>
          <w:tcPr>
            <w:tcW w:w="199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黄（Y）</w:t>
            </w: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品红（M）</w:t>
            </w: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青（C）</w:t>
            </w: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黑（BK）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103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密度</w:t>
            </w:r>
          </w:p>
        </w:tc>
        <w:tc>
          <w:tcPr>
            <w:tcW w:w="199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0.06～0.80</w:t>
            </w: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0.90</w:t>
            </w: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1.0～1.20</w:t>
            </w:r>
          </w:p>
        </w:tc>
        <w:tc>
          <w:tcPr>
            <w:tcW w:w="1836" w:type="dxa"/>
            <w:vAlign w:val="center"/>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1.0～1.30</w:t>
            </w:r>
          </w:p>
        </w:tc>
      </w:tr>
    </w:tbl>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要求网点清晰，最小网点面积3%～5%。网点要求角度准确，无龟纹，不出重影。</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7、图片网点清晰结实、不变形、不出龟纹、不缺色、不糊版、层次分明，反差适中，图像不虚，清晰度好，基本还原，彩色图片套印准确。</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黑体" w:eastAsia="黑体"/>
          <w:color w:val="auto"/>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_GB2312" w:eastAsia="仿宋_GB2312"/>
          <w:b/>
          <w:bCs/>
          <w:color w:val="auto"/>
          <w:sz w:val="32"/>
          <w:szCs w:val="32"/>
          <w:highlight w:val="none"/>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rPr>
        <w:t>《塔城日报》印刷质量差错追究实施细则</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印刷质量直接影响着报纸的质量,为此，特制定印刷质量差错追究实施细则。</w:t>
      </w:r>
    </w:p>
    <w:p>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印刷厂网络接收版面人员有义务检查以下内容：</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自上而下、自左至右检查版面，包括报头、</w:t>
      </w:r>
      <w:r>
        <w:rPr>
          <w:rFonts w:hint="eastAsia" w:ascii="仿宋_GB2312" w:eastAsia="仿宋_GB2312"/>
          <w:color w:val="auto"/>
          <w:sz w:val="30"/>
          <w:szCs w:val="30"/>
          <w:highlight w:val="none"/>
          <w:lang w:eastAsia="zh-CN"/>
        </w:rPr>
        <w:t>大</w:t>
      </w:r>
      <w:r>
        <w:rPr>
          <w:rFonts w:hint="eastAsia" w:ascii="仿宋_GB2312" w:eastAsia="仿宋_GB2312"/>
          <w:color w:val="auto"/>
          <w:sz w:val="32"/>
          <w:szCs w:val="32"/>
          <w:highlight w:val="none"/>
        </w:rPr>
        <w:t>标题字、图片、图标等。</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b/>
          <w:color w:val="auto"/>
          <w:sz w:val="32"/>
          <w:szCs w:val="32"/>
          <w:highlight w:val="none"/>
        </w:rPr>
      </w:pPr>
      <w:r>
        <w:rPr>
          <w:rFonts w:hint="eastAsia" w:ascii="仿宋_GB2312" w:eastAsia="仿宋_GB2312"/>
          <w:color w:val="auto"/>
          <w:sz w:val="32"/>
          <w:szCs w:val="32"/>
          <w:highlight w:val="none"/>
        </w:rPr>
        <w:t>报纸印刷后出现没报头、图片、图标、大标题、报尾等问题，这些差错造成重印的，损失由印刷厂负责。</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2、明显条痕、糊版、脏版、缺笔断划，透印现象；有破边、褶子、折斜、裁斜、切坏和脱页现象；印刷各版幅面差大于2mm；墨色不均匀；网点要求角度不准确，有龟纹，有重影。处罚200元。</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3、图片变形、出龟纹、缺色、糊版，层次不清，图像虚，套印不准；正品中加入废报传出；处罚500元。</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4、出现缺色，版序</w:t>
      </w:r>
      <w:r>
        <w:rPr>
          <w:rFonts w:hint="eastAsia" w:ascii="仿宋_GB2312" w:eastAsia="仿宋_GB2312"/>
          <w:color w:val="auto"/>
          <w:sz w:val="30"/>
          <w:szCs w:val="30"/>
          <w:highlight w:val="none"/>
          <w:lang w:eastAsia="zh-CN"/>
        </w:rPr>
        <w:t>、中缝</w:t>
      </w:r>
      <w:r>
        <w:rPr>
          <w:rFonts w:hint="eastAsia" w:ascii="仿宋_GB2312" w:eastAsia="仿宋_GB2312"/>
          <w:color w:val="auto"/>
          <w:sz w:val="30"/>
          <w:szCs w:val="30"/>
          <w:highlight w:val="none"/>
        </w:rPr>
        <w:t>拼错，报纸已分发，无法重印的情况，处罚印刷厂2000元。</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eastAsia="仿宋_GB2312"/>
          <w:color w:val="auto"/>
          <w:sz w:val="30"/>
          <w:szCs w:val="30"/>
          <w:highlight w:val="none"/>
        </w:rPr>
      </w:pPr>
      <w:r>
        <w:rPr>
          <w:rFonts w:hint="eastAsia" w:ascii="仿宋_GB2312" w:eastAsia="仿宋_GB2312"/>
          <w:color w:val="auto"/>
          <w:sz w:val="30"/>
          <w:szCs w:val="30"/>
          <w:highlight w:val="none"/>
        </w:rPr>
        <w:t>5、因印刷质量问题，造成自治区及中央领导的形象受损，或出现导向错误，处罚10000元。</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0"/>
          <w:szCs w:val="30"/>
          <w:highlight w:val="none"/>
        </w:rPr>
        <w:t>6、正常情况下，编辑下班前将</w:t>
      </w:r>
      <w:r>
        <w:rPr>
          <w:rFonts w:hint="eastAsia" w:ascii="仿宋_GB2312" w:eastAsia="仿宋_GB2312"/>
          <w:color w:val="auto"/>
          <w:sz w:val="32"/>
          <w:szCs w:val="32"/>
          <w:highlight w:val="none"/>
        </w:rPr>
        <w:t>ps</w:t>
      </w:r>
      <w:r>
        <w:rPr>
          <w:rFonts w:hint="eastAsia" w:ascii="仿宋_GB2312" w:eastAsia="仿宋_GB2312"/>
          <w:color w:val="auto"/>
          <w:sz w:val="30"/>
          <w:szCs w:val="30"/>
          <w:highlight w:val="none"/>
        </w:rPr>
        <w:t>版面发往印刷厂，印刷厂北京时间晚上11点以后开印。出现换稿、等稿</w:t>
      </w:r>
      <w:r>
        <w:rPr>
          <w:rFonts w:hint="eastAsia" w:ascii="仿宋_GB2312" w:eastAsia="仿宋_GB2312"/>
          <w:color w:val="auto"/>
          <w:sz w:val="32"/>
          <w:szCs w:val="32"/>
          <w:highlight w:val="none"/>
        </w:rPr>
        <w:t>等情况，晚发ps版，由汉编部与印刷厂人员事先沟通，可晚印刷。如出现上述以外的印刷事故，造成损失的，均由印刷厂承担。</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7、报社要求临时加印报纸，未完成的，视造成的影响情况对印刷企业处罚，最低不低于600元。</w:t>
      </w:r>
    </w:p>
    <w:p>
      <w:pPr>
        <w:keepNext w:val="0"/>
        <w:keepLines w:val="0"/>
        <w:pageBreakBefore w:val="0"/>
        <w:widowControl w:val="0"/>
        <w:kinsoku/>
        <w:wordWrap/>
        <w:overflowPunct/>
        <w:topLinePunct w:val="0"/>
        <w:autoSpaceDE/>
        <w:autoSpaceDN/>
        <w:bidi w:val="0"/>
        <w:adjustRightInd/>
        <w:snapToGrid/>
        <w:spacing w:line="560" w:lineRule="exact"/>
        <w:ind w:left="0" w:firstLine="60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0"/>
          <w:szCs w:val="30"/>
          <w:highlight w:val="none"/>
          <w:lang w:val="en-US" w:eastAsia="zh-CN"/>
        </w:rPr>
        <w:t>8</w:t>
      </w:r>
      <w:r>
        <w:rPr>
          <w:rFonts w:hint="eastAsia" w:ascii="仿宋_GB2312" w:eastAsia="仿宋_GB2312"/>
          <w:color w:val="auto"/>
          <w:sz w:val="30"/>
          <w:szCs w:val="30"/>
          <w:highlight w:val="none"/>
        </w:rPr>
        <w:t>、错情由报社总编办登记并通知报社财务和印刷厂，处罚金额从印刷费中扣除。</w:t>
      </w:r>
    </w:p>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hint="eastAsia" w:ascii="仿宋_GB2312" w:eastAsia="仿宋_GB2312"/>
          <w:color w:val="auto"/>
          <w:sz w:val="32"/>
          <w:szCs w:val="32"/>
          <w:highlight w:val="none"/>
        </w:rPr>
      </w:pPr>
    </w:p>
    <w:p>
      <w:pPr>
        <w:pageBreakBefore w:val="0"/>
        <w:kinsoku/>
        <w:wordWrap/>
        <w:overflowPunct/>
        <w:topLinePunct w:val="0"/>
        <w:autoSpaceDE/>
        <w:autoSpaceDN/>
        <w:bidi w:val="0"/>
        <w:adjustRightInd/>
        <w:snapToGrid/>
        <w:spacing w:line="560" w:lineRule="exact"/>
        <w:textAlignment w:val="auto"/>
        <w:rPr>
          <w:rFonts w:hint="eastAsia" w:ascii="黑体" w:eastAsia="黑体"/>
          <w:color w:val="auto"/>
          <w:sz w:val="32"/>
          <w:szCs w:val="32"/>
          <w:highlight w:val="none"/>
        </w:rPr>
        <w:sectPr>
          <w:pgSz w:w="11906" w:h="16838"/>
          <w:pgMar w:top="1440" w:right="1800" w:bottom="1440" w:left="1800" w:header="851" w:footer="992" w:gutter="0"/>
          <w:cols w:space="425" w:num="1"/>
          <w:docGrid w:type="lines" w:linePitch="312" w:charSpace="0"/>
        </w:sectPr>
      </w:pPr>
    </w:p>
    <w:p>
      <w:pPr>
        <w:pageBreakBefore w:val="0"/>
        <w:kinsoku/>
        <w:wordWrap/>
        <w:overflowPunct/>
        <w:topLinePunct w:val="0"/>
        <w:autoSpaceDE/>
        <w:autoSpaceDN/>
        <w:bidi w:val="0"/>
        <w:adjustRightInd/>
        <w:snapToGrid/>
        <w:spacing w:line="560" w:lineRule="exact"/>
        <w:textAlignment w:val="auto"/>
        <w:rPr>
          <w:rFonts w:ascii="仿宋_GB2312" w:eastAsia="仿宋_GB2312"/>
          <w:b/>
          <w:bCs/>
          <w:color w:val="auto"/>
          <w:sz w:val="32"/>
          <w:szCs w:val="32"/>
          <w:highlight w:val="none"/>
        </w:rPr>
      </w:pPr>
      <w:r>
        <w:rPr>
          <w:rFonts w:hint="eastAsia" w:ascii="黑体" w:eastAsia="黑体"/>
          <w:color w:val="auto"/>
          <w:sz w:val="32"/>
          <w:szCs w:val="32"/>
          <w:highlight w:val="none"/>
        </w:rPr>
        <w:t>《塔城日报》</w:t>
      </w:r>
      <w:r>
        <w:rPr>
          <w:rFonts w:hint="eastAsia" w:ascii="仿宋_GB2312" w:eastAsia="仿宋_GB2312"/>
          <w:b/>
          <w:bCs/>
          <w:color w:val="auto"/>
          <w:sz w:val="32"/>
          <w:szCs w:val="32"/>
          <w:highlight w:val="none"/>
        </w:rPr>
        <w:t>印刷监控制度</w:t>
      </w:r>
    </w:p>
    <w:p>
      <w:pPr>
        <w:pageBreakBefore w:val="0"/>
        <w:kinsoku/>
        <w:wordWrap/>
        <w:overflowPunct/>
        <w:topLinePunct w:val="0"/>
        <w:autoSpaceDE/>
        <w:autoSpaceDN/>
        <w:bidi w:val="0"/>
        <w:adjustRightInd/>
        <w:snapToGrid/>
        <w:spacing w:line="560" w:lineRule="exac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   </w:t>
      </w:r>
    </w:p>
    <w:p>
      <w:pPr>
        <w:pageBreakBefore w:val="0"/>
        <w:kinsoku/>
        <w:wordWrap/>
        <w:overflowPunct/>
        <w:topLinePunct w:val="0"/>
        <w:autoSpaceDE/>
        <w:autoSpaceDN/>
        <w:bidi w:val="0"/>
        <w:adjustRightInd/>
        <w:snapToGrid/>
        <w:spacing w:line="560" w:lineRule="exac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 ①将报纸印刷质量评判纳入每天的编前会，由编委会人员及编辑对报纸的印刷色彩、色彩真实度、文图清晰度等进行全面评判。</w:t>
      </w:r>
    </w:p>
    <w:p>
      <w:pPr>
        <w:pageBreakBefore w:val="0"/>
        <w:kinsoku/>
        <w:wordWrap/>
        <w:overflowPunct/>
        <w:topLinePunct w:val="0"/>
        <w:autoSpaceDE/>
        <w:autoSpaceDN/>
        <w:bidi w:val="0"/>
        <w:adjustRightInd/>
        <w:snapToGrid/>
        <w:spacing w:line="560" w:lineRule="exac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   ②由负责印刷质量的发行科人员如实记录编前会反映的印刷问题，会后，借微信平台或者QQ平台，及时反馈给印刷企业负责印刷质量的负责人，并询问原因、掌握基本情况。</w:t>
      </w:r>
    </w:p>
    <w:p>
      <w:pPr>
        <w:pageBreakBefore w:val="0"/>
        <w:kinsoku/>
        <w:wordWrap/>
        <w:overflowPunct/>
        <w:topLinePunct w:val="0"/>
        <w:autoSpaceDE/>
        <w:autoSpaceDN/>
        <w:bidi w:val="0"/>
        <w:adjustRightInd/>
        <w:snapToGrid/>
        <w:spacing w:line="560" w:lineRule="exac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 xml:space="preserve">  ③发行科人员每半个月到印刷厂实地督促监督企业人员规范操作、检修设备、清洁车间，督促整改存在的生产问题。</w:t>
      </w:r>
    </w:p>
    <w:p>
      <w:pPr>
        <w:pageBreakBefore w:val="0"/>
        <w:kinsoku/>
        <w:wordWrap/>
        <w:overflowPunct/>
        <w:topLinePunct w:val="0"/>
        <w:autoSpaceDE/>
        <w:autoSpaceDN/>
        <w:bidi w:val="0"/>
        <w:adjustRightInd/>
        <w:snapToGrid/>
        <w:spacing w:line="560" w:lineRule="exact"/>
        <w:ind w:firstLine="64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④发行科人员根据所了解掌握情况，每一月向报社分管领导汇报情况；遇到意外突发、设备出现故障等情况，第一时间向报社分管领导汇报。</w:t>
      </w:r>
    </w:p>
    <w:bookmarkEnd w:id="6"/>
    <w:p>
      <w:pPr>
        <w:pageBreakBefore w:val="0"/>
        <w:kinsoku/>
        <w:wordWrap/>
        <w:overflowPunct/>
        <w:topLinePunct w:val="0"/>
        <w:autoSpaceDE/>
        <w:autoSpaceDN/>
        <w:bidi w:val="0"/>
        <w:adjustRightInd/>
        <w:snapToGrid/>
        <w:spacing w:line="560" w:lineRule="exact"/>
        <w:textAlignment w:val="auto"/>
        <w:rPr>
          <w:color w:val="auto"/>
          <w:highlight w:val="none"/>
        </w:rPr>
      </w:pP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hAnsi="Times New Roman" w:eastAsia="方正仿宋_GBK" w:cs="Times New Roman"/>
          <w:color w:val="auto"/>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楷体_GB2312">
    <w:altName w:val="楷体"/>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564015"/>
      <w:docPartObj>
        <w:docPartGallery w:val="autotext"/>
      </w:docPartObj>
    </w:sdtPr>
    <w:sdtContent>
      <w:p>
        <w:pPr>
          <w:pStyle w:val="15"/>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-1905</wp:posOffset>
                  </wp:positionV>
                  <wp:extent cx="5257800" cy="0"/>
                  <wp:effectExtent l="0" t="0" r="0" b="0"/>
                  <wp:wrapNone/>
                  <wp:docPr id="2" name="自选图形 1025"/>
                  <wp:cNvGraphicFramePr/>
                  <a:graphic xmlns:a="http://schemas.openxmlformats.org/drawingml/2006/main">
                    <a:graphicData uri="http://schemas.microsoft.com/office/word/2010/wordprocessingShape">
                      <wps:wsp>
                        <wps:cNvCnPr/>
                        <wps:spPr>
                          <a:xfrm>
                            <a:off x="0" y="0"/>
                            <a:ext cx="52578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025" o:spid="_x0000_s1026" o:spt="32" type="#_x0000_t32" style="position:absolute;left:0pt;margin-left:0pt;margin-top:-0.15pt;height:0pt;width:414pt;z-index:251659264;mso-width-relative:page;mso-height-relative:page;" filled="f" stroked="t" coordsize="21600,21600" o:gfxdata="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TFsmD0wAAAAQBAAAPAAAAAAAAAAEAIAAAACIAAABkcnMvZG93bnJldi54bWxQSwECFAAU&#10;AAAACACHTuJAGpdQ3vYBAADmAwAADgAAAAAAAAABACAAAAAiAQAAZHJzL2Uyb0RvYy54bWxQSwUG&#10;AAAAAAYABgBZAQAAigUAAAAA&#10;">
                  <v:fill on="f" focussize="0,0"/>
                  <v:stroke color="#000000" joinstyle="round"/>
                  <v:imagedata o:title=""/>
                  <o:lock v:ext="edit" aspectratio="f"/>
                </v:shape>
              </w:pict>
            </mc:Fallback>
          </mc:AlternateContent>
        </w:r>
        <w:r>
          <w:rPr>
            <w:rFonts w:hint="eastAsia" w:ascii="宋体" w:hAnsi="宋体"/>
          </w:rPr>
          <w:t xml:space="preserve">                                           </w:t>
        </w:r>
        <w:r>
          <w:fldChar w:fldCharType="begin"/>
        </w:r>
        <w:r>
          <w:instrText xml:space="preserve"> PAGE   \* MERGEFORMAT </w:instrText>
        </w:r>
        <w:r>
          <w:fldChar w:fldCharType="separate"/>
        </w:r>
        <w:r>
          <w:rPr>
            <w:lang w:val="zh-CN"/>
          </w:rPr>
          <w:t>1</w:t>
        </w:r>
        <w:r>
          <w:rPr>
            <w:lang w:val="zh-CN"/>
          </w:rPr>
          <w:fldChar w:fldCharType="end"/>
        </w:r>
      </w:p>
    </w:sdtContent>
  </w:sdt>
  <w:p>
    <w:pPr>
      <w:pStyle w:val="15"/>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rFonts w:ascii="宋体" w:hAnsi="宋体"/>
      </w:rP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-30480</wp:posOffset>
              </wp:positionV>
              <wp:extent cx="5381625" cy="28575"/>
              <wp:effectExtent l="0" t="4445" r="13335" b="12700"/>
              <wp:wrapNone/>
              <wp:docPr id="6" name="自选图形 1027"/>
              <wp:cNvGraphicFramePr/>
              <a:graphic xmlns:a="http://schemas.openxmlformats.org/drawingml/2006/main">
                <a:graphicData uri="http://schemas.microsoft.com/office/word/2010/wordprocessingShape">
                  <wps:wsp>
                    <wps:cNvCnPr/>
                    <wps:spPr>
                      <a:xfrm>
                        <a:off x="0" y="0"/>
                        <a:ext cx="5381625" cy="285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1027" o:spid="_x0000_s1026" o:spt="32" type="#_x0000_t32" style="position:absolute;left:0pt;margin-left:-2.25pt;margin-top:-2.4pt;height:2.25pt;width:423.75pt;z-index:251660288;mso-width-relative:page;mso-height-relative:page;" filled="f" stroked="t" coordsize="21600,21600" o:gfxdata="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gDmax1gAAAAcBAAAPAAAAAAAAAAEAIAAAACIAAABkcnMvZG93bnJldi54bWxQ&#10;SwECFAAUAAAACACHTuJAOnSmSfkBAADqAwAADgAAAAAAAAABACAAAAAlAQAAZHJzL2Uyb0RvYy54&#10;bWxQSwUGAAAAAAYABgBZAQAAkAUAAAAA&#10;">
              <v:fill on="f" focussize="0,0"/>
              <v:stroke color="#000000" joinstyle="round"/>
              <v:imagedata o:title=""/>
              <o:lock v:ext="edit" aspectratio="f"/>
            </v:shape>
          </w:pict>
        </mc:Fallback>
      </mc:AlternateContent>
    </w:r>
    <w:r>
      <w:rPr>
        <w:rFonts w:hint="eastAsia" w:ascii="宋体" w:hAnsi="宋体"/>
      </w:rPr>
      <w:t xml:space="preserve">                                                   </w:t>
    </w:r>
    <w:r>
      <w:fldChar w:fldCharType="begin"/>
    </w:r>
    <w:r>
      <w:instrText xml:space="preserve"> PAGE   \* MERGEFORMAT </w:instrText>
    </w:r>
    <w:r>
      <w:fldChar w:fldCharType="separate"/>
    </w:r>
    <w:r>
      <w:rPr>
        <w:lang w:val="zh-CN"/>
      </w:rPr>
      <w:t>28</w:t>
    </w:r>
    <w:r>
      <w:rPr>
        <w:lang w:val="zh-CN"/>
      </w:rPr>
      <w:fldChar w:fldCharType="end"/>
    </w:r>
  </w:p>
  <w:p>
    <w:pPr>
      <w:pStyle w:val="15"/>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3561909"/>
    <w:multiLevelType w:val="singleLevel"/>
    <w:tmpl w:val="E3561909"/>
    <w:lvl w:ilvl="0" w:tentative="0">
      <w:start w:val="2"/>
      <w:numFmt w:val="chineseCounting"/>
      <w:suff w:val="nothing"/>
      <w:lvlText w:val="（%1）"/>
      <w:lvlJc w:val="left"/>
      <w:rPr>
        <w:rFonts w:hint="eastAsia"/>
      </w:r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46E75961"/>
    <w:multiLevelType w:val="multilevel"/>
    <w:tmpl w:val="46E75961"/>
    <w:lvl w:ilvl="0" w:tentative="0">
      <w:start w:val="1"/>
      <w:numFmt w:val="decimal"/>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7F99D559"/>
    <w:multiLevelType w:val="singleLevel"/>
    <w:tmpl w:val="7F99D559"/>
    <w:lvl w:ilvl="0" w:tentative="0">
      <w:start w:val="2"/>
      <w:numFmt w:val="decimal"/>
      <w:suff w:val="nothing"/>
      <w:lvlText w:val="%1、"/>
      <w:lvlJc w:val="left"/>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4B7D"/>
    <w:rsid w:val="00003A4E"/>
    <w:rsid w:val="00004947"/>
    <w:rsid w:val="00006998"/>
    <w:rsid w:val="000172E4"/>
    <w:rsid w:val="000178C7"/>
    <w:rsid w:val="000339A8"/>
    <w:rsid w:val="0003684D"/>
    <w:rsid w:val="000440B3"/>
    <w:rsid w:val="00052F83"/>
    <w:rsid w:val="0006087B"/>
    <w:rsid w:val="000614C8"/>
    <w:rsid w:val="000626DA"/>
    <w:rsid w:val="00065AEE"/>
    <w:rsid w:val="00065E72"/>
    <w:rsid w:val="000667CE"/>
    <w:rsid w:val="00071214"/>
    <w:rsid w:val="000774F9"/>
    <w:rsid w:val="00091ECA"/>
    <w:rsid w:val="00094315"/>
    <w:rsid w:val="00094D2B"/>
    <w:rsid w:val="000D25EF"/>
    <w:rsid w:val="000E373F"/>
    <w:rsid w:val="000E3AD8"/>
    <w:rsid w:val="000E3C13"/>
    <w:rsid w:val="00106F38"/>
    <w:rsid w:val="00107079"/>
    <w:rsid w:val="00112A3E"/>
    <w:rsid w:val="0011442A"/>
    <w:rsid w:val="001243F9"/>
    <w:rsid w:val="00133881"/>
    <w:rsid w:val="00136799"/>
    <w:rsid w:val="00142BBA"/>
    <w:rsid w:val="00155097"/>
    <w:rsid w:val="001663FA"/>
    <w:rsid w:val="00180791"/>
    <w:rsid w:val="001816F6"/>
    <w:rsid w:val="00191767"/>
    <w:rsid w:val="001954C0"/>
    <w:rsid w:val="00197DD1"/>
    <w:rsid w:val="001A1F6C"/>
    <w:rsid w:val="001B3E82"/>
    <w:rsid w:val="001B69FE"/>
    <w:rsid w:val="001C53B2"/>
    <w:rsid w:val="001D0CC8"/>
    <w:rsid w:val="001D0DB8"/>
    <w:rsid w:val="001D2178"/>
    <w:rsid w:val="001D5B39"/>
    <w:rsid w:val="001E40DC"/>
    <w:rsid w:val="0020002E"/>
    <w:rsid w:val="00204526"/>
    <w:rsid w:val="00222432"/>
    <w:rsid w:val="0022430A"/>
    <w:rsid w:val="002441DD"/>
    <w:rsid w:val="00251DDE"/>
    <w:rsid w:val="0025223B"/>
    <w:rsid w:val="00253F2C"/>
    <w:rsid w:val="002547E0"/>
    <w:rsid w:val="00257940"/>
    <w:rsid w:val="002629AE"/>
    <w:rsid w:val="00264431"/>
    <w:rsid w:val="00271EE9"/>
    <w:rsid w:val="00285A9E"/>
    <w:rsid w:val="002A3109"/>
    <w:rsid w:val="002A545E"/>
    <w:rsid w:val="002A5524"/>
    <w:rsid w:val="002B3254"/>
    <w:rsid w:val="002D096F"/>
    <w:rsid w:val="002D380F"/>
    <w:rsid w:val="002F33B8"/>
    <w:rsid w:val="002F450E"/>
    <w:rsid w:val="0030104B"/>
    <w:rsid w:val="00301DB8"/>
    <w:rsid w:val="00320069"/>
    <w:rsid w:val="003205F1"/>
    <w:rsid w:val="00327010"/>
    <w:rsid w:val="0035216A"/>
    <w:rsid w:val="003545D0"/>
    <w:rsid w:val="0036622E"/>
    <w:rsid w:val="00370B9A"/>
    <w:rsid w:val="003837A2"/>
    <w:rsid w:val="00387CD8"/>
    <w:rsid w:val="003C2936"/>
    <w:rsid w:val="003E678F"/>
    <w:rsid w:val="00406A68"/>
    <w:rsid w:val="00414B7D"/>
    <w:rsid w:val="00427588"/>
    <w:rsid w:val="0043476F"/>
    <w:rsid w:val="0044487F"/>
    <w:rsid w:val="00454F7C"/>
    <w:rsid w:val="00456D64"/>
    <w:rsid w:val="00465E0C"/>
    <w:rsid w:val="0047766F"/>
    <w:rsid w:val="00480C63"/>
    <w:rsid w:val="00482700"/>
    <w:rsid w:val="00493188"/>
    <w:rsid w:val="004976BC"/>
    <w:rsid w:val="004C4573"/>
    <w:rsid w:val="004E7937"/>
    <w:rsid w:val="004F1CD7"/>
    <w:rsid w:val="00523BFA"/>
    <w:rsid w:val="005329A7"/>
    <w:rsid w:val="00533A1D"/>
    <w:rsid w:val="0053754E"/>
    <w:rsid w:val="005506C9"/>
    <w:rsid w:val="0055544A"/>
    <w:rsid w:val="00583A12"/>
    <w:rsid w:val="00593BBD"/>
    <w:rsid w:val="0059751C"/>
    <w:rsid w:val="00597E23"/>
    <w:rsid w:val="005A59CA"/>
    <w:rsid w:val="005A6BD5"/>
    <w:rsid w:val="005B0346"/>
    <w:rsid w:val="005B4B3A"/>
    <w:rsid w:val="00600A59"/>
    <w:rsid w:val="006012C0"/>
    <w:rsid w:val="00602B9B"/>
    <w:rsid w:val="006076A8"/>
    <w:rsid w:val="00615F60"/>
    <w:rsid w:val="006234C4"/>
    <w:rsid w:val="00625B3A"/>
    <w:rsid w:val="00634A35"/>
    <w:rsid w:val="006507BC"/>
    <w:rsid w:val="00652138"/>
    <w:rsid w:val="00656DF2"/>
    <w:rsid w:val="0065783A"/>
    <w:rsid w:val="00665C5D"/>
    <w:rsid w:val="00666771"/>
    <w:rsid w:val="0067257B"/>
    <w:rsid w:val="006A0C6F"/>
    <w:rsid w:val="006A291E"/>
    <w:rsid w:val="006A2FEC"/>
    <w:rsid w:val="006C7259"/>
    <w:rsid w:val="006F0E98"/>
    <w:rsid w:val="006F31CB"/>
    <w:rsid w:val="00706741"/>
    <w:rsid w:val="007067DC"/>
    <w:rsid w:val="007115C8"/>
    <w:rsid w:val="00716851"/>
    <w:rsid w:val="00724D20"/>
    <w:rsid w:val="00732EAB"/>
    <w:rsid w:val="00744519"/>
    <w:rsid w:val="00755FCC"/>
    <w:rsid w:val="00756401"/>
    <w:rsid w:val="007620C6"/>
    <w:rsid w:val="00797F57"/>
    <w:rsid w:val="007B06E2"/>
    <w:rsid w:val="007D370A"/>
    <w:rsid w:val="007E22AF"/>
    <w:rsid w:val="007E73C8"/>
    <w:rsid w:val="007F506C"/>
    <w:rsid w:val="00803336"/>
    <w:rsid w:val="00806B15"/>
    <w:rsid w:val="00812F0F"/>
    <w:rsid w:val="00861AB8"/>
    <w:rsid w:val="00862861"/>
    <w:rsid w:val="008848E3"/>
    <w:rsid w:val="0088585A"/>
    <w:rsid w:val="0088603C"/>
    <w:rsid w:val="0088681F"/>
    <w:rsid w:val="00887099"/>
    <w:rsid w:val="008874A1"/>
    <w:rsid w:val="008940B0"/>
    <w:rsid w:val="00894478"/>
    <w:rsid w:val="00897F4A"/>
    <w:rsid w:val="008A00B8"/>
    <w:rsid w:val="008B0D3D"/>
    <w:rsid w:val="008D6F5D"/>
    <w:rsid w:val="008E1B34"/>
    <w:rsid w:val="008F0410"/>
    <w:rsid w:val="00911D89"/>
    <w:rsid w:val="00912EDD"/>
    <w:rsid w:val="00914D86"/>
    <w:rsid w:val="00986432"/>
    <w:rsid w:val="0099068B"/>
    <w:rsid w:val="00990FCE"/>
    <w:rsid w:val="00992585"/>
    <w:rsid w:val="00996C34"/>
    <w:rsid w:val="009A4B92"/>
    <w:rsid w:val="009B2869"/>
    <w:rsid w:val="009B5AE8"/>
    <w:rsid w:val="009C357F"/>
    <w:rsid w:val="009C67DB"/>
    <w:rsid w:val="009D16A3"/>
    <w:rsid w:val="009E4E46"/>
    <w:rsid w:val="009F1B2F"/>
    <w:rsid w:val="009F1FB9"/>
    <w:rsid w:val="009F5B0F"/>
    <w:rsid w:val="009F76EF"/>
    <w:rsid w:val="00A02C06"/>
    <w:rsid w:val="00A10229"/>
    <w:rsid w:val="00A308A2"/>
    <w:rsid w:val="00A426D9"/>
    <w:rsid w:val="00A6554D"/>
    <w:rsid w:val="00A65AA9"/>
    <w:rsid w:val="00A726DE"/>
    <w:rsid w:val="00A7335C"/>
    <w:rsid w:val="00A76219"/>
    <w:rsid w:val="00A76DD0"/>
    <w:rsid w:val="00A93261"/>
    <w:rsid w:val="00AC0F1C"/>
    <w:rsid w:val="00AD6A36"/>
    <w:rsid w:val="00AE72AE"/>
    <w:rsid w:val="00AE7455"/>
    <w:rsid w:val="00B01873"/>
    <w:rsid w:val="00B057FB"/>
    <w:rsid w:val="00B05C3B"/>
    <w:rsid w:val="00B26134"/>
    <w:rsid w:val="00B271BC"/>
    <w:rsid w:val="00B27557"/>
    <w:rsid w:val="00B40A5B"/>
    <w:rsid w:val="00B514B5"/>
    <w:rsid w:val="00B54402"/>
    <w:rsid w:val="00B5553A"/>
    <w:rsid w:val="00B700CC"/>
    <w:rsid w:val="00B722B6"/>
    <w:rsid w:val="00B959FD"/>
    <w:rsid w:val="00BA18A3"/>
    <w:rsid w:val="00BC32E5"/>
    <w:rsid w:val="00BC723C"/>
    <w:rsid w:val="00BC72A2"/>
    <w:rsid w:val="00BE0ED9"/>
    <w:rsid w:val="00BF61D9"/>
    <w:rsid w:val="00C01D91"/>
    <w:rsid w:val="00C02C5B"/>
    <w:rsid w:val="00C05168"/>
    <w:rsid w:val="00C17DE5"/>
    <w:rsid w:val="00C26468"/>
    <w:rsid w:val="00C55830"/>
    <w:rsid w:val="00C558BC"/>
    <w:rsid w:val="00C56E48"/>
    <w:rsid w:val="00C628CC"/>
    <w:rsid w:val="00C73E9D"/>
    <w:rsid w:val="00C8166B"/>
    <w:rsid w:val="00C82001"/>
    <w:rsid w:val="00C86A88"/>
    <w:rsid w:val="00CA48EA"/>
    <w:rsid w:val="00CB0330"/>
    <w:rsid w:val="00CB4F91"/>
    <w:rsid w:val="00CB7D72"/>
    <w:rsid w:val="00CD529F"/>
    <w:rsid w:val="00CD6E80"/>
    <w:rsid w:val="00CE6897"/>
    <w:rsid w:val="00CE7209"/>
    <w:rsid w:val="00D036C4"/>
    <w:rsid w:val="00D12F25"/>
    <w:rsid w:val="00D2398C"/>
    <w:rsid w:val="00D23C99"/>
    <w:rsid w:val="00D26D27"/>
    <w:rsid w:val="00D47E9C"/>
    <w:rsid w:val="00D50DE7"/>
    <w:rsid w:val="00D676F1"/>
    <w:rsid w:val="00D71525"/>
    <w:rsid w:val="00D72696"/>
    <w:rsid w:val="00D80190"/>
    <w:rsid w:val="00D8213A"/>
    <w:rsid w:val="00D82180"/>
    <w:rsid w:val="00D92744"/>
    <w:rsid w:val="00DA2994"/>
    <w:rsid w:val="00DA3CDF"/>
    <w:rsid w:val="00DC3762"/>
    <w:rsid w:val="00DD52CE"/>
    <w:rsid w:val="00E01D81"/>
    <w:rsid w:val="00E02EF1"/>
    <w:rsid w:val="00E037D0"/>
    <w:rsid w:val="00E07B36"/>
    <w:rsid w:val="00E20D25"/>
    <w:rsid w:val="00E30AD7"/>
    <w:rsid w:val="00E34D21"/>
    <w:rsid w:val="00E52AFF"/>
    <w:rsid w:val="00E80A49"/>
    <w:rsid w:val="00E87004"/>
    <w:rsid w:val="00E87B44"/>
    <w:rsid w:val="00EA2F0A"/>
    <w:rsid w:val="00EB0C7B"/>
    <w:rsid w:val="00EB6583"/>
    <w:rsid w:val="00EC2CA4"/>
    <w:rsid w:val="00EE0E46"/>
    <w:rsid w:val="00EE1522"/>
    <w:rsid w:val="00EE1853"/>
    <w:rsid w:val="00EF7159"/>
    <w:rsid w:val="00F03284"/>
    <w:rsid w:val="00F12440"/>
    <w:rsid w:val="00F217E5"/>
    <w:rsid w:val="00F25EFA"/>
    <w:rsid w:val="00F2641D"/>
    <w:rsid w:val="00F319F5"/>
    <w:rsid w:val="00F36B2B"/>
    <w:rsid w:val="00F5460F"/>
    <w:rsid w:val="00F5491B"/>
    <w:rsid w:val="00F649A4"/>
    <w:rsid w:val="00F6675A"/>
    <w:rsid w:val="00F75809"/>
    <w:rsid w:val="00F806BF"/>
    <w:rsid w:val="00F845E1"/>
    <w:rsid w:val="00F874E5"/>
    <w:rsid w:val="00FA1407"/>
    <w:rsid w:val="00FA60C1"/>
    <w:rsid w:val="00FA7F62"/>
    <w:rsid w:val="00FB5F2A"/>
    <w:rsid w:val="00FC22AB"/>
    <w:rsid w:val="00FC24FB"/>
    <w:rsid w:val="00FC2CB6"/>
    <w:rsid w:val="00FC48B9"/>
    <w:rsid w:val="00FE160B"/>
    <w:rsid w:val="024D2DF6"/>
    <w:rsid w:val="032B4F1A"/>
    <w:rsid w:val="05423738"/>
    <w:rsid w:val="065A30F4"/>
    <w:rsid w:val="07A06C79"/>
    <w:rsid w:val="083551DA"/>
    <w:rsid w:val="0863121C"/>
    <w:rsid w:val="09D6647F"/>
    <w:rsid w:val="0B4E5666"/>
    <w:rsid w:val="0C3C71F9"/>
    <w:rsid w:val="0CAC0CCF"/>
    <w:rsid w:val="0CB0514D"/>
    <w:rsid w:val="0EEE372B"/>
    <w:rsid w:val="0F1E658D"/>
    <w:rsid w:val="0F776F28"/>
    <w:rsid w:val="0FF03BF9"/>
    <w:rsid w:val="116A57DF"/>
    <w:rsid w:val="136B1FA9"/>
    <w:rsid w:val="13F63ED5"/>
    <w:rsid w:val="169F48C7"/>
    <w:rsid w:val="16D921F1"/>
    <w:rsid w:val="17085AAA"/>
    <w:rsid w:val="17EF397B"/>
    <w:rsid w:val="18FE7D1A"/>
    <w:rsid w:val="1C292868"/>
    <w:rsid w:val="1CC32127"/>
    <w:rsid w:val="1CC83643"/>
    <w:rsid w:val="1D5F4ECC"/>
    <w:rsid w:val="1DFE3C17"/>
    <w:rsid w:val="1E4069D9"/>
    <w:rsid w:val="1E5E4B7B"/>
    <w:rsid w:val="1FB55668"/>
    <w:rsid w:val="202E69E0"/>
    <w:rsid w:val="20D65FD4"/>
    <w:rsid w:val="2376255E"/>
    <w:rsid w:val="23AE2918"/>
    <w:rsid w:val="25922336"/>
    <w:rsid w:val="266470CF"/>
    <w:rsid w:val="26C65183"/>
    <w:rsid w:val="26CE161F"/>
    <w:rsid w:val="27B47C57"/>
    <w:rsid w:val="27E37AF3"/>
    <w:rsid w:val="29C315BD"/>
    <w:rsid w:val="2AD80CE9"/>
    <w:rsid w:val="2AD8235A"/>
    <w:rsid w:val="2AE77555"/>
    <w:rsid w:val="2B4A64FA"/>
    <w:rsid w:val="2B4F7A36"/>
    <w:rsid w:val="2C1C0679"/>
    <w:rsid w:val="2F16081A"/>
    <w:rsid w:val="30F23F04"/>
    <w:rsid w:val="325955EA"/>
    <w:rsid w:val="33240001"/>
    <w:rsid w:val="34FA7BC9"/>
    <w:rsid w:val="35790CFA"/>
    <w:rsid w:val="37FA4048"/>
    <w:rsid w:val="3A082807"/>
    <w:rsid w:val="3A8018EA"/>
    <w:rsid w:val="3ADA1361"/>
    <w:rsid w:val="3B15406B"/>
    <w:rsid w:val="3E9C2D00"/>
    <w:rsid w:val="3F183412"/>
    <w:rsid w:val="3F19157A"/>
    <w:rsid w:val="3F61538C"/>
    <w:rsid w:val="41B369E3"/>
    <w:rsid w:val="421B0EC3"/>
    <w:rsid w:val="423956CE"/>
    <w:rsid w:val="42B76FCB"/>
    <w:rsid w:val="42F57E52"/>
    <w:rsid w:val="4316303C"/>
    <w:rsid w:val="434D4C8B"/>
    <w:rsid w:val="43E93739"/>
    <w:rsid w:val="446C2E3F"/>
    <w:rsid w:val="451B70A9"/>
    <w:rsid w:val="45FA03FE"/>
    <w:rsid w:val="45FA7042"/>
    <w:rsid w:val="46937A09"/>
    <w:rsid w:val="471D1255"/>
    <w:rsid w:val="47630CC0"/>
    <w:rsid w:val="494416AA"/>
    <w:rsid w:val="4A5500B5"/>
    <w:rsid w:val="4ABC5A6F"/>
    <w:rsid w:val="4B7C0E73"/>
    <w:rsid w:val="4C5B6BF6"/>
    <w:rsid w:val="4DF11F11"/>
    <w:rsid w:val="4F301FBB"/>
    <w:rsid w:val="508E4806"/>
    <w:rsid w:val="51955CE2"/>
    <w:rsid w:val="51BC613A"/>
    <w:rsid w:val="53DD2899"/>
    <w:rsid w:val="54A36005"/>
    <w:rsid w:val="554C5D31"/>
    <w:rsid w:val="5576677D"/>
    <w:rsid w:val="5753119E"/>
    <w:rsid w:val="579F05C1"/>
    <w:rsid w:val="5A493525"/>
    <w:rsid w:val="5B637247"/>
    <w:rsid w:val="5BE04F13"/>
    <w:rsid w:val="5CF02351"/>
    <w:rsid w:val="5D2A7AB3"/>
    <w:rsid w:val="5E077DFF"/>
    <w:rsid w:val="5EDB2904"/>
    <w:rsid w:val="6020405B"/>
    <w:rsid w:val="60963F34"/>
    <w:rsid w:val="614C2442"/>
    <w:rsid w:val="625B3219"/>
    <w:rsid w:val="644E3122"/>
    <w:rsid w:val="65636439"/>
    <w:rsid w:val="65AA028F"/>
    <w:rsid w:val="665D1A09"/>
    <w:rsid w:val="69956B59"/>
    <w:rsid w:val="69BC08B5"/>
    <w:rsid w:val="69EB631F"/>
    <w:rsid w:val="6DE025B7"/>
    <w:rsid w:val="703E2EEB"/>
    <w:rsid w:val="7114416B"/>
    <w:rsid w:val="71A8005B"/>
    <w:rsid w:val="73614CF4"/>
    <w:rsid w:val="74182CE0"/>
    <w:rsid w:val="745206C8"/>
    <w:rsid w:val="79F22697"/>
    <w:rsid w:val="7A83292F"/>
    <w:rsid w:val="7BBB5AA1"/>
    <w:rsid w:val="7BF304DE"/>
    <w:rsid w:val="7D984AB2"/>
    <w:rsid w:val="7DDF69B4"/>
    <w:rsid w:val="7E65671B"/>
    <w:rsid w:val="7EF07B20"/>
    <w:rsid w:val="7F442012"/>
    <w:rsid w:val="7FB44ED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5"/>
    <w:unhideWhenUsed/>
    <w:qFormat/>
    <w:uiPriority w:val="9"/>
    <w:pPr>
      <w:keepNext/>
      <w:keepLines/>
      <w:spacing w:before="260" w:after="260" w:line="416" w:lineRule="auto"/>
      <w:outlineLvl w:val="2"/>
    </w:pPr>
    <w:rPr>
      <w:b/>
      <w:bCs/>
      <w:sz w:val="32"/>
      <w:szCs w:val="32"/>
    </w:rPr>
  </w:style>
  <w:style w:type="paragraph" w:styleId="6">
    <w:name w:val="heading 4"/>
    <w:basedOn w:val="1"/>
    <w:next w:val="1"/>
    <w:link w:val="3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7">
    <w:name w:val="toc 7"/>
    <w:basedOn w:val="1"/>
    <w:next w:val="1"/>
    <w:unhideWhenUsed/>
    <w:qFormat/>
    <w:uiPriority w:val="39"/>
    <w:pPr>
      <w:ind w:left="1260"/>
      <w:jc w:val="left"/>
    </w:pPr>
    <w:rPr>
      <w:sz w:val="18"/>
      <w:szCs w:val="18"/>
    </w:rPr>
  </w:style>
  <w:style w:type="paragraph" w:styleId="8">
    <w:name w:val="annotation text"/>
    <w:basedOn w:val="1"/>
    <w:link w:val="44"/>
    <w:semiHidden/>
    <w:unhideWhenUsed/>
    <w:qFormat/>
    <w:uiPriority w:val="99"/>
    <w:pPr>
      <w:jc w:val="left"/>
    </w:pPr>
  </w:style>
  <w:style w:type="paragraph" w:styleId="9">
    <w:name w:val="Body Text"/>
    <w:basedOn w:val="1"/>
    <w:link w:val="37"/>
    <w:qFormat/>
    <w:uiPriority w:val="0"/>
    <w:pPr>
      <w:spacing w:after="120"/>
    </w:pPr>
    <w:rPr>
      <w:rFonts w:ascii="Times New Roman" w:hAnsi="Times New Roman" w:eastAsia="Times New Roman" w:cs="Times New Roman"/>
      <w:szCs w:val="20"/>
    </w:rPr>
  </w:style>
  <w:style w:type="paragraph" w:styleId="10">
    <w:name w:val="toc 5"/>
    <w:basedOn w:val="1"/>
    <w:next w:val="1"/>
    <w:unhideWhenUsed/>
    <w:qFormat/>
    <w:uiPriority w:val="39"/>
    <w:pPr>
      <w:ind w:left="840"/>
      <w:jc w:val="left"/>
    </w:pPr>
    <w:rPr>
      <w:sz w:val="18"/>
      <w:szCs w:val="18"/>
    </w:rPr>
  </w:style>
  <w:style w:type="paragraph" w:styleId="11">
    <w:name w:val="toc 3"/>
    <w:basedOn w:val="1"/>
    <w:next w:val="1"/>
    <w:unhideWhenUsed/>
    <w:qFormat/>
    <w:uiPriority w:val="39"/>
    <w:pPr>
      <w:ind w:left="420"/>
      <w:jc w:val="left"/>
    </w:pPr>
    <w:rPr>
      <w:i/>
      <w:iCs/>
      <w:sz w:val="20"/>
      <w:szCs w:val="20"/>
    </w:rPr>
  </w:style>
  <w:style w:type="paragraph" w:styleId="12">
    <w:name w:val="toc 8"/>
    <w:basedOn w:val="1"/>
    <w:next w:val="1"/>
    <w:unhideWhenUsed/>
    <w:qFormat/>
    <w:uiPriority w:val="39"/>
    <w:pPr>
      <w:ind w:left="1470"/>
      <w:jc w:val="left"/>
    </w:pPr>
    <w:rPr>
      <w:sz w:val="18"/>
      <w:szCs w:val="18"/>
    </w:rPr>
  </w:style>
  <w:style w:type="paragraph" w:styleId="13">
    <w:name w:val="Date"/>
    <w:basedOn w:val="1"/>
    <w:next w:val="1"/>
    <w:link w:val="38"/>
    <w:semiHidden/>
    <w:unhideWhenUsed/>
    <w:qFormat/>
    <w:uiPriority w:val="99"/>
    <w:pPr>
      <w:ind w:left="100" w:leftChars="2500"/>
    </w:pPr>
  </w:style>
  <w:style w:type="paragraph" w:styleId="14">
    <w:name w:val="Balloon Text"/>
    <w:basedOn w:val="1"/>
    <w:link w:val="42"/>
    <w:semiHidden/>
    <w:unhideWhenUsed/>
    <w:qFormat/>
    <w:uiPriority w:val="99"/>
    <w:rPr>
      <w:sz w:val="18"/>
      <w:szCs w:val="18"/>
    </w:rPr>
  </w:style>
  <w:style w:type="paragraph" w:styleId="15">
    <w:name w:val="footer"/>
    <w:basedOn w:val="1"/>
    <w:link w:val="31"/>
    <w:unhideWhenUsed/>
    <w:qFormat/>
    <w:uiPriority w:val="99"/>
    <w:pPr>
      <w:tabs>
        <w:tab w:val="center" w:pos="4153"/>
        <w:tab w:val="right" w:pos="8306"/>
      </w:tabs>
      <w:snapToGrid w:val="0"/>
      <w:jc w:val="left"/>
    </w:pPr>
    <w:rPr>
      <w:sz w:val="18"/>
      <w:szCs w:val="18"/>
    </w:rPr>
  </w:style>
  <w:style w:type="paragraph" w:styleId="16">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pPr>
      <w:spacing w:before="120" w:after="120"/>
      <w:jc w:val="left"/>
    </w:pPr>
    <w:rPr>
      <w:b/>
      <w:bCs/>
      <w:caps/>
      <w:sz w:val="20"/>
      <w:szCs w:val="20"/>
    </w:rPr>
  </w:style>
  <w:style w:type="paragraph" w:styleId="18">
    <w:name w:val="toc 4"/>
    <w:basedOn w:val="1"/>
    <w:next w:val="1"/>
    <w:unhideWhenUsed/>
    <w:qFormat/>
    <w:uiPriority w:val="39"/>
    <w:pPr>
      <w:ind w:left="630"/>
      <w:jc w:val="left"/>
    </w:pPr>
    <w:rPr>
      <w:sz w:val="18"/>
      <w:szCs w:val="18"/>
    </w:rPr>
  </w:style>
  <w:style w:type="paragraph" w:styleId="19">
    <w:name w:val="footnote text"/>
    <w:basedOn w:val="1"/>
    <w:qFormat/>
    <w:uiPriority w:val="0"/>
    <w:pPr>
      <w:snapToGrid w:val="0"/>
      <w:jc w:val="left"/>
    </w:pPr>
    <w:rPr>
      <w:sz w:val="18"/>
      <w:szCs w:val="18"/>
    </w:rPr>
  </w:style>
  <w:style w:type="paragraph" w:styleId="20">
    <w:name w:val="toc 6"/>
    <w:basedOn w:val="1"/>
    <w:next w:val="1"/>
    <w:unhideWhenUsed/>
    <w:qFormat/>
    <w:uiPriority w:val="39"/>
    <w:pPr>
      <w:ind w:left="1050"/>
      <w:jc w:val="left"/>
    </w:pPr>
    <w:rPr>
      <w:sz w:val="18"/>
      <w:szCs w:val="18"/>
    </w:rPr>
  </w:style>
  <w:style w:type="paragraph" w:styleId="21">
    <w:name w:val="toc 2"/>
    <w:basedOn w:val="1"/>
    <w:next w:val="1"/>
    <w:unhideWhenUsed/>
    <w:qFormat/>
    <w:uiPriority w:val="39"/>
    <w:pPr>
      <w:tabs>
        <w:tab w:val="right" w:leader="dot" w:pos="8296"/>
      </w:tabs>
      <w:spacing w:line="400" w:lineRule="exact"/>
      <w:ind w:left="210"/>
      <w:jc w:val="left"/>
    </w:pPr>
    <w:rPr>
      <w:smallCaps/>
      <w:sz w:val="20"/>
      <w:szCs w:val="20"/>
    </w:rPr>
  </w:style>
  <w:style w:type="paragraph" w:styleId="22">
    <w:name w:val="toc 9"/>
    <w:basedOn w:val="1"/>
    <w:next w:val="1"/>
    <w:unhideWhenUsed/>
    <w:qFormat/>
    <w:uiPriority w:val="39"/>
    <w:pPr>
      <w:ind w:left="1680"/>
      <w:jc w:val="left"/>
    </w:pPr>
    <w:rPr>
      <w:sz w:val="18"/>
      <w:szCs w:val="18"/>
    </w:rPr>
  </w:style>
  <w:style w:type="paragraph" w:styleId="23">
    <w:name w:val="annotation subject"/>
    <w:basedOn w:val="8"/>
    <w:next w:val="8"/>
    <w:link w:val="45"/>
    <w:semiHidden/>
    <w:unhideWhenUsed/>
    <w:qFormat/>
    <w:uiPriority w:val="99"/>
    <w:rPr>
      <w:b/>
      <w:bCs/>
    </w:rPr>
  </w:style>
  <w:style w:type="paragraph" w:styleId="24">
    <w:name w:val="Body Text First Indent"/>
    <w:basedOn w:val="9"/>
    <w:qFormat/>
    <w:uiPriority w:val="0"/>
    <w:pPr>
      <w:spacing w:after="0"/>
      <w:ind w:firstLine="200" w:firstLineChars="200"/>
    </w:pPr>
  </w:style>
  <w:style w:type="character" w:styleId="27">
    <w:name w:val="Strong"/>
    <w:basedOn w:val="26"/>
    <w:qFormat/>
    <w:uiPriority w:val="0"/>
    <w:rPr>
      <w:b/>
      <w:bCs/>
    </w:rPr>
  </w:style>
  <w:style w:type="character" w:styleId="28">
    <w:name w:val="Hyperlink"/>
    <w:basedOn w:val="26"/>
    <w:unhideWhenUsed/>
    <w:qFormat/>
    <w:uiPriority w:val="99"/>
    <w:rPr>
      <w:color w:val="0000FF" w:themeColor="hyperlink"/>
      <w:u w:val="single"/>
      <w14:textFill>
        <w14:solidFill>
          <w14:schemeClr w14:val="hlink"/>
        </w14:solidFill>
      </w14:textFill>
    </w:rPr>
  </w:style>
  <w:style w:type="character" w:styleId="29">
    <w:name w:val="annotation reference"/>
    <w:basedOn w:val="26"/>
    <w:semiHidden/>
    <w:unhideWhenUsed/>
    <w:qFormat/>
    <w:uiPriority w:val="99"/>
    <w:rPr>
      <w:sz w:val="21"/>
      <w:szCs w:val="21"/>
    </w:rPr>
  </w:style>
  <w:style w:type="character" w:customStyle="1" w:styleId="30">
    <w:name w:val="页眉 Char"/>
    <w:basedOn w:val="26"/>
    <w:link w:val="16"/>
    <w:qFormat/>
    <w:uiPriority w:val="99"/>
    <w:rPr>
      <w:sz w:val="18"/>
      <w:szCs w:val="18"/>
    </w:rPr>
  </w:style>
  <w:style w:type="character" w:customStyle="1" w:styleId="31">
    <w:name w:val="页脚 Char"/>
    <w:basedOn w:val="26"/>
    <w:link w:val="15"/>
    <w:qFormat/>
    <w:uiPriority w:val="99"/>
    <w:rPr>
      <w:sz w:val="18"/>
      <w:szCs w:val="18"/>
    </w:rPr>
  </w:style>
  <w:style w:type="paragraph" w:styleId="32">
    <w:name w:val="List Paragraph"/>
    <w:basedOn w:val="1"/>
    <w:link w:val="43"/>
    <w:qFormat/>
    <w:uiPriority w:val="99"/>
    <w:pPr>
      <w:ind w:firstLine="420" w:firstLineChars="200"/>
    </w:pPr>
  </w:style>
  <w:style w:type="character" w:customStyle="1" w:styleId="33">
    <w:name w:val="标题 1 Char"/>
    <w:basedOn w:val="26"/>
    <w:link w:val="3"/>
    <w:qFormat/>
    <w:uiPriority w:val="9"/>
    <w:rPr>
      <w:b/>
      <w:bCs/>
      <w:kern w:val="44"/>
      <w:sz w:val="44"/>
      <w:szCs w:val="44"/>
    </w:rPr>
  </w:style>
  <w:style w:type="character" w:customStyle="1" w:styleId="34">
    <w:name w:val="标题 2 Char"/>
    <w:basedOn w:val="26"/>
    <w:link w:val="4"/>
    <w:qFormat/>
    <w:uiPriority w:val="9"/>
    <w:rPr>
      <w:rFonts w:asciiTheme="majorHAnsi" w:hAnsiTheme="majorHAnsi" w:eastAsiaTheme="majorEastAsia" w:cstheme="majorBidi"/>
      <w:b/>
      <w:bCs/>
      <w:sz w:val="32"/>
      <w:szCs w:val="32"/>
    </w:rPr>
  </w:style>
  <w:style w:type="character" w:customStyle="1" w:styleId="35">
    <w:name w:val="标题 3 Char"/>
    <w:basedOn w:val="26"/>
    <w:link w:val="5"/>
    <w:qFormat/>
    <w:uiPriority w:val="9"/>
    <w:rPr>
      <w:b/>
      <w:bCs/>
      <w:sz w:val="32"/>
      <w:szCs w:val="32"/>
    </w:rPr>
  </w:style>
  <w:style w:type="character" w:customStyle="1" w:styleId="36">
    <w:name w:val="标题 4 Char"/>
    <w:basedOn w:val="26"/>
    <w:link w:val="6"/>
    <w:qFormat/>
    <w:uiPriority w:val="9"/>
    <w:rPr>
      <w:rFonts w:asciiTheme="majorHAnsi" w:hAnsiTheme="majorHAnsi" w:eastAsiaTheme="majorEastAsia" w:cstheme="majorBidi"/>
      <w:b/>
      <w:bCs/>
      <w:sz w:val="28"/>
      <w:szCs w:val="28"/>
    </w:rPr>
  </w:style>
  <w:style w:type="character" w:customStyle="1" w:styleId="37">
    <w:name w:val="正文文本 Char"/>
    <w:basedOn w:val="26"/>
    <w:link w:val="9"/>
    <w:qFormat/>
    <w:uiPriority w:val="0"/>
    <w:rPr>
      <w:rFonts w:ascii="Times New Roman" w:hAnsi="Times New Roman" w:eastAsia="Times New Roman" w:cs="Times New Roman"/>
      <w:szCs w:val="20"/>
    </w:rPr>
  </w:style>
  <w:style w:type="character" w:customStyle="1" w:styleId="38">
    <w:name w:val="日期 Char"/>
    <w:basedOn w:val="26"/>
    <w:link w:val="13"/>
    <w:semiHidden/>
    <w:qFormat/>
    <w:uiPriority w:val="99"/>
    <w:rPr>
      <w:szCs w:val="24"/>
    </w:rPr>
  </w:style>
  <w:style w:type="character" w:customStyle="1" w:styleId="39">
    <w:name w:val="闻政标题3 Char"/>
    <w:link w:val="40"/>
    <w:qFormat/>
    <w:uiPriority w:val="99"/>
    <w:rPr>
      <w:rFonts w:ascii="黑体" w:hAnsi="黑体" w:eastAsia="黑体"/>
      <w:bCs/>
      <w:sz w:val="32"/>
      <w:szCs w:val="32"/>
    </w:rPr>
  </w:style>
  <w:style w:type="paragraph" w:customStyle="1" w:styleId="40">
    <w:name w:val="闻政标题3"/>
    <w:basedOn w:val="5"/>
    <w:link w:val="39"/>
    <w:qFormat/>
    <w:uiPriority w:val="99"/>
    <w:pPr>
      <w:spacing w:before="120" w:after="60" w:line="500" w:lineRule="exact"/>
      <w:jc w:val="left"/>
      <w:outlineLvl w:val="0"/>
    </w:pPr>
    <w:rPr>
      <w:rFonts w:ascii="黑体" w:hAnsi="黑体" w:eastAsia="黑体"/>
      <w:b w:val="0"/>
    </w:rPr>
  </w:style>
  <w:style w:type="paragraph" w:customStyle="1" w:styleId="41">
    <w:name w:val="列出段落1"/>
    <w:basedOn w:val="1"/>
    <w:qFormat/>
    <w:uiPriority w:val="99"/>
    <w:pPr>
      <w:ind w:firstLine="420" w:firstLineChars="200"/>
    </w:pPr>
    <w:rPr>
      <w:rFonts w:ascii="Calibri" w:hAnsi="Calibri" w:eastAsia="宋体" w:cs="Times New Roman"/>
      <w:kern w:val="0"/>
      <w:sz w:val="20"/>
      <w:szCs w:val="20"/>
    </w:rPr>
  </w:style>
  <w:style w:type="character" w:customStyle="1" w:styleId="42">
    <w:name w:val="批注框文本 Char"/>
    <w:basedOn w:val="26"/>
    <w:link w:val="14"/>
    <w:semiHidden/>
    <w:qFormat/>
    <w:uiPriority w:val="99"/>
    <w:rPr>
      <w:sz w:val="18"/>
      <w:szCs w:val="18"/>
    </w:rPr>
  </w:style>
  <w:style w:type="character" w:customStyle="1" w:styleId="43">
    <w:name w:val="列出段落 Char"/>
    <w:link w:val="32"/>
    <w:qFormat/>
    <w:locked/>
    <w:uiPriority w:val="99"/>
    <w:rPr>
      <w:szCs w:val="24"/>
    </w:rPr>
  </w:style>
  <w:style w:type="character" w:customStyle="1" w:styleId="44">
    <w:name w:val="批注文字 Char"/>
    <w:basedOn w:val="26"/>
    <w:link w:val="8"/>
    <w:semiHidden/>
    <w:qFormat/>
    <w:uiPriority w:val="99"/>
    <w:rPr>
      <w:szCs w:val="24"/>
    </w:rPr>
  </w:style>
  <w:style w:type="character" w:customStyle="1" w:styleId="45">
    <w:name w:val="批注主题 Char"/>
    <w:basedOn w:val="44"/>
    <w:link w:val="23"/>
    <w:semiHidden/>
    <w:qFormat/>
    <w:uiPriority w:val="99"/>
    <w:rPr>
      <w:b/>
      <w:bCs/>
      <w:szCs w:val="24"/>
    </w:rPr>
  </w:style>
  <w:style w:type="paragraph" w:customStyle="1" w:styleId="46">
    <w:name w:val="TOC Heading"/>
    <w:basedOn w:val="3"/>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7">
    <w:name w:val="闻政正文 Char"/>
    <w:link w:val="48"/>
    <w:qFormat/>
    <w:uiPriority w:val="99"/>
    <w:rPr>
      <w:rFonts w:ascii="Times New Roman" w:hAnsi="Times New Roman" w:eastAsia="仿宋_GB2312"/>
      <w:sz w:val="28"/>
      <w:szCs w:val="28"/>
    </w:rPr>
  </w:style>
  <w:style w:type="paragraph" w:customStyle="1" w:styleId="48">
    <w:name w:val="闻政正文"/>
    <w:basedOn w:val="1"/>
    <w:link w:val="47"/>
    <w:qFormat/>
    <w:uiPriority w:val="99"/>
    <w:pPr>
      <w:spacing w:line="500" w:lineRule="exact"/>
      <w:ind w:firstLine="560" w:firstLineChars="200"/>
    </w:pPr>
    <w:rPr>
      <w:rFonts w:ascii="Times New Roman" w:hAnsi="Times New Roman" w:eastAsia="仿宋_GB2312"/>
      <w:sz w:val="28"/>
      <w:szCs w:val="28"/>
    </w:rPr>
  </w:style>
  <w:style w:type="paragraph" w:customStyle="1" w:styleId="49">
    <w:name w:val="p0"/>
    <w:basedOn w:val="1"/>
    <w:qFormat/>
    <w:uiPriority w:val="0"/>
    <w:pPr>
      <w:widowControl/>
    </w:pPr>
    <w:rPr>
      <w:rFonts w:ascii="Times New Roman" w:hAnsi="Times New Roman" w:cs="Times New Roman"/>
      <w:kern w:val="0"/>
      <w:sz w:val="21"/>
      <w:szCs w:val="21"/>
    </w:rPr>
  </w:style>
  <w:style w:type="character" w:customStyle="1" w:styleId="50">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71189A-EC45-491A-A466-1E4A8D72163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49</Pages>
  <Words>3445</Words>
  <Characters>19643</Characters>
  <Lines>163</Lines>
  <Paragraphs>46</Paragraphs>
  <TotalTime>10</TotalTime>
  <ScaleCrop>false</ScaleCrop>
  <LinksUpToDate>false</LinksUpToDate>
  <CharactersWithSpaces>23042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2020-03-26T06:43:00Z</dcterms:created>
  <dc:creator>jc</dc:creator>
  <cp:lastModifiedBy>Administrator</cp:lastModifiedBy>
  <cp:lastPrinted>2020-03-26T03:27:00Z</cp:lastPrinted>
  <dcterms:modified xsi:type="dcterms:W3CDTF">2025-09-04T03:22:53Z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5A4F4D730A7B4392A9030BD05EAAFB09</vt:lpwstr>
  </property>
  <property fmtid="{D5CDD505-2E9C-101B-9397-08002B2CF9AE}" pid="4" name="KSOSaveFontToCloudKey">
    <vt:lpwstr>390855185_btnclosed</vt:lpwstr>
  </property>
</Properties>
</file>