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lang w:eastAsia="zh-CN"/>
        </w:rPr>
        <w:t>食品药品监管经费</w:t>
      </w:r>
      <w:r>
        <w:rPr>
          <w:rFonts w:hint="eastAsia" w:ascii="方正小标宋_GBK" w:hAnsi="华文中宋" w:eastAsia="方正小标宋_GBK" w:cs="宋体"/>
          <w:kern w:val="0"/>
          <w:sz w:val="48"/>
          <w:szCs w:val="48"/>
        </w:rPr>
        <w:t>项目支出</w:t>
      </w:r>
    </w:p>
    <w:p>
      <w:pPr>
        <w:spacing w:line="540" w:lineRule="exact"/>
        <w:jc w:val="center"/>
        <w:rPr>
          <w:rFonts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rPr>
        <w:t>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项目名称：</w:t>
      </w:r>
      <w:r>
        <w:rPr>
          <w:rFonts w:hint="eastAsia" w:hAnsi="宋体" w:eastAsia="仿宋_GB2312" w:cs="宋体"/>
          <w:kern w:val="0"/>
          <w:sz w:val="36"/>
          <w:szCs w:val="36"/>
          <w:lang w:eastAsia="zh-CN"/>
        </w:rPr>
        <w:t>食品安全检（监）测能力</w:t>
      </w:r>
      <w:r>
        <w:rPr>
          <w:rFonts w:hint="eastAsia" w:hAnsi="宋体" w:eastAsia="仿宋_GB2312" w:cs="宋体"/>
          <w:kern w:val="0"/>
          <w:sz w:val="36"/>
          <w:szCs w:val="36"/>
          <w:lang w:val="en-US" w:eastAsia="zh-CN"/>
        </w:rPr>
        <w:t>建设项目</w:t>
      </w:r>
    </w:p>
    <w:p>
      <w:pPr>
        <w:spacing w:line="700" w:lineRule="exact"/>
        <w:ind w:firstLine="720" w:firstLineChars="200"/>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实施单位（公章）：</w:t>
      </w:r>
      <w:r>
        <w:rPr>
          <w:rFonts w:hint="eastAsia" w:hAnsi="宋体" w:eastAsia="仿宋_GB2312" w:cs="宋体"/>
          <w:kern w:val="0"/>
          <w:sz w:val="36"/>
          <w:szCs w:val="36"/>
          <w:lang w:val="en-US" w:eastAsia="zh-CN"/>
        </w:rPr>
        <w:t>塔城地区食品药品检验所</w:t>
      </w:r>
    </w:p>
    <w:p>
      <w:pPr>
        <w:spacing w:line="700" w:lineRule="exact"/>
        <w:ind w:left="1078" w:leftChars="342" w:hanging="360" w:hangingChars="100"/>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塔城地区市场监督管理局</w:t>
      </w:r>
    </w:p>
    <w:p>
      <w:pPr>
        <w:spacing w:line="700" w:lineRule="exact"/>
        <w:ind w:left="1078" w:leftChars="342" w:hanging="360" w:hangingChars="1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肖志欣</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2021</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3</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15</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黑体" w:hAnsi="黑体" w:eastAsia="黑体" w:cs="黑体"/>
          <w:bCs/>
          <w:sz w:val="32"/>
          <w:szCs w:val="32"/>
        </w:rPr>
      </w:pP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黑体" w:hAnsi="黑体" w:eastAsia="黑体" w:cs="黑体"/>
          <w:bCs/>
          <w:sz w:val="32"/>
          <w:szCs w:val="32"/>
        </w:rPr>
      </w:pPr>
    </w:p>
    <w:p>
      <w:pPr>
        <w:pageBreakBefore w:val="0"/>
        <w:kinsoku/>
        <w:wordWrap/>
        <w:overflowPunct/>
        <w:topLinePunct w:val="0"/>
        <w:autoSpaceDE/>
        <w:autoSpaceDN/>
        <w:bidi w:val="0"/>
        <w:adjustRightInd/>
        <w:snapToGrid/>
        <w:spacing w:line="560" w:lineRule="atLeast"/>
        <w:ind w:firstLine="640" w:firstLineChars="200"/>
        <w:textAlignment w:val="auto"/>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pPr>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eastAsia="仿宋_GB2312"/>
          <w:lang w:eastAsia="zh-CN"/>
        </w:rPr>
      </w:pPr>
      <w:r>
        <w:rPr>
          <w:rFonts w:hint="eastAsia" w:ascii="仿宋_GB2312" w:hAnsi="仿宋_GB2312" w:eastAsia="仿宋_GB2312" w:cs="仿宋_GB2312"/>
          <w:sz w:val="32"/>
          <w:szCs w:val="32"/>
        </w:rPr>
        <w:t>食品安全检</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lang w:eastAsia="zh-CN"/>
        </w:rPr>
        <w:t>监</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lang w:eastAsia="zh-CN"/>
        </w:rPr>
        <w:t>测</w:t>
      </w:r>
      <w:bookmarkStart w:id="2" w:name="_GoBack"/>
      <w:r>
        <w:rPr>
          <w:rFonts w:hint="eastAsia" w:ascii="仿宋_GB2312" w:hAnsi="仿宋_GB2312" w:eastAsia="仿宋_GB2312" w:cs="仿宋_GB2312"/>
          <w:sz w:val="32"/>
          <w:szCs w:val="32"/>
        </w:rPr>
        <w:t>能力建设项目是落实国务院加强食品药品基础设施建设规的具体行动，对推进食品药品监督规范化，科学化建设，更好地履行</w:t>
      </w:r>
      <w:r>
        <w:rPr>
          <w:rFonts w:hint="eastAsia" w:ascii="仿宋_GB2312" w:hAnsi="仿宋_GB2312" w:eastAsia="仿宋_GB2312" w:cs="仿宋_GB2312"/>
          <w:sz w:val="32"/>
          <w:szCs w:val="32"/>
          <w:highlight w:val="none"/>
          <w:lang w:eastAsia="zh-CN"/>
        </w:rPr>
        <w:t>监</w:t>
      </w:r>
      <w:r>
        <w:rPr>
          <w:rFonts w:hint="eastAsia" w:ascii="仿宋_GB2312" w:hAnsi="仿宋_GB2312" w:eastAsia="仿宋_GB2312" w:cs="仿宋_GB2312"/>
          <w:sz w:val="32"/>
          <w:szCs w:val="32"/>
        </w:rPr>
        <w:t>管职责，提高监督监管水平，解决好人民群众最直接、最关心的食品药品安全问题，保障人民群众生命健康安全，促进地区经济社会持续和谐发展具有十分重要的意义</w:t>
      </w:r>
      <w:r>
        <w:rPr>
          <w:rFonts w:hint="eastAsia" w:ascii="仿宋_GB2312" w:hAnsi="仿宋_GB2312" w:eastAsia="仿宋_GB2312" w:cs="仿宋_GB2312"/>
          <w:sz w:val="32"/>
          <w:szCs w:val="32"/>
          <w:lang w:eastAsia="zh-CN"/>
        </w:rPr>
        <w:t>。</w:t>
      </w:r>
    </w:p>
    <w:bookmarkEnd w:id="2"/>
    <w:p>
      <w:pPr>
        <w:pStyle w:val="2"/>
        <w:pageBreakBefore w:val="0"/>
        <w:numPr>
          <w:ilvl w:val="0"/>
          <w:numId w:val="1"/>
        </w:numPr>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hAnsi="仿宋_GB2312" w:eastAsia="仿宋_GB2312" w:cs="仿宋_GB2312"/>
          <w:b w:val="0"/>
          <w:bCs w:val="0"/>
          <w:kern w:val="0"/>
        </w:rPr>
      </w:pPr>
      <w:r>
        <w:rPr>
          <w:rFonts w:hint="eastAsia" w:ascii="仿宋_GB2312" w:hAnsi="仿宋_GB2312" w:eastAsia="仿宋_GB2312" w:cs="仿宋_GB2312"/>
          <w:b w:val="0"/>
          <w:bCs w:val="0"/>
          <w:kern w:val="0"/>
        </w:rPr>
        <w:t>项目实施的历史概况</w:t>
      </w:r>
    </w:p>
    <w:p>
      <w:pPr>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根据《国家发展改革委关于下达食品安全检</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监</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测能力建设项目2016年中央预算内投资计划的通知》</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发改投资20161244号</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文件要求，自治区发改委于2016年7月5日将食品安全检</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监</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测能力建设项目2016年中央预算内投资计划的通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新发改投资20161150号</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下达地区，地区发改委于将《地区发展改革委关于下达食品安全检</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监</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能力建设项目2016年中央预算内投资计划的通知》</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塔地发改资201698号</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下达到原塔城地区食品药品监督管理局照自治区食品药品监督管理局、自治区发展和改革委员会文《关于开展自治区食品药品监管系统食品安全检</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监</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测能力设项目前期工作的通知》</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新食药监才20146号</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精神。</w:t>
      </w:r>
    </w:p>
    <w:p>
      <w:pPr>
        <w:pageBreakBefore w:val="0"/>
        <w:numPr>
          <w:ilvl w:val="0"/>
          <w:numId w:val="2"/>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项目主要内容及实施情况</w:t>
      </w:r>
    </w:p>
    <w:p>
      <w:pPr>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项目主要内容：城地区食品安全检</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监</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测能力建设项目的中央预算内资金为1683万元，其中1000万用于新实验楼建设，地</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州、市</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级食品检验检测实验室面积2500平方米，总投资1250万元，其中中央投资1000万元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中央投资为定额补助，超支不补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地方配套250万元。</w:t>
      </w:r>
      <w:r>
        <w:rPr>
          <w:rFonts w:hint="eastAsia" w:ascii="仿宋_GB2312" w:hAnsi="仿宋_GB2312" w:eastAsia="仿宋_GB2312" w:cs="仿宋_GB2312"/>
          <w:sz w:val="32"/>
          <w:szCs w:val="32"/>
          <w:lang w:eastAsia="zh-CN"/>
        </w:rPr>
        <w:t>剩余</w:t>
      </w:r>
      <w:r>
        <w:rPr>
          <w:rFonts w:hint="eastAsia" w:ascii="仿宋_GB2312" w:hAnsi="仿宋_GB2312" w:eastAsia="仿宋_GB2312" w:cs="仿宋_GB2312"/>
          <w:sz w:val="32"/>
          <w:szCs w:val="32"/>
        </w:rPr>
        <w:t>683万用于实验室配套仪器设备购置</w:t>
      </w:r>
      <w:r>
        <w:rPr>
          <w:rFonts w:hint="eastAsia" w:ascii="仿宋_GB2312" w:hAnsi="仿宋_GB2312" w:eastAsia="仿宋_GB2312" w:cs="仿宋_GB2312"/>
          <w:sz w:val="32"/>
          <w:szCs w:val="32"/>
          <w:lang w:eastAsia="zh-CN"/>
        </w:rPr>
        <w:t>。</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项目实施情况：为加快项目实施，提高食品检验能力，原塔城地区食品药品监督管理局于2017年8月16日，按照国家食品药品监管总局《关于食品安全检</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监</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能力建设规划项目实施有关工作的通知》</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国食药监财[2013]254号</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文件附件中的检测设备目录与供货方签订合同，购置了一批食品实验室检测仪器设备，合同总价为618.6万元。</w:t>
      </w:r>
    </w:p>
    <w:p>
      <w:pPr>
        <w:pStyle w:val="2"/>
        <w:pageBreakBefore w:val="0"/>
        <w:tabs>
          <w:tab w:val="left" w:pos="824"/>
        </w:tabs>
        <w:kinsoku/>
        <w:wordWrap/>
        <w:overflowPunct/>
        <w:topLinePunct w:val="0"/>
        <w:autoSpaceDE/>
        <w:autoSpaceDN/>
        <w:bidi w:val="0"/>
        <w:adjustRightInd/>
        <w:snapToGrid/>
        <w:spacing w:before="0" w:after="0" w:line="560" w:lineRule="atLeast"/>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b w:val="0"/>
          <w:bCs w:val="0"/>
          <w:kern w:val="2"/>
          <w:sz w:val="32"/>
          <w:szCs w:val="32"/>
          <w:lang w:val="en-US" w:eastAsia="zh-CN" w:bidi="ar-SA"/>
        </w:rPr>
        <w:t>原塔城地区食品药品监督管理局积极协调辽宁省食品检验检测研究院，该院做出改造方案和布局图后，2019年2月22日该项目实验室改造装修已招标确认服务商并签订合同，项目合同总价690万元。由于机构改革该项目资金于3月由原塔城地区食品药品监督管理局划转至塔城地区食品药品检验所，因涉改单位账户冻结食品药品检验所5月初开始支付项目有关款项，6月中句食品实验室改造项目开工，2019年底改造项目全部完工，2020年支付质保金。</w:t>
      </w:r>
    </w:p>
    <w:p>
      <w:pPr>
        <w:pageBreakBefore w:val="0"/>
        <w:kinsoku/>
        <w:wordWrap/>
        <w:overflowPunct/>
        <w:topLinePunct w:val="0"/>
        <w:autoSpaceDE/>
        <w:autoSpaceDN/>
        <w:bidi w:val="0"/>
        <w:adjustRightInd/>
        <w:snapToGrid/>
        <w:spacing w:line="560" w:lineRule="atLeast"/>
        <w:ind w:firstLine="579" w:firstLineChars="181"/>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本项目总投资</w:t>
      </w:r>
      <w:r>
        <w:rPr>
          <w:rFonts w:hint="eastAsia" w:ascii="仿宋_GB2312" w:hAnsi="仿宋_GB2312" w:eastAsia="仿宋_GB2312" w:cs="仿宋_GB2312"/>
          <w:sz w:val="32"/>
          <w:szCs w:val="32"/>
          <w:highlight w:val="none"/>
          <w:lang w:val="en-US" w:eastAsia="zh-CN"/>
        </w:rPr>
        <w:t>690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财政本级资金</w:t>
      </w:r>
      <w:r>
        <w:rPr>
          <w:rFonts w:hint="eastAsia" w:ascii="仿宋_GB2312" w:hAnsi="仿宋_GB2312" w:eastAsia="仿宋_GB2312" w:cs="仿宋_GB2312"/>
          <w:sz w:val="32"/>
          <w:szCs w:val="32"/>
          <w:highlight w:val="none"/>
          <w:lang w:val="en-US" w:eastAsia="zh-CN"/>
        </w:rPr>
        <w:t>690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2020年安排资金22.42万元。</w:t>
      </w:r>
      <w:r>
        <w:rPr>
          <w:rFonts w:hint="eastAsia" w:ascii="仿宋_GB2312" w:hAnsi="仿宋_GB2312" w:eastAsia="仿宋_GB2312" w:cs="仿宋_GB2312"/>
          <w:sz w:val="32"/>
          <w:szCs w:val="32"/>
          <w:highlight w:val="none"/>
          <w:lang w:eastAsia="zh-CN"/>
        </w:rPr>
        <w:t>截止</w:t>
      </w:r>
      <w:r>
        <w:rPr>
          <w:rFonts w:hint="eastAsia" w:ascii="仿宋_GB2312" w:hAnsi="仿宋_GB2312" w:eastAsia="仿宋_GB2312" w:cs="仿宋_GB2312"/>
          <w:sz w:val="32"/>
          <w:szCs w:val="32"/>
          <w:highlight w:val="none"/>
          <w:lang w:val="en-US" w:eastAsia="zh-CN"/>
        </w:rPr>
        <w:t>2020年底</w:t>
      </w:r>
      <w:r>
        <w:rPr>
          <w:rFonts w:hint="eastAsia" w:ascii="仿宋_GB2312" w:hAnsi="仿宋_GB2312" w:eastAsia="仿宋_GB2312" w:cs="仿宋_GB2312"/>
          <w:sz w:val="32"/>
          <w:szCs w:val="32"/>
          <w:highlight w:val="none"/>
        </w:rPr>
        <w:t>项目实际支出</w:t>
      </w:r>
      <w:r>
        <w:rPr>
          <w:rFonts w:hint="eastAsia" w:ascii="仿宋_GB2312" w:hAnsi="仿宋_GB2312" w:eastAsia="仿宋_GB2312" w:cs="仿宋_GB2312"/>
          <w:sz w:val="32"/>
          <w:szCs w:val="32"/>
          <w:highlight w:val="none"/>
          <w:lang w:val="en-US" w:eastAsia="zh-CN"/>
        </w:rPr>
        <w:t>763.28</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,其中:2019年支出740.76万元、2020年支出22.42万元(质保金)</w:t>
      </w:r>
      <w:r>
        <w:rPr>
          <w:rFonts w:hint="eastAsia" w:ascii="仿宋_GB2312" w:hAnsi="仿宋_GB2312" w:eastAsia="仿宋_GB2312" w:cs="仿宋_GB2312"/>
          <w:sz w:val="32"/>
          <w:szCs w:val="32"/>
          <w:highlight w:val="none"/>
        </w:rPr>
        <w:t>。</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3、资金投入和使用情况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lang w:val="en-US" w:eastAsia="zh-CN"/>
        </w:rPr>
        <w:t>2020年</w:t>
      </w:r>
      <w:r>
        <w:rPr>
          <w:rFonts w:hint="eastAsia" w:ascii="仿宋_GB2312" w:hAnsi="仿宋_GB2312" w:eastAsia="仿宋_GB2312" w:cs="仿宋_GB2312"/>
          <w:sz w:val="32"/>
          <w:szCs w:val="32"/>
          <w:highlight w:val="none"/>
        </w:rPr>
        <w:t>项目投资</w:t>
      </w:r>
      <w:r>
        <w:rPr>
          <w:rFonts w:hint="eastAsia" w:ascii="仿宋_GB2312" w:hAnsi="仿宋_GB2312" w:eastAsia="仿宋_GB2312" w:cs="仿宋_GB2312"/>
          <w:sz w:val="32"/>
          <w:szCs w:val="32"/>
          <w:highlight w:val="none"/>
          <w:lang w:val="en-US" w:eastAsia="zh-CN"/>
        </w:rPr>
        <w:t>22.42</w:t>
      </w:r>
      <w:r>
        <w:rPr>
          <w:rFonts w:hint="eastAsia" w:ascii="仿宋_GB2312" w:hAnsi="仿宋_GB2312" w:eastAsia="仿宋_GB2312" w:cs="仿宋_GB2312"/>
          <w:sz w:val="32"/>
          <w:szCs w:val="32"/>
          <w:highlight w:val="none"/>
        </w:rPr>
        <w:t>万元，按照</w:t>
      </w:r>
      <w:r>
        <w:rPr>
          <w:rFonts w:hint="eastAsia" w:ascii="仿宋_GB2312" w:hAnsi="仿宋_GB2312" w:eastAsia="仿宋_GB2312" w:cs="仿宋_GB2312"/>
          <w:sz w:val="32"/>
          <w:szCs w:val="32"/>
          <w:highlight w:val="none"/>
          <w:lang w:eastAsia="zh-CN"/>
        </w:rPr>
        <w:t>资金性质</w:t>
      </w:r>
      <w:r>
        <w:rPr>
          <w:rFonts w:hint="eastAsia" w:ascii="仿宋_GB2312" w:hAnsi="仿宋_GB2312" w:eastAsia="仿宋_GB2312" w:cs="仿宋_GB2312"/>
          <w:sz w:val="32"/>
          <w:szCs w:val="32"/>
          <w:highlight w:val="none"/>
        </w:rPr>
        <w:t>及单位财务制度等相关规定，资金支出符合</w:t>
      </w:r>
      <w:r>
        <w:rPr>
          <w:rFonts w:hint="eastAsia" w:ascii="仿宋_GB2312" w:hAnsi="仿宋_GB2312" w:eastAsia="仿宋_GB2312" w:cs="仿宋_GB2312"/>
          <w:sz w:val="32"/>
          <w:szCs w:val="32"/>
          <w:highlight w:val="none"/>
          <w:lang w:val="en-US" w:eastAsia="zh-CN"/>
        </w:rPr>
        <w:t>要求</w:t>
      </w:r>
      <w:r>
        <w:rPr>
          <w:rFonts w:hint="eastAsia" w:ascii="仿宋_GB2312" w:hAnsi="仿宋_GB2312" w:eastAsia="仿宋_GB2312" w:cs="仿宋_GB2312"/>
          <w:sz w:val="32"/>
          <w:szCs w:val="32"/>
          <w:highlight w:val="none"/>
        </w:rPr>
        <w:t>，做到了专款专用。在项目资金拨付和使用过程中，为确保项目资金的安全性，提高项目资金使用效率，严格遵循</w:t>
      </w:r>
      <w:r>
        <w:rPr>
          <w:rFonts w:hint="eastAsia" w:ascii="仿宋_GB2312" w:hAnsi="仿宋_GB2312" w:eastAsia="仿宋_GB2312" w:cs="仿宋_GB2312"/>
          <w:sz w:val="32"/>
          <w:szCs w:val="32"/>
          <w:highlight w:val="none"/>
          <w:lang w:val="en-US" w:eastAsia="zh-CN"/>
        </w:rPr>
        <w:t>边境地区转移支付</w:t>
      </w:r>
      <w:r>
        <w:rPr>
          <w:rFonts w:hint="eastAsia" w:ascii="仿宋_GB2312" w:hAnsi="仿宋_GB2312" w:eastAsia="仿宋_GB2312" w:cs="仿宋_GB2312"/>
          <w:sz w:val="32"/>
          <w:szCs w:val="32"/>
          <w:highlight w:val="none"/>
        </w:rPr>
        <w:t>资</w:t>
      </w:r>
      <w:r>
        <w:rPr>
          <w:rFonts w:hint="eastAsia" w:ascii="仿宋_GB2312" w:hAnsi="仿宋_GB2312" w:eastAsia="仿宋_GB2312" w:cs="仿宋_GB2312"/>
          <w:sz w:val="32"/>
          <w:szCs w:val="32"/>
        </w:rPr>
        <w:t>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项目预算资金来源于</w:t>
      </w:r>
      <w:r>
        <w:rPr>
          <w:rFonts w:hint="eastAsia" w:ascii="仿宋_GB2312" w:hAnsi="仿宋_GB2312" w:eastAsia="仿宋_GB2312" w:cs="仿宋_GB2312"/>
          <w:b w:val="0"/>
          <w:bCs w:val="0"/>
          <w:kern w:val="2"/>
          <w:highlight w:val="none"/>
          <w:lang w:val="en-US" w:eastAsia="zh-CN"/>
        </w:rPr>
        <w:t>塔地财预</w:t>
      </w:r>
      <w:r>
        <w:rPr>
          <w:rFonts w:hint="eastAsia" w:ascii="仿宋_GB2312" w:hAnsi="仿宋_GB2312" w:eastAsia="仿宋_GB2312" w:cs="仿宋_GB2312"/>
          <w:b w:val="0"/>
          <w:bCs w:val="0"/>
          <w:kern w:val="2"/>
          <w:highlight w:val="none"/>
        </w:rPr>
        <w:t>（20</w:t>
      </w:r>
      <w:r>
        <w:rPr>
          <w:rFonts w:hint="eastAsia" w:ascii="仿宋_GB2312" w:hAnsi="仿宋_GB2312" w:eastAsia="仿宋_GB2312" w:cs="仿宋_GB2312"/>
          <w:b w:val="0"/>
          <w:bCs w:val="0"/>
          <w:kern w:val="2"/>
          <w:highlight w:val="none"/>
          <w:lang w:val="en-US" w:eastAsia="zh-CN"/>
        </w:rPr>
        <w:t>20</w:t>
      </w:r>
      <w:r>
        <w:rPr>
          <w:rFonts w:hint="eastAsia" w:ascii="仿宋_GB2312" w:hAnsi="仿宋_GB2312" w:eastAsia="仿宋_GB2312" w:cs="仿宋_GB2312"/>
          <w:b w:val="0"/>
          <w:bCs w:val="0"/>
          <w:kern w:val="2"/>
          <w:highlight w:val="none"/>
        </w:rPr>
        <w:t>）</w:t>
      </w:r>
      <w:r>
        <w:rPr>
          <w:rFonts w:hint="eastAsia" w:ascii="仿宋_GB2312" w:hAnsi="仿宋_GB2312" w:eastAsia="仿宋_GB2312" w:cs="仿宋_GB2312"/>
          <w:b w:val="0"/>
          <w:bCs w:val="0"/>
          <w:kern w:val="2"/>
          <w:highlight w:val="none"/>
          <w:lang w:val="en-US" w:eastAsia="zh-CN"/>
        </w:rPr>
        <w:t>0509</w:t>
      </w:r>
      <w:r>
        <w:rPr>
          <w:rFonts w:hint="eastAsia" w:ascii="仿宋_GB2312" w:hAnsi="仿宋_GB2312" w:eastAsia="仿宋_GB2312" w:cs="仿宋_GB2312"/>
          <w:b w:val="0"/>
          <w:bCs w:val="0"/>
          <w:kern w:val="2"/>
          <w:highlight w:val="none"/>
        </w:rPr>
        <w:t>文件中批复的资金，项目资金到位</w:t>
      </w:r>
      <w:r>
        <w:rPr>
          <w:rFonts w:hint="eastAsia" w:ascii="仿宋_GB2312" w:hAnsi="仿宋_GB2312" w:eastAsia="仿宋_GB2312" w:cs="仿宋_GB2312"/>
          <w:b w:val="0"/>
          <w:bCs w:val="0"/>
          <w:kern w:val="2"/>
          <w:highlight w:val="none"/>
          <w:lang w:val="en-US" w:eastAsia="zh-CN"/>
        </w:rPr>
        <w:t>22.42</w:t>
      </w:r>
      <w:r>
        <w:rPr>
          <w:rFonts w:hint="eastAsia" w:ascii="仿宋_GB2312" w:hAnsi="仿宋_GB2312" w:eastAsia="仿宋_GB2312" w:cs="仿宋_GB2312"/>
          <w:b w:val="0"/>
          <w:bCs w:val="0"/>
          <w:kern w:val="2"/>
        </w:rPr>
        <w:t>万元，用于支付项目</w:t>
      </w:r>
      <w:r>
        <w:rPr>
          <w:rFonts w:hint="eastAsia" w:ascii="仿宋_GB2312" w:hAnsi="仿宋_GB2312" w:eastAsia="仿宋_GB2312" w:cs="仿宋_GB2312"/>
          <w:b w:val="0"/>
          <w:bCs w:val="0"/>
          <w:kern w:val="2"/>
          <w:lang w:eastAsia="zh-CN"/>
        </w:rPr>
        <w:t>质保金</w:t>
      </w:r>
      <w:r>
        <w:rPr>
          <w:rFonts w:hint="eastAsia" w:ascii="仿宋_GB2312" w:hAnsi="仿宋_GB2312" w:eastAsia="仿宋_GB2312" w:cs="仿宋_GB2312"/>
          <w:b w:val="0"/>
          <w:bCs w:val="0"/>
          <w:kern w:val="2"/>
        </w:rPr>
        <w:t>。</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1、总体目标</w:t>
      </w:r>
      <w:r>
        <w:rPr>
          <w:rFonts w:hint="eastAsia" w:ascii="仿宋_GB2312" w:hAnsi="仿宋_GB2312" w:eastAsia="仿宋_GB2312" w:cs="仿宋_GB2312"/>
          <w:b/>
          <w:bCs/>
          <w:sz w:val="32"/>
          <w:szCs w:val="32"/>
          <w:lang w:eastAsia="zh-CN"/>
        </w:rPr>
        <w:t>：按期支付项目质保金</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2、阶段性目标</w:t>
      </w:r>
      <w:r>
        <w:rPr>
          <w:rFonts w:hint="eastAsia" w:ascii="仿宋_GB2312" w:hAnsi="仿宋_GB2312" w:eastAsia="仿宋_GB2312" w:cs="仿宋_GB2312"/>
          <w:b/>
          <w:bCs/>
          <w:sz w:val="32"/>
          <w:szCs w:val="32"/>
          <w:lang w:eastAsia="zh-CN"/>
        </w:rPr>
        <w:t>：按期支付项目质保金</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highlight w:val="none"/>
          <w:lang w:val="en-US" w:eastAsia="zh-CN"/>
        </w:rPr>
        <w:t>地区食品药品检验所全面实施预算绩效管理实施</w:t>
      </w:r>
      <w:r>
        <w:rPr>
          <w:rFonts w:hint="eastAsia" w:ascii="仿宋_GB2312" w:hAnsi="仿宋_GB2312" w:eastAsia="仿宋_GB2312" w:cs="仿宋_GB2312"/>
          <w:sz w:val="32"/>
          <w:szCs w:val="32"/>
          <w:highlight w:val="none"/>
        </w:rPr>
        <w:t>方案》，通过制定项目实施方案，经项目负责人审核通过后，有序开展后续工程。</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（2）组织实施：</w:t>
      </w:r>
      <w:r>
        <w:rPr>
          <w:rFonts w:hint="eastAsia" w:ascii="仿宋_GB2312" w:hAnsi="仿宋_GB2312" w:eastAsia="仿宋_GB2312" w:cs="仿宋_GB2312"/>
          <w:sz w:val="32"/>
          <w:szCs w:val="32"/>
          <w:highlight w:val="none"/>
          <w:lang w:eastAsia="zh-CN"/>
        </w:rPr>
        <w:t>按照合同约定，及时完成支付工作，</w:t>
      </w:r>
      <w:r>
        <w:rPr>
          <w:rFonts w:hint="eastAsia" w:ascii="仿宋_GB2312" w:hAnsi="仿宋_GB2312" w:eastAsia="仿宋_GB2312" w:cs="仿宋_GB2312"/>
          <w:sz w:val="32"/>
          <w:szCs w:val="32"/>
        </w:rPr>
        <w:t>提高</w:t>
      </w:r>
      <w:r>
        <w:rPr>
          <w:rFonts w:hint="eastAsia" w:ascii="仿宋_GB2312" w:hAnsi="仿宋_GB2312" w:eastAsia="仿宋_GB2312" w:cs="仿宋_GB2312"/>
          <w:sz w:val="32"/>
          <w:szCs w:val="32"/>
          <w:lang w:eastAsia="zh-CN"/>
        </w:rPr>
        <w:t>资金使用</w:t>
      </w:r>
      <w:r>
        <w:rPr>
          <w:rFonts w:hint="eastAsia" w:ascii="仿宋_GB2312" w:hAnsi="仿宋_GB2312" w:eastAsia="仿宋_GB2312" w:cs="仿宋_GB2312"/>
          <w:sz w:val="32"/>
          <w:szCs w:val="32"/>
        </w:rPr>
        <w:t>效率性。</w:t>
      </w:r>
    </w:p>
    <w:p>
      <w:pPr>
        <w:pageBreakBefore w:val="0"/>
        <w:kinsoku/>
        <w:wordWrap/>
        <w:overflowPunct/>
        <w:topLinePunct w:val="0"/>
        <w:autoSpaceDE/>
        <w:autoSpaceDN/>
        <w:bidi w:val="0"/>
        <w:adjustRightInd/>
        <w:snapToGrid/>
        <w:spacing w:line="560" w:lineRule="atLeast"/>
        <w:ind w:firstLine="641"/>
        <w:textAlignment w:val="auto"/>
        <w:rPr>
          <w:rFonts w:hint="eastAsia" w:ascii="黑体" w:hAnsi="黑体" w:eastAsia="黑体"/>
          <w:sz w:val="32"/>
          <w:szCs w:val="32"/>
        </w:rPr>
      </w:pPr>
    </w:p>
    <w:p>
      <w:pPr>
        <w:pageBreakBefore w:val="0"/>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二、绩效评价工作开展情况</w:t>
      </w:r>
    </w:p>
    <w:p>
      <w:pPr>
        <w:pageBreakBefore w:val="0"/>
        <w:kinsoku/>
        <w:wordWrap/>
        <w:overflowPunct/>
        <w:topLinePunct w:val="0"/>
        <w:autoSpaceDE/>
        <w:autoSpaceDN/>
        <w:bidi w:val="0"/>
        <w:adjustRightInd/>
        <w:snapToGrid/>
        <w:spacing w:line="560" w:lineRule="atLeast"/>
        <w:ind w:firstLine="641"/>
        <w:textAlignment w:val="auto"/>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3"/>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atLeas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bCs/>
        </w:rPr>
      </w:pPr>
      <w:r>
        <w:rPr>
          <w:rFonts w:hint="eastAsia" w:ascii="仿宋_GB2312" w:hAnsi="仿宋_GB2312" w:eastAsia="仿宋_GB2312" w:cs="仿宋_GB2312"/>
          <w:b/>
          <w:bCs/>
        </w:rPr>
        <w:t>2、绩效评价的对象</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城地区食品安全检</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监</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测能力建设项目。</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bCs/>
        </w:rPr>
      </w:pPr>
      <w:r>
        <w:rPr>
          <w:rFonts w:hint="eastAsia" w:ascii="仿宋_GB2312" w:hAnsi="仿宋_GB2312" w:eastAsia="仿宋_GB2312" w:cs="仿宋_GB2312"/>
          <w:b/>
          <w:bCs/>
        </w:rPr>
        <w:t>3、绩效评价的范围</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从城地区食品安全检</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监</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测能力建设项目的决策、过程、产出、效益等方面进行评价。</w:t>
      </w:r>
    </w:p>
    <w:p>
      <w:pPr>
        <w:pageBreakBefore w:val="0"/>
        <w:kinsoku/>
        <w:wordWrap/>
        <w:overflowPunct/>
        <w:topLinePunct w:val="0"/>
        <w:autoSpaceDE/>
        <w:autoSpaceDN/>
        <w:bidi w:val="0"/>
        <w:adjustRightInd/>
        <w:snapToGrid/>
        <w:spacing w:line="560" w:lineRule="atLeas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val="0"/>
          <w:bCs w:val="0"/>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atLeas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w:t>
      </w:r>
      <w:r>
        <w:rPr>
          <w:rFonts w:hint="eastAsia" w:ascii="仿宋_GB2312" w:hAnsi="仿宋_GB2312" w:eastAsia="仿宋_GB2312" w:cs="仿宋_GB2312"/>
          <w:color w:val="000000"/>
          <w:spacing w:val="17"/>
          <w:sz w:val="32"/>
          <w:szCs w:val="32"/>
          <w:highlight w:val="none"/>
        </w:rPr>
        <w:t>层次分析法</w:t>
      </w:r>
      <w:r>
        <w:rPr>
          <w:rFonts w:hint="eastAsia" w:ascii="仿宋_GB2312" w:hAnsi="仿宋_GB2312" w:eastAsia="仿宋_GB2312" w:cs="仿宋_GB2312"/>
          <w:color w:val="000000"/>
          <w:spacing w:val="17"/>
          <w:sz w:val="32"/>
          <w:szCs w:val="32"/>
        </w:rPr>
        <w:t>，建立评价指标体系。绩效评价将指标分为项目决策指标、项目过程指标、项目产出指标、项目效益指标四个维度，最终形成一个由多个相互联系的指标组成的多层次指标体系。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w:t>
      </w:r>
      <w:r>
        <w:rPr>
          <w:rFonts w:hint="eastAsia" w:ascii="仿宋_GB2312" w:hAnsi="仿宋_GB2312" w:eastAsia="仿宋_GB2312" w:cs="仿宋_GB2312"/>
          <w:color w:val="000000"/>
          <w:spacing w:val="17"/>
          <w:sz w:val="32"/>
          <w:szCs w:val="32"/>
          <w:lang w:val="en-US" w:eastAsia="zh-CN"/>
        </w:rPr>
        <w:t>目决策</w:t>
      </w:r>
      <w:r>
        <w:rPr>
          <w:rFonts w:hint="eastAsia" w:ascii="仿宋_GB2312" w:hAnsi="仿宋_GB2312" w:eastAsia="仿宋_GB2312" w:cs="仿宋_GB2312"/>
          <w:color w:val="000000"/>
          <w:spacing w:val="17"/>
          <w:sz w:val="32"/>
          <w:szCs w:val="32"/>
        </w:rPr>
        <w:t>权重</w:t>
      </w:r>
      <w:r>
        <w:rPr>
          <w:rFonts w:hint="eastAsia" w:ascii="仿宋_GB2312" w:hAnsi="仿宋_GB2312" w:eastAsia="仿宋_GB2312" w:cs="仿宋_GB2312"/>
          <w:color w:val="000000"/>
          <w:spacing w:val="17"/>
          <w:sz w:val="32"/>
          <w:szCs w:val="32"/>
          <w:lang w:val="en-US" w:eastAsia="zh-CN"/>
        </w:rPr>
        <w:t>占5分</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权重占</w:t>
      </w:r>
      <w:r>
        <w:rPr>
          <w:rFonts w:hint="eastAsia" w:ascii="仿宋_GB2312" w:hAnsi="仿宋_GB2312" w:eastAsia="仿宋_GB2312" w:cs="仿宋_GB2312"/>
          <w:color w:val="000000"/>
          <w:spacing w:val="17"/>
          <w:sz w:val="32"/>
          <w:szCs w:val="32"/>
          <w:lang w:val="en-US" w:eastAsia="zh-CN"/>
        </w:rPr>
        <w:t>5分，</w:t>
      </w:r>
      <w:r>
        <w:rPr>
          <w:rFonts w:hint="eastAsia" w:ascii="仿宋_GB2312" w:hAnsi="仿宋_GB2312" w:eastAsia="仿宋_GB2312" w:cs="仿宋_GB2312"/>
          <w:color w:val="000000"/>
          <w:spacing w:val="17"/>
          <w:sz w:val="32"/>
          <w:szCs w:val="32"/>
        </w:rPr>
        <w:t>项目产出权重值占</w:t>
      </w:r>
      <w:r>
        <w:rPr>
          <w:rFonts w:hint="eastAsia" w:ascii="仿宋_GB2312" w:hAnsi="仿宋_GB2312" w:eastAsia="仿宋_GB2312" w:cs="仿宋_GB2312"/>
          <w:color w:val="000000"/>
          <w:spacing w:val="17"/>
          <w:sz w:val="32"/>
          <w:szCs w:val="32"/>
          <w:lang w:val="en-US" w:eastAsia="zh-CN"/>
        </w:rPr>
        <w:t>50分</w:t>
      </w:r>
      <w:r>
        <w:rPr>
          <w:rFonts w:hint="eastAsia" w:ascii="仿宋_GB2312" w:hAnsi="仿宋_GB2312" w:eastAsia="仿宋_GB2312" w:cs="仿宋_GB2312"/>
          <w:color w:val="000000"/>
          <w:spacing w:val="17"/>
          <w:sz w:val="32"/>
          <w:szCs w:val="32"/>
        </w:rPr>
        <w:t>，项目效益权重值占</w:t>
      </w:r>
      <w:r>
        <w:rPr>
          <w:rFonts w:hint="eastAsia" w:ascii="仿宋_GB2312" w:hAnsi="仿宋_GB2312" w:eastAsia="仿宋_GB2312" w:cs="仿宋_GB2312"/>
          <w:color w:val="000000"/>
          <w:spacing w:val="17"/>
          <w:sz w:val="32"/>
          <w:szCs w:val="32"/>
          <w:highlight w:val="none"/>
          <w:lang w:val="en-US" w:eastAsia="zh-CN"/>
        </w:rPr>
        <w:t>40分</w:t>
      </w:r>
      <w:r>
        <w:rPr>
          <w:rFonts w:hint="eastAsia" w:ascii="仿宋_GB2312" w:hAnsi="仿宋_GB2312" w:eastAsia="仿宋_GB2312" w:cs="仿宋_GB2312"/>
          <w:color w:val="000000"/>
          <w:spacing w:val="17"/>
          <w:sz w:val="32"/>
          <w:szCs w:val="32"/>
        </w:rPr>
        <w:t>。</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atLeas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atLeast"/>
        <w:jc w:val="both"/>
        <w:textAlignment w:val="auto"/>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w:t>
      </w:r>
      <w:r>
        <w:rPr>
          <w:rFonts w:hint="eastAsia" w:ascii="仿宋_GB2312" w:hAnsi="仿宋_GB2312" w:eastAsia="仿宋_GB2312" w:cs="仿宋_GB2312"/>
          <w:b/>
          <w:bCs/>
        </w:rPr>
        <w:t>、绩效评价</w:t>
      </w:r>
      <w:r>
        <w:rPr>
          <w:rFonts w:hint="eastAsia" w:ascii="仿宋_GB2312" w:hAnsi="仿宋_GB2312" w:eastAsia="仿宋_GB2312" w:cs="仿宋_GB2312"/>
          <w:b/>
          <w:bCs/>
          <w:lang w:val="en-US" w:eastAsia="zh-CN"/>
        </w:rPr>
        <w:t>标准</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本次评价主要采用了计划标准和行业标准。</w:t>
      </w:r>
    </w:p>
    <w:p>
      <w:pPr>
        <w:pageBreakBefore w:val="0"/>
        <w:kinsoku/>
        <w:wordWrap/>
        <w:overflowPunct/>
        <w:topLinePunct w:val="0"/>
        <w:autoSpaceDE/>
        <w:autoSpaceDN/>
        <w:bidi w:val="0"/>
        <w:adjustRightInd/>
        <w:snapToGrid/>
        <w:spacing w:line="560" w:lineRule="atLeast"/>
        <w:ind w:left="0" w:firstLine="711" w:firstLineChars="200"/>
        <w:textAlignment w:val="auto"/>
        <w:rPr>
          <w:rFonts w:hint="eastAsia" w:ascii="仿宋_GB2312" w:hAnsi="仿宋_GB2312" w:eastAsia="仿宋_GB2312" w:cs="仿宋_GB2312"/>
          <w:b w:val="0"/>
          <w:bCs w:val="0"/>
          <w:color w:val="000000"/>
          <w:spacing w:val="17"/>
          <w:kern w:val="2"/>
          <w:sz w:val="32"/>
          <w:szCs w:val="32"/>
          <w:highlight w:val="none"/>
          <w:lang w:val="en-US" w:eastAsia="zh-CN" w:bidi="ar-SA"/>
        </w:rPr>
      </w:pPr>
      <w:r>
        <w:rPr>
          <w:rFonts w:hint="eastAsia" w:ascii="仿宋_GB2312" w:hAnsi="仿宋_GB2312" w:eastAsia="仿宋_GB2312" w:cs="仿宋_GB2312"/>
          <w:b/>
          <w:bCs/>
          <w:color w:val="000000"/>
          <w:spacing w:val="17"/>
          <w:kern w:val="2"/>
          <w:sz w:val="32"/>
          <w:szCs w:val="32"/>
          <w:highlight w:val="none"/>
          <w:lang w:val="en-US" w:eastAsia="zh-CN" w:bidi="ar-SA"/>
        </w:rPr>
        <w:t>（三）绩效评价工作过程</w:t>
      </w:r>
      <w:r>
        <w:rPr>
          <w:rFonts w:hint="eastAsia" w:ascii="仿宋_GB2312" w:hAnsi="仿宋_GB2312" w:eastAsia="仿宋_GB2312" w:cs="仿宋_GB2312"/>
          <w:b w:val="0"/>
          <w:bCs w:val="0"/>
          <w:color w:val="000000"/>
          <w:spacing w:val="17"/>
          <w:kern w:val="2"/>
          <w:sz w:val="32"/>
          <w:szCs w:val="32"/>
          <w:highlight w:val="none"/>
          <w:lang w:val="en-US" w:eastAsia="zh-CN" w:bidi="ar-SA"/>
        </w:rPr>
        <w:t>。</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w:t>
      </w:r>
      <w:r>
        <w:rPr>
          <w:rFonts w:hint="eastAsia" w:ascii="仿宋_GB2312" w:hAnsi="仿宋_GB2312" w:eastAsia="仿宋_GB2312" w:cs="仿宋_GB2312"/>
          <w:color w:val="000000"/>
          <w:spacing w:val="17"/>
          <w:sz w:val="32"/>
          <w:szCs w:val="32"/>
          <w:highlight w:val="none"/>
          <w:lang w:val="en-US" w:eastAsia="zh-CN"/>
        </w:rPr>
        <w:t>全面地分析</w:t>
      </w:r>
      <w:r>
        <w:rPr>
          <w:rFonts w:hint="default" w:ascii="仿宋_GB2312" w:hAnsi="仿宋_GB2312" w:eastAsia="仿宋_GB2312" w:cs="仿宋_GB2312"/>
          <w:color w:val="000000"/>
          <w:spacing w:val="17"/>
          <w:sz w:val="32"/>
          <w:szCs w:val="32"/>
          <w:lang w:val="en-US" w:eastAsia="zh-CN"/>
        </w:rPr>
        <w:t>评价，逐项打分并形成绩效评价最终结果。</w:t>
      </w:r>
    </w:p>
    <w:p>
      <w:pPr>
        <w:pageBreakBefore w:val="0"/>
        <w:numPr>
          <w:ilvl w:val="0"/>
          <w:numId w:val="4"/>
        </w:numPr>
        <w:kinsoku/>
        <w:wordWrap/>
        <w:overflowPunct/>
        <w:topLinePunct w:val="0"/>
        <w:autoSpaceDE/>
        <w:autoSpaceDN/>
        <w:bidi w:val="0"/>
        <w:adjustRightInd/>
        <w:snapToGrid/>
        <w:spacing w:line="560" w:lineRule="atLeast"/>
        <w:ind w:firstLine="641"/>
        <w:textAlignment w:val="auto"/>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color w:val="000000"/>
          <w:spacing w:val="17"/>
          <w:kern w:val="2"/>
          <w:sz w:val="32"/>
          <w:szCs w:val="32"/>
          <w:lang w:val="en-US" w:eastAsia="zh-CN" w:bidi="ar-SA"/>
        </w:rPr>
        <w:t>对城地区食品安全检</w:t>
      </w:r>
      <w:r>
        <w:rPr>
          <w:rFonts w:hint="eastAsia" w:ascii="仿宋_GB2312" w:hAnsi="仿宋_GB2312" w:eastAsia="仿宋_GB2312" w:cs="仿宋_GB2312"/>
          <w:b w:val="0"/>
          <w:bCs w:val="0"/>
          <w:color w:val="000000"/>
          <w:spacing w:val="17"/>
          <w:kern w:val="2"/>
          <w:sz w:val="32"/>
          <w:szCs w:val="32"/>
          <w:highlight w:val="none"/>
          <w:lang w:val="en-US" w:eastAsia="zh-CN" w:bidi="ar-SA"/>
        </w:rPr>
        <w:t>(</w:t>
      </w:r>
      <w:r>
        <w:rPr>
          <w:rFonts w:hint="eastAsia" w:ascii="仿宋_GB2312" w:hAnsi="仿宋_GB2312" w:eastAsia="仿宋_GB2312" w:cs="仿宋_GB2312"/>
          <w:b w:val="0"/>
          <w:bCs w:val="0"/>
          <w:color w:val="000000"/>
          <w:spacing w:val="17"/>
          <w:kern w:val="2"/>
          <w:sz w:val="32"/>
          <w:szCs w:val="32"/>
          <w:lang w:val="en-US" w:eastAsia="zh-CN" w:bidi="ar-SA"/>
        </w:rPr>
        <w:t>监</w:t>
      </w:r>
      <w:r>
        <w:rPr>
          <w:rFonts w:hint="eastAsia" w:ascii="仿宋_GB2312" w:hAnsi="仿宋_GB2312" w:eastAsia="仿宋_GB2312" w:cs="仿宋_GB2312"/>
          <w:b w:val="0"/>
          <w:bCs w:val="0"/>
          <w:color w:val="000000"/>
          <w:spacing w:val="17"/>
          <w:kern w:val="2"/>
          <w:sz w:val="32"/>
          <w:szCs w:val="32"/>
          <w:highlight w:val="none"/>
          <w:lang w:val="en-US" w:eastAsia="zh-CN" w:bidi="ar-SA"/>
        </w:rPr>
        <w:t>)</w:t>
      </w:r>
      <w:r>
        <w:rPr>
          <w:rFonts w:hint="eastAsia" w:ascii="仿宋_GB2312" w:hAnsi="仿宋_GB2312" w:eastAsia="仿宋_GB2312" w:cs="仿宋_GB2312"/>
          <w:b w:val="0"/>
          <w:bCs w:val="0"/>
          <w:color w:val="000000"/>
          <w:spacing w:val="17"/>
          <w:kern w:val="2"/>
          <w:sz w:val="32"/>
          <w:szCs w:val="32"/>
          <w:lang w:val="en-US" w:eastAsia="zh-CN" w:bidi="ar-SA"/>
        </w:rPr>
        <w:t>测能力建设项目进</w:t>
      </w:r>
      <w:r>
        <w:rPr>
          <w:rFonts w:hint="eastAsia" w:ascii="仿宋_GB2312" w:hAnsi="仿宋_GB2312" w:eastAsia="仿宋_GB2312" w:cs="仿宋_GB2312"/>
          <w:b w:val="0"/>
          <w:bCs w:val="0"/>
          <w:highlight w:val="none"/>
        </w:rPr>
        <w:t>行客观评价，最终评分结果：总得分为</w:t>
      </w:r>
      <w:r>
        <w:rPr>
          <w:rFonts w:hint="eastAsia" w:ascii="仿宋_GB2312" w:hAnsi="仿宋_GB2312" w:eastAsia="仿宋_GB2312" w:cs="仿宋_GB2312"/>
          <w:b w:val="0"/>
          <w:bCs w:val="0"/>
          <w:highlight w:val="none"/>
          <w:lang w:val="en-US" w:eastAsia="zh-CN"/>
        </w:rPr>
        <w:t>99.5</w:t>
      </w:r>
      <w:r>
        <w:rPr>
          <w:rFonts w:hint="eastAsia" w:ascii="仿宋_GB2312" w:hAnsi="仿宋_GB2312" w:eastAsia="仿宋_GB2312" w:cs="仿宋_GB2312"/>
          <w:b w:val="0"/>
          <w:bCs w:val="0"/>
          <w:highlight w:val="none"/>
        </w:rPr>
        <w:t>分，属于“优”。其中，项目决策类指标权重为5分，得分为 5分，得分率为 100%。项目过程类指标权重为5分，得分为</w:t>
      </w:r>
      <w:r>
        <w:rPr>
          <w:rFonts w:hint="eastAsia" w:ascii="仿宋_GB2312" w:hAnsi="仿宋_GB2312" w:eastAsia="仿宋_GB2312" w:cs="仿宋_GB2312"/>
          <w:b w:val="0"/>
          <w:bCs w:val="0"/>
          <w:highlight w:val="none"/>
          <w:lang w:val="en-US" w:eastAsia="zh-CN"/>
        </w:rPr>
        <w:t>5</w:t>
      </w:r>
      <w:r>
        <w:rPr>
          <w:rFonts w:hint="eastAsia" w:ascii="仿宋_GB2312" w:hAnsi="仿宋_GB2312" w:eastAsia="仿宋_GB2312" w:cs="仿宋_GB2312"/>
          <w:b w:val="0"/>
          <w:bCs w:val="0"/>
          <w:highlight w:val="none"/>
        </w:rPr>
        <w:t>分，得分率为</w:t>
      </w:r>
      <w:r>
        <w:rPr>
          <w:rFonts w:hint="eastAsia" w:ascii="仿宋_GB2312" w:hAnsi="仿宋_GB2312" w:eastAsia="仿宋_GB2312" w:cs="仿宋_GB2312"/>
          <w:b w:val="0"/>
          <w:bCs w:val="0"/>
          <w:highlight w:val="none"/>
          <w:lang w:val="en-US" w:eastAsia="zh-CN"/>
        </w:rPr>
        <w:t>100</w:t>
      </w:r>
      <w:r>
        <w:rPr>
          <w:rFonts w:hint="eastAsia" w:ascii="仿宋_GB2312" w:hAnsi="仿宋_GB2312" w:eastAsia="仿宋_GB2312" w:cs="仿宋_GB2312"/>
          <w:b w:val="0"/>
          <w:bCs w:val="0"/>
          <w:highlight w:val="none"/>
        </w:rPr>
        <w:t>%。项目产出类指标权重为50分，得分为</w:t>
      </w:r>
      <w:r>
        <w:rPr>
          <w:rFonts w:hint="eastAsia" w:ascii="仿宋_GB2312" w:hAnsi="仿宋_GB2312" w:eastAsia="仿宋_GB2312" w:cs="仿宋_GB2312"/>
          <w:b w:val="0"/>
          <w:bCs w:val="0"/>
          <w:highlight w:val="none"/>
          <w:lang w:val="en-US" w:eastAsia="zh-CN"/>
        </w:rPr>
        <w:t>50</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100</w:t>
      </w:r>
      <w:r>
        <w:rPr>
          <w:rFonts w:hint="eastAsia" w:ascii="仿宋_GB2312" w:hAnsi="仿宋_GB2312" w:eastAsia="仿宋_GB2312" w:cs="仿宋_GB2312"/>
          <w:b w:val="0"/>
          <w:bCs w:val="0"/>
          <w:highlight w:val="none"/>
        </w:rPr>
        <w:t>%。项目效益类指标权重为</w:t>
      </w:r>
      <w:r>
        <w:rPr>
          <w:rFonts w:hint="eastAsia" w:ascii="仿宋_GB2312" w:hAnsi="仿宋_GB2312" w:eastAsia="仿宋_GB2312" w:cs="仿宋_GB2312"/>
          <w:b w:val="0"/>
          <w:bCs w:val="0"/>
          <w:highlight w:val="none"/>
          <w:lang w:val="en-US" w:eastAsia="zh-CN"/>
        </w:rPr>
        <w:t>40</w:t>
      </w:r>
      <w:r>
        <w:rPr>
          <w:rFonts w:hint="eastAsia" w:ascii="仿宋_GB2312" w:hAnsi="仿宋_GB2312" w:eastAsia="仿宋_GB2312" w:cs="仿宋_GB2312"/>
          <w:b w:val="0"/>
          <w:bCs w:val="0"/>
          <w:highlight w:val="none"/>
        </w:rPr>
        <w:t>分，得分为</w:t>
      </w:r>
      <w:r>
        <w:rPr>
          <w:rFonts w:hint="eastAsia" w:ascii="仿宋_GB2312" w:hAnsi="仿宋_GB2312" w:eastAsia="仿宋_GB2312" w:cs="仿宋_GB2312"/>
          <w:b w:val="0"/>
          <w:bCs w:val="0"/>
          <w:highlight w:val="none"/>
          <w:lang w:val="en-US" w:eastAsia="zh-CN"/>
        </w:rPr>
        <w:t>39.5</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98.75</w:t>
      </w:r>
      <w:r>
        <w:rPr>
          <w:rFonts w:hint="eastAsia" w:ascii="仿宋_GB2312" w:hAnsi="仿宋_GB2312" w:eastAsia="仿宋_GB2312" w:cs="仿宋_GB2312"/>
          <w:b w:val="0"/>
          <w:bCs w:val="0"/>
          <w:highlight w:val="none"/>
        </w:rPr>
        <w:t>%。</w:t>
      </w:r>
    </w:p>
    <w:p>
      <w:pPr>
        <w:pStyle w:val="2"/>
        <w:pageBreakBefore w:val="0"/>
        <w:kinsoku/>
        <w:wordWrap/>
        <w:overflowPunct/>
        <w:topLinePunct w:val="0"/>
        <w:autoSpaceDE/>
        <w:autoSpaceDN/>
        <w:bidi w:val="0"/>
        <w:adjustRightInd/>
        <w:snapToGrid/>
        <w:spacing w:before="0" w:after="0" w:line="560" w:lineRule="atLeas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pageBreakBefore w:val="0"/>
        <w:kinsoku/>
        <w:wordWrap/>
        <w:overflowPunct/>
        <w:topLinePunct w:val="0"/>
        <w:autoSpaceDE/>
        <w:autoSpaceDN/>
        <w:bidi w:val="0"/>
        <w:adjustRightInd/>
        <w:snapToGrid/>
        <w:spacing w:line="560" w:lineRule="atLeast"/>
        <w:textAlignment w:val="auto"/>
      </w:pPr>
    </w:p>
    <w:p>
      <w:pPr>
        <w:pageBreakBefore w:val="0"/>
        <w:kinsoku/>
        <w:wordWrap/>
        <w:overflowPunct/>
        <w:topLinePunct w:val="0"/>
        <w:autoSpaceDE/>
        <w:autoSpaceDN/>
        <w:bidi w:val="0"/>
        <w:adjustRightInd/>
        <w:snapToGrid/>
        <w:spacing w:line="560" w:lineRule="atLeast"/>
        <w:textAlignment w:val="auto"/>
      </w:pPr>
    </w:p>
    <w:tbl>
      <w:tblPr>
        <w:tblStyle w:val="22"/>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1016"/>
        <w:gridCol w:w="1123"/>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atLeas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1016"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123"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符合职责</w:t>
            </w:r>
          </w:p>
        </w:tc>
        <w:tc>
          <w:tcPr>
            <w:tcW w:w="1016"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eastAsia="zh-CN"/>
              </w:rPr>
              <w:t>符合职责</w:t>
            </w:r>
          </w:p>
        </w:tc>
        <w:tc>
          <w:tcPr>
            <w:tcW w:w="112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立项文件</w:t>
            </w:r>
          </w:p>
        </w:tc>
        <w:tc>
          <w:tcPr>
            <w:tcW w:w="1016"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eastAsia="zh-CN"/>
              </w:rPr>
              <w:t>立项文件</w:t>
            </w:r>
          </w:p>
        </w:tc>
        <w:tc>
          <w:tcPr>
            <w:tcW w:w="112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合理</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eastAsia="zh-CN"/>
              </w:rPr>
              <w:t>合理</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明确</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eastAsia="zh-CN"/>
              </w:rPr>
              <w:t>明确</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016"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12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eastAsia="zh-CN"/>
              </w:rPr>
              <w:t>合理</w:t>
            </w:r>
          </w:p>
        </w:tc>
        <w:tc>
          <w:tcPr>
            <w:tcW w:w="1016"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eastAsia="zh-CN"/>
              </w:rPr>
              <w:t>合理</w:t>
            </w:r>
          </w:p>
        </w:tc>
        <w:tc>
          <w:tcPr>
            <w:tcW w:w="112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016"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77%</w:t>
            </w:r>
          </w:p>
        </w:tc>
        <w:tc>
          <w:tcPr>
            <w:tcW w:w="112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77%</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0.77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健全</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eastAsia="zh-CN"/>
              </w:rPr>
              <w:t>健全</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综合实验室面积</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7.5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cs="宋体"/>
                <w:color w:val="000000"/>
                <w:kern w:val="0"/>
                <w:sz w:val="22"/>
                <w:szCs w:val="22"/>
                <w:lang w:val="en-US"/>
              </w:rPr>
            </w:pPr>
            <w:r>
              <w:rPr>
                <w:rFonts w:hint="eastAsia" w:ascii="仿宋" w:hAnsi="仿宋" w:eastAsia="仿宋" w:cs="仿宋"/>
                <w:i w:val="0"/>
                <w:color w:val="000000"/>
                <w:kern w:val="0"/>
                <w:sz w:val="21"/>
                <w:szCs w:val="21"/>
                <w:u w:val="none"/>
                <w:lang w:val="en-US" w:eastAsia="zh-CN" w:bidi="ar"/>
              </w:rPr>
              <w:t>=2844平方米</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仿宋" w:hAnsi="仿宋" w:eastAsia="仿宋" w:cs="仿宋"/>
                <w:i w:val="0"/>
                <w:color w:val="000000"/>
                <w:kern w:val="0"/>
                <w:sz w:val="21"/>
                <w:szCs w:val="21"/>
                <w:u w:val="none"/>
                <w:lang w:val="en-US" w:eastAsia="zh-CN" w:bidi="ar"/>
              </w:rPr>
              <w:t>2844平方米</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lang w:eastAsia="zh-CN"/>
              </w:rPr>
            </w:pPr>
            <w:r>
              <w:rPr>
                <w:rFonts w:hint="eastAsia" w:ascii="宋体" w:hAnsi="宋体" w:cs="宋体"/>
                <w:color w:val="000000"/>
                <w:kern w:val="0"/>
                <w:sz w:val="22"/>
                <w:szCs w:val="22"/>
                <w:lang w:eastAsia="zh-CN"/>
              </w:rPr>
              <w:t>电梯按照情况</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7.5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=1套</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1套</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eastAsia="zh-CN"/>
              </w:rPr>
              <w:t>装修</w:t>
            </w:r>
            <w:r>
              <w:rPr>
                <w:rFonts w:hint="eastAsia" w:ascii="宋体" w:hAnsi="宋体" w:cs="宋体"/>
                <w:color w:val="000000"/>
                <w:kern w:val="0"/>
                <w:sz w:val="22"/>
                <w:szCs w:val="22"/>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电梯验收合格率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资金支付及时性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rPr>
              <w:t>成本</w:t>
            </w:r>
            <w:r>
              <w:rPr>
                <w:rFonts w:hint="eastAsia" w:ascii="宋体" w:hAnsi="宋体" w:cs="宋体"/>
                <w:color w:val="000000"/>
                <w:kern w:val="0"/>
                <w:sz w:val="22"/>
                <w:szCs w:val="22"/>
                <w:lang w:eastAsia="zh-CN"/>
              </w:rPr>
              <w:t>控制数</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=22.42万元</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22.42万元</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地区食品检验场所</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显著增加</w:t>
            </w:r>
          </w:p>
        </w:tc>
        <w:tc>
          <w:tcPr>
            <w:tcW w:w="1016"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eastAsia="zh-CN"/>
              </w:rPr>
              <w:t>显著增加</w:t>
            </w:r>
          </w:p>
        </w:tc>
        <w:tc>
          <w:tcPr>
            <w:tcW w:w="112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服务对象满意度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cs="宋体"/>
                <w:color w:val="000000"/>
                <w:kern w:val="0"/>
                <w:sz w:val="22"/>
                <w:szCs w:val="22"/>
                <w:lang w:val="en-US"/>
              </w:rPr>
            </w:pPr>
            <w:r>
              <w:rPr>
                <w:rFonts w:hint="eastAsia" w:ascii="仿宋" w:hAnsi="仿宋" w:eastAsia="仿宋" w:cs="仿宋"/>
                <w:i w:val="0"/>
                <w:color w:val="000000"/>
                <w:kern w:val="0"/>
                <w:sz w:val="21"/>
                <w:szCs w:val="21"/>
                <w:u w:val="none"/>
                <w:lang w:val="en-US" w:eastAsia="zh-CN" w:bidi="ar"/>
              </w:rPr>
              <w:t>≥90%</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bl>
    <w:p>
      <w:pPr>
        <w:pageBreakBefore w:val="0"/>
        <w:kinsoku/>
        <w:wordWrap/>
        <w:overflowPunct/>
        <w:topLinePunct w:val="0"/>
        <w:autoSpaceDE/>
        <w:autoSpaceDN/>
        <w:bidi w:val="0"/>
        <w:adjustRightInd/>
        <w:snapToGrid/>
        <w:spacing w:line="560" w:lineRule="atLeast"/>
        <w:ind w:firstLine="320" w:firstLineChars="100"/>
        <w:textAlignment w:val="auto"/>
        <w:rPr>
          <w:rFonts w:ascii="黑体" w:hAnsi="黑体" w:eastAsia="黑体"/>
          <w:sz w:val="32"/>
          <w:szCs w:val="32"/>
        </w:rPr>
      </w:pPr>
      <w:r>
        <w:rPr>
          <w:rFonts w:hint="eastAsia" w:ascii="黑体" w:hAnsi="黑体" w:eastAsia="黑体"/>
          <w:sz w:val="32"/>
          <w:szCs w:val="32"/>
        </w:rPr>
        <w:t>四、绩效评价指标分析</w:t>
      </w:r>
    </w:p>
    <w:p>
      <w:pPr>
        <w:pStyle w:val="2"/>
        <w:pageBreakBefore w:val="0"/>
        <w:numPr>
          <w:ilvl w:val="0"/>
          <w:numId w:val="0"/>
        </w:numPr>
        <w:kinsoku/>
        <w:wordWrap/>
        <w:overflowPunct/>
        <w:topLinePunct w:val="0"/>
        <w:autoSpaceDE/>
        <w:autoSpaceDN/>
        <w:bidi w:val="0"/>
        <w:adjustRightInd/>
        <w:snapToGrid/>
        <w:spacing w:before="0" w:after="0" w:line="560" w:lineRule="atLeast"/>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lang w:val="en-US" w:eastAsia="zh-CN"/>
        </w:rPr>
        <w:t>项目决策指标从立项依据充分性、立项程序、绩效目标、绩效指标、预算编制、资金分配合理性</w:t>
      </w:r>
      <w:r>
        <w:rPr>
          <w:rFonts w:hint="eastAsia" w:ascii="仿宋_GB2312" w:hAnsi="仿宋_GB2312" w:eastAsia="仿宋_GB2312" w:cs="仿宋_GB2312"/>
          <w:color w:val="000000"/>
          <w:spacing w:val="17"/>
          <w:sz w:val="32"/>
          <w:szCs w:val="32"/>
          <w:highlight w:val="none"/>
          <w:lang w:val="en-US" w:eastAsia="zh-CN"/>
        </w:rPr>
        <w:t>六个方面</w:t>
      </w:r>
      <w:r>
        <w:rPr>
          <w:rFonts w:hint="eastAsia" w:ascii="仿宋_GB2312" w:hAnsi="仿宋_GB2312" w:eastAsia="仿宋_GB2312" w:cs="仿宋_GB2312"/>
          <w:color w:val="000000"/>
          <w:spacing w:val="17"/>
          <w:sz w:val="32"/>
          <w:szCs w:val="32"/>
          <w:lang w:val="en-US" w:eastAsia="zh-CN"/>
        </w:rPr>
        <w:t>对项目立项是否符合法律法规、相关政策、发展规划以及部门职责，用以反映和考核项目立项依据情况进行考察，立项依据充分性分值1分，实际得分1分，得分率100％</w:t>
      </w:r>
      <w:r>
        <w:rPr>
          <w:rFonts w:hint="eastAsia" w:ascii="仿宋_GB2312" w:hAnsi="仿宋_GB2312" w:eastAsia="仿宋_GB2312" w:cs="仿宋_GB2312"/>
          <w:color w:val="000000"/>
          <w:spacing w:val="17"/>
          <w:sz w:val="32"/>
          <w:szCs w:val="32"/>
          <w:highlight w:val="none"/>
          <w:lang w:val="en-US" w:eastAsia="zh-CN"/>
        </w:rPr>
        <w:t>；</w:t>
      </w:r>
      <w:r>
        <w:rPr>
          <w:rFonts w:hint="eastAsia" w:ascii="仿宋_GB2312" w:hAnsi="仿宋_GB2312" w:eastAsia="仿宋_GB2312" w:cs="仿宋_GB2312"/>
          <w:color w:val="000000"/>
          <w:spacing w:val="17"/>
          <w:sz w:val="32"/>
          <w:szCs w:val="32"/>
          <w:lang w:val="en-US" w:eastAsia="zh-CN"/>
        </w:rPr>
        <w:t>立项程序分值1分，实际得分1分得分率100％</w:t>
      </w:r>
      <w:r>
        <w:rPr>
          <w:rFonts w:hint="eastAsia" w:ascii="仿宋_GB2312" w:hAnsi="仿宋_GB2312" w:eastAsia="仿宋_GB2312" w:cs="仿宋_GB2312"/>
          <w:color w:val="000000"/>
          <w:spacing w:val="17"/>
          <w:sz w:val="32"/>
          <w:szCs w:val="32"/>
          <w:highlight w:val="none"/>
          <w:lang w:val="en-US" w:eastAsia="zh-CN"/>
        </w:rPr>
        <w:t>；</w:t>
      </w:r>
      <w:r>
        <w:rPr>
          <w:rFonts w:hint="eastAsia" w:ascii="仿宋_GB2312" w:hAnsi="仿宋_GB2312" w:eastAsia="仿宋_GB2312" w:cs="仿宋_GB2312"/>
          <w:color w:val="000000"/>
          <w:spacing w:val="17"/>
          <w:sz w:val="32"/>
          <w:szCs w:val="32"/>
          <w:lang w:val="en-US" w:eastAsia="zh-CN"/>
        </w:rPr>
        <w:t>绩效目标分值13分，实际得分1分，得分率100％绩效指标分值1分，实际得分1分，得分率100％预算编制分值1分，实际得分1分，得分率100％</w:t>
      </w:r>
      <w:r>
        <w:rPr>
          <w:rFonts w:hint="eastAsia" w:ascii="仿宋_GB2312" w:hAnsi="仿宋_GB2312" w:eastAsia="仿宋_GB2312" w:cs="仿宋_GB2312"/>
          <w:color w:val="000000"/>
          <w:spacing w:val="17"/>
          <w:sz w:val="32"/>
          <w:szCs w:val="32"/>
          <w:highlight w:val="none"/>
          <w:lang w:val="en-US" w:eastAsia="zh-CN"/>
        </w:rPr>
        <w:t>；</w:t>
      </w:r>
      <w:r>
        <w:rPr>
          <w:rFonts w:hint="eastAsia" w:ascii="仿宋_GB2312" w:hAnsi="仿宋_GB2312" w:eastAsia="仿宋_GB2312" w:cs="仿宋_GB2312"/>
          <w:color w:val="000000"/>
          <w:spacing w:val="17"/>
          <w:sz w:val="32"/>
          <w:szCs w:val="32"/>
          <w:lang w:val="en-US" w:eastAsia="zh-CN"/>
        </w:rPr>
        <w:t>资金分配合理性分值1分，实际得分1分，得分率100％。项目决策指标得分情况如表所示。</w:t>
      </w:r>
    </w:p>
    <w:p>
      <w:pPr>
        <w:pStyle w:val="2"/>
        <w:pageBreakBefore w:val="0"/>
        <w:numPr>
          <w:ilvl w:val="0"/>
          <w:numId w:val="0"/>
        </w:numPr>
        <w:kinsoku/>
        <w:wordWrap/>
        <w:overflowPunct/>
        <w:topLinePunct w:val="0"/>
        <w:autoSpaceDE/>
        <w:autoSpaceDN/>
        <w:bidi w:val="0"/>
        <w:adjustRightInd/>
        <w:snapToGrid/>
        <w:spacing w:before="0" w:after="0" w:line="560" w:lineRule="atLeast"/>
        <w:jc w:val="both"/>
        <w:textAlignment w:val="auto"/>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项目过程指标从资金到位率、预算执行率、资金使用合规性管理制度健全性、制度执行</w:t>
      </w:r>
      <w:r>
        <w:rPr>
          <w:rFonts w:hint="eastAsia" w:ascii="仿宋_GB2312" w:hAnsi="仿宋_GB2312" w:eastAsia="仿宋_GB2312" w:cs="仿宋_GB2312"/>
          <w:color w:val="000000"/>
          <w:spacing w:val="17"/>
          <w:sz w:val="32"/>
          <w:szCs w:val="32"/>
          <w:highlight w:val="none"/>
          <w:lang w:val="en-US" w:eastAsia="zh-CN"/>
        </w:rPr>
        <w:t>五个方面</w:t>
      </w:r>
      <w:r>
        <w:rPr>
          <w:rFonts w:hint="eastAsia" w:ascii="仿宋_GB2312" w:hAnsi="仿宋_GB2312" w:eastAsia="仿宋_GB2312" w:cs="仿宋_GB2312"/>
          <w:color w:val="000000"/>
          <w:spacing w:val="17"/>
          <w:sz w:val="32"/>
          <w:szCs w:val="32"/>
          <w:lang w:val="en-US" w:eastAsia="zh-CN"/>
        </w:rPr>
        <w:t>对项目的管理情况进行考察：资金到位率分值1分，实际得分1分，得分率100％，预算执行率分值1分，实际得分0.77分，得分率100％，资金使用合规性分值1分，实际得分1分，得分率100％，管理制度健全性分值1分，实际得分1分，得分率100％，制度执行分值1分，实际得分1分，得分率100％.项目决策指标得分情况如表所示。</w:t>
      </w:r>
    </w:p>
    <w:p>
      <w:pPr>
        <w:pStyle w:val="2"/>
        <w:pageBreakBefore w:val="0"/>
        <w:numPr>
          <w:ilvl w:val="0"/>
          <w:numId w:val="0"/>
        </w:numPr>
        <w:kinsoku/>
        <w:wordWrap/>
        <w:overflowPunct/>
        <w:topLinePunct w:val="0"/>
        <w:autoSpaceDE/>
        <w:autoSpaceDN/>
        <w:bidi w:val="0"/>
        <w:adjustRightInd/>
        <w:snapToGrid/>
        <w:spacing w:before="0" w:after="0" w:line="560" w:lineRule="atLeast"/>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w:t>
      </w:r>
      <w:r>
        <w:rPr>
          <w:rFonts w:hint="eastAsia" w:ascii="楷体_GB2312" w:hAnsi="楷体_GB2312" w:eastAsia="楷体_GB2312" w:cs="楷体_GB2312"/>
          <w:lang w:eastAsia="zh-CN"/>
        </w:rPr>
        <w:t>）项目产出</w:t>
      </w:r>
    </w:p>
    <w:p>
      <w:pPr>
        <w:pStyle w:val="53"/>
        <w:pageBreakBefore w:val="0"/>
        <w:kinsoku/>
        <w:wordWrap/>
        <w:overflowPunct/>
        <w:topLinePunct w:val="0"/>
        <w:autoSpaceDE/>
        <w:autoSpaceDN/>
        <w:bidi w:val="0"/>
        <w:adjustRightInd/>
        <w:snapToGrid/>
        <w:spacing w:line="560" w:lineRule="atLeast"/>
        <w:ind w:firstLine="560"/>
        <w:textAlignment w:val="auto"/>
        <w:rPr>
          <w:rStyle w:val="52"/>
          <w:rFonts w:hint="eastAsia"/>
          <w:b w:val="0"/>
          <w:bCs w:val="0"/>
          <w:color w:val="auto"/>
          <w:lang w:val="en-US" w:eastAsia="zh-CN"/>
        </w:rPr>
      </w:pPr>
      <w:r>
        <w:rPr>
          <w:rStyle w:val="52"/>
          <w:rFonts w:hint="eastAsia"/>
          <w:b w:val="0"/>
          <w:bCs w:val="0"/>
          <w:color w:val="auto"/>
          <w:lang w:val="en-US" w:eastAsia="zh-CN"/>
        </w:rPr>
        <w:t>数量指标方面：综合实验室面积</w:t>
      </w:r>
      <w:r>
        <w:rPr>
          <w:rStyle w:val="52"/>
          <w:rFonts w:hint="eastAsia"/>
          <w:b w:val="0"/>
          <w:bCs w:val="0"/>
          <w:color w:val="auto"/>
          <w:highlight w:val="none"/>
          <w:lang w:val="en-US" w:eastAsia="zh-CN"/>
        </w:rPr>
        <w:t>(</w:t>
      </w:r>
      <w:r>
        <w:rPr>
          <w:rStyle w:val="52"/>
          <w:rFonts w:hint="eastAsia"/>
          <w:b w:val="0"/>
          <w:bCs w:val="0"/>
          <w:color w:val="auto"/>
          <w:lang w:val="en-US" w:eastAsia="zh-CN"/>
        </w:rPr>
        <w:t>评价目标值：=2844平方米，业绩值：2844平方米</w:t>
      </w:r>
      <w:r>
        <w:rPr>
          <w:rStyle w:val="52"/>
          <w:rFonts w:hint="eastAsia"/>
          <w:b w:val="0"/>
          <w:bCs w:val="0"/>
          <w:color w:val="auto"/>
          <w:highlight w:val="none"/>
          <w:lang w:val="en-US" w:eastAsia="zh-CN"/>
        </w:rPr>
        <w:t>)；</w:t>
      </w:r>
      <w:r>
        <w:rPr>
          <w:rStyle w:val="52"/>
          <w:rFonts w:hint="eastAsia"/>
          <w:b w:val="0"/>
          <w:bCs w:val="0"/>
          <w:color w:val="auto"/>
          <w:lang w:val="en-US" w:eastAsia="zh-CN"/>
        </w:rPr>
        <w:t>电梯安装情况</w:t>
      </w:r>
      <w:r>
        <w:rPr>
          <w:rStyle w:val="52"/>
          <w:rFonts w:hint="eastAsia"/>
          <w:b w:val="0"/>
          <w:bCs w:val="0"/>
          <w:color w:val="auto"/>
          <w:highlight w:val="none"/>
          <w:lang w:val="en-US" w:eastAsia="zh-CN"/>
        </w:rPr>
        <w:t>(</w:t>
      </w:r>
      <w:r>
        <w:rPr>
          <w:rStyle w:val="52"/>
          <w:rFonts w:hint="eastAsia"/>
          <w:b w:val="0"/>
          <w:bCs w:val="0"/>
          <w:color w:val="auto"/>
          <w:lang w:val="en-US" w:eastAsia="zh-CN"/>
        </w:rPr>
        <w:t>评价目标值：=1套，业绩值：1套</w:t>
      </w:r>
      <w:r>
        <w:rPr>
          <w:rStyle w:val="52"/>
          <w:rFonts w:hint="eastAsia"/>
          <w:b w:val="0"/>
          <w:bCs w:val="0"/>
          <w:color w:val="auto"/>
          <w:highlight w:val="none"/>
          <w:lang w:val="en-US" w:eastAsia="zh-CN"/>
        </w:rPr>
        <w:t>)；</w:t>
      </w:r>
    </w:p>
    <w:p>
      <w:pPr>
        <w:pStyle w:val="53"/>
        <w:pageBreakBefore w:val="0"/>
        <w:kinsoku/>
        <w:wordWrap/>
        <w:overflowPunct/>
        <w:topLinePunct w:val="0"/>
        <w:autoSpaceDE/>
        <w:autoSpaceDN/>
        <w:bidi w:val="0"/>
        <w:adjustRightInd/>
        <w:snapToGrid/>
        <w:spacing w:line="560" w:lineRule="atLeast"/>
        <w:ind w:firstLine="560"/>
        <w:textAlignment w:val="auto"/>
        <w:rPr>
          <w:rStyle w:val="52"/>
          <w:rFonts w:hint="eastAsia"/>
          <w:b w:val="0"/>
          <w:bCs w:val="0"/>
          <w:color w:val="auto"/>
          <w:lang w:val="en-US" w:eastAsia="zh-CN"/>
        </w:rPr>
      </w:pPr>
      <w:r>
        <w:rPr>
          <w:rStyle w:val="52"/>
          <w:rFonts w:hint="eastAsia"/>
          <w:b w:val="0"/>
          <w:bCs w:val="0"/>
          <w:color w:val="auto"/>
          <w:lang w:val="en-US" w:eastAsia="zh-CN"/>
        </w:rPr>
        <w:t>质量指标方面：实验室装修质量按要求达标</w:t>
      </w:r>
      <w:r>
        <w:rPr>
          <w:rStyle w:val="52"/>
          <w:rFonts w:hint="eastAsia"/>
          <w:b w:val="0"/>
          <w:bCs w:val="0"/>
          <w:color w:val="auto"/>
          <w:highlight w:val="none"/>
          <w:lang w:val="en-US" w:eastAsia="zh-CN"/>
        </w:rPr>
        <w:t>(</w:t>
      </w:r>
      <w:r>
        <w:rPr>
          <w:rStyle w:val="52"/>
          <w:rFonts w:hint="eastAsia"/>
          <w:b w:val="0"/>
          <w:bCs w:val="0"/>
          <w:color w:val="auto"/>
          <w:lang w:val="en-US" w:eastAsia="zh-CN"/>
        </w:rPr>
        <w:t>评价目标值：=100%，业绩值：100%</w:t>
      </w:r>
      <w:r>
        <w:rPr>
          <w:rStyle w:val="52"/>
          <w:rFonts w:hint="eastAsia"/>
          <w:b w:val="0"/>
          <w:bCs w:val="0"/>
          <w:color w:val="auto"/>
          <w:highlight w:val="none"/>
          <w:lang w:val="en-US" w:eastAsia="zh-CN"/>
        </w:rPr>
        <w:t>)；</w:t>
      </w:r>
      <w:r>
        <w:rPr>
          <w:rStyle w:val="52"/>
          <w:rFonts w:hint="eastAsia"/>
          <w:b w:val="0"/>
          <w:bCs w:val="0"/>
          <w:color w:val="auto"/>
          <w:lang w:val="en-US" w:eastAsia="zh-CN"/>
        </w:rPr>
        <w:t>电梯验收合格率</w:t>
      </w:r>
      <w:r>
        <w:rPr>
          <w:rStyle w:val="52"/>
          <w:rFonts w:hint="eastAsia"/>
          <w:b w:val="0"/>
          <w:bCs w:val="0"/>
          <w:color w:val="auto"/>
          <w:highlight w:val="none"/>
          <w:lang w:val="en-US" w:eastAsia="zh-CN"/>
        </w:rPr>
        <w:t>(</w:t>
      </w:r>
      <w:r>
        <w:rPr>
          <w:rStyle w:val="52"/>
          <w:rFonts w:hint="eastAsia"/>
          <w:b w:val="0"/>
          <w:bCs w:val="0"/>
          <w:color w:val="auto"/>
          <w:lang w:val="en-US" w:eastAsia="zh-CN"/>
        </w:rPr>
        <w:t>评价目标值：=100%，业绩值：100%</w:t>
      </w:r>
      <w:r>
        <w:rPr>
          <w:rStyle w:val="52"/>
          <w:rFonts w:hint="eastAsia"/>
          <w:b w:val="0"/>
          <w:bCs w:val="0"/>
          <w:color w:val="auto"/>
          <w:highlight w:val="none"/>
          <w:lang w:val="en-US" w:eastAsia="zh-CN"/>
        </w:rPr>
        <w:t>)；</w:t>
      </w:r>
    </w:p>
    <w:p>
      <w:pPr>
        <w:pStyle w:val="53"/>
        <w:pageBreakBefore w:val="0"/>
        <w:kinsoku/>
        <w:wordWrap/>
        <w:overflowPunct/>
        <w:topLinePunct w:val="0"/>
        <w:autoSpaceDE/>
        <w:autoSpaceDN/>
        <w:bidi w:val="0"/>
        <w:adjustRightInd/>
        <w:snapToGrid/>
        <w:spacing w:line="560" w:lineRule="atLeast"/>
        <w:ind w:firstLine="560"/>
        <w:textAlignment w:val="auto"/>
        <w:rPr>
          <w:rStyle w:val="52"/>
          <w:rFonts w:hint="eastAsia"/>
          <w:b w:val="0"/>
          <w:bCs w:val="0"/>
          <w:color w:val="auto"/>
          <w:lang w:val="en-US" w:eastAsia="zh-CN"/>
        </w:rPr>
      </w:pPr>
      <w:r>
        <w:rPr>
          <w:rStyle w:val="52"/>
          <w:rFonts w:hint="eastAsia"/>
          <w:b w:val="0"/>
          <w:bCs w:val="0"/>
          <w:color w:val="auto"/>
          <w:lang w:val="en-US" w:eastAsia="zh-CN"/>
        </w:rPr>
        <w:t>成本指标方面：成本控制数</w:t>
      </w:r>
      <w:r>
        <w:rPr>
          <w:rStyle w:val="52"/>
          <w:rFonts w:hint="eastAsia"/>
          <w:b w:val="0"/>
          <w:bCs w:val="0"/>
          <w:color w:val="auto"/>
          <w:highlight w:val="none"/>
          <w:lang w:val="en-US" w:eastAsia="zh-CN"/>
        </w:rPr>
        <w:t>(</w:t>
      </w:r>
      <w:r>
        <w:rPr>
          <w:rStyle w:val="52"/>
          <w:rFonts w:hint="eastAsia"/>
          <w:b w:val="0"/>
          <w:bCs w:val="0"/>
          <w:color w:val="auto"/>
          <w:lang w:val="en-US" w:eastAsia="zh-CN"/>
        </w:rPr>
        <w:t>评价目标值：≤22.42万元，业绩值：22.42万元</w:t>
      </w:r>
      <w:r>
        <w:rPr>
          <w:rStyle w:val="52"/>
          <w:rFonts w:hint="eastAsia"/>
          <w:b w:val="0"/>
          <w:bCs w:val="0"/>
          <w:color w:val="auto"/>
          <w:highlight w:val="none"/>
          <w:lang w:val="en-US" w:eastAsia="zh-CN"/>
        </w:rPr>
        <w:t>)；</w:t>
      </w:r>
    </w:p>
    <w:p>
      <w:pPr>
        <w:pStyle w:val="53"/>
        <w:pageBreakBefore w:val="0"/>
        <w:kinsoku/>
        <w:wordWrap/>
        <w:overflowPunct/>
        <w:topLinePunct w:val="0"/>
        <w:autoSpaceDE/>
        <w:autoSpaceDN/>
        <w:bidi w:val="0"/>
        <w:adjustRightInd/>
        <w:snapToGrid/>
        <w:spacing w:line="560" w:lineRule="atLeast"/>
        <w:ind w:firstLine="560"/>
        <w:textAlignment w:val="auto"/>
        <w:rPr>
          <w:rStyle w:val="52"/>
          <w:rFonts w:hint="eastAsia"/>
          <w:color w:val="auto"/>
          <w:lang w:val="en-US" w:eastAsia="zh-CN"/>
        </w:rPr>
      </w:pPr>
      <w:r>
        <w:rPr>
          <w:rStyle w:val="52"/>
          <w:rFonts w:hint="eastAsia"/>
          <w:color w:val="auto"/>
          <w:lang w:val="en-US" w:eastAsia="zh-CN"/>
        </w:rPr>
        <w:t>时效指标方面：资金支付及时性</w:t>
      </w:r>
      <w:r>
        <w:rPr>
          <w:rStyle w:val="52"/>
          <w:rFonts w:hint="eastAsia"/>
          <w:color w:val="auto"/>
          <w:highlight w:val="none"/>
          <w:lang w:val="en-US" w:eastAsia="zh-CN"/>
        </w:rPr>
        <w:t>(</w:t>
      </w:r>
      <w:r>
        <w:rPr>
          <w:rStyle w:val="52"/>
          <w:rFonts w:hint="eastAsia"/>
          <w:color w:val="auto"/>
          <w:lang w:val="en-US" w:eastAsia="zh-CN"/>
        </w:rPr>
        <w:t>评价目标值：=100%，业绩值：100%</w:t>
      </w:r>
      <w:r>
        <w:rPr>
          <w:rStyle w:val="52"/>
          <w:rFonts w:hint="eastAsia"/>
          <w:color w:val="auto"/>
          <w:highlight w:val="none"/>
          <w:lang w:val="en-US" w:eastAsia="zh-CN"/>
        </w:rPr>
        <w:t>)；</w:t>
      </w:r>
    </w:p>
    <w:p>
      <w:pPr>
        <w:pStyle w:val="2"/>
        <w:pageBreakBefore w:val="0"/>
        <w:numPr>
          <w:ilvl w:val="0"/>
          <w:numId w:val="0"/>
        </w:numPr>
        <w:kinsoku/>
        <w:wordWrap/>
        <w:overflowPunct/>
        <w:topLinePunct w:val="0"/>
        <w:autoSpaceDE/>
        <w:autoSpaceDN/>
        <w:bidi w:val="0"/>
        <w:adjustRightInd/>
        <w:snapToGrid/>
        <w:spacing w:before="0" w:after="0" w:line="560" w:lineRule="atLeast"/>
        <w:jc w:val="both"/>
        <w:textAlignment w:val="auto"/>
        <w:rPr>
          <w:rFonts w:hint="default"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四</w:t>
      </w: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效益情况</w:t>
      </w:r>
    </w:p>
    <w:p>
      <w:pPr>
        <w:pStyle w:val="53"/>
        <w:pageBreakBefore w:val="0"/>
        <w:kinsoku/>
        <w:wordWrap/>
        <w:overflowPunct/>
        <w:topLinePunct w:val="0"/>
        <w:autoSpaceDE/>
        <w:autoSpaceDN/>
        <w:bidi w:val="0"/>
        <w:adjustRightInd/>
        <w:snapToGrid/>
        <w:spacing w:line="560" w:lineRule="atLeast"/>
        <w:ind w:firstLine="560"/>
        <w:textAlignment w:val="auto"/>
        <w:rPr>
          <w:rFonts w:hint="eastAsia"/>
        </w:rPr>
      </w:pPr>
      <w:r>
        <w:rPr>
          <w:rStyle w:val="52"/>
          <w:rFonts w:hint="eastAsia"/>
          <w:color w:val="auto"/>
          <w:lang w:val="en-US" w:eastAsia="zh-CN"/>
        </w:rPr>
        <w:t>生态效益指标方面：装修材料环保达标率</w:t>
      </w:r>
      <w:r>
        <w:rPr>
          <w:rStyle w:val="52"/>
          <w:rFonts w:hint="eastAsia"/>
          <w:color w:val="auto"/>
          <w:highlight w:val="none"/>
          <w:lang w:val="en-US" w:eastAsia="zh-CN"/>
        </w:rPr>
        <w:t>(</w:t>
      </w:r>
      <w:r>
        <w:rPr>
          <w:rStyle w:val="52"/>
          <w:rFonts w:hint="eastAsia"/>
          <w:color w:val="auto"/>
          <w:lang w:val="en-US" w:eastAsia="zh-CN"/>
        </w:rPr>
        <w:t>评价目标值：=100%，业绩值：100%</w:t>
      </w:r>
      <w:r>
        <w:rPr>
          <w:rStyle w:val="52"/>
          <w:rFonts w:hint="eastAsia"/>
          <w:color w:val="auto"/>
          <w:highlight w:val="none"/>
          <w:lang w:val="en-US" w:eastAsia="zh-CN"/>
        </w:rPr>
        <w:t>)；</w:t>
      </w:r>
    </w:p>
    <w:p>
      <w:pPr>
        <w:pStyle w:val="53"/>
        <w:pageBreakBefore w:val="0"/>
        <w:kinsoku/>
        <w:wordWrap/>
        <w:overflowPunct/>
        <w:topLinePunct w:val="0"/>
        <w:autoSpaceDE/>
        <w:autoSpaceDN/>
        <w:bidi w:val="0"/>
        <w:adjustRightInd/>
        <w:snapToGrid/>
        <w:spacing w:line="560" w:lineRule="atLeast"/>
        <w:ind w:firstLine="560"/>
        <w:textAlignment w:val="auto"/>
        <w:rPr>
          <w:rStyle w:val="52"/>
          <w:rFonts w:hint="eastAsia"/>
          <w:color w:val="auto"/>
          <w:lang w:eastAsia="zh-CN"/>
        </w:rPr>
      </w:pPr>
      <w:r>
        <w:rPr>
          <w:rStyle w:val="52"/>
          <w:rFonts w:hint="eastAsia"/>
          <w:color w:val="auto"/>
        </w:rPr>
        <w:t>社会效益指标方面：</w:t>
      </w:r>
      <w:r>
        <w:rPr>
          <w:rStyle w:val="52"/>
          <w:rFonts w:hint="eastAsia"/>
          <w:color w:val="auto"/>
          <w:lang w:eastAsia="zh-CN"/>
        </w:rPr>
        <w:t>地区食品检验场所</w:t>
      </w:r>
      <w:r>
        <w:rPr>
          <w:rStyle w:val="52"/>
          <w:rFonts w:hint="eastAsia"/>
          <w:color w:val="auto"/>
          <w:highlight w:val="none"/>
        </w:rPr>
        <w:t>(</w:t>
      </w:r>
      <w:r>
        <w:rPr>
          <w:rStyle w:val="52"/>
          <w:rFonts w:hint="eastAsia"/>
          <w:color w:val="auto"/>
        </w:rPr>
        <w:t>评价目标值：</w:t>
      </w:r>
      <w:r>
        <w:rPr>
          <w:rStyle w:val="52"/>
          <w:rFonts w:hint="eastAsia"/>
          <w:color w:val="auto"/>
          <w:lang w:eastAsia="zh-CN"/>
        </w:rPr>
        <w:t>显著增加</w:t>
      </w:r>
      <w:r>
        <w:rPr>
          <w:rStyle w:val="52"/>
          <w:rFonts w:hint="eastAsia"/>
          <w:color w:val="auto"/>
        </w:rPr>
        <w:t>，业绩值：</w:t>
      </w:r>
      <w:r>
        <w:rPr>
          <w:rStyle w:val="52"/>
          <w:rFonts w:hint="eastAsia"/>
          <w:color w:val="auto"/>
          <w:lang w:eastAsia="zh-CN"/>
        </w:rPr>
        <w:t>显著增加；</w:t>
      </w:r>
    </w:p>
    <w:p>
      <w:pPr>
        <w:pStyle w:val="53"/>
        <w:pageBreakBefore w:val="0"/>
        <w:kinsoku/>
        <w:wordWrap/>
        <w:overflowPunct/>
        <w:topLinePunct w:val="0"/>
        <w:autoSpaceDE/>
        <w:autoSpaceDN/>
        <w:bidi w:val="0"/>
        <w:adjustRightInd/>
        <w:snapToGrid/>
        <w:spacing w:line="560" w:lineRule="atLeast"/>
        <w:ind w:firstLine="560"/>
        <w:textAlignment w:val="auto"/>
        <w:rPr>
          <w:rStyle w:val="52"/>
          <w:rFonts w:hint="eastAsia" w:eastAsia="仿宋_GB2312"/>
          <w:color w:val="auto"/>
          <w:lang w:eastAsia="zh-CN"/>
        </w:rPr>
      </w:pPr>
      <w:r>
        <w:rPr>
          <w:rStyle w:val="52"/>
          <w:rFonts w:hint="eastAsia"/>
          <w:color w:val="auto"/>
        </w:rPr>
        <w:t>可持续影响指标方面：促进食品行业健康有序发展</w:t>
      </w:r>
      <w:r>
        <w:rPr>
          <w:rStyle w:val="52"/>
          <w:rFonts w:hint="eastAsia"/>
          <w:color w:val="auto"/>
          <w:highlight w:val="none"/>
        </w:rPr>
        <w:t>(</w:t>
      </w:r>
      <w:r>
        <w:rPr>
          <w:rStyle w:val="52"/>
          <w:rFonts w:hint="eastAsia"/>
          <w:color w:val="auto"/>
        </w:rPr>
        <w:t>评价目标值：逐步提高，业绩值：逐步提高</w:t>
      </w:r>
      <w:r>
        <w:rPr>
          <w:rStyle w:val="52"/>
          <w:rFonts w:hint="eastAsia"/>
          <w:color w:val="auto"/>
          <w:highlight w:val="none"/>
        </w:rPr>
        <w:t>)</w:t>
      </w:r>
      <w:r>
        <w:rPr>
          <w:rStyle w:val="52"/>
          <w:rFonts w:hint="eastAsia" w:eastAsia="仿宋_GB2312"/>
          <w:color w:val="auto"/>
          <w:highlight w:val="none"/>
          <w:lang w:eastAsia="zh-CN"/>
        </w:rPr>
        <w:t>；</w:t>
      </w:r>
    </w:p>
    <w:p>
      <w:pPr>
        <w:pStyle w:val="53"/>
        <w:pageBreakBefore w:val="0"/>
        <w:kinsoku/>
        <w:wordWrap/>
        <w:overflowPunct/>
        <w:topLinePunct w:val="0"/>
        <w:autoSpaceDE/>
        <w:autoSpaceDN/>
        <w:bidi w:val="0"/>
        <w:adjustRightInd/>
        <w:snapToGrid/>
        <w:spacing w:line="560" w:lineRule="atLeast"/>
        <w:ind w:firstLine="560"/>
        <w:textAlignment w:val="auto"/>
        <w:rPr>
          <w:rFonts w:hint="eastAsia" w:ascii="仿宋_GB2312" w:hAnsi="仿宋_GB2312" w:eastAsia="仿宋_GB2312" w:cs="仿宋_GB2312"/>
          <w:sz w:val="32"/>
          <w:szCs w:val="32"/>
          <w:lang w:eastAsia="zh-CN"/>
        </w:rPr>
      </w:pPr>
      <w:r>
        <w:rPr>
          <w:rStyle w:val="52"/>
          <w:rFonts w:hint="eastAsia"/>
          <w:color w:val="auto"/>
        </w:rPr>
        <w:t>满意度指标方面：干部职工对装修的满意度</w:t>
      </w:r>
      <w:r>
        <w:rPr>
          <w:rStyle w:val="52"/>
          <w:rFonts w:hint="eastAsia"/>
          <w:color w:val="auto"/>
          <w:highlight w:val="none"/>
        </w:rPr>
        <w:t>(</w:t>
      </w:r>
      <w:r>
        <w:rPr>
          <w:rStyle w:val="52"/>
          <w:rFonts w:hint="eastAsia"/>
          <w:color w:val="auto"/>
        </w:rPr>
        <w:t>评价目标值：≥90%，业绩值：100%</w:t>
      </w:r>
      <w:r>
        <w:rPr>
          <w:rStyle w:val="52"/>
          <w:rFonts w:hint="eastAsia"/>
          <w:color w:val="auto"/>
          <w:highlight w:val="none"/>
        </w:rPr>
        <w:t>)</w:t>
      </w:r>
      <w:r>
        <w:rPr>
          <w:rStyle w:val="52"/>
          <w:rFonts w:hint="eastAsia" w:eastAsia="仿宋_GB2312"/>
          <w:color w:val="auto"/>
          <w:highlight w:val="none"/>
          <w:lang w:eastAsia="zh-CN"/>
        </w:rPr>
        <w:t>；</w:t>
      </w:r>
    </w:p>
    <w:p>
      <w:pPr>
        <w:pageBreakBefore w:val="0"/>
        <w:kinsoku/>
        <w:wordWrap/>
        <w:overflowPunct/>
        <w:topLinePunct w:val="0"/>
        <w:autoSpaceDE/>
        <w:autoSpaceDN/>
        <w:bidi w:val="0"/>
        <w:adjustRightInd/>
        <w:snapToGrid/>
        <w:spacing w:line="560" w:lineRule="atLeast"/>
        <w:ind w:firstLine="641"/>
        <w:textAlignment w:val="auto"/>
        <w:rPr>
          <w:rStyle w:val="52"/>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napToGrid/>
        <w:spacing w:line="560" w:lineRule="atLeas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Style w:val="53"/>
        <w:pageBreakBefore w:val="0"/>
        <w:kinsoku/>
        <w:wordWrap/>
        <w:overflowPunct/>
        <w:topLinePunct w:val="0"/>
        <w:autoSpaceDE/>
        <w:autoSpaceDN/>
        <w:bidi w:val="0"/>
        <w:adjustRightInd/>
        <w:snapToGrid/>
        <w:spacing w:line="560" w:lineRule="atLeast"/>
        <w:ind w:firstLine="56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管理方面：严格按照法律法规以及自治区边境地区转移支付资金管理办法，做好做实项目的前期及绩效目标，合理分工落实责任，对项目施工单位进行仔细考察，聘请专业的监督监理机构进行技术质量的监督，从而保障项目的实施。</w:t>
      </w:r>
    </w:p>
    <w:p>
      <w:pPr>
        <w:keepNext/>
        <w:keepLines/>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ascii="楷体_GB2312" w:hAnsi="楷体_GB2312" w:eastAsia="楷体_GB2312" w:cs="楷体_GB2312"/>
          <w:b/>
          <w:bCs/>
          <w:sz w:val="32"/>
          <w:szCs w:val="32"/>
          <w:highlight w:val="none"/>
        </w:rPr>
      </w:pPr>
      <w:r>
        <w:rPr>
          <w:rFonts w:hint="eastAsia" w:ascii="仿宋_GB2312" w:hAnsi="仿宋_GB2312" w:eastAsia="仿宋_GB2312" w:cs="仿宋_GB2312"/>
          <w:kern w:val="2"/>
          <w:sz w:val="32"/>
          <w:szCs w:val="32"/>
          <w:highlight w:val="none"/>
          <w:lang w:val="en-US" w:eastAsia="zh-CN" w:bidi="ar-SA"/>
        </w:rPr>
        <w:t>财务方面：强化财务部门与业务部门的协同配合，全面、细致考量项目的实施内容，根据核心职能活动对预算支出项目进行归集或细化。进一步健全完善财务管理制度。加强对日常运转性经费的管理、监督工作，规范项目论证、评审、使用、评估等各个环节的工作，提高财政资金使用绩效。</w:t>
      </w:r>
    </w:p>
    <w:p>
      <w:pPr>
        <w:keepNext/>
        <w:keepLines/>
        <w:pageBreakBefore w:val="0"/>
        <w:numPr>
          <w:ilvl w:val="0"/>
          <w:numId w:val="5"/>
        </w:numPr>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53"/>
        <w:pageBreakBefore w:val="0"/>
        <w:numPr>
          <w:ilvl w:val="0"/>
          <w:numId w:val="6"/>
        </w:numPr>
        <w:kinsoku/>
        <w:wordWrap/>
        <w:overflowPunct/>
        <w:topLinePunct w:val="0"/>
        <w:autoSpaceDE/>
        <w:autoSpaceDN/>
        <w:bidi w:val="0"/>
        <w:adjustRightInd/>
        <w:snapToGrid/>
        <w:spacing w:line="560" w:lineRule="atLeast"/>
        <w:ind w:firstLine="56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存在的问题</w:t>
      </w:r>
    </w:p>
    <w:p>
      <w:pPr>
        <w:pStyle w:val="53"/>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项目已完工，尚未结转固定资产。</w:t>
      </w:r>
    </w:p>
    <w:p>
      <w:pPr>
        <w:pStyle w:val="53"/>
        <w:pageBreakBefore w:val="0"/>
        <w:numPr>
          <w:ilvl w:val="0"/>
          <w:numId w:val="6"/>
        </w:numPr>
        <w:kinsoku/>
        <w:wordWrap/>
        <w:overflowPunct/>
        <w:topLinePunct w:val="0"/>
        <w:autoSpaceDE/>
        <w:autoSpaceDN/>
        <w:bidi w:val="0"/>
        <w:adjustRightInd/>
        <w:snapToGrid/>
        <w:spacing w:line="560" w:lineRule="atLeast"/>
        <w:ind w:left="0" w:leftChars="0" w:firstLine="560" w:firstLine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原因分析</w:t>
      </w:r>
    </w:p>
    <w:p>
      <w:pPr>
        <w:pStyle w:val="53"/>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t>该项目是与地区司法局、环保局联合施工建设，资产未分割，产权证尚未办理。</w:t>
      </w:r>
    </w:p>
    <w:p>
      <w:pPr>
        <w:pageBreakBefore w:val="0"/>
        <w:numPr>
          <w:ilvl w:val="0"/>
          <w:numId w:val="7"/>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有关建议</w:t>
      </w:r>
    </w:p>
    <w:p>
      <w:pPr>
        <w:pageBreakBefore w:val="0"/>
        <w:numPr>
          <w:ilvl w:val="0"/>
          <w:numId w:val="8"/>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8"/>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项目实施单位严格实行专人管理，资金拨付除坚持按项目计划、工程进度和质量分阶段验收拨款外，</w:t>
      </w:r>
      <w:r>
        <w:rPr>
          <w:rFonts w:hint="eastAsia" w:ascii="仿宋_GB2312" w:hAnsi="仿宋_GB2312" w:eastAsia="仿宋_GB2312" w:cs="仿宋_GB2312"/>
          <w:sz w:val="32"/>
          <w:szCs w:val="32"/>
          <w:lang w:eastAsia="zh-CN"/>
        </w:rPr>
        <w:t>项目竣工后及时完成决算或资产入账等工作，</w:t>
      </w:r>
      <w:r>
        <w:rPr>
          <w:rFonts w:hint="eastAsia" w:ascii="仿宋_GB2312" w:hAnsi="仿宋_GB2312" w:eastAsia="仿宋_GB2312" w:cs="仿宋_GB2312"/>
          <w:sz w:val="32"/>
          <w:szCs w:val="32"/>
        </w:rPr>
        <w:t>从而确保</w:t>
      </w:r>
      <w:r>
        <w:rPr>
          <w:rFonts w:hint="eastAsia" w:ascii="仿宋_GB2312" w:hAnsi="仿宋_GB2312" w:eastAsia="仿宋_GB2312" w:cs="仿宋_GB2312"/>
          <w:sz w:val="32"/>
          <w:szCs w:val="32"/>
          <w:lang w:eastAsia="zh-CN"/>
        </w:rPr>
        <w:t>国有资产规范管理</w:t>
      </w:r>
      <w:r>
        <w:rPr>
          <w:rFonts w:hint="eastAsia" w:ascii="仿宋_GB2312" w:hAnsi="仿宋_GB2312" w:eastAsia="仿宋_GB2312" w:cs="仿宋_GB2312"/>
          <w:sz w:val="32"/>
          <w:szCs w:val="32"/>
        </w:rPr>
        <w:t>。</w:t>
      </w:r>
    </w:p>
    <w:p>
      <w:pPr>
        <w:pageBreakBefore w:val="0"/>
        <w:numPr>
          <w:ilvl w:val="0"/>
          <w:numId w:val="7"/>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无。</w:t>
      </w:r>
    </w:p>
    <w:p>
      <w:pPr>
        <w:pStyle w:val="2"/>
        <w:pageBreakBefore w:val="0"/>
        <w:kinsoku/>
        <w:wordWrap/>
        <w:overflowPunct/>
        <w:topLinePunct w:val="0"/>
        <w:autoSpaceDE/>
        <w:autoSpaceDN/>
        <w:bidi w:val="0"/>
        <w:adjustRightInd/>
        <w:snapToGrid/>
        <w:spacing w:before="0" w:after="0" w:line="560" w:lineRule="atLeast"/>
        <w:textAlignment w:val="auto"/>
        <w:rPr>
          <w:rFonts w:hint="eastAsia" w:ascii="仿宋_GB2312" w:hAnsi="仿宋_GB2312" w:eastAsia="仿宋_GB2312" w:cs="仿宋_GB2312"/>
          <w:kern w:val="2"/>
          <w:sz w:val="32"/>
          <w:szCs w:val="32"/>
          <w:lang w:val="en-US" w:eastAsia="zh-CN" w:bidi="ar-SA"/>
        </w:rPr>
      </w:pPr>
    </w:p>
    <w:p>
      <w:pPr>
        <w:pageBreakBefore w:val="0"/>
        <w:kinsoku/>
        <w:wordWrap/>
        <w:overflowPunct/>
        <w:topLinePunct w:val="0"/>
        <w:autoSpaceDE/>
        <w:autoSpaceDN/>
        <w:bidi w:val="0"/>
        <w:adjustRightInd/>
        <w:snapToGrid/>
        <w:spacing w:line="560" w:lineRule="atLeast"/>
        <w:textAlignment w:val="auto"/>
      </w:pPr>
    </w:p>
    <w:p>
      <w:pPr>
        <w:pStyle w:val="2"/>
        <w:rPr>
          <w:rFonts w:hint="eastAsia" w:ascii="黑体" w:hAnsi="黑体" w:eastAsia="黑体"/>
          <w:sz w:val="32"/>
          <w:szCs w:val="32"/>
        </w:rPr>
      </w:pPr>
    </w:p>
    <w:p>
      <w:pPr>
        <w:rPr>
          <w:rFonts w:hint="eastAsia" w:ascii="黑体" w:hAnsi="黑体" w:eastAsia="黑体"/>
          <w:sz w:val="32"/>
          <w:szCs w:val="32"/>
        </w:rPr>
      </w:pPr>
    </w:p>
    <w:p>
      <w:pPr>
        <w:pStyle w:val="2"/>
        <w:jc w:val="both"/>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22"/>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highlight w:val="none"/>
                <w:lang w:val="en-US" w:eastAsia="zh-CN"/>
              </w:rPr>
            </w:pPr>
            <w:r>
              <w:rPr>
                <w:rFonts w:hint="eastAsia" w:ascii="宋体" w:hAnsi="宋体" w:cs="宋体"/>
                <w:b/>
                <w:bCs/>
                <w:color w:val="000000"/>
                <w:kern w:val="0"/>
                <w:sz w:val="22"/>
                <w:szCs w:val="22"/>
                <w:highlight w:val="none"/>
                <w:lang w:val="en-US" w:eastAsia="zh-CN"/>
              </w:rPr>
              <w:t>权重</w:t>
            </w:r>
          </w:p>
        </w:tc>
        <w:tc>
          <w:tcPr>
            <w:tcW w:w="1363"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highlight w:val="none"/>
                <w:lang w:val="en-US" w:eastAsia="zh-CN"/>
              </w:rPr>
            </w:pPr>
            <w:r>
              <w:rPr>
                <w:rFonts w:hint="eastAsia" w:ascii="宋体" w:hAnsi="宋体" w:cs="宋体"/>
                <w:b/>
                <w:bCs/>
                <w:color w:val="000000"/>
                <w:kern w:val="0"/>
                <w:sz w:val="22"/>
                <w:szCs w:val="22"/>
                <w:highlight w:val="none"/>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1300"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1300"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1300"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67"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1300"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1300"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67" w:type="dxa"/>
            <w:vMerge w:val="restar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767"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1300"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0.77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w:t>
            </w:r>
            <w:r>
              <w:rPr>
                <w:rFonts w:hint="eastAsia" w:ascii="宋体" w:hAnsi="宋体" w:cs="宋体"/>
                <w:color w:val="000000"/>
                <w:kern w:val="0"/>
                <w:sz w:val="22"/>
                <w:szCs w:val="22"/>
                <w:highlight w:val="none"/>
                <w:lang w:eastAsia="zh-CN"/>
              </w:rPr>
              <w:t>实施得保障</w:t>
            </w:r>
            <w:r>
              <w:rPr>
                <w:rFonts w:hint="eastAsia" w:ascii="宋体" w:hAnsi="宋体" w:eastAsia="宋体" w:cs="宋体"/>
                <w:color w:val="000000"/>
                <w:kern w:val="0"/>
                <w:sz w:val="22"/>
                <w:szCs w:val="22"/>
              </w:rPr>
              <w:t>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12.3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353"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w:t>
            </w:r>
          </w:p>
        </w:tc>
      </w:tr>
    </w:tbl>
    <w:p>
      <w:pPr>
        <w:pStyle w:val="2"/>
        <w:rPr>
          <w:rFonts w:hint="default"/>
          <w:lang w:val="en-US" w:eastAsia="zh-CN"/>
        </w:rPr>
      </w:pPr>
    </w:p>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rPr>
          <w:rStyle w:val="24"/>
          <w:rFonts w:ascii="仿宋" w:hAnsi="仿宋" w:eastAsia="仿宋"/>
          <w:b w:val="0"/>
          <w:spacing w:val="-4"/>
          <w:sz w:val="32"/>
          <w:szCs w:val="32"/>
        </w:rPr>
        <w:sectPr>
          <w:pgSz w:w="16838" w:h="11906" w:orient="landscape"/>
          <w:pgMar w:top="1800" w:right="1440" w:bottom="1558" w:left="1440" w:header="851" w:footer="992" w:gutter="0"/>
          <w:cols w:space="425" w:num="1"/>
          <w:docGrid w:type="lines" w:linePitch="312" w:charSpace="0"/>
        </w:sectPr>
      </w:pPr>
    </w:p>
    <w:tbl>
      <w:tblPr>
        <w:tblStyle w:val="22"/>
        <w:tblW w:w="9048" w:type="dxa"/>
        <w:tblInd w:w="96" w:type="dxa"/>
        <w:shd w:val="clear" w:color="auto" w:fill="auto"/>
        <w:tblLayout w:type="fixed"/>
        <w:tblCellMar>
          <w:top w:w="0" w:type="dxa"/>
          <w:left w:w="108" w:type="dxa"/>
          <w:bottom w:w="0" w:type="dxa"/>
          <w:right w:w="108" w:type="dxa"/>
        </w:tblCellMar>
      </w:tblPr>
      <w:tblGrid>
        <w:gridCol w:w="492"/>
        <w:gridCol w:w="696"/>
        <w:gridCol w:w="1140"/>
        <w:gridCol w:w="864"/>
        <w:gridCol w:w="1488"/>
        <w:gridCol w:w="1533"/>
        <w:gridCol w:w="1299"/>
        <w:gridCol w:w="204"/>
        <w:gridCol w:w="1332"/>
      </w:tblGrid>
      <w:tr>
        <w:tblPrEx>
          <w:shd w:val="clear" w:color="auto" w:fill="auto"/>
          <w:tblCellMar>
            <w:top w:w="0" w:type="dxa"/>
            <w:left w:w="108" w:type="dxa"/>
            <w:bottom w:w="0" w:type="dxa"/>
            <w:right w:w="108" w:type="dxa"/>
          </w:tblCellMar>
        </w:tblPrEx>
        <w:trPr>
          <w:gridAfter w:val="2"/>
          <w:wAfter w:w="1536" w:type="dxa"/>
          <w:trHeight w:val="409" w:hRule="atLeast"/>
        </w:trPr>
        <w:tc>
          <w:tcPr>
            <w:tcW w:w="7512"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cs="宋体"/>
                <w:b/>
                <w:bCs/>
                <w:i w:val="0"/>
                <w:iCs w:val="0"/>
                <w:color w:val="000000"/>
                <w:kern w:val="0"/>
                <w:sz w:val="32"/>
                <w:szCs w:val="32"/>
                <w:highlight w:val="none"/>
                <w:u w:val="none"/>
                <w:lang w:val="en-US" w:eastAsia="zh-CN" w:bidi="ar"/>
              </w:rPr>
              <w:t xml:space="preserve">       </w:t>
            </w:r>
            <w:r>
              <w:rPr>
                <w:rFonts w:hint="eastAsia" w:ascii="宋体" w:hAnsi="宋体" w:eastAsia="宋体" w:cs="宋体"/>
                <w:b/>
                <w:bCs/>
                <w:i w:val="0"/>
                <w:iCs w:val="0"/>
                <w:color w:val="000000"/>
                <w:kern w:val="0"/>
                <w:sz w:val="32"/>
                <w:szCs w:val="32"/>
                <w:highlight w:val="none"/>
                <w:u w:val="none"/>
                <w:lang w:val="en-US" w:eastAsia="zh-CN" w:bidi="ar"/>
              </w:rPr>
              <w:t>项目支出绩效自评表</w:t>
            </w:r>
          </w:p>
        </w:tc>
      </w:tr>
      <w:tr>
        <w:tblPrEx>
          <w:shd w:val="clear" w:color="auto" w:fill="auto"/>
          <w:tblCellMar>
            <w:top w:w="0" w:type="dxa"/>
            <w:left w:w="108" w:type="dxa"/>
            <w:bottom w:w="0" w:type="dxa"/>
            <w:right w:w="108" w:type="dxa"/>
          </w:tblCellMar>
        </w:tblPrEx>
        <w:trPr>
          <w:gridAfter w:val="2"/>
          <w:wAfter w:w="1536" w:type="dxa"/>
          <w:trHeight w:val="409" w:hRule="atLeast"/>
        </w:trPr>
        <w:tc>
          <w:tcPr>
            <w:tcW w:w="7512"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highlight w:val="none"/>
                <w:u w:val="none"/>
              </w:rPr>
            </w:pPr>
            <w:r>
              <w:rPr>
                <w:rFonts w:hint="eastAsia" w:ascii="宋体" w:hAnsi="宋体" w:cs="宋体"/>
                <w:i w:val="0"/>
                <w:iCs w:val="0"/>
                <w:color w:val="000000"/>
                <w:kern w:val="0"/>
                <w:sz w:val="32"/>
                <w:szCs w:val="32"/>
                <w:highlight w:val="none"/>
                <w:u w:val="none"/>
                <w:lang w:val="en-US" w:eastAsia="zh-CN" w:bidi="ar"/>
              </w:rPr>
              <w:t xml:space="preserve">        </w:t>
            </w:r>
            <w:r>
              <w:rPr>
                <w:rFonts w:hint="eastAsia" w:ascii="宋体" w:hAnsi="宋体" w:eastAsia="宋体" w:cs="宋体"/>
                <w:i w:val="0"/>
                <w:iCs w:val="0"/>
                <w:color w:val="000000"/>
                <w:kern w:val="0"/>
                <w:sz w:val="32"/>
                <w:szCs w:val="32"/>
                <w:highlight w:val="none"/>
                <w:u w:val="none"/>
                <w:lang w:val="en-US" w:eastAsia="zh-CN" w:bidi="ar"/>
              </w:rPr>
              <w:t>（   2020 年度）</w:t>
            </w:r>
          </w:p>
        </w:tc>
      </w:tr>
      <w:tr>
        <w:tblPrEx>
          <w:shd w:val="clear" w:color="auto" w:fill="auto"/>
          <w:tblCellMar>
            <w:top w:w="0" w:type="dxa"/>
            <w:left w:w="108" w:type="dxa"/>
            <w:bottom w:w="0" w:type="dxa"/>
            <w:right w:w="108" w:type="dxa"/>
          </w:tblCellMar>
        </w:tblPrEx>
        <w:trPr>
          <w:gridAfter w:val="2"/>
          <w:wAfter w:w="1536" w:type="dxa"/>
          <w:trHeight w:val="270" w:hRule="atLeast"/>
        </w:trPr>
        <w:tc>
          <w:tcPr>
            <w:tcW w:w="7512" w:type="dxa"/>
            <w:gridSpan w:val="7"/>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70" w:hRule="atLeast"/>
        </w:trPr>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78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食品安全检（监）测能力建设</w:t>
            </w:r>
          </w:p>
        </w:tc>
      </w:tr>
      <w:tr>
        <w:tblPrEx>
          <w:shd w:val="clear" w:color="auto" w:fill="auto"/>
          <w:tblCellMar>
            <w:top w:w="0" w:type="dxa"/>
            <w:left w:w="108" w:type="dxa"/>
            <w:bottom w:w="0" w:type="dxa"/>
            <w:right w:w="108" w:type="dxa"/>
          </w:tblCellMar>
        </w:tblPrEx>
        <w:trPr>
          <w:trHeight w:val="270" w:hRule="atLeast"/>
        </w:trPr>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4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塔城地区市场监督管理局</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新疆塔城地区食品药品检验所</w:t>
            </w:r>
          </w:p>
        </w:tc>
      </w:tr>
      <w:tr>
        <w:tblPrEx>
          <w:shd w:val="clear" w:color="auto" w:fill="auto"/>
          <w:tblCellMar>
            <w:top w:w="0" w:type="dxa"/>
            <w:left w:w="108" w:type="dxa"/>
            <w:bottom w:w="0" w:type="dxa"/>
            <w:right w:w="108" w:type="dxa"/>
          </w:tblCellMar>
        </w:tblPrEx>
        <w:trPr>
          <w:trHeight w:val="392" w:hRule="atLeast"/>
        </w:trPr>
        <w:tc>
          <w:tcPr>
            <w:tcW w:w="118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20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Arial" w:hAnsi="Arial" w:cs="Arial"/>
                <w:i w:val="0"/>
                <w:iCs w:val="0"/>
                <w:color w:val="000000"/>
                <w:sz w:val="20"/>
                <w:szCs w:val="20"/>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r>
      <w:tr>
        <w:tblPrEx>
          <w:shd w:val="clear" w:color="auto" w:fill="auto"/>
          <w:tblCellMar>
            <w:top w:w="0" w:type="dxa"/>
            <w:left w:w="108" w:type="dxa"/>
            <w:bottom w:w="0" w:type="dxa"/>
            <w:right w:w="108" w:type="dxa"/>
          </w:tblCellMar>
        </w:tblPrEx>
        <w:trPr>
          <w:trHeight w:val="392" w:hRule="atLeast"/>
        </w:trPr>
        <w:tc>
          <w:tcPr>
            <w:tcW w:w="11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22.42</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22.42</w:t>
            </w:r>
          </w:p>
        </w:tc>
        <w:tc>
          <w:tcPr>
            <w:tcW w:w="1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22.42</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r>
      <w:tr>
        <w:tblPrEx>
          <w:shd w:val="clear" w:color="auto" w:fill="auto"/>
          <w:tblCellMar>
            <w:top w:w="0" w:type="dxa"/>
            <w:left w:w="108" w:type="dxa"/>
            <w:bottom w:w="0" w:type="dxa"/>
            <w:right w:w="108" w:type="dxa"/>
          </w:tblCellMar>
        </w:tblPrEx>
        <w:trPr>
          <w:trHeight w:val="392" w:hRule="atLeast"/>
        </w:trPr>
        <w:tc>
          <w:tcPr>
            <w:tcW w:w="11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22.42</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22.42</w:t>
            </w:r>
          </w:p>
        </w:tc>
        <w:tc>
          <w:tcPr>
            <w:tcW w:w="1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22.42</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11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270" w:hRule="atLeast"/>
        </w:trPr>
        <w:tc>
          <w:tcPr>
            <w:tcW w:w="11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57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1100" w:hRule="atLeast"/>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食品实验室装修款按期支付，确保食品检测项目早日开展，改善食品检验检测环境，扩大食品检验品种，为食品安全监管提供技术支撑保障。</w:t>
            </w: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食品实验室装修款按期支付，确保食品检测项目早日开展，改善食品检验检测环境，扩大食品检验品种，为食品安全监管提供技术支撑保障。</w:t>
            </w:r>
          </w:p>
        </w:tc>
      </w:tr>
      <w:tr>
        <w:tblPrEx>
          <w:shd w:val="clear" w:color="auto" w:fill="auto"/>
          <w:tblCellMar>
            <w:top w:w="0" w:type="dxa"/>
            <w:left w:w="108" w:type="dxa"/>
            <w:bottom w:w="0" w:type="dxa"/>
            <w:right w:w="108" w:type="dxa"/>
          </w:tblCellMar>
        </w:tblPrEx>
        <w:trPr>
          <w:trHeight w:val="412" w:hRule="atLeast"/>
        </w:trPr>
        <w:tc>
          <w:tcPr>
            <w:tcW w:w="492"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6"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14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352"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53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503"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33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270" w:hRule="atLeast"/>
        </w:trPr>
        <w:tc>
          <w:tcPr>
            <w:tcW w:w="49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52"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3"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40" w:hRule="atLeast"/>
        </w:trPr>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3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综合实验室面积</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=2844平方米</w:t>
            </w:r>
          </w:p>
        </w:tc>
        <w:tc>
          <w:tcPr>
            <w:tcW w:w="1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2844平方米</w:t>
            </w:r>
          </w:p>
        </w:tc>
        <w:tc>
          <w:tcPr>
            <w:tcW w:w="1332"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40" w:hRule="atLeast"/>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电梯安装情况</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=1套</w:t>
            </w:r>
          </w:p>
        </w:tc>
        <w:tc>
          <w:tcPr>
            <w:tcW w:w="1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1套</w:t>
            </w:r>
          </w:p>
        </w:tc>
        <w:tc>
          <w:tcPr>
            <w:tcW w:w="1332"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40" w:hRule="atLeast"/>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3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实验室装修质量按要求达标</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332"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40" w:hRule="atLeast"/>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电梯验收合格率</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332"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40" w:hRule="atLeast"/>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3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资金支付及时性</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332"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40" w:hRule="atLeast"/>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3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成本控制数</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≤22.42万元</w:t>
            </w:r>
          </w:p>
        </w:tc>
        <w:tc>
          <w:tcPr>
            <w:tcW w:w="1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22.42万元</w:t>
            </w:r>
          </w:p>
        </w:tc>
        <w:tc>
          <w:tcPr>
            <w:tcW w:w="1332"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40" w:hRule="atLeast"/>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3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本地区食品检验场所</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显著增加</w:t>
            </w:r>
          </w:p>
        </w:tc>
        <w:tc>
          <w:tcPr>
            <w:tcW w:w="1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显著增加</w:t>
            </w:r>
          </w:p>
        </w:tc>
        <w:tc>
          <w:tcPr>
            <w:tcW w:w="1332"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40" w:hRule="atLeast"/>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23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装修材料环保达标率</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332"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40" w:hRule="atLeast"/>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23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促进食品行业健康有序发展</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1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1332"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40" w:hRule="atLeast"/>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3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干部职工对装修的满意度</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332"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pStyle w:val="2"/>
        <w:jc w:val="both"/>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2</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282440D"/>
    <w:multiLevelType w:val="singleLevel"/>
    <w:tmpl w:val="F282440D"/>
    <w:lvl w:ilvl="0" w:tentative="0">
      <w:start w:val="1"/>
      <w:numFmt w:val="decimal"/>
      <w:suff w:val="nothing"/>
      <w:lvlText w:val="%1、"/>
      <w:lvlJc w:val="left"/>
    </w:lvl>
  </w:abstractNum>
  <w:abstractNum w:abstractNumId="4">
    <w:nsid w:val="FF4BB6DE"/>
    <w:multiLevelType w:val="singleLevel"/>
    <w:tmpl w:val="FF4BB6DE"/>
    <w:lvl w:ilvl="0" w:tentative="0">
      <w:start w:val="1"/>
      <w:numFmt w:val="decimal"/>
      <w:suff w:val="nothing"/>
      <w:lvlText w:val="%1、"/>
      <w:lvlJc w:val="left"/>
    </w:lvl>
  </w:abstractNum>
  <w:abstractNum w:abstractNumId="5">
    <w:nsid w:val="FF9379A8"/>
    <w:multiLevelType w:val="singleLevel"/>
    <w:tmpl w:val="FF9379A8"/>
    <w:lvl w:ilvl="0" w:tentative="0">
      <w:start w:val="2"/>
      <w:numFmt w:val="chineseCounting"/>
      <w:suff w:val="nothing"/>
      <w:lvlText w:val="（%1）"/>
      <w:lvlJc w:val="left"/>
      <w:rPr>
        <w:rFonts w:hint="eastAsia"/>
      </w:rPr>
    </w:lvl>
  </w:abstractNum>
  <w:abstractNum w:abstractNumId="6">
    <w:nsid w:val="116B29BF"/>
    <w:multiLevelType w:val="singleLevel"/>
    <w:tmpl w:val="116B29BF"/>
    <w:lvl w:ilvl="0" w:tentative="0">
      <w:start w:val="3"/>
      <w:numFmt w:val="chineseCounting"/>
      <w:suff w:val="nothing"/>
      <w:lvlText w:val="%1、"/>
      <w:lvlJc w:val="left"/>
      <w:rPr>
        <w:rFonts w:hint="eastAsia"/>
      </w:rPr>
    </w:lvl>
  </w:abstractNum>
  <w:abstractNum w:abstractNumId="7">
    <w:nsid w:val="3730CCE4"/>
    <w:multiLevelType w:val="singleLevel"/>
    <w:tmpl w:val="3730CCE4"/>
    <w:lvl w:ilvl="0" w:tentative="0">
      <w:start w:val="2"/>
      <w:numFmt w:val="decimal"/>
      <w:suff w:val="nothing"/>
      <w:lvlText w:val="（%1）"/>
      <w:lvlJc w:val="left"/>
    </w:lvl>
  </w:abstractNum>
  <w:num w:numId="1">
    <w:abstractNumId w:val="7"/>
  </w:num>
  <w:num w:numId="2">
    <w:abstractNumId w:val="2"/>
  </w:num>
  <w:num w:numId="3">
    <w:abstractNumId w:val="1"/>
  </w:num>
  <w:num w:numId="4">
    <w:abstractNumId w:val="6"/>
  </w:num>
  <w:num w:numId="5">
    <w:abstractNumId w:val="5"/>
  </w:num>
  <w:num w:numId="6">
    <w:abstractNumId w:val="3"/>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1A56F5"/>
    <w:rsid w:val="066D6EAA"/>
    <w:rsid w:val="08C662D4"/>
    <w:rsid w:val="09BD4D95"/>
    <w:rsid w:val="0CF546CA"/>
    <w:rsid w:val="0F8D41CB"/>
    <w:rsid w:val="11C75270"/>
    <w:rsid w:val="12637CC3"/>
    <w:rsid w:val="12E657C5"/>
    <w:rsid w:val="167C7687"/>
    <w:rsid w:val="168B3546"/>
    <w:rsid w:val="1A2374E0"/>
    <w:rsid w:val="1C317CE2"/>
    <w:rsid w:val="1DD45808"/>
    <w:rsid w:val="1DED42AC"/>
    <w:rsid w:val="20005763"/>
    <w:rsid w:val="20FB313D"/>
    <w:rsid w:val="220B4804"/>
    <w:rsid w:val="236B0F09"/>
    <w:rsid w:val="238C7ADC"/>
    <w:rsid w:val="282475E3"/>
    <w:rsid w:val="29F5311F"/>
    <w:rsid w:val="2C6100C1"/>
    <w:rsid w:val="3264220D"/>
    <w:rsid w:val="37A31399"/>
    <w:rsid w:val="38DB448C"/>
    <w:rsid w:val="393B0A9B"/>
    <w:rsid w:val="3963178C"/>
    <w:rsid w:val="39C71D83"/>
    <w:rsid w:val="3D8017BB"/>
    <w:rsid w:val="3F824708"/>
    <w:rsid w:val="41CC2676"/>
    <w:rsid w:val="46B21672"/>
    <w:rsid w:val="48F94DA3"/>
    <w:rsid w:val="4C1B465C"/>
    <w:rsid w:val="4F552460"/>
    <w:rsid w:val="4FCC6863"/>
    <w:rsid w:val="500A214A"/>
    <w:rsid w:val="51035A8E"/>
    <w:rsid w:val="5180430F"/>
    <w:rsid w:val="522D604D"/>
    <w:rsid w:val="5297585E"/>
    <w:rsid w:val="52AD7D6F"/>
    <w:rsid w:val="538F141C"/>
    <w:rsid w:val="5549519D"/>
    <w:rsid w:val="5557596B"/>
    <w:rsid w:val="5B596DFC"/>
    <w:rsid w:val="5C824814"/>
    <w:rsid w:val="5C9235CB"/>
    <w:rsid w:val="5D8C266C"/>
    <w:rsid w:val="5DF03945"/>
    <w:rsid w:val="61822E4D"/>
    <w:rsid w:val="637C2815"/>
    <w:rsid w:val="64A650BD"/>
    <w:rsid w:val="6AA0722F"/>
    <w:rsid w:val="6C13338C"/>
    <w:rsid w:val="7A353D0B"/>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5"/>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6">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7">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8">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9">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0">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1">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2">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13">
    <w:name w:val="annotation text"/>
    <w:basedOn w:val="1"/>
    <w:semiHidden/>
    <w:unhideWhenUsed/>
    <w:qFormat/>
    <w:uiPriority w:val="99"/>
    <w:pPr>
      <w:jc w:val="left"/>
    </w:pPr>
  </w:style>
  <w:style w:type="paragraph" w:styleId="14">
    <w:name w:val="Body Text"/>
    <w:basedOn w:val="1"/>
    <w:qFormat/>
    <w:uiPriority w:val="0"/>
    <w:pPr>
      <w:spacing w:after="120"/>
    </w:pPr>
  </w:style>
  <w:style w:type="paragraph" w:styleId="15">
    <w:name w:val="Balloon Text"/>
    <w:basedOn w:val="1"/>
    <w:link w:val="50"/>
    <w:semiHidden/>
    <w:unhideWhenUsed/>
    <w:qFormat/>
    <w:uiPriority w:val="99"/>
    <w:rPr>
      <w:sz w:val="18"/>
      <w:szCs w:val="18"/>
    </w:rPr>
  </w:style>
  <w:style w:type="paragraph" w:styleId="16">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toc 1"/>
    <w:basedOn w:val="1"/>
    <w:next w:val="1"/>
    <w:unhideWhenUsed/>
    <w:qFormat/>
    <w:uiPriority w:val="39"/>
    <w:pPr>
      <w:spacing w:before="120" w:after="120"/>
      <w:jc w:val="left"/>
    </w:pPr>
    <w:rPr>
      <w:rFonts w:ascii="Calibri" w:hAnsi="Calibri" w:cs="Calibri"/>
      <w:b/>
      <w:bCs/>
      <w:caps/>
      <w:sz w:val="20"/>
      <w:szCs w:val="20"/>
    </w:rPr>
  </w:style>
  <w:style w:type="paragraph" w:styleId="19">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20">
    <w:name w:val="toc 2"/>
    <w:basedOn w:val="1"/>
    <w:next w:val="1"/>
    <w:unhideWhenUsed/>
    <w:qFormat/>
    <w:uiPriority w:val="39"/>
    <w:pPr>
      <w:ind w:left="280"/>
      <w:jc w:val="left"/>
    </w:pPr>
    <w:rPr>
      <w:rFonts w:ascii="Calibri" w:hAnsi="Calibri" w:cs="Calibri"/>
      <w:smallCaps/>
      <w:sz w:val="20"/>
      <w:szCs w:val="20"/>
    </w:rPr>
  </w:style>
  <w:style w:type="paragraph" w:styleId="21">
    <w:name w:val="Body Text First Indent"/>
    <w:basedOn w:val="14"/>
    <w:qFormat/>
    <w:uiPriority w:val="0"/>
    <w:pPr>
      <w:spacing w:after="0"/>
      <w:ind w:firstLine="200" w:firstLineChars="200"/>
    </w:p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character" w:customStyle="1" w:styleId="26">
    <w:name w:val="标题 1 字符"/>
    <w:basedOn w:val="23"/>
    <w:link w:val="3"/>
    <w:qFormat/>
    <w:uiPriority w:val="9"/>
    <w:rPr>
      <w:rFonts w:asciiTheme="majorHAnsi" w:hAnsiTheme="majorHAnsi" w:eastAsiaTheme="majorEastAsia"/>
      <w:b/>
      <w:bCs/>
      <w:kern w:val="32"/>
      <w:sz w:val="32"/>
      <w:szCs w:val="32"/>
    </w:rPr>
  </w:style>
  <w:style w:type="character" w:customStyle="1" w:styleId="27">
    <w:name w:val="标题 2 字符"/>
    <w:basedOn w:val="23"/>
    <w:link w:val="4"/>
    <w:semiHidden/>
    <w:qFormat/>
    <w:uiPriority w:val="9"/>
    <w:rPr>
      <w:rFonts w:asciiTheme="majorHAnsi" w:hAnsiTheme="majorHAnsi" w:eastAsiaTheme="majorEastAsia"/>
      <w:b/>
      <w:bCs/>
      <w:i/>
      <w:iCs/>
      <w:sz w:val="28"/>
      <w:szCs w:val="28"/>
    </w:rPr>
  </w:style>
  <w:style w:type="character" w:customStyle="1" w:styleId="28">
    <w:name w:val="标题 3 字符"/>
    <w:basedOn w:val="23"/>
    <w:link w:val="6"/>
    <w:semiHidden/>
    <w:qFormat/>
    <w:uiPriority w:val="9"/>
    <w:rPr>
      <w:rFonts w:asciiTheme="majorHAnsi" w:hAnsiTheme="majorHAnsi" w:eastAsiaTheme="majorEastAsia"/>
      <w:b/>
      <w:bCs/>
      <w:sz w:val="26"/>
      <w:szCs w:val="26"/>
    </w:rPr>
  </w:style>
  <w:style w:type="character" w:customStyle="1" w:styleId="29">
    <w:name w:val="标题 4 字符"/>
    <w:basedOn w:val="23"/>
    <w:link w:val="7"/>
    <w:semiHidden/>
    <w:qFormat/>
    <w:uiPriority w:val="9"/>
    <w:rPr>
      <w:b/>
      <w:bCs/>
      <w:sz w:val="28"/>
      <w:szCs w:val="28"/>
    </w:rPr>
  </w:style>
  <w:style w:type="character" w:customStyle="1" w:styleId="30">
    <w:name w:val="标题 5 字符"/>
    <w:basedOn w:val="23"/>
    <w:link w:val="8"/>
    <w:semiHidden/>
    <w:qFormat/>
    <w:uiPriority w:val="9"/>
    <w:rPr>
      <w:b/>
      <w:bCs/>
      <w:i/>
      <w:iCs/>
      <w:sz w:val="26"/>
      <w:szCs w:val="26"/>
    </w:rPr>
  </w:style>
  <w:style w:type="character" w:customStyle="1" w:styleId="31">
    <w:name w:val="标题 6 字符"/>
    <w:basedOn w:val="23"/>
    <w:link w:val="9"/>
    <w:semiHidden/>
    <w:qFormat/>
    <w:uiPriority w:val="9"/>
    <w:rPr>
      <w:b/>
      <w:bCs/>
    </w:rPr>
  </w:style>
  <w:style w:type="character" w:customStyle="1" w:styleId="32">
    <w:name w:val="标题 7 字符"/>
    <w:basedOn w:val="23"/>
    <w:link w:val="10"/>
    <w:semiHidden/>
    <w:qFormat/>
    <w:uiPriority w:val="9"/>
    <w:rPr>
      <w:sz w:val="24"/>
      <w:szCs w:val="24"/>
    </w:rPr>
  </w:style>
  <w:style w:type="character" w:customStyle="1" w:styleId="33">
    <w:name w:val="标题 8 字符"/>
    <w:basedOn w:val="23"/>
    <w:link w:val="11"/>
    <w:semiHidden/>
    <w:qFormat/>
    <w:uiPriority w:val="9"/>
    <w:rPr>
      <w:i/>
      <w:iCs/>
      <w:sz w:val="24"/>
      <w:szCs w:val="24"/>
    </w:rPr>
  </w:style>
  <w:style w:type="character" w:customStyle="1" w:styleId="34">
    <w:name w:val="标题 9 字符"/>
    <w:basedOn w:val="23"/>
    <w:link w:val="12"/>
    <w:semiHidden/>
    <w:qFormat/>
    <w:uiPriority w:val="9"/>
    <w:rPr>
      <w:rFonts w:asciiTheme="majorHAnsi" w:hAnsiTheme="majorHAnsi" w:eastAsiaTheme="majorEastAsia"/>
    </w:rPr>
  </w:style>
  <w:style w:type="character" w:customStyle="1" w:styleId="35">
    <w:name w:val="标题 字符"/>
    <w:basedOn w:val="23"/>
    <w:link w:val="2"/>
    <w:qFormat/>
    <w:uiPriority w:val="10"/>
    <w:rPr>
      <w:rFonts w:asciiTheme="majorHAnsi" w:hAnsiTheme="majorHAnsi" w:eastAsiaTheme="majorEastAsia"/>
      <w:b/>
      <w:bCs/>
      <w:kern w:val="28"/>
      <w:sz w:val="32"/>
      <w:szCs w:val="32"/>
    </w:rPr>
  </w:style>
  <w:style w:type="character" w:customStyle="1" w:styleId="36">
    <w:name w:val="副标题 字符"/>
    <w:basedOn w:val="23"/>
    <w:link w:val="19"/>
    <w:qFormat/>
    <w:uiPriority w:val="11"/>
    <w:rPr>
      <w:rFonts w:asciiTheme="majorHAnsi" w:hAnsiTheme="majorHAnsi" w:eastAsiaTheme="majorEastAsia"/>
      <w:sz w:val="24"/>
      <w:szCs w:val="24"/>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3"/>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3"/>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3"/>
    <w:qFormat/>
    <w:uiPriority w:val="21"/>
    <w:rPr>
      <w:b/>
      <w:i/>
      <w:sz w:val="24"/>
      <w:szCs w:val="24"/>
      <w:u w:val="single"/>
    </w:rPr>
  </w:style>
  <w:style w:type="character" w:customStyle="1" w:styleId="44">
    <w:name w:val="不明显参考1"/>
    <w:basedOn w:val="23"/>
    <w:qFormat/>
    <w:uiPriority w:val="31"/>
    <w:rPr>
      <w:sz w:val="24"/>
      <w:szCs w:val="24"/>
      <w:u w:val="single"/>
    </w:rPr>
  </w:style>
  <w:style w:type="character" w:customStyle="1" w:styleId="45">
    <w:name w:val="明显参考1"/>
    <w:basedOn w:val="23"/>
    <w:qFormat/>
    <w:uiPriority w:val="32"/>
    <w:rPr>
      <w:b/>
      <w:sz w:val="24"/>
      <w:u w:val="single"/>
    </w:rPr>
  </w:style>
  <w:style w:type="character" w:customStyle="1" w:styleId="46">
    <w:name w:val="书籍标题1"/>
    <w:basedOn w:val="23"/>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字符"/>
    <w:basedOn w:val="23"/>
    <w:link w:val="17"/>
    <w:qFormat/>
    <w:uiPriority w:val="99"/>
    <w:rPr>
      <w:rFonts w:ascii="Calibri" w:hAnsi="Calibri" w:eastAsia="宋体"/>
      <w:kern w:val="2"/>
      <w:sz w:val="18"/>
      <w:szCs w:val="18"/>
    </w:rPr>
  </w:style>
  <w:style w:type="character" w:customStyle="1" w:styleId="49">
    <w:name w:val="页脚 字符"/>
    <w:basedOn w:val="23"/>
    <w:link w:val="16"/>
    <w:qFormat/>
    <w:uiPriority w:val="99"/>
    <w:rPr>
      <w:rFonts w:ascii="Calibri" w:hAnsi="Calibri" w:eastAsia="宋体"/>
      <w:kern w:val="2"/>
      <w:sz w:val="18"/>
      <w:szCs w:val="18"/>
    </w:rPr>
  </w:style>
  <w:style w:type="character" w:customStyle="1" w:styleId="50">
    <w:name w:val="批注框文本 字符"/>
    <w:basedOn w:val="23"/>
    <w:link w:val="15"/>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 w:type="paragraph" w:customStyle="1" w:styleId="53">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54">
    <w:name w:val="闻政-正文二级标题"/>
    <w:basedOn w:val="4"/>
    <w:next w:val="53"/>
    <w:qFormat/>
    <w:uiPriority w:val="3"/>
    <w:pPr>
      <w:spacing w:before="120" w:after="60" w:line="500" w:lineRule="exact"/>
      <w:ind w:left="200" w:leftChars="200" w:firstLine="0" w:firstLineChars="0"/>
    </w:pPr>
    <w:rPr>
      <w:rFonts w:ascii="Times New Roman" w:hAnsi="Times New Roman"/>
      <w:sz w:val="28"/>
    </w:rPr>
  </w:style>
  <w:style w:type="paragraph" w:customStyle="1" w:styleId="55">
    <w:name w:val="闻政-正文三级标题"/>
    <w:basedOn w:val="1"/>
    <w:next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8</TotalTime>
  <ScaleCrop>false</ScaleCrop>
  <LinksUpToDate>false</LinksUpToDate>
  <CharactersWithSpaces>8963</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2021-04-12T05:16:00Z</cp:lastPrinted>
  <dcterms:modified xsi:type="dcterms:W3CDTF">2021-08-20T02:11:28Z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87238E7681324FDD85D4A327B011A2B9</vt:lpwstr>
  </property>
  <property fmtid="{D5CDD505-2E9C-101B-9397-08002B2CF9AE}" pid="4" name="KSOSaveFontToCloudKey">
    <vt:lpwstr>0_btnclosed</vt:lpwstr>
  </property>
</Properties>
</file>