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51A15C">
      <w:pPr>
        <w:spacing w:line="540" w:lineRule="exact"/>
        <w:jc w:val="center"/>
        <w:rPr>
          <w:rFonts w:ascii="方正小标宋_GBK" w:hAnsi="华文中宋" w:eastAsia="方正小标宋_GBK" w:cs="宋体"/>
          <w:b/>
          <w:kern w:val="0"/>
          <w:sz w:val="48"/>
          <w:szCs w:val="48"/>
        </w:rPr>
      </w:pPr>
    </w:p>
    <w:p w14:paraId="11E6A01C">
      <w:pPr>
        <w:spacing w:line="540" w:lineRule="exact"/>
        <w:jc w:val="center"/>
        <w:rPr>
          <w:rFonts w:ascii="方正小标宋_GBK" w:hAnsi="华文中宋" w:eastAsia="方正小标宋_GBK" w:cs="宋体"/>
          <w:b/>
          <w:kern w:val="0"/>
          <w:sz w:val="48"/>
          <w:szCs w:val="48"/>
        </w:rPr>
      </w:pPr>
    </w:p>
    <w:p w14:paraId="28C3D61D">
      <w:pPr>
        <w:spacing w:line="540" w:lineRule="exact"/>
        <w:jc w:val="center"/>
        <w:rPr>
          <w:rFonts w:ascii="方正小标宋_GBK" w:hAnsi="华文中宋" w:eastAsia="方正小标宋_GBK" w:cs="宋体"/>
          <w:b/>
          <w:kern w:val="0"/>
          <w:sz w:val="48"/>
          <w:szCs w:val="48"/>
        </w:rPr>
      </w:pPr>
    </w:p>
    <w:p w14:paraId="762F16B3">
      <w:pPr>
        <w:spacing w:line="540" w:lineRule="exact"/>
        <w:jc w:val="center"/>
        <w:rPr>
          <w:rFonts w:ascii="方正小标宋_GBK" w:hAnsi="华文中宋" w:eastAsia="方正小标宋_GBK" w:cs="宋体"/>
          <w:b/>
          <w:kern w:val="0"/>
          <w:sz w:val="48"/>
          <w:szCs w:val="48"/>
        </w:rPr>
      </w:pPr>
    </w:p>
    <w:p w14:paraId="32C89326">
      <w:pPr>
        <w:spacing w:line="540" w:lineRule="exact"/>
        <w:jc w:val="center"/>
        <w:rPr>
          <w:rFonts w:ascii="方正小标宋_GBK" w:hAnsi="华文中宋" w:eastAsia="方正小标宋_GBK" w:cs="宋体"/>
          <w:b/>
          <w:kern w:val="0"/>
          <w:sz w:val="48"/>
          <w:szCs w:val="48"/>
        </w:rPr>
      </w:pPr>
    </w:p>
    <w:p w14:paraId="5187D7AC">
      <w:pPr>
        <w:spacing w:line="560" w:lineRule="exact"/>
        <w:contextualSpacing/>
        <w:jc w:val="center"/>
        <w:rPr>
          <w:rFonts w:hint="eastAsia"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rPr>
        <w:t>承压类检验项目支出</w:t>
      </w:r>
    </w:p>
    <w:p w14:paraId="7FBEB859">
      <w:pPr>
        <w:spacing w:line="560" w:lineRule="exact"/>
        <w:contextualSpacing/>
        <w:jc w:val="center"/>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kern w:val="0"/>
          <w:sz w:val="44"/>
          <w:szCs w:val="44"/>
        </w:rPr>
        <w:t>绩效评价报告</w:t>
      </w:r>
    </w:p>
    <w:p w14:paraId="0EC8EA44">
      <w:pPr>
        <w:spacing w:line="540" w:lineRule="exact"/>
        <w:jc w:val="center"/>
        <w:rPr>
          <w:rFonts w:hint="eastAsia" w:ascii="方正小标宋简体" w:hAnsi="方正小标宋简体" w:eastAsia="方正小标宋简体" w:cs="方正小标宋简体"/>
          <w:b/>
          <w:kern w:val="0"/>
          <w:sz w:val="52"/>
          <w:szCs w:val="52"/>
        </w:rPr>
      </w:pPr>
    </w:p>
    <w:p w14:paraId="658A2C0D">
      <w:pPr>
        <w:spacing w:line="54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xml:space="preserve">（ </w:t>
      </w:r>
      <w:r>
        <w:rPr>
          <w:rFonts w:hint="eastAsia" w:ascii="仿宋_GB2312" w:hAnsi="仿宋_GB2312" w:eastAsia="仿宋_GB2312" w:cs="仿宋_GB2312"/>
          <w:kern w:val="0"/>
          <w:sz w:val="36"/>
          <w:szCs w:val="36"/>
          <w:lang w:val="en-US" w:eastAsia="zh-CN"/>
        </w:rPr>
        <w:t>2020</w:t>
      </w:r>
      <w:r>
        <w:rPr>
          <w:rFonts w:hint="eastAsia" w:ascii="仿宋_GB2312" w:hAnsi="仿宋_GB2312" w:eastAsia="仿宋_GB2312" w:cs="仿宋_GB2312"/>
          <w:kern w:val="0"/>
          <w:sz w:val="36"/>
          <w:szCs w:val="36"/>
        </w:rPr>
        <w:t xml:space="preserve"> 年度）</w:t>
      </w:r>
    </w:p>
    <w:p w14:paraId="2AE184CC">
      <w:pPr>
        <w:spacing w:line="540" w:lineRule="exact"/>
        <w:jc w:val="center"/>
        <w:rPr>
          <w:rFonts w:hAnsi="宋体" w:cs="宋体"/>
          <w:kern w:val="0"/>
          <w:sz w:val="36"/>
          <w:szCs w:val="36"/>
        </w:rPr>
      </w:pPr>
    </w:p>
    <w:p w14:paraId="0F119F93">
      <w:pPr>
        <w:spacing w:line="540" w:lineRule="exact"/>
        <w:jc w:val="center"/>
        <w:rPr>
          <w:rFonts w:hint="eastAsia" w:ascii="方正小标宋简体" w:hAnsi="方正小标宋简体" w:eastAsia="方正小标宋简体" w:cs="方正小标宋简体"/>
          <w:kern w:val="0"/>
          <w:sz w:val="30"/>
          <w:szCs w:val="30"/>
        </w:rPr>
      </w:pPr>
    </w:p>
    <w:p w14:paraId="6BB638D1">
      <w:pPr>
        <w:spacing w:line="540" w:lineRule="exact"/>
        <w:jc w:val="center"/>
        <w:rPr>
          <w:rFonts w:ascii="方正小标宋_GBK" w:hAnsi="宋体" w:eastAsia="方正小标宋_GBK" w:cs="宋体"/>
          <w:kern w:val="0"/>
          <w:sz w:val="36"/>
          <w:szCs w:val="36"/>
        </w:rPr>
      </w:pPr>
    </w:p>
    <w:p w14:paraId="6DF650DD">
      <w:pPr>
        <w:spacing w:line="540" w:lineRule="exact"/>
        <w:jc w:val="center"/>
        <w:rPr>
          <w:rFonts w:hAnsi="宋体" w:cs="宋体"/>
          <w:kern w:val="0"/>
          <w:sz w:val="30"/>
          <w:szCs w:val="30"/>
        </w:rPr>
      </w:pPr>
    </w:p>
    <w:p w14:paraId="69A69E5B">
      <w:pPr>
        <w:spacing w:line="700" w:lineRule="exact"/>
        <w:ind w:firstLine="720" w:firstLineChars="200"/>
        <w:jc w:val="both"/>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项目名称：</w:t>
      </w:r>
      <w:r>
        <w:rPr>
          <w:rFonts w:hint="eastAsia" w:ascii="仿宋_GB2312" w:hAnsi="仿宋_GB2312" w:eastAsia="仿宋_GB2312" w:cs="仿宋_GB2312"/>
          <w:kern w:val="0"/>
          <w:sz w:val="36"/>
          <w:szCs w:val="36"/>
          <w:lang w:val="en-US" w:eastAsia="zh-CN"/>
        </w:rPr>
        <w:t>承压类检验项目</w:t>
      </w:r>
    </w:p>
    <w:p w14:paraId="67FB2CF0">
      <w:pPr>
        <w:spacing w:line="700" w:lineRule="exact"/>
        <w:ind w:left="718" w:leftChars="342" w:firstLine="0" w:firstLineChars="0"/>
        <w:jc w:val="both"/>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实施单位（公章）：</w:t>
      </w:r>
      <w:r>
        <w:rPr>
          <w:rFonts w:hint="eastAsia" w:ascii="仿宋_GB2312" w:hAnsi="仿宋_GB2312" w:eastAsia="仿宋_GB2312" w:cs="仿宋_GB2312"/>
          <w:kern w:val="0"/>
          <w:sz w:val="36"/>
          <w:szCs w:val="36"/>
          <w:lang w:val="en-US" w:eastAsia="zh-CN"/>
        </w:rPr>
        <w:t>新疆塔城地区特种设备检验检测所</w:t>
      </w:r>
    </w:p>
    <w:p w14:paraId="247B074E">
      <w:pPr>
        <w:spacing w:line="700" w:lineRule="exact"/>
        <w:ind w:firstLine="720" w:firstLineChars="200"/>
        <w:jc w:val="both"/>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主管部门（公章）：</w:t>
      </w:r>
      <w:r>
        <w:rPr>
          <w:rFonts w:hint="eastAsia" w:ascii="仿宋_GB2312" w:hAnsi="仿宋_GB2312" w:eastAsia="仿宋_GB2312" w:cs="仿宋_GB2312"/>
          <w:kern w:val="0"/>
          <w:sz w:val="36"/>
          <w:szCs w:val="36"/>
          <w:lang w:val="en-US" w:eastAsia="zh-CN"/>
        </w:rPr>
        <w:t>塔城地区市场监督管理局</w:t>
      </w:r>
    </w:p>
    <w:p w14:paraId="02999130">
      <w:pPr>
        <w:spacing w:line="700" w:lineRule="exact"/>
        <w:ind w:firstLine="720" w:firstLineChars="200"/>
        <w:jc w:val="both"/>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项目负责人（签章）：</w:t>
      </w:r>
      <w:r>
        <w:rPr>
          <w:rFonts w:hint="eastAsia" w:ascii="仿宋_GB2312" w:hAnsi="仿宋_GB2312" w:eastAsia="仿宋_GB2312" w:cs="仿宋_GB2312"/>
          <w:kern w:val="0"/>
          <w:sz w:val="36"/>
          <w:szCs w:val="36"/>
          <w:lang w:val="en-US" w:eastAsia="zh-CN"/>
        </w:rPr>
        <w:t>黄伟娱</w:t>
      </w:r>
    </w:p>
    <w:p w14:paraId="3BC77013">
      <w:pPr>
        <w:spacing w:line="700" w:lineRule="exact"/>
        <w:ind w:firstLine="720" w:firstLineChars="200"/>
        <w:jc w:val="both"/>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填报时间：</w:t>
      </w:r>
      <w:r>
        <w:rPr>
          <w:rFonts w:hint="eastAsia" w:ascii="仿宋_GB2312" w:hAnsi="仿宋_GB2312" w:eastAsia="仿宋_GB2312" w:cs="仿宋_GB2312"/>
          <w:kern w:val="0"/>
          <w:sz w:val="36"/>
          <w:szCs w:val="36"/>
          <w:lang w:val="en-US" w:eastAsia="zh-CN"/>
        </w:rPr>
        <w:t>2021 年 03 月 29日</w:t>
      </w:r>
    </w:p>
    <w:p w14:paraId="1CA01FF9">
      <w:pPr>
        <w:spacing w:line="700" w:lineRule="exact"/>
        <w:ind w:firstLine="720" w:firstLineChars="200"/>
        <w:jc w:val="both"/>
        <w:rPr>
          <w:rFonts w:hAnsi="宋体" w:eastAsia="仿宋_GB2312" w:cs="宋体"/>
          <w:kern w:val="0"/>
          <w:sz w:val="36"/>
          <w:szCs w:val="36"/>
        </w:rPr>
      </w:pPr>
    </w:p>
    <w:p w14:paraId="45D87BA9">
      <w:pPr>
        <w:spacing w:line="540" w:lineRule="exact"/>
        <w:jc w:val="center"/>
        <w:rPr>
          <w:rFonts w:hAnsi="宋体" w:cs="宋体"/>
          <w:kern w:val="0"/>
          <w:sz w:val="30"/>
          <w:szCs w:val="30"/>
        </w:rPr>
      </w:pPr>
    </w:p>
    <w:p w14:paraId="0E866E0F">
      <w:pPr>
        <w:spacing w:line="540" w:lineRule="exact"/>
        <w:jc w:val="center"/>
        <w:rPr>
          <w:rFonts w:hint="eastAsia" w:hAnsi="宋体" w:cs="宋体"/>
          <w:kern w:val="0"/>
          <w:sz w:val="30"/>
          <w:szCs w:val="30"/>
        </w:rPr>
      </w:pPr>
    </w:p>
    <w:p w14:paraId="6DFCF309">
      <w:pPr>
        <w:pageBreakBefore w:val="0"/>
        <w:kinsoku/>
        <w:wordWrap/>
        <w:overflowPunct/>
        <w:topLinePunct w:val="0"/>
        <w:autoSpaceDE/>
        <w:autoSpaceDN/>
        <w:bidi w:val="0"/>
        <w:adjustRightInd/>
        <w:snapToGrid/>
        <w:spacing w:line="560" w:lineRule="atLeast"/>
        <w:ind w:firstLine="641"/>
        <w:rPr>
          <w:rFonts w:hint="eastAsia" w:ascii="黑体" w:hAnsi="黑体" w:eastAsia="黑体"/>
          <w:sz w:val="32"/>
          <w:szCs w:val="32"/>
        </w:rPr>
      </w:pPr>
      <w:r>
        <w:rPr>
          <w:rFonts w:hint="eastAsia" w:ascii="黑体" w:hAnsi="黑体" w:eastAsia="黑体"/>
          <w:sz w:val="32"/>
          <w:szCs w:val="32"/>
        </w:rPr>
        <w:t>一、基本情况</w:t>
      </w:r>
    </w:p>
    <w:p w14:paraId="5A9B7E50">
      <w:pPr>
        <w:pageBreakBefore w:val="0"/>
        <w:kinsoku/>
        <w:wordWrap/>
        <w:overflowPunct/>
        <w:topLinePunct w:val="0"/>
        <w:autoSpaceDE/>
        <w:autoSpaceDN/>
        <w:bidi w:val="0"/>
        <w:adjustRightInd/>
        <w:snapToGrid/>
        <w:spacing w:line="560" w:lineRule="atLeas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14:paraId="080BFC0A">
      <w:pPr>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14:paraId="66CC623E">
      <w:pPr>
        <w:pageBreakBefore w:val="0"/>
        <w:kinsoku/>
        <w:wordWrap/>
        <w:overflowPunct/>
        <w:topLinePunct w:val="0"/>
        <w:autoSpaceDE/>
        <w:autoSpaceDN/>
        <w:bidi w:val="0"/>
        <w:adjustRightInd/>
        <w:snapToGrid/>
        <w:spacing w:line="560" w:lineRule="atLeast"/>
        <w:ind w:firstLine="640" w:firstLineChars="200"/>
        <w:rPr>
          <w:rFonts w:hint="eastAsia" w:ascii="仿宋_GB2312" w:hAnsi="仿宋_GB2312" w:eastAsia="仿宋_GB2312" w:cs="仿宋_GB2312"/>
          <w:kern w:val="0"/>
          <w:sz w:val="32"/>
          <w:szCs w:val="32"/>
          <w:lang w:val="en-GB" w:eastAsia="zh-CN"/>
        </w:rPr>
      </w:pPr>
      <w:r>
        <w:rPr>
          <w:rFonts w:hint="eastAsia" w:ascii="仿宋_GB2312" w:hAnsi="仿宋_GB2312" w:eastAsia="仿宋_GB2312" w:cs="仿宋_GB2312"/>
          <w:kern w:val="0"/>
          <w:sz w:val="32"/>
          <w:szCs w:val="32"/>
          <w:lang w:val="en-GB" w:eastAsia="zh-CN"/>
        </w:rPr>
        <w:t> </w:t>
      </w:r>
      <w:r>
        <w:rPr>
          <w:rFonts w:hint="default" w:ascii="仿宋_GB2312" w:hAnsi="仿宋_GB2312" w:eastAsia="仿宋_GB2312" w:cs="仿宋_GB2312"/>
          <w:kern w:val="0"/>
          <w:sz w:val="32"/>
          <w:szCs w:val="32"/>
          <w:lang w:val="en-GB" w:eastAsia="zh-CN"/>
        </w:rPr>
        <w:t>1979年,原国家劳动总局成立锅炉压力容器检测研究中心,各地区的劳动部门也相继成立了专门从事锅炉压力容器技术检验的机构,一般称作锅炉检验所或者锅炉压力容器检验所.1982年,国务院&lt;锅炉压力容器安全监察暂行条例&gt;颁布后,锅炉压力容器检验机构得到了进一步的发展.上个世纪90年代末,随着职能的划转,职能的变化,检验机构开展的检验设备也相应的发生了变化,开展了包括锅炉、压力容器、压力管道、</w:t>
      </w:r>
      <w:r>
        <w:rPr>
          <w:rFonts w:hint="eastAsia" w:ascii="仿宋_GB2312" w:hAnsi="仿宋_GB2312" w:eastAsia="仿宋_GB2312" w:cs="仿宋_GB2312"/>
          <w:kern w:val="0"/>
          <w:sz w:val="32"/>
          <w:szCs w:val="32"/>
          <w:lang w:val="en-GB" w:eastAsia="zh-CN"/>
        </w:rPr>
        <w:t>电梯、起重机械、大型游乐设施、场内机动车、客运索道</w:t>
      </w:r>
      <w:r>
        <w:rPr>
          <w:rFonts w:hint="default" w:ascii="仿宋_GB2312" w:hAnsi="仿宋_GB2312" w:eastAsia="仿宋_GB2312" w:cs="仿宋_GB2312"/>
          <w:kern w:val="0"/>
          <w:sz w:val="32"/>
          <w:szCs w:val="32"/>
          <w:lang w:val="en-GB" w:eastAsia="zh-CN"/>
        </w:rPr>
        <w:t>等特种设备的检验工作</w:t>
      </w:r>
      <w:r>
        <w:rPr>
          <w:rFonts w:hint="eastAsia" w:ascii="仿宋_GB2312" w:hAnsi="仿宋_GB2312" w:eastAsia="仿宋_GB2312" w:cs="仿宋_GB2312"/>
          <w:kern w:val="0"/>
          <w:sz w:val="32"/>
          <w:szCs w:val="32"/>
          <w:lang w:val="en-GB" w:eastAsia="zh-CN"/>
        </w:rPr>
        <w:t>。</w:t>
      </w:r>
    </w:p>
    <w:p w14:paraId="0AAF8D2E">
      <w:pPr>
        <w:pageBreakBefore w:val="0"/>
        <w:kinsoku/>
        <w:wordWrap/>
        <w:overflowPunct/>
        <w:topLinePunct w:val="0"/>
        <w:autoSpaceDE/>
        <w:autoSpaceDN/>
        <w:bidi w:val="0"/>
        <w:adjustRightInd/>
        <w:snapToGrid/>
        <w:spacing w:line="560" w:lineRule="atLeas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塔城地区特种设备检验检测所是隶属于塔城地区市场监督管理局具有独立法人地位的事业单位。于1982年由塔城地区行署批准成立，从事塔城地区所属5县2市十万平方公里资格范围内的特种设备检验、检测和监督检测工作。</w:t>
      </w:r>
      <w:r>
        <w:rPr>
          <w:rFonts w:hint="eastAsia" w:ascii="仿宋_GB2312" w:hAnsi="仿宋_GB2312" w:eastAsia="仿宋_GB2312" w:cs="仿宋_GB2312"/>
          <w:kern w:val="0"/>
          <w:sz w:val="32"/>
          <w:szCs w:val="32"/>
          <w:lang w:val="en-GB" w:eastAsia="zh-CN"/>
        </w:rPr>
        <w:t>目前承压室负责</w:t>
      </w:r>
      <w:r>
        <w:rPr>
          <w:rFonts w:hint="default" w:ascii="仿宋_GB2312" w:hAnsi="仿宋_GB2312" w:eastAsia="仿宋_GB2312" w:cs="仿宋_GB2312"/>
          <w:kern w:val="0"/>
          <w:sz w:val="32"/>
          <w:szCs w:val="32"/>
          <w:lang w:val="en-GB" w:eastAsia="zh-CN"/>
        </w:rPr>
        <w:t>锅炉、压力容器、压力管道</w:t>
      </w:r>
      <w:r>
        <w:rPr>
          <w:rFonts w:hint="eastAsia" w:ascii="仿宋_GB2312" w:hAnsi="仿宋_GB2312" w:eastAsia="仿宋_GB2312" w:cs="仿宋_GB2312"/>
          <w:kern w:val="0"/>
          <w:sz w:val="32"/>
          <w:szCs w:val="32"/>
          <w:lang w:val="en-GB" w:eastAsia="zh-CN"/>
        </w:rPr>
        <w:t>、气瓶的检验检测工作，依据《</w:t>
      </w:r>
      <w:r>
        <w:rPr>
          <w:rFonts w:hint="eastAsia" w:ascii="仿宋_GB2312" w:hAnsi="仿宋_GB2312" w:eastAsia="仿宋_GB2312" w:cs="仿宋_GB2312"/>
          <w:kern w:val="0"/>
          <w:sz w:val="32"/>
          <w:szCs w:val="32"/>
          <w:lang w:val="en-US" w:eastAsia="zh-CN"/>
        </w:rPr>
        <w:t>中华人民共和国特种设备安全法</w:t>
      </w:r>
      <w:r>
        <w:rPr>
          <w:rFonts w:hint="eastAsia" w:ascii="仿宋_GB2312" w:hAnsi="仿宋_GB2312" w:eastAsia="仿宋_GB2312" w:cs="仿宋_GB2312"/>
          <w:kern w:val="0"/>
          <w:sz w:val="32"/>
          <w:szCs w:val="32"/>
          <w:lang w:val="en-GB" w:eastAsia="zh-CN"/>
        </w:rPr>
        <w:t>》、《</w:t>
      </w:r>
      <w:r>
        <w:rPr>
          <w:rFonts w:hint="eastAsia" w:ascii="仿宋_GB2312" w:hAnsi="仿宋_GB2312" w:eastAsia="仿宋_GB2312" w:cs="仿宋_GB2312"/>
          <w:kern w:val="0"/>
          <w:sz w:val="32"/>
          <w:szCs w:val="32"/>
          <w:lang w:val="en-US" w:eastAsia="zh-CN"/>
        </w:rPr>
        <w:t>特种设备安全监察条例</w:t>
      </w:r>
      <w:r>
        <w:rPr>
          <w:rFonts w:hint="eastAsia" w:ascii="仿宋_GB2312" w:hAnsi="仿宋_GB2312" w:eastAsia="仿宋_GB2312" w:cs="仿宋_GB2312"/>
          <w:kern w:val="0"/>
          <w:sz w:val="32"/>
          <w:szCs w:val="32"/>
          <w:lang w:val="en-GB" w:eastAsia="zh-CN"/>
        </w:rPr>
        <w:t>》，依法对承压类特种设备开展检验检测工作，确保承压类特种设备安全运行</w:t>
      </w:r>
      <w:r>
        <w:rPr>
          <w:rFonts w:hint="eastAsia" w:ascii="仿宋_GB2312" w:hAnsi="仿宋_GB2312" w:eastAsia="仿宋_GB2312" w:cs="仿宋_GB2312"/>
          <w:kern w:val="0"/>
          <w:sz w:val="32"/>
          <w:szCs w:val="32"/>
          <w:lang w:val="en-US" w:eastAsia="zh-CN"/>
        </w:rPr>
        <w:t>。</w:t>
      </w:r>
    </w:p>
    <w:p w14:paraId="16A682C7">
      <w:pPr>
        <w:pageBreakBefore w:val="0"/>
        <w:numPr>
          <w:ilvl w:val="0"/>
          <w:numId w:val="1"/>
        </w:numPr>
        <w:kinsoku/>
        <w:wordWrap/>
        <w:overflowPunct/>
        <w:topLinePunct w:val="0"/>
        <w:autoSpaceDE/>
        <w:autoSpaceDN/>
        <w:bidi w:val="0"/>
        <w:adjustRightInd/>
        <w:snapToGrid/>
        <w:spacing w:line="560" w:lineRule="atLeas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项目主要内容及实施情况</w:t>
      </w:r>
    </w:p>
    <w:p w14:paraId="5F706AF2">
      <w:pPr>
        <w:pageBreakBefore w:val="0"/>
        <w:kinsoku/>
        <w:wordWrap/>
        <w:overflowPunct/>
        <w:topLinePunct w:val="0"/>
        <w:autoSpaceDE/>
        <w:autoSpaceDN/>
        <w:bidi w:val="0"/>
        <w:adjustRightInd/>
        <w:snapToGrid/>
        <w:spacing w:line="560" w:lineRule="atLeas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项目主要内容：</w:t>
      </w:r>
      <w:r>
        <w:rPr>
          <w:rFonts w:hint="eastAsia" w:ascii="仿宋_GB2312" w:hAnsi="仿宋_GB2312" w:eastAsia="仿宋_GB2312" w:cs="仿宋_GB2312"/>
          <w:sz w:val="32"/>
          <w:szCs w:val="32"/>
          <w:lang w:val="en-GB"/>
        </w:rPr>
        <w:t>在核准的检验业务范围内，负责</w:t>
      </w:r>
      <w:r>
        <w:rPr>
          <w:rFonts w:hint="eastAsia" w:ascii="仿宋_GB2312" w:hAnsi="仿宋_GB2312" w:eastAsia="仿宋_GB2312" w:cs="仿宋_GB2312"/>
          <w:sz w:val="32"/>
          <w:szCs w:val="32"/>
          <w:lang w:val="en-GB" w:eastAsia="zh-CN"/>
        </w:rPr>
        <w:t>全塔城地区锅炉、</w:t>
      </w:r>
      <w:r>
        <w:rPr>
          <w:rFonts w:hint="eastAsia" w:ascii="仿宋_GB2312" w:hAnsi="仿宋_GB2312" w:eastAsia="仿宋_GB2312" w:cs="仿宋_GB2312"/>
          <w:sz w:val="32"/>
          <w:szCs w:val="32"/>
          <w:lang w:val="en-GB"/>
        </w:rPr>
        <w:t>压力容器</w:t>
      </w:r>
      <w:r>
        <w:rPr>
          <w:rFonts w:hint="eastAsia" w:ascii="仿宋_GB2312" w:hAnsi="仿宋_GB2312" w:eastAsia="仿宋_GB2312" w:cs="仿宋_GB2312"/>
          <w:sz w:val="32"/>
          <w:szCs w:val="32"/>
          <w:lang w:val="en-GB" w:eastAsia="zh-CN"/>
        </w:rPr>
        <w:t>（</w:t>
      </w:r>
      <w:r>
        <w:rPr>
          <w:rFonts w:hint="eastAsia" w:ascii="仿宋_GB2312" w:hAnsi="仿宋_GB2312" w:eastAsia="仿宋_GB2312" w:cs="仿宋_GB2312"/>
          <w:sz w:val="32"/>
          <w:szCs w:val="32"/>
          <w:lang w:val="en-GB"/>
        </w:rPr>
        <w:t>安装、修理、改造</w:t>
      </w:r>
      <w:r>
        <w:rPr>
          <w:rFonts w:hint="eastAsia" w:ascii="仿宋_GB2312" w:hAnsi="仿宋_GB2312" w:eastAsia="仿宋_GB2312" w:cs="仿宋_GB2312"/>
          <w:sz w:val="32"/>
          <w:szCs w:val="32"/>
          <w:lang w:val="en-GB" w:eastAsia="zh-CN"/>
        </w:rPr>
        <w:t>）</w:t>
      </w:r>
      <w:r>
        <w:rPr>
          <w:rFonts w:hint="eastAsia" w:ascii="仿宋_GB2312" w:hAnsi="仿宋_GB2312" w:eastAsia="仿宋_GB2312" w:cs="仿宋_GB2312"/>
          <w:sz w:val="32"/>
          <w:szCs w:val="32"/>
          <w:lang w:val="en-GB"/>
        </w:rPr>
        <w:t>监督检验</w:t>
      </w:r>
      <w:r>
        <w:rPr>
          <w:rFonts w:hint="eastAsia" w:ascii="仿宋_GB2312" w:hAnsi="仿宋_GB2312" w:eastAsia="仿宋_GB2312" w:cs="仿宋_GB2312"/>
          <w:sz w:val="32"/>
          <w:szCs w:val="32"/>
          <w:lang w:val="en-GB" w:eastAsia="zh-CN"/>
        </w:rPr>
        <w:t>，</w:t>
      </w:r>
      <w:r>
        <w:rPr>
          <w:rFonts w:hint="eastAsia" w:ascii="仿宋_GB2312" w:hAnsi="仿宋_GB2312" w:eastAsia="仿宋_GB2312" w:cs="仿宋_GB2312"/>
          <w:sz w:val="32"/>
          <w:szCs w:val="32"/>
          <w:lang w:val="en-GB"/>
        </w:rPr>
        <w:t>定期检验、事故分析和鉴定检验工作；负责压力管道</w:t>
      </w:r>
      <w:r>
        <w:rPr>
          <w:rFonts w:hint="eastAsia" w:ascii="仿宋_GB2312" w:hAnsi="仿宋_GB2312" w:eastAsia="仿宋_GB2312" w:cs="仿宋_GB2312"/>
          <w:sz w:val="32"/>
          <w:szCs w:val="32"/>
          <w:lang w:val="en-GB" w:eastAsia="zh-CN"/>
        </w:rPr>
        <w:t>（</w:t>
      </w:r>
      <w:r>
        <w:rPr>
          <w:rFonts w:hint="eastAsia" w:ascii="仿宋_GB2312" w:hAnsi="仿宋_GB2312" w:eastAsia="仿宋_GB2312" w:cs="仿宋_GB2312"/>
          <w:sz w:val="32"/>
          <w:szCs w:val="32"/>
          <w:lang w:val="en-GB"/>
        </w:rPr>
        <w:t>安装、修理、改造</w:t>
      </w:r>
      <w:r>
        <w:rPr>
          <w:rFonts w:hint="eastAsia" w:ascii="仿宋_GB2312" w:hAnsi="仿宋_GB2312" w:eastAsia="仿宋_GB2312" w:cs="仿宋_GB2312"/>
          <w:sz w:val="32"/>
          <w:szCs w:val="32"/>
          <w:lang w:val="en-GB" w:eastAsia="zh-CN"/>
        </w:rPr>
        <w:t>）</w:t>
      </w:r>
      <w:r>
        <w:rPr>
          <w:rFonts w:hint="eastAsia" w:ascii="仿宋_GB2312" w:hAnsi="仿宋_GB2312" w:eastAsia="仿宋_GB2312" w:cs="仿宋_GB2312"/>
          <w:sz w:val="32"/>
          <w:szCs w:val="32"/>
          <w:lang w:val="en-GB"/>
        </w:rPr>
        <w:t>监督检验、定期检验、事故分析和鉴定检验工作</w:t>
      </w:r>
      <w:r>
        <w:rPr>
          <w:rFonts w:hint="eastAsia" w:ascii="仿宋_GB2312" w:hAnsi="仿宋_GB2312" w:eastAsia="仿宋_GB2312" w:cs="仿宋_GB2312"/>
          <w:sz w:val="32"/>
          <w:szCs w:val="32"/>
          <w:lang w:val="en-GB" w:eastAsia="zh-CN"/>
        </w:rPr>
        <w:t>。</w:t>
      </w:r>
      <w:r>
        <w:rPr>
          <w:rFonts w:hint="eastAsia" w:ascii="仿宋_GB2312" w:hAnsi="仿宋_GB2312" w:eastAsia="仿宋_GB2312" w:cs="仿宋_GB2312"/>
          <w:sz w:val="32"/>
          <w:szCs w:val="32"/>
          <w:lang w:val="en-GB"/>
        </w:rPr>
        <w:t>对本室检验人</w:t>
      </w:r>
      <w:r>
        <w:rPr>
          <w:rFonts w:hint="eastAsia" w:ascii="仿宋_GB2312" w:hAnsi="仿宋_GB2312" w:eastAsia="仿宋_GB2312" w:cs="仿宋_GB2312"/>
          <w:kern w:val="0"/>
          <w:sz w:val="32"/>
          <w:szCs w:val="32"/>
          <w:lang w:val="en-GB"/>
        </w:rPr>
        <w:t>员进行相关专业培训学习</w:t>
      </w:r>
      <w:r>
        <w:rPr>
          <w:rFonts w:hint="eastAsia" w:ascii="仿宋_GB2312" w:hAnsi="仿宋_GB2312" w:eastAsia="仿宋_GB2312" w:cs="仿宋_GB2312"/>
          <w:kern w:val="0"/>
          <w:sz w:val="32"/>
          <w:szCs w:val="32"/>
          <w:lang w:val="en-GB" w:eastAsia="zh-CN"/>
        </w:rPr>
        <w:t>，检验资质获取等相关工作。</w:t>
      </w:r>
    </w:p>
    <w:p w14:paraId="4F57A0DC">
      <w:pPr>
        <w:pageBreakBefore w:val="0"/>
        <w:kinsoku/>
        <w:wordWrap/>
        <w:overflowPunct/>
        <w:topLinePunct w:val="0"/>
        <w:autoSpaceDE/>
        <w:autoSpaceDN/>
        <w:bidi w:val="0"/>
        <w:adjustRightInd/>
        <w:snapToGrid/>
        <w:spacing w:line="560" w:lineRule="atLeast"/>
        <w:ind w:firstLine="640" w:firstLineChars="200"/>
      </w:pPr>
      <w:r>
        <w:rPr>
          <w:rFonts w:hint="eastAsia" w:ascii="仿宋_GB2312" w:hAnsi="仿宋_GB2312" w:eastAsia="仿宋_GB2312" w:cs="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14:paraId="669097D5">
      <w:pPr>
        <w:pageBreakBefore w:val="0"/>
        <w:kinsoku/>
        <w:wordWrap/>
        <w:overflowPunct/>
        <w:topLinePunct w:val="0"/>
        <w:autoSpaceDE/>
        <w:autoSpaceDN/>
        <w:bidi w:val="0"/>
        <w:adjustRightInd/>
        <w:snapToGrid/>
        <w:spacing w:line="560" w:lineRule="atLeast"/>
        <w:ind w:firstLine="579" w:firstLineChars="181"/>
        <w:rPr>
          <w:rFonts w:ascii="仿宋_GB2312" w:hAnsi="仿宋_GB2312" w:eastAsia="仿宋_GB2312" w:cs="仿宋_GB2312"/>
          <w:sz w:val="32"/>
          <w:szCs w:val="32"/>
        </w:rPr>
      </w:pPr>
      <w:r>
        <w:rPr>
          <w:rFonts w:hint="eastAsia" w:ascii="仿宋_GB2312" w:hAnsi="仿宋_GB2312" w:eastAsia="仿宋_GB2312" w:cs="仿宋_GB2312"/>
          <w:sz w:val="32"/>
          <w:szCs w:val="32"/>
        </w:rPr>
        <w:t>本项目总投资</w:t>
      </w:r>
      <w:r>
        <w:rPr>
          <w:rFonts w:hint="eastAsia" w:ascii="仿宋_GB2312" w:hAnsi="仿宋_GB2312" w:eastAsia="仿宋_GB2312" w:cs="仿宋_GB2312"/>
          <w:sz w:val="32"/>
          <w:szCs w:val="32"/>
          <w:highlight w:val="none"/>
          <w:lang w:val="en-US" w:eastAsia="zh-CN"/>
        </w:rPr>
        <w:t>76.18</w:t>
      </w:r>
      <w:r>
        <w:rPr>
          <w:rFonts w:hint="eastAsia" w:ascii="仿宋_GB2312" w:hAnsi="仿宋_GB2312" w:eastAsia="仿宋_GB2312" w:cs="仿宋_GB2312"/>
          <w:sz w:val="32"/>
          <w:szCs w:val="32"/>
          <w:highlight w:val="none"/>
        </w:rPr>
        <w:t>万元，其中：财政本级资金</w:t>
      </w:r>
      <w:r>
        <w:rPr>
          <w:rFonts w:hint="eastAsia" w:ascii="仿宋_GB2312" w:hAnsi="仿宋_GB2312" w:eastAsia="仿宋_GB2312" w:cs="仿宋_GB2312"/>
          <w:sz w:val="32"/>
          <w:szCs w:val="32"/>
          <w:highlight w:val="none"/>
          <w:lang w:val="en-US" w:eastAsia="zh-CN"/>
        </w:rPr>
        <w:t>76.18</w:t>
      </w:r>
      <w:r>
        <w:rPr>
          <w:rFonts w:hint="eastAsia" w:ascii="仿宋_GB2312" w:hAnsi="仿宋_GB2312" w:eastAsia="仿宋_GB2312" w:cs="仿宋_GB2312"/>
          <w:sz w:val="32"/>
          <w:szCs w:val="32"/>
          <w:highlight w:val="none"/>
        </w:rPr>
        <w:t>万元。项目实际支出</w:t>
      </w:r>
      <w:r>
        <w:rPr>
          <w:rFonts w:hint="eastAsia" w:ascii="仿宋_GB2312" w:hAnsi="仿宋_GB2312" w:eastAsia="仿宋_GB2312" w:cs="仿宋_GB2312"/>
          <w:sz w:val="32"/>
          <w:szCs w:val="32"/>
          <w:highlight w:val="none"/>
          <w:lang w:val="en-US" w:eastAsia="zh-CN"/>
        </w:rPr>
        <w:t>50.38</w:t>
      </w:r>
      <w:r>
        <w:rPr>
          <w:rFonts w:hint="eastAsia" w:ascii="仿宋_GB2312" w:hAnsi="仿宋_GB2312" w:eastAsia="仿宋_GB2312" w:cs="仿宋_GB2312"/>
          <w:sz w:val="32"/>
          <w:szCs w:val="32"/>
          <w:highlight w:val="none"/>
        </w:rPr>
        <w:t>万元，支出率为</w:t>
      </w: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lang w:val="en-US" w:eastAsia="zh-CN"/>
        </w:rPr>
        <w:t>6.13</w:t>
      </w:r>
      <w:r>
        <w:rPr>
          <w:rFonts w:hint="eastAsia" w:ascii="仿宋_GB2312" w:hAnsi="仿宋_GB2312" w:eastAsia="仿宋_GB2312" w:cs="仿宋_GB2312"/>
          <w:sz w:val="32"/>
          <w:szCs w:val="32"/>
        </w:rPr>
        <w:t>%。</w:t>
      </w:r>
    </w:p>
    <w:p w14:paraId="732C8A2B">
      <w:pPr>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w:t>
      </w:r>
    </w:p>
    <w:p w14:paraId="63C5565A">
      <w:pPr>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20"/>
          <w:szCs w:val="20"/>
        </w:rPr>
      </w:pPr>
      <w:r>
        <w:rPr>
          <w:rFonts w:hint="eastAsia" w:ascii="仿宋_GB2312" w:hAnsi="仿宋_GB2312" w:eastAsia="仿宋_GB2312" w:cs="仿宋_GB2312"/>
          <w:sz w:val="32"/>
          <w:szCs w:val="32"/>
        </w:rPr>
        <w:t>（1）资金安排</w:t>
      </w:r>
    </w:p>
    <w:p w14:paraId="5732484B">
      <w:pPr>
        <w:pageBreakBefore w:val="0"/>
        <w:kinsoku/>
        <w:wordWrap/>
        <w:overflowPunct/>
        <w:topLinePunct w:val="0"/>
        <w:autoSpaceDE/>
        <w:autoSpaceDN/>
        <w:bidi w:val="0"/>
        <w:adjustRightInd/>
        <w:snapToGrid/>
        <w:spacing w:line="560" w:lineRule="atLeast"/>
        <w:ind w:firstLine="579" w:firstLineChars="181"/>
        <w:rPr>
          <w:rFonts w:ascii="仿宋_GB2312" w:hAnsi="仿宋_GB2312" w:eastAsia="仿宋_GB2312" w:cs="仿宋_GB2312"/>
          <w:sz w:val="32"/>
          <w:szCs w:val="32"/>
        </w:rPr>
      </w:pPr>
      <w:r>
        <w:rPr>
          <w:rFonts w:hint="eastAsia" w:ascii="仿宋_GB2312" w:hAnsi="仿宋_GB2312" w:eastAsia="仿宋_GB2312" w:cs="仿宋_GB2312"/>
          <w:sz w:val="32"/>
          <w:szCs w:val="32"/>
        </w:rPr>
        <w:t>项目总投资</w:t>
      </w:r>
      <w:r>
        <w:rPr>
          <w:rFonts w:hint="eastAsia" w:ascii="仿宋_GB2312" w:hAnsi="仿宋_GB2312" w:eastAsia="仿宋_GB2312" w:cs="仿宋_GB2312"/>
          <w:sz w:val="32"/>
          <w:szCs w:val="32"/>
          <w:highlight w:val="none"/>
          <w:lang w:val="en-US" w:eastAsia="zh-CN"/>
        </w:rPr>
        <w:t>76.18</w:t>
      </w:r>
      <w:r>
        <w:rPr>
          <w:rFonts w:hint="eastAsia" w:ascii="仿宋_GB2312" w:hAnsi="仿宋_GB2312" w:eastAsia="仿宋_GB2312" w:cs="仿宋_GB2312"/>
          <w:sz w:val="32"/>
          <w:szCs w:val="32"/>
          <w:highlight w:val="none"/>
        </w:rPr>
        <w:t>万</w:t>
      </w:r>
      <w:r>
        <w:rPr>
          <w:rFonts w:hint="eastAsia" w:ascii="仿宋_GB2312" w:hAnsi="仿宋_GB2312" w:eastAsia="仿宋_GB2312" w:cs="仿宋_GB2312"/>
          <w:sz w:val="32"/>
          <w:szCs w:val="32"/>
        </w:rPr>
        <w:t>元，按照</w:t>
      </w:r>
      <w:r>
        <w:rPr>
          <w:rFonts w:hint="eastAsia" w:ascii="仿宋_GB2312" w:hAnsi="仿宋_GB2312" w:eastAsia="仿宋_GB2312" w:cs="仿宋_GB2312"/>
          <w:kern w:val="1"/>
          <w:sz w:val="32"/>
          <w:szCs w:val="32"/>
        </w:rPr>
        <w:t>《预算法》</w:t>
      </w:r>
      <w:r>
        <w:rPr>
          <w:rFonts w:hint="eastAsia" w:ascii="仿宋_GB2312" w:hAnsi="仿宋_GB2312" w:eastAsia="仿宋_GB2312" w:cs="仿宋_GB2312"/>
          <w:kern w:val="1"/>
          <w:sz w:val="32"/>
          <w:szCs w:val="32"/>
          <w:lang w:eastAsia="zh-CN"/>
        </w:rPr>
        <w:t>、</w:t>
      </w:r>
      <w:r>
        <w:rPr>
          <w:rFonts w:hint="eastAsia" w:ascii="仿宋_GB2312" w:hAnsi="仿宋_GB2312" w:eastAsia="仿宋_GB2312" w:cs="仿宋_GB2312"/>
          <w:kern w:val="1"/>
          <w:sz w:val="32"/>
          <w:szCs w:val="32"/>
        </w:rPr>
        <w:t>《行政单位财务规则》等法律和有关财政财务规章，规范财政资金管理，量入为出，统筹兼顾，突出重点，讲究实效，防范风险，合理使用各项资金，确保</w:t>
      </w:r>
      <w:r>
        <w:rPr>
          <w:rFonts w:hint="eastAsia" w:ascii="仿宋_GB2312" w:hAnsi="仿宋_GB2312" w:eastAsia="仿宋_GB2312" w:cs="仿宋_GB2312"/>
          <w:kern w:val="1"/>
          <w:sz w:val="32"/>
          <w:szCs w:val="32"/>
          <w:lang w:val="en-US" w:eastAsia="zh-CN"/>
        </w:rPr>
        <w:t>了</w:t>
      </w:r>
      <w:r>
        <w:rPr>
          <w:rFonts w:hint="eastAsia" w:ascii="仿宋_GB2312" w:hAnsi="仿宋_GB2312" w:eastAsia="仿宋_GB2312" w:cs="仿宋_GB2312"/>
          <w:kern w:val="1"/>
          <w:sz w:val="32"/>
          <w:szCs w:val="32"/>
        </w:rPr>
        <w:t>我单位预算管理的成效，全年预算支出整体受控</w:t>
      </w:r>
      <w:r>
        <w:rPr>
          <w:rFonts w:hint="eastAsia" w:ascii="仿宋_GB2312" w:hAnsi="仿宋_GB2312" w:eastAsia="仿宋_GB2312" w:cs="仿宋_GB2312"/>
          <w:kern w:val="1"/>
          <w:sz w:val="32"/>
          <w:szCs w:val="32"/>
          <w:lang w:eastAsia="zh-CN"/>
        </w:rPr>
        <w:t>，项目</w:t>
      </w:r>
      <w:r>
        <w:rPr>
          <w:rFonts w:hint="eastAsia" w:ascii="仿宋_GB2312" w:hAnsi="仿宋_GB2312" w:eastAsia="仿宋_GB2312" w:cs="仿宋_GB2312"/>
          <w:sz w:val="32"/>
          <w:szCs w:val="32"/>
        </w:rPr>
        <w:t>资金支出符合</w:t>
      </w:r>
      <w:r>
        <w:rPr>
          <w:rFonts w:hint="eastAsia" w:ascii="仿宋_GB2312" w:hAnsi="仿宋_GB2312" w:eastAsia="仿宋_GB2312" w:cs="仿宋_GB2312"/>
          <w:b w:val="0"/>
          <w:bCs w:val="0"/>
          <w:color w:val="000000"/>
          <w:spacing w:val="17"/>
          <w:kern w:val="2"/>
          <w:sz w:val="32"/>
          <w:szCs w:val="32"/>
          <w:lang w:val="en-US" w:eastAsia="zh-CN" w:bidi="ar-SA"/>
        </w:rPr>
        <w:t>承压类设备</w:t>
      </w:r>
      <w:r>
        <w:rPr>
          <w:rFonts w:hint="eastAsia" w:ascii="仿宋_GB2312" w:hAnsi="仿宋_GB2312" w:eastAsia="仿宋_GB2312" w:cs="仿宋_GB2312"/>
          <w:sz w:val="32"/>
          <w:szCs w:val="32"/>
        </w:rPr>
        <w:t>专项资金费用范围，做到了专款专用。在项目资金拨付和使用过程中，为确保项目资金的安全性，提高项目资金使用效率，严格遵循</w:t>
      </w:r>
      <w:r>
        <w:rPr>
          <w:rFonts w:hint="eastAsia" w:ascii="仿宋_GB2312" w:hAnsi="仿宋_GB2312" w:eastAsia="仿宋_GB2312" w:cs="仿宋_GB2312"/>
          <w:b w:val="0"/>
          <w:bCs w:val="0"/>
          <w:color w:val="000000"/>
          <w:spacing w:val="17"/>
          <w:kern w:val="2"/>
          <w:sz w:val="32"/>
          <w:szCs w:val="32"/>
          <w:lang w:val="en-US" w:eastAsia="zh-CN" w:bidi="ar-SA"/>
        </w:rPr>
        <w:t>承压类设备</w:t>
      </w:r>
      <w:r>
        <w:rPr>
          <w:rFonts w:hint="eastAsia" w:ascii="仿宋_GB2312" w:hAnsi="仿宋_GB2312" w:eastAsia="仿宋_GB2312" w:cs="仿宋_GB2312"/>
          <w:sz w:val="32"/>
          <w:szCs w:val="32"/>
        </w:rPr>
        <w:t>专项资金的拨付程序，认真审核项目实施各阶段的相关材料和手续，根据项目实施进展情况拨付资金。</w:t>
      </w:r>
    </w:p>
    <w:p w14:paraId="357F3BD9">
      <w:pPr>
        <w:pageBreakBefore w:val="0"/>
        <w:kinsoku/>
        <w:wordWrap/>
        <w:overflowPunct/>
        <w:topLinePunct w:val="0"/>
        <w:autoSpaceDE/>
        <w:autoSpaceDN/>
        <w:bidi w:val="0"/>
        <w:adjustRightInd/>
        <w:snapToGrid/>
        <w:spacing w:line="560" w:lineRule="atLeast"/>
        <w:ind w:firstLine="581" w:firstLineChars="181"/>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（2）预算资金来源及使用情况</w:t>
      </w:r>
      <w:bookmarkStart w:id="0" w:name="page10"/>
      <w:bookmarkEnd w:id="0"/>
    </w:p>
    <w:p w14:paraId="2FEB0FD5">
      <w:pPr>
        <w:pageBreakBefore w:val="0"/>
        <w:kinsoku/>
        <w:wordWrap/>
        <w:overflowPunct/>
        <w:topLinePunct w:val="0"/>
        <w:autoSpaceDE/>
        <w:autoSpaceDN/>
        <w:bidi w:val="0"/>
        <w:adjustRightInd/>
        <w:snapToGrid/>
        <w:spacing w:line="560" w:lineRule="atLeast"/>
        <w:ind w:firstLine="640" w:firstLineChars="200"/>
        <w:contextualSpacing/>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项目预算资金来源于</w:t>
      </w:r>
      <w:r>
        <w:rPr>
          <w:rFonts w:hint="eastAsia" w:ascii="仿宋_GB2312" w:hAnsi="仿宋_GB2312" w:eastAsia="仿宋_GB2312" w:cs="仿宋_GB2312"/>
          <w:sz w:val="32"/>
          <w:szCs w:val="32"/>
          <w:lang w:val="en-US" w:eastAsia="zh-CN"/>
        </w:rPr>
        <w:t>塔地财预</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0509</w:t>
      </w:r>
      <w:r>
        <w:rPr>
          <w:rFonts w:hint="eastAsia" w:ascii="仿宋_GB2312" w:hAnsi="仿宋_GB2312" w:eastAsia="仿宋_GB2312" w:cs="仿宋_GB2312"/>
          <w:sz w:val="32"/>
          <w:szCs w:val="32"/>
        </w:rPr>
        <w:t>文件中批复的资金，项目资金到位</w:t>
      </w:r>
      <w:r>
        <w:rPr>
          <w:rFonts w:hint="eastAsia" w:ascii="仿宋_GB2312" w:hAnsi="仿宋_GB2312" w:eastAsia="仿宋_GB2312" w:cs="仿宋_GB2312"/>
          <w:sz w:val="32"/>
          <w:szCs w:val="32"/>
          <w:lang w:val="en-US" w:eastAsia="zh-CN"/>
        </w:rPr>
        <w:t>76.18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highlight w:val="none"/>
        </w:rPr>
        <w:t>实际支出</w:t>
      </w:r>
      <w:r>
        <w:rPr>
          <w:rFonts w:hint="eastAsia" w:ascii="仿宋_GB2312" w:hAnsi="仿宋_GB2312" w:eastAsia="仿宋_GB2312" w:cs="仿宋_GB2312"/>
          <w:sz w:val="32"/>
          <w:szCs w:val="32"/>
          <w:highlight w:val="none"/>
          <w:lang w:val="en-US" w:eastAsia="zh-CN"/>
        </w:rPr>
        <w:t>50.38</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rPr>
        <w:t>用于支付项目实施进程中的各项费用。各项费用执行情况如表所示：</w:t>
      </w:r>
    </w:p>
    <w:p w14:paraId="6A76448D">
      <w:pPr>
        <w:pStyle w:val="15"/>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60" w:lineRule="atLeast"/>
        <w:ind w:left="0" w:firstLine="560" w:firstLineChars="200"/>
        <w:jc w:val="center"/>
        <w:rPr>
          <w:rFonts w:hint="eastAsia" w:ascii="仿宋" w:hAnsi="仿宋" w:eastAsia="仿宋" w:cs="仿宋"/>
          <w:b w:val="0"/>
          <w:bCs w:val="0"/>
          <w:sz w:val="28"/>
          <w:szCs w:val="28"/>
        </w:rPr>
      </w:pPr>
      <w:r>
        <w:rPr>
          <w:rFonts w:hint="eastAsia" w:ascii="仿宋" w:hAnsi="仿宋" w:eastAsia="仿宋" w:cs="仿宋"/>
          <w:b w:val="0"/>
          <w:bCs w:val="0"/>
          <w:sz w:val="28"/>
          <w:szCs w:val="28"/>
          <w:lang w:val="zh-CN"/>
        </w:rPr>
        <w:t>“承压类检验室”</w:t>
      </w:r>
      <w:r>
        <w:rPr>
          <w:rFonts w:hint="eastAsia" w:ascii="仿宋" w:hAnsi="仿宋" w:eastAsia="仿宋" w:cs="仿宋"/>
          <w:b w:val="0"/>
          <w:bCs w:val="0"/>
          <w:sz w:val="28"/>
          <w:szCs w:val="28"/>
          <w:lang w:val="en-US" w:eastAsia="zh-CN"/>
        </w:rPr>
        <w:t>工作</w:t>
      </w:r>
      <w:r>
        <w:rPr>
          <w:rFonts w:hint="eastAsia" w:ascii="仿宋" w:hAnsi="仿宋" w:eastAsia="仿宋" w:cs="仿宋"/>
          <w:b w:val="0"/>
          <w:bCs w:val="0"/>
          <w:kern w:val="0"/>
          <w:sz w:val="28"/>
          <w:szCs w:val="28"/>
          <w:lang w:bidi="en-US"/>
        </w:rPr>
        <w:t>经费</w:t>
      </w:r>
      <w:r>
        <w:rPr>
          <w:rFonts w:hint="eastAsia" w:ascii="仿宋" w:hAnsi="仿宋" w:eastAsia="仿宋" w:cs="仿宋"/>
          <w:b w:val="0"/>
          <w:bCs w:val="0"/>
          <w:sz w:val="28"/>
          <w:szCs w:val="28"/>
        </w:rPr>
        <w:t>实际使用统计表</w:t>
      </w:r>
    </w:p>
    <w:tbl>
      <w:tblPr>
        <w:tblStyle w:val="9"/>
        <w:tblpPr w:leftFromText="180" w:rightFromText="180" w:vertAnchor="text" w:horzAnchor="page" w:tblpX="1461" w:tblpY="548"/>
        <w:tblOverlap w:val="never"/>
        <w:tblW w:w="9110" w:type="dxa"/>
        <w:tblInd w:w="0" w:type="dxa"/>
        <w:tblLayout w:type="fixed"/>
        <w:tblCellMar>
          <w:top w:w="0" w:type="dxa"/>
          <w:left w:w="108" w:type="dxa"/>
          <w:bottom w:w="0" w:type="dxa"/>
          <w:right w:w="108" w:type="dxa"/>
        </w:tblCellMar>
      </w:tblPr>
      <w:tblGrid>
        <w:gridCol w:w="476"/>
        <w:gridCol w:w="1258"/>
        <w:gridCol w:w="5171"/>
        <w:gridCol w:w="1005"/>
        <w:gridCol w:w="1200"/>
      </w:tblGrid>
      <w:tr w14:paraId="792DD6F0">
        <w:tblPrEx>
          <w:tblCellMar>
            <w:top w:w="0" w:type="dxa"/>
            <w:left w:w="108" w:type="dxa"/>
            <w:bottom w:w="0" w:type="dxa"/>
            <w:right w:w="108" w:type="dxa"/>
          </w:tblCellMar>
        </w:tblPrEx>
        <w:trPr>
          <w:trHeight w:val="450" w:hRule="atLeast"/>
        </w:trPr>
        <w:tc>
          <w:tcPr>
            <w:tcW w:w="476" w:type="dxa"/>
            <w:tcBorders>
              <w:top w:val="single" w:color="auto" w:sz="4" w:space="0"/>
              <w:left w:val="single" w:color="auto" w:sz="4" w:space="0"/>
              <w:bottom w:val="single" w:color="auto" w:sz="4" w:space="0"/>
              <w:right w:val="single" w:color="auto" w:sz="4" w:space="0"/>
            </w:tcBorders>
            <w:shd w:val="clear" w:color="auto" w:fill="auto"/>
            <w:vAlign w:val="center"/>
          </w:tcPr>
          <w:p w14:paraId="62BAE5AA">
            <w:pPr>
              <w:keepNext w:val="0"/>
              <w:keepLines w:val="0"/>
              <w:pageBreakBefore w:val="0"/>
              <w:widowControl/>
              <w:kinsoku/>
              <w:wordWrap/>
              <w:overflowPunct/>
              <w:topLinePunct w:val="0"/>
              <w:autoSpaceDE/>
              <w:autoSpaceDN/>
              <w:bidi w:val="0"/>
              <w:adjustRightInd/>
              <w:snapToGrid/>
              <w:spacing w:line="560" w:lineRule="atLeast"/>
              <w:ind w:left="0"/>
              <w:jc w:val="both"/>
              <w:textAlignment w:val="auto"/>
              <w:rPr>
                <w:rFonts w:hint="eastAsia" w:ascii="仿宋" w:hAnsi="仿宋" w:eastAsia="仿宋" w:cs="仿宋"/>
                <w:b w:val="0"/>
                <w:bCs w:val="0"/>
                <w:color w:val="000000"/>
                <w:kern w:val="0"/>
                <w:sz w:val="21"/>
                <w:szCs w:val="21"/>
              </w:rPr>
            </w:pPr>
            <w:r>
              <w:rPr>
                <w:rFonts w:hint="eastAsia" w:ascii="仿宋" w:hAnsi="仿宋" w:eastAsia="仿宋" w:cs="仿宋"/>
                <w:b w:val="0"/>
                <w:bCs w:val="0"/>
                <w:color w:val="000000"/>
                <w:kern w:val="0"/>
                <w:sz w:val="21"/>
                <w:szCs w:val="21"/>
              </w:rPr>
              <w:t>序号</w:t>
            </w:r>
          </w:p>
        </w:tc>
        <w:tc>
          <w:tcPr>
            <w:tcW w:w="1258" w:type="dxa"/>
            <w:tcBorders>
              <w:top w:val="single" w:color="auto" w:sz="4" w:space="0"/>
              <w:left w:val="nil"/>
              <w:bottom w:val="single" w:color="auto" w:sz="4" w:space="0"/>
              <w:right w:val="single" w:color="auto" w:sz="4" w:space="0"/>
            </w:tcBorders>
            <w:shd w:val="clear" w:color="auto" w:fill="auto"/>
            <w:vAlign w:val="center"/>
          </w:tcPr>
          <w:p w14:paraId="60242764">
            <w:pPr>
              <w:keepNext w:val="0"/>
              <w:keepLines w:val="0"/>
              <w:pageBreakBefore w:val="0"/>
              <w:widowControl/>
              <w:kinsoku/>
              <w:wordWrap/>
              <w:overflowPunct/>
              <w:topLinePunct w:val="0"/>
              <w:autoSpaceDE/>
              <w:autoSpaceDN/>
              <w:bidi w:val="0"/>
              <w:adjustRightInd/>
              <w:snapToGrid/>
              <w:spacing w:line="560" w:lineRule="atLeast"/>
              <w:jc w:val="both"/>
              <w:textAlignment w:val="auto"/>
              <w:rPr>
                <w:rFonts w:hint="eastAsia" w:ascii="仿宋" w:hAnsi="仿宋" w:eastAsia="仿宋" w:cs="仿宋"/>
                <w:b w:val="0"/>
                <w:bCs w:val="0"/>
                <w:color w:val="000000"/>
                <w:kern w:val="0"/>
                <w:sz w:val="21"/>
                <w:szCs w:val="21"/>
              </w:rPr>
            </w:pPr>
            <w:r>
              <w:rPr>
                <w:rFonts w:hint="eastAsia" w:ascii="仿宋" w:hAnsi="仿宋" w:eastAsia="仿宋" w:cs="仿宋"/>
                <w:b w:val="0"/>
                <w:bCs w:val="0"/>
                <w:color w:val="000000"/>
                <w:kern w:val="0"/>
                <w:sz w:val="21"/>
                <w:szCs w:val="21"/>
                <w:lang w:val="en-US" w:eastAsia="zh-CN"/>
              </w:rPr>
              <w:t>项目</w:t>
            </w:r>
            <w:r>
              <w:rPr>
                <w:rFonts w:hint="eastAsia" w:ascii="仿宋" w:hAnsi="仿宋" w:eastAsia="仿宋" w:cs="仿宋"/>
                <w:b w:val="0"/>
                <w:bCs w:val="0"/>
                <w:color w:val="000000"/>
                <w:kern w:val="0"/>
                <w:sz w:val="21"/>
                <w:szCs w:val="21"/>
              </w:rPr>
              <w:t>内容</w:t>
            </w:r>
          </w:p>
        </w:tc>
        <w:tc>
          <w:tcPr>
            <w:tcW w:w="5171" w:type="dxa"/>
            <w:tcBorders>
              <w:top w:val="single" w:color="auto" w:sz="4" w:space="0"/>
              <w:left w:val="nil"/>
              <w:bottom w:val="single" w:color="auto" w:sz="4" w:space="0"/>
              <w:right w:val="single" w:color="auto" w:sz="4" w:space="0"/>
            </w:tcBorders>
            <w:shd w:val="clear" w:color="auto" w:fill="auto"/>
            <w:vAlign w:val="center"/>
          </w:tcPr>
          <w:p w14:paraId="487C613B">
            <w:pPr>
              <w:keepNext w:val="0"/>
              <w:keepLines w:val="0"/>
              <w:pageBreakBefore w:val="0"/>
              <w:widowControl/>
              <w:kinsoku/>
              <w:wordWrap/>
              <w:overflowPunct/>
              <w:topLinePunct w:val="0"/>
              <w:autoSpaceDE/>
              <w:autoSpaceDN/>
              <w:bidi w:val="0"/>
              <w:adjustRightInd/>
              <w:snapToGrid/>
              <w:spacing w:line="560" w:lineRule="atLeast"/>
              <w:ind w:left="0" w:firstLine="420" w:firstLineChars="200"/>
              <w:jc w:val="center"/>
              <w:textAlignment w:val="auto"/>
              <w:rPr>
                <w:rFonts w:hint="eastAsia" w:ascii="仿宋" w:hAnsi="仿宋" w:eastAsia="仿宋" w:cs="仿宋"/>
                <w:b w:val="0"/>
                <w:bCs w:val="0"/>
                <w:color w:val="000000"/>
                <w:kern w:val="0"/>
                <w:sz w:val="21"/>
                <w:szCs w:val="21"/>
              </w:rPr>
            </w:pPr>
            <w:r>
              <w:rPr>
                <w:rFonts w:hint="eastAsia" w:ascii="仿宋" w:hAnsi="仿宋" w:eastAsia="仿宋" w:cs="仿宋"/>
                <w:b w:val="0"/>
                <w:bCs w:val="0"/>
                <w:color w:val="000000"/>
                <w:kern w:val="0"/>
                <w:sz w:val="21"/>
                <w:szCs w:val="21"/>
              </w:rPr>
              <w:t>资金使用情况</w:t>
            </w:r>
          </w:p>
        </w:tc>
        <w:tc>
          <w:tcPr>
            <w:tcW w:w="1005" w:type="dxa"/>
            <w:tcBorders>
              <w:top w:val="single" w:color="auto" w:sz="4" w:space="0"/>
              <w:left w:val="nil"/>
              <w:bottom w:val="single" w:color="auto" w:sz="4" w:space="0"/>
              <w:right w:val="single" w:color="auto" w:sz="4" w:space="0"/>
            </w:tcBorders>
            <w:shd w:val="clear" w:color="auto" w:fill="auto"/>
            <w:vAlign w:val="center"/>
          </w:tcPr>
          <w:p w14:paraId="2B61A075">
            <w:pPr>
              <w:keepNext w:val="0"/>
              <w:keepLines w:val="0"/>
              <w:pageBreakBefore w:val="0"/>
              <w:widowControl/>
              <w:kinsoku/>
              <w:wordWrap/>
              <w:overflowPunct/>
              <w:topLinePunct w:val="0"/>
              <w:autoSpaceDE/>
              <w:autoSpaceDN/>
              <w:bidi w:val="0"/>
              <w:adjustRightInd/>
              <w:snapToGrid/>
              <w:spacing w:line="560" w:lineRule="atLeast"/>
              <w:ind w:left="0"/>
              <w:jc w:val="both"/>
              <w:textAlignment w:val="auto"/>
              <w:rPr>
                <w:rFonts w:hint="eastAsia" w:ascii="仿宋" w:hAnsi="仿宋" w:eastAsia="仿宋" w:cs="仿宋"/>
                <w:b w:val="0"/>
                <w:bCs w:val="0"/>
                <w:color w:val="000000"/>
                <w:kern w:val="0"/>
                <w:sz w:val="21"/>
                <w:szCs w:val="21"/>
                <w:lang w:val="en-US" w:eastAsia="zh-CN"/>
              </w:rPr>
            </w:pPr>
            <w:r>
              <w:rPr>
                <w:rFonts w:hint="eastAsia" w:ascii="仿宋" w:hAnsi="仿宋" w:eastAsia="仿宋" w:cs="仿宋"/>
                <w:b w:val="0"/>
                <w:bCs w:val="0"/>
                <w:color w:val="000000"/>
                <w:kern w:val="0"/>
                <w:sz w:val="21"/>
                <w:szCs w:val="21"/>
              </w:rPr>
              <w:t>项目经费</w:t>
            </w:r>
            <w:r>
              <w:rPr>
                <w:rFonts w:hint="eastAsia" w:ascii="仿宋" w:hAnsi="仿宋" w:eastAsia="仿宋" w:cs="仿宋"/>
                <w:b w:val="0"/>
                <w:bCs w:val="0"/>
                <w:color w:val="000000"/>
                <w:kern w:val="0"/>
                <w:sz w:val="21"/>
                <w:szCs w:val="21"/>
                <w:lang w:eastAsia="zh-CN"/>
              </w:rPr>
              <w:t>预算</w:t>
            </w:r>
            <w:r>
              <w:rPr>
                <w:rFonts w:hint="eastAsia" w:ascii="仿宋" w:hAnsi="仿宋" w:eastAsia="仿宋" w:cs="仿宋"/>
                <w:b w:val="0"/>
                <w:bCs w:val="0"/>
                <w:color w:val="000000"/>
                <w:kern w:val="0"/>
                <w:sz w:val="21"/>
                <w:szCs w:val="21"/>
              </w:rPr>
              <w:t>（元）</w:t>
            </w:r>
          </w:p>
        </w:tc>
        <w:tc>
          <w:tcPr>
            <w:tcW w:w="1200" w:type="dxa"/>
            <w:tcBorders>
              <w:top w:val="single" w:color="auto" w:sz="4" w:space="0"/>
              <w:left w:val="nil"/>
              <w:bottom w:val="single" w:color="auto" w:sz="4" w:space="0"/>
              <w:right w:val="single" w:color="auto" w:sz="4" w:space="0"/>
            </w:tcBorders>
            <w:shd w:val="clear" w:color="auto" w:fill="auto"/>
            <w:vAlign w:val="center"/>
          </w:tcPr>
          <w:p w14:paraId="1EC1E81F">
            <w:pPr>
              <w:keepNext w:val="0"/>
              <w:keepLines w:val="0"/>
              <w:pageBreakBefore w:val="0"/>
              <w:widowControl/>
              <w:kinsoku/>
              <w:wordWrap/>
              <w:overflowPunct/>
              <w:topLinePunct w:val="0"/>
              <w:autoSpaceDE/>
              <w:autoSpaceDN/>
              <w:bidi w:val="0"/>
              <w:adjustRightInd/>
              <w:snapToGrid/>
              <w:spacing w:line="560" w:lineRule="atLeast"/>
              <w:ind w:left="0"/>
              <w:jc w:val="both"/>
              <w:textAlignment w:val="auto"/>
              <w:rPr>
                <w:rFonts w:hint="eastAsia" w:ascii="仿宋" w:hAnsi="仿宋" w:eastAsia="仿宋" w:cs="仿宋"/>
                <w:b w:val="0"/>
                <w:bCs w:val="0"/>
                <w:color w:val="000000"/>
                <w:kern w:val="0"/>
                <w:sz w:val="21"/>
                <w:szCs w:val="21"/>
                <w:lang w:eastAsia="zh-CN"/>
              </w:rPr>
            </w:pPr>
            <w:r>
              <w:rPr>
                <w:rFonts w:hint="eastAsia" w:ascii="仿宋" w:hAnsi="仿宋" w:eastAsia="仿宋" w:cs="仿宋"/>
                <w:b w:val="0"/>
                <w:bCs w:val="0"/>
                <w:color w:val="000000"/>
                <w:kern w:val="0"/>
                <w:sz w:val="21"/>
                <w:szCs w:val="21"/>
              </w:rPr>
              <w:t>项目</w:t>
            </w:r>
            <w:r>
              <w:rPr>
                <w:rFonts w:hint="eastAsia" w:ascii="仿宋" w:hAnsi="仿宋" w:eastAsia="仿宋" w:cs="仿宋"/>
                <w:b w:val="0"/>
                <w:bCs w:val="0"/>
                <w:color w:val="000000"/>
                <w:kern w:val="0"/>
                <w:sz w:val="21"/>
                <w:szCs w:val="21"/>
                <w:lang w:eastAsia="zh-CN"/>
              </w:rPr>
              <w:t>实际花费</w:t>
            </w:r>
            <w:r>
              <w:rPr>
                <w:rFonts w:hint="eastAsia" w:ascii="仿宋" w:hAnsi="仿宋" w:eastAsia="仿宋" w:cs="仿宋"/>
                <w:b w:val="0"/>
                <w:bCs w:val="0"/>
                <w:color w:val="000000"/>
                <w:kern w:val="0"/>
                <w:sz w:val="21"/>
                <w:szCs w:val="21"/>
              </w:rPr>
              <w:t>（元）</w:t>
            </w:r>
          </w:p>
        </w:tc>
      </w:tr>
      <w:tr w14:paraId="2DC91BBD">
        <w:tblPrEx>
          <w:tblCellMar>
            <w:top w:w="0" w:type="dxa"/>
            <w:left w:w="108" w:type="dxa"/>
            <w:bottom w:w="0" w:type="dxa"/>
            <w:right w:w="108" w:type="dxa"/>
          </w:tblCellMar>
        </w:tblPrEx>
        <w:trPr>
          <w:trHeight w:val="555" w:hRule="atLeast"/>
        </w:trPr>
        <w:tc>
          <w:tcPr>
            <w:tcW w:w="476" w:type="dxa"/>
            <w:tcBorders>
              <w:top w:val="nil"/>
              <w:left w:val="single" w:color="auto" w:sz="4" w:space="0"/>
              <w:bottom w:val="single" w:color="auto" w:sz="4" w:space="0"/>
              <w:right w:val="single" w:color="auto" w:sz="4" w:space="0"/>
            </w:tcBorders>
            <w:shd w:val="clear" w:color="auto" w:fill="auto"/>
            <w:vAlign w:val="center"/>
          </w:tcPr>
          <w:p w14:paraId="08689FB3">
            <w:pPr>
              <w:pageBreakBefore w:val="0"/>
              <w:widowControl/>
              <w:kinsoku/>
              <w:wordWrap/>
              <w:overflowPunct/>
              <w:topLinePunct w:val="0"/>
              <w:autoSpaceDE/>
              <w:autoSpaceDN/>
              <w:bidi w:val="0"/>
              <w:adjustRightInd/>
              <w:snapToGrid/>
              <w:spacing w:line="560" w:lineRule="atLeast"/>
              <w:ind w:left="0"/>
              <w:jc w:val="center"/>
              <w:rPr>
                <w:rFonts w:hint="eastAsia" w:ascii="仿宋" w:hAnsi="仿宋" w:eastAsia="仿宋" w:cs="仿宋"/>
                <w:b w:val="0"/>
                <w:bCs w:val="0"/>
                <w:color w:val="000000"/>
                <w:kern w:val="0"/>
                <w:sz w:val="21"/>
                <w:szCs w:val="21"/>
              </w:rPr>
            </w:pPr>
            <w:r>
              <w:rPr>
                <w:rFonts w:hint="eastAsia" w:ascii="仿宋" w:hAnsi="仿宋" w:eastAsia="仿宋" w:cs="仿宋"/>
                <w:b w:val="0"/>
                <w:bCs w:val="0"/>
                <w:color w:val="000000"/>
                <w:kern w:val="0"/>
                <w:sz w:val="21"/>
                <w:szCs w:val="21"/>
              </w:rPr>
              <w:t>1</w:t>
            </w:r>
          </w:p>
        </w:tc>
        <w:tc>
          <w:tcPr>
            <w:tcW w:w="1258" w:type="dxa"/>
            <w:tcBorders>
              <w:top w:val="nil"/>
              <w:left w:val="nil"/>
              <w:bottom w:val="single" w:color="auto" w:sz="4" w:space="0"/>
              <w:right w:val="single" w:color="auto" w:sz="4" w:space="0"/>
            </w:tcBorders>
            <w:shd w:val="clear" w:color="auto" w:fill="auto"/>
            <w:vAlign w:val="center"/>
          </w:tcPr>
          <w:p w14:paraId="02A95C01">
            <w:pPr>
              <w:pageBreakBefore w:val="0"/>
              <w:widowControl/>
              <w:kinsoku/>
              <w:wordWrap/>
              <w:overflowPunct/>
              <w:topLinePunct w:val="0"/>
              <w:autoSpaceDE/>
              <w:autoSpaceDN/>
              <w:bidi w:val="0"/>
              <w:adjustRightInd/>
              <w:snapToGrid/>
              <w:spacing w:line="560" w:lineRule="atLeast"/>
              <w:ind w:left="0"/>
              <w:jc w:val="center"/>
              <w:rPr>
                <w:rFonts w:hint="eastAsia" w:ascii="仿宋" w:hAnsi="仿宋" w:eastAsia="仿宋" w:cs="仿宋"/>
                <w:b w:val="0"/>
                <w:bCs w:val="0"/>
                <w:color w:val="000000"/>
                <w:kern w:val="0"/>
                <w:sz w:val="21"/>
                <w:szCs w:val="21"/>
                <w:lang w:val="en-US" w:eastAsia="zh-CN"/>
              </w:rPr>
            </w:pPr>
            <w:r>
              <w:rPr>
                <w:rFonts w:hint="eastAsia" w:ascii="仿宋" w:hAnsi="仿宋" w:eastAsia="仿宋" w:cs="仿宋"/>
                <w:b w:val="0"/>
                <w:bCs w:val="0"/>
                <w:color w:val="000000"/>
                <w:kern w:val="0"/>
                <w:sz w:val="21"/>
                <w:szCs w:val="21"/>
                <w:lang w:val="en-US" w:eastAsia="zh-CN"/>
              </w:rPr>
              <w:t>培训费</w:t>
            </w:r>
          </w:p>
        </w:tc>
        <w:tc>
          <w:tcPr>
            <w:tcW w:w="5171" w:type="dxa"/>
            <w:tcBorders>
              <w:top w:val="nil"/>
              <w:left w:val="nil"/>
              <w:bottom w:val="single" w:color="auto" w:sz="4" w:space="0"/>
              <w:right w:val="single" w:color="auto" w:sz="4" w:space="0"/>
            </w:tcBorders>
            <w:shd w:val="clear" w:color="auto" w:fill="auto"/>
            <w:vAlign w:val="center"/>
          </w:tcPr>
          <w:p w14:paraId="2B143632">
            <w:pPr>
              <w:pageBreakBefore w:val="0"/>
              <w:widowControl/>
              <w:kinsoku/>
              <w:wordWrap/>
              <w:overflowPunct/>
              <w:topLinePunct w:val="0"/>
              <w:autoSpaceDE/>
              <w:autoSpaceDN/>
              <w:bidi w:val="0"/>
              <w:adjustRightInd/>
              <w:snapToGrid/>
              <w:spacing w:line="560" w:lineRule="atLeast"/>
              <w:ind w:left="0"/>
              <w:jc w:val="center"/>
              <w:rPr>
                <w:rFonts w:hint="default" w:ascii="仿宋" w:hAnsi="仿宋" w:eastAsia="仿宋" w:cs="仿宋"/>
                <w:b w:val="0"/>
                <w:bCs w:val="0"/>
                <w:color w:val="000000"/>
                <w:kern w:val="0"/>
                <w:sz w:val="21"/>
                <w:szCs w:val="21"/>
                <w:lang w:val="en-US" w:eastAsia="zh-CN"/>
              </w:rPr>
            </w:pPr>
            <w:r>
              <w:rPr>
                <w:rFonts w:hint="eastAsia" w:ascii="仿宋" w:hAnsi="仿宋" w:eastAsia="仿宋" w:cs="仿宋"/>
                <w:b w:val="0"/>
                <w:bCs w:val="0"/>
                <w:color w:val="000000"/>
                <w:kern w:val="0"/>
                <w:sz w:val="21"/>
                <w:szCs w:val="21"/>
                <w:lang w:val="en-US" w:eastAsia="zh-CN"/>
              </w:rPr>
              <w:t>4人全年参与10次培训</w:t>
            </w:r>
          </w:p>
        </w:tc>
        <w:tc>
          <w:tcPr>
            <w:tcW w:w="1005" w:type="dxa"/>
            <w:tcBorders>
              <w:top w:val="nil"/>
              <w:left w:val="nil"/>
              <w:bottom w:val="single" w:color="auto" w:sz="4" w:space="0"/>
              <w:right w:val="single" w:color="auto" w:sz="4" w:space="0"/>
            </w:tcBorders>
            <w:shd w:val="clear" w:color="auto" w:fill="auto"/>
            <w:vAlign w:val="center"/>
          </w:tcPr>
          <w:p w14:paraId="05E533AA">
            <w:pPr>
              <w:pageBreakBefore w:val="0"/>
              <w:widowControl/>
              <w:kinsoku/>
              <w:wordWrap/>
              <w:overflowPunct/>
              <w:topLinePunct w:val="0"/>
              <w:autoSpaceDE/>
              <w:autoSpaceDN/>
              <w:bidi w:val="0"/>
              <w:adjustRightInd/>
              <w:snapToGrid/>
              <w:spacing w:line="560" w:lineRule="atLeast"/>
              <w:ind w:left="0"/>
              <w:jc w:val="both"/>
              <w:rPr>
                <w:rFonts w:hint="default" w:ascii="仿宋" w:hAnsi="仿宋" w:eastAsia="仿宋" w:cs="仿宋"/>
                <w:b w:val="0"/>
                <w:bCs w:val="0"/>
                <w:color w:val="000000"/>
                <w:kern w:val="0"/>
                <w:sz w:val="21"/>
                <w:szCs w:val="21"/>
                <w:lang w:val="en-US" w:eastAsia="zh-CN"/>
              </w:rPr>
            </w:pPr>
            <w:r>
              <w:rPr>
                <w:rFonts w:hint="eastAsia" w:ascii="仿宋" w:hAnsi="仿宋" w:eastAsia="仿宋" w:cs="仿宋"/>
                <w:b w:val="0"/>
                <w:bCs w:val="0"/>
                <w:color w:val="000000"/>
                <w:kern w:val="0"/>
                <w:sz w:val="21"/>
                <w:szCs w:val="21"/>
                <w:lang w:val="en-US" w:eastAsia="zh-CN"/>
              </w:rPr>
              <w:t>151000</w:t>
            </w:r>
          </w:p>
        </w:tc>
        <w:tc>
          <w:tcPr>
            <w:tcW w:w="1200" w:type="dxa"/>
            <w:tcBorders>
              <w:top w:val="nil"/>
              <w:left w:val="nil"/>
              <w:bottom w:val="single" w:color="auto" w:sz="4" w:space="0"/>
              <w:right w:val="single" w:color="auto" w:sz="4" w:space="0"/>
            </w:tcBorders>
            <w:shd w:val="clear" w:color="auto" w:fill="auto"/>
            <w:vAlign w:val="center"/>
          </w:tcPr>
          <w:p w14:paraId="0991564D">
            <w:pPr>
              <w:pageBreakBefore w:val="0"/>
              <w:widowControl/>
              <w:kinsoku/>
              <w:wordWrap/>
              <w:overflowPunct/>
              <w:topLinePunct w:val="0"/>
              <w:autoSpaceDE/>
              <w:autoSpaceDN/>
              <w:bidi w:val="0"/>
              <w:adjustRightInd/>
              <w:snapToGrid/>
              <w:spacing w:line="560" w:lineRule="atLeast"/>
              <w:ind w:left="0"/>
              <w:jc w:val="both"/>
              <w:rPr>
                <w:rFonts w:hint="default" w:ascii="仿宋" w:hAnsi="仿宋" w:eastAsia="仿宋" w:cs="仿宋"/>
                <w:b w:val="0"/>
                <w:bCs w:val="0"/>
                <w:color w:val="000000"/>
                <w:kern w:val="0"/>
                <w:sz w:val="21"/>
                <w:szCs w:val="21"/>
                <w:lang w:val="en-US" w:eastAsia="zh-CN"/>
              </w:rPr>
            </w:pPr>
            <w:r>
              <w:rPr>
                <w:rFonts w:hint="eastAsia" w:ascii="仿宋" w:hAnsi="仿宋" w:eastAsia="仿宋" w:cs="仿宋"/>
                <w:b w:val="0"/>
                <w:bCs w:val="0"/>
                <w:color w:val="000000"/>
                <w:kern w:val="0"/>
                <w:sz w:val="21"/>
                <w:szCs w:val="21"/>
                <w:lang w:val="en-US" w:eastAsia="zh-CN"/>
              </w:rPr>
              <w:t>41933.7</w:t>
            </w:r>
          </w:p>
        </w:tc>
      </w:tr>
      <w:tr w14:paraId="78D2A803">
        <w:tblPrEx>
          <w:tblCellMar>
            <w:top w:w="0" w:type="dxa"/>
            <w:left w:w="108" w:type="dxa"/>
            <w:bottom w:w="0" w:type="dxa"/>
            <w:right w:w="108" w:type="dxa"/>
          </w:tblCellMar>
        </w:tblPrEx>
        <w:trPr>
          <w:trHeight w:val="90" w:hRule="atLeast"/>
        </w:trPr>
        <w:tc>
          <w:tcPr>
            <w:tcW w:w="476" w:type="dxa"/>
            <w:tcBorders>
              <w:top w:val="single" w:color="auto" w:sz="4" w:space="0"/>
              <w:left w:val="single" w:color="auto" w:sz="4" w:space="0"/>
              <w:bottom w:val="single" w:color="auto" w:sz="4" w:space="0"/>
              <w:right w:val="single" w:color="auto" w:sz="4" w:space="0"/>
            </w:tcBorders>
            <w:shd w:val="clear" w:color="auto" w:fill="auto"/>
            <w:vAlign w:val="center"/>
          </w:tcPr>
          <w:p w14:paraId="4A1F2F30">
            <w:pPr>
              <w:pageBreakBefore w:val="0"/>
              <w:widowControl/>
              <w:kinsoku/>
              <w:wordWrap/>
              <w:overflowPunct/>
              <w:topLinePunct w:val="0"/>
              <w:autoSpaceDE/>
              <w:autoSpaceDN/>
              <w:bidi w:val="0"/>
              <w:adjustRightInd/>
              <w:snapToGrid/>
              <w:spacing w:line="560" w:lineRule="atLeast"/>
              <w:ind w:left="0"/>
              <w:jc w:val="center"/>
              <w:rPr>
                <w:rFonts w:hint="eastAsia" w:ascii="仿宋" w:hAnsi="仿宋" w:eastAsia="仿宋" w:cs="仿宋"/>
                <w:b w:val="0"/>
                <w:bCs w:val="0"/>
                <w:color w:val="000000"/>
                <w:kern w:val="0"/>
                <w:sz w:val="21"/>
                <w:szCs w:val="21"/>
              </w:rPr>
            </w:pPr>
            <w:r>
              <w:rPr>
                <w:rFonts w:hint="eastAsia" w:ascii="仿宋" w:hAnsi="仿宋" w:eastAsia="仿宋" w:cs="仿宋"/>
                <w:b w:val="0"/>
                <w:bCs w:val="0"/>
                <w:color w:val="000000"/>
                <w:kern w:val="0"/>
                <w:sz w:val="21"/>
                <w:szCs w:val="21"/>
              </w:rPr>
              <w:t>2</w:t>
            </w:r>
          </w:p>
        </w:tc>
        <w:tc>
          <w:tcPr>
            <w:tcW w:w="1258" w:type="dxa"/>
            <w:tcBorders>
              <w:top w:val="single" w:color="auto" w:sz="4" w:space="0"/>
              <w:left w:val="nil"/>
              <w:bottom w:val="single" w:color="auto" w:sz="4" w:space="0"/>
              <w:right w:val="single" w:color="auto" w:sz="4" w:space="0"/>
            </w:tcBorders>
            <w:shd w:val="clear" w:color="auto" w:fill="auto"/>
            <w:vAlign w:val="center"/>
          </w:tcPr>
          <w:p w14:paraId="50E81A10">
            <w:pPr>
              <w:pageBreakBefore w:val="0"/>
              <w:widowControl/>
              <w:kinsoku/>
              <w:wordWrap/>
              <w:overflowPunct/>
              <w:topLinePunct w:val="0"/>
              <w:autoSpaceDE/>
              <w:autoSpaceDN/>
              <w:bidi w:val="0"/>
              <w:adjustRightInd/>
              <w:snapToGrid/>
              <w:spacing w:line="560" w:lineRule="atLeast"/>
              <w:ind w:left="0"/>
              <w:jc w:val="center"/>
              <w:rPr>
                <w:rFonts w:hint="eastAsia" w:ascii="仿宋" w:hAnsi="仿宋" w:eastAsia="仿宋" w:cs="仿宋"/>
                <w:b w:val="0"/>
                <w:bCs w:val="0"/>
                <w:color w:val="000000"/>
                <w:kern w:val="0"/>
                <w:sz w:val="21"/>
                <w:szCs w:val="21"/>
                <w:lang w:val="en-US" w:eastAsia="zh-CN"/>
              </w:rPr>
            </w:pPr>
            <w:r>
              <w:rPr>
                <w:rFonts w:hint="eastAsia" w:ascii="仿宋" w:hAnsi="仿宋" w:eastAsia="仿宋" w:cs="仿宋"/>
                <w:b w:val="0"/>
                <w:bCs w:val="0"/>
                <w:color w:val="000000"/>
                <w:kern w:val="0"/>
                <w:sz w:val="21"/>
                <w:szCs w:val="21"/>
                <w:lang w:val="en-US" w:eastAsia="zh-CN"/>
              </w:rPr>
              <w:t>劳务费</w:t>
            </w:r>
          </w:p>
        </w:tc>
        <w:tc>
          <w:tcPr>
            <w:tcW w:w="5171" w:type="dxa"/>
            <w:tcBorders>
              <w:top w:val="single" w:color="auto" w:sz="4" w:space="0"/>
              <w:left w:val="nil"/>
              <w:bottom w:val="single" w:color="auto" w:sz="4" w:space="0"/>
              <w:right w:val="single" w:color="auto" w:sz="4" w:space="0"/>
            </w:tcBorders>
            <w:shd w:val="clear" w:color="auto" w:fill="auto"/>
            <w:vAlign w:val="center"/>
          </w:tcPr>
          <w:p w14:paraId="733C3CA8">
            <w:pPr>
              <w:pageBreakBefore w:val="0"/>
              <w:widowControl/>
              <w:kinsoku/>
              <w:wordWrap/>
              <w:overflowPunct/>
              <w:topLinePunct w:val="0"/>
              <w:autoSpaceDE/>
              <w:autoSpaceDN/>
              <w:bidi w:val="0"/>
              <w:adjustRightInd/>
              <w:snapToGrid/>
              <w:spacing w:line="560" w:lineRule="atLeast"/>
              <w:ind w:left="0"/>
              <w:jc w:val="center"/>
              <w:rPr>
                <w:rFonts w:hint="eastAsia" w:ascii="仿宋" w:hAnsi="仿宋" w:eastAsia="仿宋" w:cs="仿宋"/>
                <w:b w:val="0"/>
                <w:bCs w:val="0"/>
                <w:color w:val="000000"/>
                <w:kern w:val="0"/>
                <w:sz w:val="21"/>
                <w:szCs w:val="21"/>
                <w:lang w:val="en-US" w:eastAsia="zh-CN"/>
              </w:rPr>
            </w:pPr>
            <w:r>
              <w:rPr>
                <w:rFonts w:hint="eastAsia" w:ascii="仿宋" w:hAnsi="仿宋" w:eastAsia="仿宋" w:cs="仿宋"/>
                <w:b w:val="0"/>
                <w:bCs w:val="0"/>
                <w:color w:val="000000"/>
                <w:kern w:val="0"/>
                <w:sz w:val="21"/>
                <w:szCs w:val="21"/>
                <w:lang w:val="en-US" w:eastAsia="zh-CN"/>
              </w:rPr>
              <w:t>承压室聘用1人全年工资（包括养老统筹和医疗保险）</w:t>
            </w:r>
          </w:p>
        </w:tc>
        <w:tc>
          <w:tcPr>
            <w:tcW w:w="1005" w:type="dxa"/>
            <w:tcBorders>
              <w:top w:val="nil"/>
              <w:left w:val="nil"/>
              <w:bottom w:val="single" w:color="auto" w:sz="4" w:space="0"/>
              <w:right w:val="single" w:color="auto" w:sz="4" w:space="0"/>
            </w:tcBorders>
            <w:shd w:val="clear" w:color="auto" w:fill="auto"/>
            <w:vAlign w:val="center"/>
          </w:tcPr>
          <w:p w14:paraId="6842CAE6">
            <w:pPr>
              <w:pageBreakBefore w:val="0"/>
              <w:widowControl/>
              <w:kinsoku/>
              <w:wordWrap/>
              <w:overflowPunct/>
              <w:topLinePunct w:val="0"/>
              <w:autoSpaceDE/>
              <w:autoSpaceDN/>
              <w:bidi w:val="0"/>
              <w:adjustRightInd/>
              <w:snapToGrid/>
              <w:spacing w:line="560" w:lineRule="atLeast"/>
              <w:ind w:left="0"/>
              <w:jc w:val="both"/>
              <w:rPr>
                <w:rFonts w:hint="eastAsia" w:ascii="仿宋" w:hAnsi="仿宋" w:eastAsia="仿宋" w:cs="仿宋"/>
                <w:b w:val="0"/>
                <w:bCs w:val="0"/>
                <w:color w:val="000000"/>
                <w:kern w:val="0"/>
                <w:sz w:val="21"/>
                <w:szCs w:val="21"/>
                <w:lang w:val="en-US" w:eastAsia="zh-CN"/>
              </w:rPr>
            </w:pPr>
            <w:r>
              <w:rPr>
                <w:rFonts w:hint="eastAsia" w:ascii="仿宋" w:hAnsi="仿宋" w:eastAsia="仿宋" w:cs="仿宋"/>
                <w:b w:val="0"/>
                <w:bCs w:val="0"/>
                <w:color w:val="000000"/>
                <w:kern w:val="0"/>
                <w:sz w:val="21"/>
                <w:szCs w:val="21"/>
                <w:lang w:val="en-US" w:eastAsia="zh-CN"/>
              </w:rPr>
              <w:t>50000</w:t>
            </w:r>
          </w:p>
        </w:tc>
        <w:tc>
          <w:tcPr>
            <w:tcW w:w="1200" w:type="dxa"/>
            <w:tcBorders>
              <w:top w:val="nil"/>
              <w:left w:val="nil"/>
              <w:bottom w:val="single" w:color="auto" w:sz="4" w:space="0"/>
              <w:right w:val="single" w:color="auto" w:sz="4" w:space="0"/>
            </w:tcBorders>
            <w:shd w:val="clear" w:color="auto" w:fill="auto"/>
            <w:vAlign w:val="center"/>
          </w:tcPr>
          <w:p w14:paraId="5C79B2EA">
            <w:pPr>
              <w:pageBreakBefore w:val="0"/>
              <w:widowControl/>
              <w:kinsoku/>
              <w:wordWrap/>
              <w:overflowPunct/>
              <w:topLinePunct w:val="0"/>
              <w:autoSpaceDE/>
              <w:autoSpaceDN/>
              <w:bidi w:val="0"/>
              <w:adjustRightInd/>
              <w:snapToGrid/>
              <w:spacing w:line="560" w:lineRule="atLeast"/>
              <w:ind w:left="0"/>
              <w:jc w:val="both"/>
              <w:rPr>
                <w:rFonts w:hint="default" w:ascii="仿宋" w:hAnsi="仿宋" w:eastAsia="仿宋" w:cs="仿宋"/>
                <w:b w:val="0"/>
                <w:bCs w:val="0"/>
                <w:color w:val="000000"/>
                <w:kern w:val="0"/>
                <w:sz w:val="21"/>
                <w:szCs w:val="21"/>
                <w:lang w:val="en-US" w:eastAsia="zh-CN"/>
              </w:rPr>
            </w:pPr>
            <w:r>
              <w:rPr>
                <w:rFonts w:hint="eastAsia" w:ascii="仿宋" w:hAnsi="仿宋" w:eastAsia="仿宋" w:cs="仿宋"/>
                <w:b w:val="0"/>
                <w:bCs w:val="0"/>
                <w:color w:val="000000"/>
                <w:kern w:val="0"/>
                <w:sz w:val="21"/>
                <w:szCs w:val="21"/>
                <w:lang w:val="en-US" w:eastAsia="zh-CN"/>
              </w:rPr>
              <w:t>50000</w:t>
            </w:r>
          </w:p>
        </w:tc>
      </w:tr>
      <w:tr w14:paraId="284B1322">
        <w:tblPrEx>
          <w:tblCellMar>
            <w:top w:w="0" w:type="dxa"/>
            <w:left w:w="108" w:type="dxa"/>
            <w:bottom w:w="0" w:type="dxa"/>
            <w:right w:w="108" w:type="dxa"/>
          </w:tblCellMar>
        </w:tblPrEx>
        <w:trPr>
          <w:trHeight w:val="600" w:hRule="atLeast"/>
        </w:trPr>
        <w:tc>
          <w:tcPr>
            <w:tcW w:w="476" w:type="dxa"/>
            <w:tcBorders>
              <w:top w:val="single" w:color="auto" w:sz="4" w:space="0"/>
              <w:left w:val="single" w:color="auto" w:sz="4" w:space="0"/>
              <w:bottom w:val="single" w:color="auto" w:sz="4" w:space="0"/>
              <w:right w:val="single" w:color="auto" w:sz="4" w:space="0"/>
            </w:tcBorders>
            <w:shd w:val="clear" w:color="auto" w:fill="auto"/>
            <w:vAlign w:val="center"/>
          </w:tcPr>
          <w:p w14:paraId="79CFC9C5">
            <w:pPr>
              <w:pageBreakBefore w:val="0"/>
              <w:widowControl/>
              <w:kinsoku/>
              <w:wordWrap/>
              <w:overflowPunct/>
              <w:topLinePunct w:val="0"/>
              <w:autoSpaceDE/>
              <w:autoSpaceDN/>
              <w:bidi w:val="0"/>
              <w:adjustRightInd/>
              <w:snapToGrid/>
              <w:spacing w:line="560" w:lineRule="atLeast"/>
              <w:ind w:left="0"/>
              <w:jc w:val="center"/>
              <w:rPr>
                <w:rFonts w:hint="eastAsia" w:ascii="仿宋" w:hAnsi="仿宋" w:eastAsia="仿宋" w:cs="仿宋"/>
                <w:b w:val="0"/>
                <w:bCs w:val="0"/>
                <w:color w:val="000000"/>
                <w:kern w:val="0"/>
                <w:sz w:val="21"/>
                <w:szCs w:val="21"/>
              </w:rPr>
            </w:pPr>
            <w:r>
              <w:rPr>
                <w:rFonts w:hint="eastAsia" w:ascii="仿宋" w:hAnsi="仿宋" w:eastAsia="仿宋" w:cs="仿宋"/>
                <w:b w:val="0"/>
                <w:bCs w:val="0"/>
                <w:color w:val="000000"/>
                <w:kern w:val="0"/>
                <w:sz w:val="21"/>
                <w:szCs w:val="21"/>
              </w:rPr>
              <w:t>3</w:t>
            </w:r>
          </w:p>
        </w:tc>
        <w:tc>
          <w:tcPr>
            <w:tcW w:w="1258" w:type="dxa"/>
            <w:tcBorders>
              <w:top w:val="single" w:color="auto" w:sz="4" w:space="0"/>
              <w:left w:val="nil"/>
              <w:bottom w:val="single" w:color="auto" w:sz="4" w:space="0"/>
              <w:right w:val="single" w:color="auto" w:sz="4" w:space="0"/>
            </w:tcBorders>
            <w:shd w:val="clear" w:color="auto" w:fill="auto"/>
            <w:vAlign w:val="center"/>
          </w:tcPr>
          <w:p w14:paraId="1244C77D">
            <w:pPr>
              <w:pageBreakBefore w:val="0"/>
              <w:widowControl/>
              <w:kinsoku/>
              <w:wordWrap/>
              <w:overflowPunct/>
              <w:topLinePunct w:val="0"/>
              <w:autoSpaceDE/>
              <w:autoSpaceDN/>
              <w:bidi w:val="0"/>
              <w:adjustRightInd/>
              <w:snapToGrid/>
              <w:spacing w:line="560" w:lineRule="atLeast"/>
              <w:ind w:left="0"/>
              <w:jc w:val="center"/>
              <w:rPr>
                <w:rFonts w:hint="eastAsia" w:ascii="仿宋" w:hAnsi="仿宋" w:eastAsia="仿宋" w:cs="仿宋"/>
                <w:b w:val="0"/>
                <w:bCs w:val="0"/>
                <w:color w:val="000000"/>
                <w:kern w:val="0"/>
                <w:sz w:val="18"/>
                <w:szCs w:val="18"/>
                <w:lang w:val="en-US" w:eastAsia="zh-CN"/>
              </w:rPr>
            </w:pPr>
            <w:r>
              <w:rPr>
                <w:rFonts w:hint="eastAsia" w:ascii="仿宋" w:hAnsi="仿宋" w:eastAsia="仿宋" w:cs="仿宋"/>
                <w:b w:val="0"/>
                <w:bCs w:val="0"/>
                <w:color w:val="000000"/>
                <w:kern w:val="0"/>
                <w:sz w:val="18"/>
                <w:szCs w:val="18"/>
                <w:lang w:val="en-US" w:eastAsia="zh-CN"/>
              </w:rPr>
              <w:t>委托业务费</w:t>
            </w:r>
          </w:p>
        </w:tc>
        <w:tc>
          <w:tcPr>
            <w:tcW w:w="5171" w:type="dxa"/>
            <w:tcBorders>
              <w:top w:val="single" w:color="auto" w:sz="4" w:space="0"/>
              <w:left w:val="nil"/>
              <w:bottom w:val="single" w:color="auto" w:sz="4" w:space="0"/>
              <w:right w:val="single" w:color="auto" w:sz="4" w:space="0"/>
            </w:tcBorders>
            <w:shd w:val="clear" w:color="auto" w:fill="auto"/>
            <w:vAlign w:val="center"/>
          </w:tcPr>
          <w:p w14:paraId="12E0F030">
            <w:pPr>
              <w:pageBreakBefore w:val="0"/>
              <w:widowControl/>
              <w:kinsoku/>
              <w:wordWrap/>
              <w:overflowPunct/>
              <w:topLinePunct w:val="0"/>
              <w:autoSpaceDE/>
              <w:autoSpaceDN/>
              <w:bidi w:val="0"/>
              <w:adjustRightInd/>
              <w:snapToGrid/>
              <w:spacing w:line="560" w:lineRule="atLeast"/>
              <w:ind w:left="0"/>
              <w:jc w:val="center"/>
              <w:rPr>
                <w:rFonts w:hint="eastAsia" w:ascii="仿宋" w:hAnsi="仿宋" w:eastAsia="仿宋" w:cs="仿宋"/>
                <w:b w:val="0"/>
                <w:bCs w:val="0"/>
                <w:color w:val="000000"/>
                <w:kern w:val="0"/>
                <w:sz w:val="21"/>
                <w:szCs w:val="21"/>
                <w:lang w:val="en-US" w:eastAsia="zh-CN"/>
              </w:rPr>
            </w:pPr>
            <w:r>
              <w:rPr>
                <w:rFonts w:hint="eastAsia" w:ascii="仿宋" w:hAnsi="仿宋" w:eastAsia="仿宋" w:cs="仿宋"/>
                <w:b w:val="0"/>
                <w:bCs w:val="0"/>
                <w:color w:val="000000"/>
                <w:kern w:val="0"/>
                <w:sz w:val="21"/>
                <w:szCs w:val="21"/>
                <w:lang w:val="en-US" w:eastAsia="zh-CN"/>
              </w:rPr>
              <w:t>克拉玛依准泰无损检测公司，无损检测费用</w:t>
            </w:r>
          </w:p>
        </w:tc>
        <w:tc>
          <w:tcPr>
            <w:tcW w:w="1005" w:type="dxa"/>
            <w:tcBorders>
              <w:top w:val="nil"/>
              <w:left w:val="nil"/>
              <w:bottom w:val="single" w:color="auto" w:sz="4" w:space="0"/>
              <w:right w:val="single" w:color="auto" w:sz="4" w:space="0"/>
            </w:tcBorders>
            <w:shd w:val="clear" w:color="auto" w:fill="auto"/>
            <w:vAlign w:val="center"/>
          </w:tcPr>
          <w:p w14:paraId="327207B7">
            <w:pPr>
              <w:pageBreakBefore w:val="0"/>
              <w:widowControl/>
              <w:kinsoku/>
              <w:wordWrap/>
              <w:overflowPunct/>
              <w:topLinePunct w:val="0"/>
              <w:autoSpaceDE/>
              <w:autoSpaceDN/>
              <w:bidi w:val="0"/>
              <w:adjustRightInd/>
              <w:snapToGrid/>
              <w:spacing w:line="560" w:lineRule="atLeast"/>
              <w:ind w:left="0"/>
              <w:jc w:val="both"/>
              <w:rPr>
                <w:rFonts w:hint="eastAsia" w:ascii="仿宋" w:hAnsi="仿宋" w:eastAsia="仿宋" w:cs="仿宋"/>
                <w:b w:val="0"/>
                <w:bCs w:val="0"/>
                <w:color w:val="000000"/>
                <w:kern w:val="0"/>
                <w:sz w:val="21"/>
                <w:szCs w:val="21"/>
                <w:lang w:val="en-US" w:eastAsia="zh-CN"/>
              </w:rPr>
            </w:pPr>
            <w:r>
              <w:rPr>
                <w:rFonts w:hint="eastAsia" w:ascii="仿宋" w:hAnsi="仿宋" w:eastAsia="仿宋" w:cs="仿宋"/>
                <w:b w:val="0"/>
                <w:bCs w:val="0"/>
                <w:color w:val="000000"/>
                <w:kern w:val="0"/>
                <w:sz w:val="21"/>
                <w:szCs w:val="21"/>
                <w:lang w:val="en-US" w:eastAsia="zh-CN"/>
              </w:rPr>
              <w:t>200000</w:t>
            </w:r>
          </w:p>
        </w:tc>
        <w:tc>
          <w:tcPr>
            <w:tcW w:w="1200" w:type="dxa"/>
            <w:tcBorders>
              <w:top w:val="nil"/>
              <w:left w:val="nil"/>
              <w:bottom w:val="single" w:color="auto" w:sz="4" w:space="0"/>
              <w:right w:val="single" w:color="auto" w:sz="4" w:space="0"/>
            </w:tcBorders>
            <w:shd w:val="clear" w:color="auto" w:fill="auto"/>
            <w:vAlign w:val="center"/>
          </w:tcPr>
          <w:p w14:paraId="580257CA">
            <w:pPr>
              <w:pageBreakBefore w:val="0"/>
              <w:widowControl/>
              <w:kinsoku/>
              <w:wordWrap/>
              <w:overflowPunct/>
              <w:topLinePunct w:val="0"/>
              <w:autoSpaceDE/>
              <w:autoSpaceDN/>
              <w:bidi w:val="0"/>
              <w:adjustRightInd/>
              <w:snapToGrid/>
              <w:spacing w:line="560" w:lineRule="atLeast"/>
              <w:ind w:left="0"/>
              <w:jc w:val="both"/>
              <w:rPr>
                <w:rFonts w:hint="eastAsia" w:ascii="仿宋" w:hAnsi="仿宋" w:eastAsia="仿宋" w:cs="仿宋"/>
                <w:b w:val="0"/>
                <w:bCs w:val="0"/>
                <w:color w:val="000000"/>
                <w:kern w:val="0"/>
                <w:sz w:val="21"/>
                <w:szCs w:val="21"/>
                <w:lang w:val="en-US" w:eastAsia="zh-CN"/>
              </w:rPr>
            </w:pPr>
            <w:r>
              <w:rPr>
                <w:rFonts w:hint="eastAsia" w:ascii="仿宋" w:hAnsi="仿宋" w:eastAsia="仿宋" w:cs="仿宋"/>
                <w:b w:val="0"/>
                <w:bCs w:val="0"/>
                <w:color w:val="000000"/>
                <w:kern w:val="0"/>
                <w:sz w:val="21"/>
                <w:szCs w:val="21"/>
                <w:lang w:val="en-US" w:eastAsia="zh-CN"/>
              </w:rPr>
              <w:t>200000</w:t>
            </w:r>
          </w:p>
        </w:tc>
      </w:tr>
      <w:tr w14:paraId="3C5F4BAC">
        <w:tblPrEx>
          <w:tblCellMar>
            <w:top w:w="0" w:type="dxa"/>
            <w:left w:w="108" w:type="dxa"/>
            <w:bottom w:w="0" w:type="dxa"/>
            <w:right w:w="108" w:type="dxa"/>
          </w:tblCellMar>
        </w:tblPrEx>
        <w:trPr>
          <w:trHeight w:val="525" w:hRule="atLeast"/>
        </w:trPr>
        <w:tc>
          <w:tcPr>
            <w:tcW w:w="476" w:type="dxa"/>
            <w:tcBorders>
              <w:top w:val="nil"/>
              <w:left w:val="single" w:color="auto" w:sz="4" w:space="0"/>
              <w:bottom w:val="single" w:color="auto" w:sz="4" w:space="0"/>
              <w:right w:val="single" w:color="auto" w:sz="4" w:space="0"/>
            </w:tcBorders>
            <w:shd w:val="clear" w:color="auto" w:fill="auto"/>
            <w:vAlign w:val="center"/>
          </w:tcPr>
          <w:p w14:paraId="497B288A">
            <w:pPr>
              <w:pageBreakBefore w:val="0"/>
              <w:widowControl/>
              <w:kinsoku/>
              <w:wordWrap/>
              <w:overflowPunct/>
              <w:topLinePunct w:val="0"/>
              <w:autoSpaceDE/>
              <w:autoSpaceDN/>
              <w:bidi w:val="0"/>
              <w:adjustRightInd/>
              <w:snapToGrid/>
              <w:spacing w:line="560" w:lineRule="atLeast"/>
              <w:ind w:left="0"/>
              <w:jc w:val="center"/>
              <w:rPr>
                <w:rFonts w:hint="eastAsia" w:ascii="仿宋" w:hAnsi="仿宋" w:eastAsia="仿宋" w:cs="仿宋"/>
                <w:b w:val="0"/>
                <w:bCs w:val="0"/>
                <w:color w:val="000000"/>
                <w:kern w:val="0"/>
                <w:sz w:val="21"/>
                <w:szCs w:val="21"/>
              </w:rPr>
            </w:pPr>
            <w:r>
              <w:rPr>
                <w:rFonts w:hint="eastAsia" w:ascii="仿宋" w:hAnsi="仿宋" w:eastAsia="仿宋" w:cs="仿宋"/>
                <w:b w:val="0"/>
                <w:bCs w:val="0"/>
                <w:color w:val="000000"/>
                <w:kern w:val="0"/>
                <w:sz w:val="21"/>
                <w:szCs w:val="21"/>
              </w:rPr>
              <w:t>4</w:t>
            </w:r>
          </w:p>
        </w:tc>
        <w:tc>
          <w:tcPr>
            <w:tcW w:w="1258" w:type="dxa"/>
            <w:tcBorders>
              <w:top w:val="nil"/>
              <w:left w:val="nil"/>
              <w:bottom w:val="single" w:color="auto" w:sz="4" w:space="0"/>
              <w:right w:val="single" w:color="auto" w:sz="4" w:space="0"/>
            </w:tcBorders>
            <w:shd w:val="clear" w:color="auto" w:fill="auto"/>
            <w:vAlign w:val="center"/>
          </w:tcPr>
          <w:p w14:paraId="3F1CDFD0">
            <w:pPr>
              <w:pageBreakBefore w:val="0"/>
              <w:widowControl/>
              <w:kinsoku/>
              <w:wordWrap/>
              <w:overflowPunct/>
              <w:topLinePunct w:val="0"/>
              <w:autoSpaceDE/>
              <w:autoSpaceDN/>
              <w:bidi w:val="0"/>
              <w:adjustRightInd/>
              <w:snapToGrid/>
              <w:spacing w:line="560" w:lineRule="atLeast"/>
              <w:ind w:left="0"/>
              <w:jc w:val="center"/>
              <w:rPr>
                <w:rFonts w:hint="eastAsia" w:ascii="仿宋" w:hAnsi="仿宋" w:eastAsia="仿宋" w:cs="仿宋"/>
                <w:b w:val="0"/>
                <w:bCs w:val="0"/>
                <w:color w:val="000000"/>
                <w:kern w:val="0"/>
                <w:sz w:val="21"/>
                <w:szCs w:val="21"/>
                <w:lang w:val="en-US" w:eastAsia="zh-CN"/>
              </w:rPr>
            </w:pPr>
            <w:r>
              <w:rPr>
                <w:rFonts w:hint="eastAsia" w:ascii="仿宋" w:hAnsi="仿宋" w:eastAsia="仿宋" w:cs="仿宋"/>
                <w:b w:val="0"/>
                <w:bCs w:val="0"/>
                <w:color w:val="000000"/>
                <w:kern w:val="0"/>
                <w:sz w:val="21"/>
                <w:szCs w:val="21"/>
                <w:lang w:val="en-US" w:eastAsia="zh-CN"/>
              </w:rPr>
              <w:t>差旅费</w:t>
            </w:r>
          </w:p>
        </w:tc>
        <w:tc>
          <w:tcPr>
            <w:tcW w:w="5171" w:type="dxa"/>
            <w:tcBorders>
              <w:top w:val="nil"/>
              <w:left w:val="nil"/>
              <w:bottom w:val="single" w:color="auto" w:sz="4" w:space="0"/>
              <w:right w:val="single" w:color="auto" w:sz="4" w:space="0"/>
            </w:tcBorders>
            <w:shd w:val="clear" w:color="auto" w:fill="auto"/>
            <w:vAlign w:val="center"/>
          </w:tcPr>
          <w:p w14:paraId="3BD97143">
            <w:pPr>
              <w:pageBreakBefore w:val="0"/>
              <w:widowControl/>
              <w:kinsoku/>
              <w:wordWrap/>
              <w:overflowPunct/>
              <w:topLinePunct w:val="0"/>
              <w:autoSpaceDE/>
              <w:autoSpaceDN/>
              <w:bidi w:val="0"/>
              <w:adjustRightInd/>
              <w:snapToGrid/>
              <w:spacing w:line="560" w:lineRule="atLeast"/>
              <w:ind w:left="0"/>
              <w:jc w:val="center"/>
              <w:rPr>
                <w:rFonts w:hint="eastAsia" w:ascii="仿宋" w:hAnsi="仿宋" w:eastAsia="仿宋" w:cs="仿宋"/>
                <w:b w:val="0"/>
                <w:bCs w:val="0"/>
                <w:color w:val="000000"/>
                <w:kern w:val="0"/>
                <w:sz w:val="21"/>
                <w:szCs w:val="21"/>
                <w:lang w:val="en-US" w:eastAsia="zh-CN"/>
              </w:rPr>
            </w:pPr>
            <w:r>
              <w:rPr>
                <w:rFonts w:hint="eastAsia" w:ascii="仿宋" w:hAnsi="仿宋" w:eastAsia="仿宋" w:cs="仿宋"/>
                <w:b w:val="0"/>
                <w:bCs w:val="0"/>
                <w:color w:val="000000"/>
                <w:kern w:val="0"/>
                <w:sz w:val="21"/>
                <w:szCs w:val="21"/>
                <w:lang w:val="en-US" w:eastAsia="zh-CN"/>
              </w:rPr>
              <w:t>科室7人全年出差差费</w:t>
            </w:r>
          </w:p>
        </w:tc>
        <w:tc>
          <w:tcPr>
            <w:tcW w:w="1005" w:type="dxa"/>
            <w:tcBorders>
              <w:top w:val="nil"/>
              <w:left w:val="nil"/>
              <w:bottom w:val="single" w:color="auto" w:sz="4" w:space="0"/>
              <w:right w:val="single" w:color="auto" w:sz="4" w:space="0"/>
            </w:tcBorders>
            <w:shd w:val="clear" w:color="auto" w:fill="auto"/>
            <w:vAlign w:val="center"/>
          </w:tcPr>
          <w:p w14:paraId="5527B059">
            <w:pPr>
              <w:pageBreakBefore w:val="0"/>
              <w:widowControl/>
              <w:kinsoku/>
              <w:wordWrap/>
              <w:overflowPunct/>
              <w:topLinePunct w:val="0"/>
              <w:autoSpaceDE/>
              <w:autoSpaceDN/>
              <w:bidi w:val="0"/>
              <w:adjustRightInd/>
              <w:snapToGrid/>
              <w:spacing w:line="560" w:lineRule="atLeast"/>
              <w:ind w:left="0"/>
              <w:jc w:val="both"/>
              <w:rPr>
                <w:rFonts w:hint="default" w:ascii="仿宋" w:hAnsi="仿宋" w:eastAsia="仿宋" w:cs="仿宋"/>
                <w:b w:val="0"/>
                <w:bCs w:val="0"/>
                <w:color w:val="000000"/>
                <w:kern w:val="0"/>
                <w:sz w:val="21"/>
                <w:szCs w:val="21"/>
                <w:lang w:val="en-US" w:eastAsia="zh-CN"/>
              </w:rPr>
            </w:pPr>
            <w:r>
              <w:rPr>
                <w:rFonts w:hint="eastAsia" w:ascii="仿宋" w:hAnsi="仿宋" w:eastAsia="仿宋" w:cs="仿宋"/>
                <w:b w:val="0"/>
                <w:bCs w:val="0"/>
                <w:color w:val="000000"/>
                <w:kern w:val="0"/>
                <w:sz w:val="21"/>
                <w:szCs w:val="21"/>
                <w:lang w:val="en-US" w:eastAsia="zh-CN"/>
              </w:rPr>
              <w:t>206300</w:t>
            </w:r>
          </w:p>
        </w:tc>
        <w:tc>
          <w:tcPr>
            <w:tcW w:w="1200" w:type="dxa"/>
            <w:tcBorders>
              <w:top w:val="nil"/>
              <w:left w:val="nil"/>
              <w:bottom w:val="single" w:color="auto" w:sz="4" w:space="0"/>
              <w:right w:val="single" w:color="auto" w:sz="4" w:space="0"/>
            </w:tcBorders>
            <w:shd w:val="clear" w:color="auto" w:fill="auto"/>
            <w:vAlign w:val="center"/>
          </w:tcPr>
          <w:p w14:paraId="3EB5BEE8">
            <w:pPr>
              <w:pageBreakBefore w:val="0"/>
              <w:widowControl/>
              <w:kinsoku/>
              <w:wordWrap/>
              <w:overflowPunct/>
              <w:topLinePunct w:val="0"/>
              <w:autoSpaceDE/>
              <w:autoSpaceDN/>
              <w:bidi w:val="0"/>
              <w:adjustRightInd/>
              <w:snapToGrid/>
              <w:spacing w:line="560" w:lineRule="atLeast"/>
              <w:ind w:left="0"/>
              <w:jc w:val="both"/>
              <w:rPr>
                <w:rFonts w:hint="default" w:ascii="仿宋" w:hAnsi="仿宋" w:eastAsia="仿宋" w:cs="仿宋"/>
                <w:b w:val="0"/>
                <w:bCs w:val="0"/>
                <w:color w:val="000000"/>
                <w:kern w:val="0"/>
                <w:sz w:val="21"/>
                <w:szCs w:val="21"/>
                <w:lang w:val="en-US" w:eastAsia="zh-CN"/>
              </w:rPr>
            </w:pPr>
            <w:r>
              <w:rPr>
                <w:rFonts w:hint="eastAsia" w:ascii="仿宋" w:hAnsi="仿宋" w:eastAsia="仿宋" w:cs="仿宋"/>
                <w:b w:val="0"/>
                <w:bCs w:val="0"/>
                <w:color w:val="000000"/>
                <w:kern w:val="0"/>
                <w:sz w:val="21"/>
                <w:szCs w:val="21"/>
                <w:lang w:val="en-US" w:eastAsia="zh-CN"/>
              </w:rPr>
              <w:t>106511</w:t>
            </w:r>
          </w:p>
        </w:tc>
      </w:tr>
      <w:tr w14:paraId="624438A8">
        <w:tblPrEx>
          <w:tblCellMar>
            <w:top w:w="0" w:type="dxa"/>
            <w:left w:w="108" w:type="dxa"/>
            <w:bottom w:w="0" w:type="dxa"/>
            <w:right w:w="108" w:type="dxa"/>
          </w:tblCellMar>
        </w:tblPrEx>
        <w:trPr>
          <w:trHeight w:val="555" w:hRule="atLeast"/>
        </w:trPr>
        <w:tc>
          <w:tcPr>
            <w:tcW w:w="476" w:type="dxa"/>
            <w:tcBorders>
              <w:top w:val="nil"/>
              <w:left w:val="single" w:color="auto" w:sz="4" w:space="0"/>
              <w:bottom w:val="single" w:color="auto" w:sz="4" w:space="0"/>
              <w:right w:val="single" w:color="auto" w:sz="4" w:space="0"/>
            </w:tcBorders>
            <w:shd w:val="clear" w:color="auto" w:fill="auto"/>
            <w:vAlign w:val="center"/>
          </w:tcPr>
          <w:p w14:paraId="2691CEE6">
            <w:pPr>
              <w:pageBreakBefore w:val="0"/>
              <w:widowControl/>
              <w:kinsoku/>
              <w:wordWrap/>
              <w:overflowPunct/>
              <w:topLinePunct w:val="0"/>
              <w:autoSpaceDE/>
              <w:autoSpaceDN/>
              <w:bidi w:val="0"/>
              <w:adjustRightInd/>
              <w:snapToGrid/>
              <w:spacing w:line="560" w:lineRule="atLeast"/>
              <w:ind w:left="0"/>
              <w:jc w:val="center"/>
              <w:rPr>
                <w:rFonts w:hint="eastAsia" w:ascii="仿宋" w:hAnsi="仿宋" w:eastAsia="仿宋" w:cs="仿宋"/>
                <w:b w:val="0"/>
                <w:bCs w:val="0"/>
                <w:color w:val="000000"/>
                <w:kern w:val="0"/>
                <w:sz w:val="21"/>
                <w:szCs w:val="21"/>
              </w:rPr>
            </w:pPr>
            <w:r>
              <w:rPr>
                <w:rFonts w:hint="eastAsia" w:ascii="仿宋" w:hAnsi="仿宋" w:eastAsia="仿宋" w:cs="仿宋"/>
                <w:b w:val="0"/>
                <w:bCs w:val="0"/>
                <w:color w:val="000000"/>
                <w:kern w:val="0"/>
                <w:sz w:val="21"/>
                <w:szCs w:val="21"/>
              </w:rPr>
              <w:t>5</w:t>
            </w:r>
          </w:p>
        </w:tc>
        <w:tc>
          <w:tcPr>
            <w:tcW w:w="1258" w:type="dxa"/>
            <w:tcBorders>
              <w:top w:val="nil"/>
              <w:left w:val="nil"/>
              <w:bottom w:val="single" w:color="auto" w:sz="4" w:space="0"/>
              <w:right w:val="single" w:color="auto" w:sz="4" w:space="0"/>
            </w:tcBorders>
            <w:shd w:val="clear" w:color="auto" w:fill="auto"/>
            <w:vAlign w:val="center"/>
          </w:tcPr>
          <w:p w14:paraId="13BDE42E">
            <w:pPr>
              <w:pageBreakBefore w:val="0"/>
              <w:widowControl/>
              <w:kinsoku/>
              <w:wordWrap/>
              <w:overflowPunct/>
              <w:topLinePunct w:val="0"/>
              <w:autoSpaceDE/>
              <w:autoSpaceDN/>
              <w:bidi w:val="0"/>
              <w:adjustRightInd/>
              <w:snapToGrid/>
              <w:spacing w:line="560" w:lineRule="atLeast"/>
              <w:ind w:left="0"/>
              <w:jc w:val="center"/>
              <w:rPr>
                <w:rFonts w:hint="eastAsia" w:ascii="仿宋" w:hAnsi="仿宋" w:eastAsia="仿宋" w:cs="仿宋"/>
                <w:b w:val="0"/>
                <w:bCs w:val="0"/>
                <w:color w:val="000000"/>
                <w:kern w:val="0"/>
                <w:sz w:val="21"/>
                <w:szCs w:val="21"/>
                <w:lang w:val="en-US" w:eastAsia="zh-CN"/>
              </w:rPr>
            </w:pPr>
            <w:r>
              <w:rPr>
                <w:rFonts w:hint="eastAsia" w:ascii="仿宋" w:hAnsi="仿宋" w:eastAsia="仿宋" w:cs="仿宋"/>
                <w:b w:val="0"/>
                <w:bCs w:val="0"/>
                <w:color w:val="000000"/>
                <w:kern w:val="0"/>
                <w:sz w:val="21"/>
                <w:szCs w:val="21"/>
                <w:lang w:val="en-US" w:eastAsia="zh-CN"/>
              </w:rPr>
              <w:t>专用材料</w:t>
            </w:r>
          </w:p>
        </w:tc>
        <w:tc>
          <w:tcPr>
            <w:tcW w:w="5171" w:type="dxa"/>
            <w:tcBorders>
              <w:top w:val="nil"/>
              <w:left w:val="nil"/>
              <w:bottom w:val="single" w:color="auto" w:sz="4" w:space="0"/>
              <w:right w:val="single" w:color="auto" w:sz="4" w:space="0"/>
            </w:tcBorders>
            <w:shd w:val="clear" w:color="auto" w:fill="auto"/>
            <w:vAlign w:val="center"/>
          </w:tcPr>
          <w:p w14:paraId="03270160">
            <w:pPr>
              <w:pageBreakBefore w:val="0"/>
              <w:widowControl/>
              <w:kinsoku/>
              <w:wordWrap/>
              <w:overflowPunct/>
              <w:topLinePunct w:val="0"/>
              <w:autoSpaceDE/>
              <w:autoSpaceDN/>
              <w:bidi w:val="0"/>
              <w:adjustRightInd/>
              <w:snapToGrid/>
              <w:spacing w:line="560" w:lineRule="atLeast"/>
              <w:ind w:left="0"/>
              <w:jc w:val="center"/>
              <w:rPr>
                <w:rFonts w:hint="eastAsia" w:ascii="仿宋" w:hAnsi="仿宋" w:eastAsia="仿宋" w:cs="仿宋"/>
                <w:b w:val="0"/>
                <w:bCs w:val="0"/>
                <w:color w:val="000000"/>
                <w:kern w:val="0"/>
                <w:sz w:val="21"/>
                <w:szCs w:val="21"/>
                <w:lang w:val="en-US" w:eastAsia="zh-CN"/>
              </w:rPr>
            </w:pPr>
            <w:r>
              <w:rPr>
                <w:rFonts w:hint="eastAsia" w:ascii="仿宋" w:hAnsi="仿宋" w:eastAsia="仿宋" w:cs="仿宋"/>
                <w:b w:val="0"/>
                <w:bCs w:val="0"/>
                <w:color w:val="000000"/>
                <w:kern w:val="0"/>
                <w:sz w:val="21"/>
                <w:szCs w:val="21"/>
                <w:lang w:val="en-US" w:eastAsia="zh-CN"/>
              </w:rPr>
              <w:t>无损检测用实验耗材等</w:t>
            </w:r>
          </w:p>
        </w:tc>
        <w:tc>
          <w:tcPr>
            <w:tcW w:w="1005" w:type="dxa"/>
            <w:tcBorders>
              <w:top w:val="nil"/>
              <w:left w:val="nil"/>
              <w:bottom w:val="single" w:color="auto" w:sz="4" w:space="0"/>
              <w:right w:val="single" w:color="auto" w:sz="4" w:space="0"/>
            </w:tcBorders>
            <w:shd w:val="clear" w:color="auto" w:fill="auto"/>
            <w:vAlign w:val="center"/>
          </w:tcPr>
          <w:p w14:paraId="767AAC45">
            <w:pPr>
              <w:pageBreakBefore w:val="0"/>
              <w:widowControl/>
              <w:kinsoku/>
              <w:wordWrap/>
              <w:overflowPunct/>
              <w:topLinePunct w:val="0"/>
              <w:autoSpaceDE/>
              <w:autoSpaceDN/>
              <w:bidi w:val="0"/>
              <w:adjustRightInd/>
              <w:snapToGrid/>
              <w:spacing w:line="560" w:lineRule="atLeast"/>
              <w:ind w:left="0"/>
              <w:jc w:val="both"/>
              <w:rPr>
                <w:rFonts w:hint="eastAsia" w:ascii="仿宋" w:hAnsi="仿宋" w:eastAsia="仿宋" w:cs="仿宋"/>
                <w:b w:val="0"/>
                <w:bCs w:val="0"/>
                <w:color w:val="000000"/>
                <w:kern w:val="0"/>
                <w:sz w:val="21"/>
                <w:szCs w:val="21"/>
                <w:lang w:val="en-US" w:eastAsia="zh-CN"/>
              </w:rPr>
            </w:pPr>
            <w:r>
              <w:rPr>
                <w:rFonts w:hint="eastAsia" w:ascii="仿宋" w:hAnsi="仿宋" w:eastAsia="仿宋" w:cs="仿宋"/>
                <w:b w:val="0"/>
                <w:bCs w:val="0"/>
                <w:color w:val="000000"/>
                <w:kern w:val="0"/>
                <w:sz w:val="21"/>
                <w:szCs w:val="21"/>
                <w:lang w:val="en-US" w:eastAsia="zh-CN"/>
              </w:rPr>
              <w:t>14000</w:t>
            </w:r>
          </w:p>
        </w:tc>
        <w:tc>
          <w:tcPr>
            <w:tcW w:w="1200" w:type="dxa"/>
            <w:tcBorders>
              <w:top w:val="nil"/>
              <w:left w:val="nil"/>
              <w:bottom w:val="single" w:color="auto" w:sz="4" w:space="0"/>
              <w:right w:val="single" w:color="auto" w:sz="4" w:space="0"/>
            </w:tcBorders>
            <w:shd w:val="clear" w:color="auto" w:fill="auto"/>
            <w:vAlign w:val="center"/>
          </w:tcPr>
          <w:p w14:paraId="781E1CFC">
            <w:pPr>
              <w:pageBreakBefore w:val="0"/>
              <w:widowControl/>
              <w:kinsoku/>
              <w:wordWrap/>
              <w:overflowPunct/>
              <w:topLinePunct w:val="0"/>
              <w:autoSpaceDE/>
              <w:autoSpaceDN/>
              <w:bidi w:val="0"/>
              <w:adjustRightInd/>
              <w:snapToGrid/>
              <w:spacing w:line="560" w:lineRule="atLeast"/>
              <w:ind w:left="0"/>
              <w:jc w:val="both"/>
              <w:rPr>
                <w:rFonts w:hint="eastAsia" w:ascii="仿宋" w:hAnsi="仿宋" w:eastAsia="仿宋" w:cs="仿宋"/>
                <w:b w:val="0"/>
                <w:bCs w:val="0"/>
                <w:color w:val="000000"/>
                <w:kern w:val="0"/>
                <w:sz w:val="21"/>
                <w:szCs w:val="21"/>
                <w:lang w:val="en-US" w:eastAsia="zh-CN"/>
              </w:rPr>
            </w:pPr>
            <w:r>
              <w:rPr>
                <w:rFonts w:hint="eastAsia" w:ascii="仿宋" w:hAnsi="仿宋" w:eastAsia="仿宋" w:cs="仿宋"/>
                <w:b w:val="0"/>
                <w:bCs w:val="0"/>
                <w:color w:val="000000"/>
                <w:kern w:val="0"/>
                <w:sz w:val="21"/>
                <w:szCs w:val="21"/>
                <w:lang w:val="en-US" w:eastAsia="zh-CN"/>
              </w:rPr>
              <w:t>14000</w:t>
            </w:r>
          </w:p>
        </w:tc>
      </w:tr>
      <w:tr w14:paraId="198C5E4C">
        <w:tblPrEx>
          <w:tblCellMar>
            <w:top w:w="0" w:type="dxa"/>
            <w:left w:w="108" w:type="dxa"/>
            <w:bottom w:w="0" w:type="dxa"/>
            <w:right w:w="108" w:type="dxa"/>
          </w:tblCellMar>
        </w:tblPrEx>
        <w:trPr>
          <w:trHeight w:val="450" w:hRule="atLeast"/>
        </w:trPr>
        <w:tc>
          <w:tcPr>
            <w:tcW w:w="476" w:type="dxa"/>
            <w:tcBorders>
              <w:top w:val="nil"/>
              <w:left w:val="single" w:color="auto" w:sz="4" w:space="0"/>
              <w:bottom w:val="single" w:color="auto" w:sz="4" w:space="0"/>
              <w:right w:val="single" w:color="auto" w:sz="4" w:space="0"/>
            </w:tcBorders>
            <w:shd w:val="clear" w:color="auto" w:fill="auto"/>
            <w:vAlign w:val="center"/>
          </w:tcPr>
          <w:p w14:paraId="799AC49A">
            <w:pPr>
              <w:pageBreakBefore w:val="0"/>
              <w:widowControl/>
              <w:tabs>
                <w:tab w:val="center" w:pos="209"/>
              </w:tabs>
              <w:kinsoku/>
              <w:wordWrap/>
              <w:overflowPunct/>
              <w:topLinePunct w:val="0"/>
              <w:autoSpaceDE/>
              <w:autoSpaceDN/>
              <w:bidi w:val="0"/>
              <w:adjustRightInd/>
              <w:snapToGrid/>
              <w:spacing w:line="560" w:lineRule="atLeast"/>
              <w:jc w:val="center"/>
              <w:rPr>
                <w:rFonts w:hint="default" w:ascii="仿宋" w:hAnsi="仿宋" w:eastAsia="仿宋" w:cs="仿宋"/>
                <w:b w:val="0"/>
                <w:bCs w:val="0"/>
                <w:color w:val="000000"/>
                <w:kern w:val="0"/>
                <w:sz w:val="21"/>
                <w:szCs w:val="21"/>
                <w:lang w:val="en-US" w:eastAsia="zh-CN"/>
              </w:rPr>
            </w:pPr>
            <w:r>
              <w:rPr>
                <w:rFonts w:hint="eastAsia" w:ascii="仿宋" w:hAnsi="仿宋" w:eastAsia="仿宋" w:cs="仿宋"/>
                <w:b w:val="0"/>
                <w:bCs w:val="0"/>
                <w:color w:val="000000"/>
                <w:kern w:val="0"/>
                <w:sz w:val="21"/>
                <w:szCs w:val="21"/>
                <w:lang w:val="en-US" w:eastAsia="zh-CN"/>
              </w:rPr>
              <w:t>6</w:t>
            </w:r>
          </w:p>
        </w:tc>
        <w:tc>
          <w:tcPr>
            <w:tcW w:w="1258" w:type="dxa"/>
            <w:tcBorders>
              <w:top w:val="nil"/>
              <w:left w:val="nil"/>
              <w:bottom w:val="single" w:color="auto" w:sz="4" w:space="0"/>
              <w:right w:val="single" w:color="auto" w:sz="4" w:space="0"/>
            </w:tcBorders>
            <w:shd w:val="clear" w:color="auto" w:fill="auto"/>
            <w:vAlign w:val="center"/>
          </w:tcPr>
          <w:p w14:paraId="20B649BC">
            <w:pPr>
              <w:pageBreakBefore w:val="0"/>
              <w:widowControl/>
              <w:kinsoku/>
              <w:wordWrap/>
              <w:overflowPunct/>
              <w:topLinePunct w:val="0"/>
              <w:autoSpaceDE/>
              <w:autoSpaceDN/>
              <w:bidi w:val="0"/>
              <w:adjustRightInd/>
              <w:snapToGrid/>
              <w:spacing w:line="560" w:lineRule="atLeast"/>
              <w:jc w:val="center"/>
              <w:rPr>
                <w:rFonts w:hint="eastAsia" w:ascii="仿宋" w:hAnsi="仿宋" w:eastAsia="仿宋" w:cs="仿宋"/>
                <w:b w:val="0"/>
                <w:bCs w:val="0"/>
                <w:color w:val="000000"/>
                <w:kern w:val="0"/>
                <w:sz w:val="21"/>
                <w:szCs w:val="21"/>
                <w:lang w:eastAsia="zh-CN"/>
              </w:rPr>
            </w:pPr>
            <w:r>
              <w:rPr>
                <w:rFonts w:hint="eastAsia" w:ascii="仿宋" w:hAnsi="仿宋" w:eastAsia="仿宋" w:cs="仿宋"/>
                <w:b w:val="0"/>
                <w:bCs w:val="0"/>
                <w:color w:val="000000"/>
                <w:kern w:val="0"/>
                <w:sz w:val="21"/>
                <w:szCs w:val="21"/>
                <w:lang w:val="en-US" w:eastAsia="zh-CN"/>
              </w:rPr>
              <w:t>公务用车</w:t>
            </w:r>
          </w:p>
        </w:tc>
        <w:tc>
          <w:tcPr>
            <w:tcW w:w="5171" w:type="dxa"/>
            <w:tcBorders>
              <w:top w:val="nil"/>
              <w:left w:val="nil"/>
              <w:bottom w:val="single" w:color="auto" w:sz="4" w:space="0"/>
              <w:right w:val="single" w:color="auto" w:sz="4" w:space="0"/>
            </w:tcBorders>
            <w:shd w:val="clear" w:color="auto" w:fill="auto"/>
            <w:vAlign w:val="center"/>
          </w:tcPr>
          <w:p w14:paraId="322E311A">
            <w:pPr>
              <w:pageBreakBefore w:val="0"/>
              <w:widowControl/>
              <w:kinsoku/>
              <w:wordWrap/>
              <w:overflowPunct/>
              <w:topLinePunct w:val="0"/>
              <w:autoSpaceDE/>
              <w:autoSpaceDN/>
              <w:bidi w:val="0"/>
              <w:adjustRightInd/>
              <w:snapToGrid/>
              <w:spacing w:line="560" w:lineRule="atLeast"/>
              <w:ind w:left="0" w:firstLine="420" w:firstLineChars="200"/>
              <w:jc w:val="center"/>
              <w:rPr>
                <w:rFonts w:hint="eastAsia" w:ascii="仿宋" w:hAnsi="仿宋" w:eastAsia="仿宋" w:cs="仿宋"/>
                <w:b w:val="0"/>
                <w:bCs w:val="0"/>
                <w:color w:val="000000"/>
                <w:kern w:val="0"/>
                <w:sz w:val="21"/>
                <w:szCs w:val="21"/>
                <w:lang w:eastAsia="zh-CN"/>
              </w:rPr>
            </w:pPr>
            <w:r>
              <w:rPr>
                <w:rFonts w:hint="eastAsia" w:ascii="仿宋" w:hAnsi="仿宋" w:eastAsia="仿宋" w:cs="仿宋"/>
                <w:b w:val="0"/>
                <w:bCs w:val="0"/>
                <w:color w:val="000000"/>
                <w:kern w:val="0"/>
                <w:sz w:val="21"/>
                <w:szCs w:val="21"/>
                <w:lang w:eastAsia="zh-CN"/>
              </w:rPr>
              <w:t>检验车辆的燃油费、路桥费、维修保养费等</w:t>
            </w:r>
          </w:p>
        </w:tc>
        <w:tc>
          <w:tcPr>
            <w:tcW w:w="1005" w:type="dxa"/>
            <w:tcBorders>
              <w:top w:val="nil"/>
              <w:left w:val="nil"/>
              <w:bottom w:val="single" w:color="auto" w:sz="4" w:space="0"/>
              <w:right w:val="single" w:color="auto" w:sz="4" w:space="0"/>
            </w:tcBorders>
            <w:shd w:val="clear" w:color="auto" w:fill="auto"/>
            <w:vAlign w:val="center"/>
          </w:tcPr>
          <w:p w14:paraId="618A566A">
            <w:pPr>
              <w:pageBreakBefore w:val="0"/>
              <w:widowControl/>
              <w:kinsoku/>
              <w:wordWrap/>
              <w:overflowPunct/>
              <w:topLinePunct w:val="0"/>
              <w:autoSpaceDE/>
              <w:autoSpaceDN/>
              <w:bidi w:val="0"/>
              <w:adjustRightInd/>
              <w:snapToGrid/>
              <w:spacing w:line="560" w:lineRule="atLeast"/>
              <w:jc w:val="both"/>
              <w:rPr>
                <w:rFonts w:hint="eastAsia" w:ascii="仿宋" w:hAnsi="仿宋" w:eastAsia="仿宋" w:cs="仿宋"/>
                <w:b w:val="0"/>
                <w:bCs w:val="0"/>
                <w:color w:val="000000"/>
                <w:kern w:val="0"/>
                <w:sz w:val="21"/>
                <w:szCs w:val="21"/>
                <w:lang w:val="en-US" w:eastAsia="zh-CN"/>
              </w:rPr>
            </w:pPr>
            <w:r>
              <w:rPr>
                <w:rFonts w:hint="eastAsia" w:ascii="仿宋" w:hAnsi="仿宋" w:eastAsia="仿宋" w:cs="仿宋"/>
                <w:b w:val="0"/>
                <w:bCs w:val="0"/>
                <w:color w:val="000000"/>
                <w:kern w:val="0"/>
                <w:sz w:val="21"/>
                <w:szCs w:val="21"/>
                <w:lang w:val="en-US" w:eastAsia="zh-CN"/>
              </w:rPr>
              <w:t>30000</w:t>
            </w:r>
          </w:p>
        </w:tc>
        <w:tc>
          <w:tcPr>
            <w:tcW w:w="1200" w:type="dxa"/>
            <w:tcBorders>
              <w:top w:val="nil"/>
              <w:left w:val="nil"/>
              <w:bottom w:val="single" w:color="auto" w:sz="4" w:space="0"/>
              <w:right w:val="single" w:color="auto" w:sz="4" w:space="0"/>
            </w:tcBorders>
            <w:shd w:val="clear" w:color="auto" w:fill="auto"/>
            <w:vAlign w:val="center"/>
          </w:tcPr>
          <w:p w14:paraId="663D496C">
            <w:pPr>
              <w:pageBreakBefore w:val="0"/>
              <w:widowControl/>
              <w:kinsoku/>
              <w:wordWrap/>
              <w:overflowPunct/>
              <w:topLinePunct w:val="0"/>
              <w:autoSpaceDE/>
              <w:autoSpaceDN/>
              <w:bidi w:val="0"/>
              <w:adjustRightInd/>
              <w:snapToGrid/>
              <w:spacing w:line="560" w:lineRule="atLeast"/>
              <w:jc w:val="both"/>
              <w:rPr>
                <w:rFonts w:hint="default" w:ascii="仿宋" w:hAnsi="仿宋" w:eastAsia="仿宋" w:cs="仿宋"/>
                <w:b w:val="0"/>
                <w:bCs w:val="0"/>
                <w:color w:val="000000"/>
                <w:kern w:val="0"/>
                <w:sz w:val="21"/>
                <w:szCs w:val="21"/>
                <w:lang w:val="en-US" w:eastAsia="zh-CN"/>
              </w:rPr>
            </w:pPr>
            <w:r>
              <w:rPr>
                <w:rFonts w:hint="eastAsia" w:ascii="仿宋" w:hAnsi="仿宋" w:eastAsia="仿宋" w:cs="仿宋"/>
                <w:b w:val="0"/>
                <w:bCs w:val="0"/>
                <w:color w:val="000000"/>
                <w:kern w:val="0"/>
                <w:sz w:val="21"/>
                <w:szCs w:val="21"/>
                <w:lang w:val="en-US" w:eastAsia="zh-CN"/>
              </w:rPr>
              <w:t>47466.9</w:t>
            </w:r>
          </w:p>
        </w:tc>
      </w:tr>
      <w:tr w14:paraId="0DE0FF21">
        <w:tblPrEx>
          <w:tblCellMar>
            <w:top w:w="0" w:type="dxa"/>
            <w:left w:w="108" w:type="dxa"/>
            <w:bottom w:w="0" w:type="dxa"/>
            <w:right w:w="108" w:type="dxa"/>
          </w:tblCellMar>
        </w:tblPrEx>
        <w:trPr>
          <w:trHeight w:val="517" w:hRule="atLeast"/>
        </w:trPr>
        <w:tc>
          <w:tcPr>
            <w:tcW w:w="476" w:type="dxa"/>
            <w:tcBorders>
              <w:top w:val="single" w:color="auto" w:sz="4" w:space="0"/>
              <w:left w:val="single" w:color="auto" w:sz="4" w:space="0"/>
              <w:bottom w:val="single" w:color="auto" w:sz="4" w:space="0"/>
              <w:right w:val="single" w:color="auto" w:sz="4" w:space="0"/>
            </w:tcBorders>
            <w:shd w:val="clear" w:color="auto" w:fill="auto"/>
            <w:vAlign w:val="center"/>
          </w:tcPr>
          <w:p w14:paraId="21EB2785">
            <w:pPr>
              <w:pageBreakBefore w:val="0"/>
              <w:widowControl/>
              <w:kinsoku/>
              <w:wordWrap/>
              <w:overflowPunct/>
              <w:topLinePunct w:val="0"/>
              <w:autoSpaceDE/>
              <w:autoSpaceDN/>
              <w:bidi w:val="0"/>
              <w:adjustRightInd/>
              <w:snapToGrid/>
              <w:spacing w:line="560" w:lineRule="atLeast"/>
              <w:ind w:left="0"/>
              <w:jc w:val="center"/>
              <w:rPr>
                <w:rFonts w:hint="default" w:ascii="仿宋" w:hAnsi="仿宋" w:eastAsia="仿宋" w:cs="仿宋"/>
                <w:b w:val="0"/>
                <w:bCs w:val="0"/>
                <w:color w:val="000000"/>
                <w:kern w:val="0"/>
                <w:sz w:val="21"/>
                <w:szCs w:val="21"/>
                <w:lang w:val="en-US" w:eastAsia="zh-CN"/>
              </w:rPr>
            </w:pPr>
            <w:r>
              <w:rPr>
                <w:rFonts w:hint="eastAsia" w:ascii="仿宋" w:hAnsi="仿宋" w:eastAsia="仿宋" w:cs="仿宋"/>
                <w:b w:val="0"/>
                <w:bCs w:val="0"/>
                <w:color w:val="000000"/>
                <w:kern w:val="0"/>
                <w:sz w:val="21"/>
                <w:szCs w:val="21"/>
                <w:lang w:val="en-US" w:eastAsia="zh-CN"/>
              </w:rPr>
              <w:t>7</w:t>
            </w:r>
          </w:p>
        </w:tc>
        <w:tc>
          <w:tcPr>
            <w:tcW w:w="1258" w:type="dxa"/>
            <w:tcBorders>
              <w:top w:val="single" w:color="auto" w:sz="4" w:space="0"/>
              <w:left w:val="single" w:color="auto" w:sz="4" w:space="0"/>
              <w:bottom w:val="single" w:color="auto" w:sz="4" w:space="0"/>
              <w:right w:val="single" w:color="auto" w:sz="4" w:space="0"/>
            </w:tcBorders>
            <w:shd w:val="clear" w:color="auto" w:fill="auto"/>
            <w:vAlign w:val="center"/>
          </w:tcPr>
          <w:p w14:paraId="26ACFC4A">
            <w:pPr>
              <w:pageBreakBefore w:val="0"/>
              <w:widowControl/>
              <w:kinsoku/>
              <w:wordWrap/>
              <w:overflowPunct/>
              <w:topLinePunct w:val="0"/>
              <w:autoSpaceDE/>
              <w:autoSpaceDN/>
              <w:bidi w:val="0"/>
              <w:adjustRightInd/>
              <w:snapToGrid/>
              <w:spacing w:line="560" w:lineRule="atLeast"/>
              <w:jc w:val="center"/>
              <w:rPr>
                <w:rFonts w:hint="eastAsia" w:ascii="仿宋" w:hAnsi="仿宋" w:eastAsia="仿宋" w:cs="仿宋"/>
                <w:b w:val="0"/>
                <w:bCs w:val="0"/>
                <w:color w:val="000000"/>
                <w:kern w:val="0"/>
                <w:sz w:val="21"/>
                <w:szCs w:val="21"/>
                <w:lang w:val="en-US" w:eastAsia="zh-CN"/>
              </w:rPr>
            </w:pPr>
            <w:r>
              <w:rPr>
                <w:rFonts w:hint="eastAsia" w:ascii="仿宋" w:hAnsi="仿宋" w:eastAsia="仿宋" w:cs="仿宋"/>
                <w:b w:val="0"/>
                <w:bCs w:val="0"/>
                <w:color w:val="000000"/>
                <w:kern w:val="0"/>
                <w:sz w:val="21"/>
                <w:szCs w:val="21"/>
                <w:lang w:val="en-US" w:eastAsia="zh-CN"/>
              </w:rPr>
              <w:t>办公费</w:t>
            </w:r>
          </w:p>
        </w:tc>
        <w:tc>
          <w:tcPr>
            <w:tcW w:w="5171" w:type="dxa"/>
            <w:tcBorders>
              <w:top w:val="single" w:color="auto" w:sz="4" w:space="0"/>
              <w:left w:val="single" w:color="auto" w:sz="4" w:space="0"/>
              <w:bottom w:val="single" w:color="auto" w:sz="4" w:space="0"/>
              <w:right w:val="single" w:color="auto" w:sz="4" w:space="0"/>
            </w:tcBorders>
            <w:shd w:val="clear" w:color="auto" w:fill="auto"/>
            <w:vAlign w:val="center"/>
          </w:tcPr>
          <w:p w14:paraId="63B665BB">
            <w:pPr>
              <w:pageBreakBefore w:val="0"/>
              <w:widowControl/>
              <w:kinsoku/>
              <w:wordWrap/>
              <w:overflowPunct/>
              <w:topLinePunct w:val="0"/>
              <w:autoSpaceDE/>
              <w:autoSpaceDN/>
              <w:bidi w:val="0"/>
              <w:adjustRightInd/>
              <w:snapToGrid/>
              <w:spacing w:line="560" w:lineRule="atLeast"/>
              <w:ind w:left="0" w:firstLine="420" w:firstLineChars="200"/>
              <w:jc w:val="center"/>
              <w:rPr>
                <w:rFonts w:hint="default" w:ascii="仿宋" w:hAnsi="仿宋" w:eastAsia="仿宋" w:cs="仿宋"/>
                <w:b w:val="0"/>
                <w:bCs w:val="0"/>
                <w:color w:val="000000"/>
                <w:kern w:val="0"/>
                <w:sz w:val="21"/>
                <w:szCs w:val="21"/>
                <w:lang w:val="en-US" w:eastAsia="zh-CN"/>
              </w:rPr>
            </w:pPr>
            <w:r>
              <w:rPr>
                <w:rFonts w:hint="eastAsia" w:ascii="仿宋" w:hAnsi="仿宋" w:eastAsia="仿宋" w:cs="仿宋"/>
                <w:b w:val="0"/>
                <w:bCs w:val="0"/>
                <w:color w:val="000000"/>
                <w:kern w:val="0"/>
                <w:sz w:val="21"/>
                <w:szCs w:val="21"/>
                <w:lang w:val="en-US" w:eastAsia="zh-CN"/>
              </w:rPr>
              <w:t>科室及沙湾站日常办公费用</w:t>
            </w:r>
          </w:p>
        </w:tc>
        <w:tc>
          <w:tcPr>
            <w:tcW w:w="1005" w:type="dxa"/>
            <w:tcBorders>
              <w:top w:val="nil"/>
              <w:left w:val="nil"/>
              <w:bottom w:val="single" w:color="auto" w:sz="4" w:space="0"/>
              <w:right w:val="single" w:color="auto" w:sz="4" w:space="0"/>
            </w:tcBorders>
            <w:shd w:val="clear" w:color="auto" w:fill="auto"/>
            <w:vAlign w:val="center"/>
          </w:tcPr>
          <w:p w14:paraId="6EEDD5FB">
            <w:pPr>
              <w:pageBreakBefore w:val="0"/>
              <w:widowControl/>
              <w:kinsoku/>
              <w:wordWrap/>
              <w:overflowPunct/>
              <w:topLinePunct w:val="0"/>
              <w:autoSpaceDE/>
              <w:autoSpaceDN/>
              <w:bidi w:val="0"/>
              <w:adjustRightInd/>
              <w:snapToGrid/>
              <w:spacing w:line="560" w:lineRule="atLeast"/>
              <w:jc w:val="left"/>
              <w:rPr>
                <w:rFonts w:hint="default" w:ascii="仿宋" w:hAnsi="仿宋" w:eastAsia="仿宋" w:cs="仿宋"/>
                <w:b w:val="0"/>
                <w:bCs w:val="0"/>
                <w:color w:val="000000"/>
                <w:kern w:val="0"/>
                <w:sz w:val="21"/>
                <w:szCs w:val="21"/>
                <w:lang w:val="en-US" w:eastAsia="zh-CN"/>
              </w:rPr>
            </w:pPr>
            <w:r>
              <w:rPr>
                <w:rFonts w:hint="eastAsia" w:ascii="仿宋" w:hAnsi="仿宋" w:eastAsia="仿宋" w:cs="仿宋"/>
                <w:b w:val="0"/>
                <w:bCs w:val="0"/>
                <w:color w:val="000000"/>
                <w:kern w:val="0"/>
                <w:sz w:val="21"/>
                <w:szCs w:val="21"/>
                <w:lang w:val="en-US" w:eastAsia="zh-CN"/>
              </w:rPr>
              <w:t>11000</w:t>
            </w:r>
          </w:p>
        </w:tc>
        <w:tc>
          <w:tcPr>
            <w:tcW w:w="1200" w:type="dxa"/>
            <w:tcBorders>
              <w:top w:val="nil"/>
              <w:left w:val="nil"/>
              <w:bottom w:val="single" w:color="auto" w:sz="4" w:space="0"/>
              <w:right w:val="single" w:color="auto" w:sz="4" w:space="0"/>
            </w:tcBorders>
            <w:shd w:val="clear" w:color="auto" w:fill="auto"/>
            <w:vAlign w:val="center"/>
          </w:tcPr>
          <w:p w14:paraId="1C791AC8">
            <w:pPr>
              <w:pageBreakBefore w:val="0"/>
              <w:widowControl/>
              <w:kinsoku/>
              <w:wordWrap/>
              <w:overflowPunct/>
              <w:topLinePunct w:val="0"/>
              <w:autoSpaceDE/>
              <w:autoSpaceDN/>
              <w:bidi w:val="0"/>
              <w:adjustRightInd/>
              <w:snapToGrid/>
              <w:spacing w:line="560" w:lineRule="atLeast"/>
              <w:jc w:val="both"/>
              <w:rPr>
                <w:rFonts w:hint="eastAsia" w:ascii="仿宋" w:hAnsi="仿宋" w:eastAsia="仿宋" w:cs="仿宋"/>
                <w:b w:val="0"/>
                <w:bCs w:val="0"/>
                <w:color w:val="000000"/>
                <w:kern w:val="0"/>
                <w:sz w:val="21"/>
                <w:szCs w:val="21"/>
                <w:lang w:val="en-US" w:eastAsia="zh-CN"/>
              </w:rPr>
            </w:pPr>
            <w:r>
              <w:rPr>
                <w:rFonts w:hint="eastAsia" w:ascii="仿宋" w:hAnsi="仿宋" w:eastAsia="仿宋" w:cs="仿宋"/>
                <w:b w:val="0"/>
                <w:bCs w:val="0"/>
                <w:color w:val="000000"/>
                <w:kern w:val="0"/>
                <w:sz w:val="21"/>
                <w:szCs w:val="21"/>
                <w:lang w:val="en-US" w:eastAsia="zh-CN"/>
              </w:rPr>
              <w:t>13875.2</w:t>
            </w:r>
          </w:p>
        </w:tc>
      </w:tr>
      <w:tr w14:paraId="6790EEB1">
        <w:tblPrEx>
          <w:tblCellMar>
            <w:top w:w="0" w:type="dxa"/>
            <w:left w:w="108" w:type="dxa"/>
            <w:bottom w:w="0" w:type="dxa"/>
            <w:right w:w="108" w:type="dxa"/>
          </w:tblCellMar>
        </w:tblPrEx>
        <w:trPr>
          <w:trHeight w:val="517" w:hRule="atLeast"/>
        </w:trPr>
        <w:tc>
          <w:tcPr>
            <w:tcW w:w="476" w:type="dxa"/>
            <w:tcBorders>
              <w:top w:val="single" w:color="auto" w:sz="4" w:space="0"/>
              <w:left w:val="single" w:color="auto" w:sz="4" w:space="0"/>
              <w:bottom w:val="single" w:color="auto" w:sz="4" w:space="0"/>
              <w:right w:val="single" w:color="auto" w:sz="4" w:space="0"/>
            </w:tcBorders>
            <w:shd w:val="clear" w:color="auto" w:fill="auto"/>
            <w:vAlign w:val="center"/>
          </w:tcPr>
          <w:p w14:paraId="6D0651CF">
            <w:pPr>
              <w:pageBreakBefore w:val="0"/>
              <w:widowControl/>
              <w:kinsoku/>
              <w:wordWrap/>
              <w:overflowPunct/>
              <w:topLinePunct w:val="0"/>
              <w:autoSpaceDE/>
              <w:autoSpaceDN/>
              <w:bidi w:val="0"/>
              <w:adjustRightInd/>
              <w:snapToGrid/>
              <w:spacing w:line="560" w:lineRule="atLeast"/>
              <w:ind w:left="0"/>
              <w:jc w:val="center"/>
              <w:rPr>
                <w:rFonts w:hint="default" w:ascii="仿宋" w:hAnsi="仿宋" w:eastAsia="仿宋" w:cs="仿宋"/>
                <w:b w:val="0"/>
                <w:bCs w:val="0"/>
                <w:color w:val="000000"/>
                <w:kern w:val="0"/>
                <w:sz w:val="21"/>
                <w:szCs w:val="21"/>
                <w:lang w:val="en-US" w:eastAsia="zh-CN"/>
              </w:rPr>
            </w:pPr>
            <w:r>
              <w:rPr>
                <w:rFonts w:hint="eastAsia" w:ascii="仿宋" w:hAnsi="仿宋" w:eastAsia="仿宋" w:cs="仿宋"/>
                <w:b w:val="0"/>
                <w:bCs w:val="0"/>
                <w:color w:val="000000"/>
                <w:kern w:val="0"/>
                <w:sz w:val="21"/>
                <w:szCs w:val="21"/>
                <w:lang w:val="en-US" w:eastAsia="zh-CN"/>
              </w:rPr>
              <w:t>8</w:t>
            </w:r>
          </w:p>
        </w:tc>
        <w:tc>
          <w:tcPr>
            <w:tcW w:w="1258" w:type="dxa"/>
            <w:tcBorders>
              <w:top w:val="single" w:color="auto" w:sz="4" w:space="0"/>
              <w:left w:val="single" w:color="auto" w:sz="4" w:space="0"/>
              <w:bottom w:val="single" w:color="auto" w:sz="4" w:space="0"/>
              <w:right w:val="single" w:color="auto" w:sz="4" w:space="0"/>
            </w:tcBorders>
            <w:shd w:val="clear" w:color="auto" w:fill="auto"/>
            <w:vAlign w:val="center"/>
          </w:tcPr>
          <w:p w14:paraId="4C7DAB15">
            <w:pPr>
              <w:pageBreakBefore w:val="0"/>
              <w:widowControl/>
              <w:kinsoku/>
              <w:wordWrap/>
              <w:overflowPunct/>
              <w:topLinePunct w:val="0"/>
              <w:autoSpaceDE/>
              <w:autoSpaceDN/>
              <w:bidi w:val="0"/>
              <w:adjustRightInd/>
              <w:snapToGrid/>
              <w:spacing w:line="560" w:lineRule="atLeast"/>
              <w:jc w:val="center"/>
              <w:rPr>
                <w:rFonts w:hint="eastAsia" w:ascii="仿宋" w:hAnsi="仿宋" w:eastAsia="仿宋" w:cs="仿宋"/>
                <w:b w:val="0"/>
                <w:bCs w:val="0"/>
                <w:color w:val="000000"/>
                <w:kern w:val="0"/>
                <w:sz w:val="21"/>
                <w:szCs w:val="21"/>
                <w:lang w:val="en-US" w:eastAsia="zh-CN"/>
              </w:rPr>
            </w:pPr>
            <w:r>
              <w:rPr>
                <w:rFonts w:hint="eastAsia" w:ascii="仿宋" w:hAnsi="仿宋" w:eastAsia="仿宋" w:cs="仿宋"/>
                <w:b w:val="0"/>
                <w:bCs w:val="0"/>
                <w:color w:val="000000"/>
                <w:kern w:val="0"/>
                <w:sz w:val="21"/>
                <w:szCs w:val="21"/>
                <w:lang w:val="en-US" w:eastAsia="zh-CN"/>
              </w:rPr>
              <w:t>医疗费</w:t>
            </w:r>
          </w:p>
        </w:tc>
        <w:tc>
          <w:tcPr>
            <w:tcW w:w="5171" w:type="dxa"/>
            <w:tcBorders>
              <w:top w:val="single" w:color="auto" w:sz="4" w:space="0"/>
              <w:left w:val="single" w:color="auto" w:sz="4" w:space="0"/>
              <w:bottom w:val="single" w:color="auto" w:sz="4" w:space="0"/>
              <w:right w:val="single" w:color="auto" w:sz="4" w:space="0"/>
            </w:tcBorders>
            <w:shd w:val="clear" w:color="auto" w:fill="auto"/>
            <w:vAlign w:val="center"/>
          </w:tcPr>
          <w:p w14:paraId="4EAB08CB">
            <w:pPr>
              <w:pageBreakBefore w:val="0"/>
              <w:widowControl/>
              <w:kinsoku/>
              <w:wordWrap/>
              <w:overflowPunct/>
              <w:topLinePunct w:val="0"/>
              <w:autoSpaceDE/>
              <w:autoSpaceDN/>
              <w:bidi w:val="0"/>
              <w:adjustRightInd/>
              <w:snapToGrid/>
              <w:spacing w:line="560" w:lineRule="atLeast"/>
              <w:ind w:left="0" w:firstLine="420" w:firstLineChars="200"/>
              <w:jc w:val="center"/>
              <w:rPr>
                <w:rFonts w:hint="eastAsia" w:ascii="仿宋" w:hAnsi="仿宋" w:eastAsia="仿宋" w:cs="仿宋"/>
                <w:b w:val="0"/>
                <w:bCs w:val="0"/>
                <w:color w:val="000000"/>
                <w:kern w:val="0"/>
                <w:sz w:val="21"/>
                <w:szCs w:val="21"/>
                <w:lang w:val="en-US" w:eastAsia="zh-CN"/>
              </w:rPr>
            </w:pPr>
            <w:r>
              <w:rPr>
                <w:rFonts w:hint="eastAsia" w:ascii="仿宋" w:hAnsi="仿宋" w:eastAsia="仿宋" w:cs="仿宋"/>
                <w:b w:val="0"/>
                <w:bCs w:val="0"/>
                <w:color w:val="000000"/>
                <w:kern w:val="0"/>
                <w:sz w:val="21"/>
                <w:szCs w:val="21"/>
                <w:lang w:val="en-US" w:eastAsia="zh-CN"/>
              </w:rPr>
              <w:t>检验检测、无损检测人员体检费用</w:t>
            </w:r>
          </w:p>
        </w:tc>
        <w:tc>
          <w:tcPr>
            <w:tcW w:w="1005" w:type="dxa"/>
            <w:tcBorders>
              <w:top w:val="nil"/>
              <w:left w:val="nil"/>
              <w:bottom w:val="single" w:color="auto" w:sz="4" w:space="0"/>
              <w:right w:val="single" w:color="auto" w:sz="4" w:space="0"/>
            </w:tcBorders>
            <w:shd w:val="clear" w:color="auto" w:fill="auto"/>
            <w:vAlign w:val="center"/>
          </w:tcPr>
          <w:p w14:paraId="3AE98405">
            <w:pPr>
              <w:pageBreakBefore w:val="0"/>
              <w:widowControl/>
              <w:kinsoku/>
              <w:wordWrap/>
              <w:overflowPunct/>
              <w:topLinePunct w:val="0"/>
              <w:autoSpaceDE/>
              <w:autoSpaceDN/>
              <w:bidi w:val="0"/>
              <w:adjustRightInd/>
              <w:snapToGrid/>
              <w:spacing w:line="560" w:lineRule="atLeast"/>
              <w:jc w:val="both"/>
              <w:rPr>
                <w:rFonts w:hint="default" w:ascii="仿宋" w:hAnsi="仿宋" w:eastAsia="仿宋" w:cs="仿宋"/>
                <w:b w:val="0"/>
                <w:bCs w:val="0"/>
                <w:color w:val="000000"/>
                <w:kern w:val="0"/>
                <w:sz w:val="21"/>
                <w:szCs w:val="21"/>
                <w:lang w:val="en-US" w:eastAsia="zh-CN"/>
              </w:rPr>
            </w:pPr>
            <w:r>
              <w:rPr>
                <w:rFonts w:hint="eastAsia" w:ascii="仿宋" w:hAnsi="仿宋" w:eastAsia="仿宋" w:cs="仿宋"/>
                <w:b w:val="0"/>
                <w:bCs w:val="0"/>
                <w:color w:val="000000"/>
                <w:kern w:val="0"/>
                <w:sz w:val="21"/>
                <w:szCs w:val="21"/>
                <w:lang w:val="en-US" w:eastAsia="zh-CN"/>
              </w:rPr>
              <w:t>30000</w:t>
            </w:r>
          </w:p>
        </w:tc>
        <w:tc>
          <w:tcPr>
            <w:tcW w:w="1200" w:type="dxa"/>
            <w:tcBorders>
              <w:top w:val="nil"/>
              <w:left w:val="nil"/>
              <w:bottom w:val="single" w:color="auto" w:sz="4" w:space="0"/>
              <w:right w:val="single" w:color="auto" w:sz="4" w:space="0"/>
            </w:tcBorders>
            <w:shd w:val="clear" w:color="auto" w:fill="auto"/>
            <w:vAlign w:val="center"/>
          </w:tcPr>
          <w:p w14:paraId="1E26DBEE">
            <w:pPr>
              <w:pageBreakBefore w:val="0"/>
              <w:widowControl/>
              <w:kinsoku/>
              <w:wordWrap/>
              <w:overflowPunct/>
              <w:topLinePunct w:val="0"/>
              <w:autoSpaceDE/>
              <w:autoSpaceDN/>
              <w:bidi w:val="0"/>
              <w:adjustRightInd/>
              <w:snapToGrid/>
              <w:spacing w:line="560" w:lineRule="atLeast"/>
              <w:jc w:val="both"/>
              <w:rPr>
                <w:rFonts w:hint="default" w:ascii="仿宋" w:hAnsi="仿宋" w:eastAsia="仿宋" w:cs="仿宋"/>
                <w:b w:val="0"/>
                <w:bCs w:val="0"/>
                <w:color w:val="000000"/>
                <w:kern w:val="0"/>
                <w:sz w:val="21"/>
                <w:szCs w:val="21"/>
                <w:lang w:val="en-US" w:eastAsia="zh-CN"/>
              </w:rPr>
            </w:pPr>
            <w:r>
              <w:rPr>
                <w:rFonts w:hint="eastAsia" w:ascii="仿宋" w:hAnsi="仿宋" w:eastAsia="仿宋" w:cs="仿宋"/>
                <w:b w:val="0"/>
                <w:bCs w:val="0"/>
                <w:color w:val="000000"/>
                <w:kern w:val="0"/>
                <w:sz w:val="21"/>
                <w:szCs w:val="21"/>
                <w:lang w:val="en-US" w:eastAsia="zh-CN"/>
              </w:rPr>
              <w:t>30000</w:t>
            </w:r>
          </w:p>
        </w:tc>
      </w:tr>
      <w:tr w14:paraId="534DD75F">
        <w:tblPrEx>
          <w:tblCellMar>
            <w:top w:w="0" w:type="dxa"/>
            <w:left w:w="108" w:type="dxa"/>
            <w:bottom w:w="0" w:type="dxa"/>
            <w:right w:w="108" w:type="dxa"/>
          </w:tblCellMar>
        </w:tblPrEx>
        <w:trPr>
          <w:trHeight w:val="348" w:hRule="atLeast"/>
        </w:trPr>
        <w:tc>
          <w:tcPr>
            <w:tcW w:w="690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9469807">
            <w:pPr>
              <w:pageBreakBefore w:val="0"/>
              <w:widowControl/>
              <w:kinsoku/>
              <w:wordWrap/>
              <w:overflowPunct/>
              <w:topLinePunct w:val="0"/>
              <w:autoSpaceDE/>
              <w:autoSpaceDN/>
              <w:bidi w:val="0"/>
              <w:adjustRightInd/>
              <w:snapToGrid/>
              <w:spacing w:line="560" w:lineRule="atLeast"/>
              <w:ind w:left="0" w:firstLine="420" w:firstLineChars="200"/>
              <w:jc w:val="center"/>
              <w:rPr>
                <w:rFonts w:hint="eastAsia" w:ascii="仿宋" w:hAnsi="仿宋" w:eastAsia="仿宋" w:cs="仿宋"/>
                <w:b w:val="0"/>
                <w:bCs w:val="0"/>
                <w:color w:val="000000"/>
                <w:kern w:val="0"/>
                <w:sz w:val="21"/>
                <w:szCs w:val="21"/>
              </w:rPr>
            </w:pPr>
            <w:r>
              <w:rPr>
                <w:rFonts w:hint="eastAsia" w:ascii="仿宋" w:hAnsi="仿宋" w:eastAsia="仿宋" w:cs="仿宋"/>
                <w:b w:val="0"/>
                <w:bCs w:val="0"/>
                <w:color w:val="000000"/>
                <w:kern w:val="0"/>
                <w:sz w:val="21"/>
                <w:szCs w:val="21"/>
              </w:rPr>
              <w:t>合计</w:t>
            </w:r>
          </w:p>
        </w:tc>
        <w:tc>
          <w:tcPr>
            <w:tcW w:w="1005" w:type="dxa"/>
            <w:tcBorders>
              <w:top w:val="single" w:color="auto" w:sz="4" w:space="0"/>
              <w:left w:val="single" w:color="auto" w:sz="4" w:space="0"/>
              <w:bottom w:val="single" w:color="auto" w:sz="4" w:space="0"/>
              <w:right w:val="single" w:color="auto" w:sz="4" w:space="0"/>
            </w:tcBorders>
            <w:shd w:val="clear" w:color="auto" w:fill="auto"/>
            <w:vAlign w:val="center"/>
          </w:tcPr>
          <w:p w14:paraId="3CBB4E0B">
            <w:pPr>
              <w:pageBreakBefore w:val="0"/>
              <w:widowControl/>
              <w:kinsoku/>
              <w:wordWrap/>
              <w:overflowPunct/>
              <w:topLinePunct w:val="0"/>
              <w:autoSpaceDE/>
              <w:autoSpaceDN/>
              <w:bidi w:val="0"/>
              <w:adjustRightInd/>
              <w:snapToGrid/>
              <w:spacing w:line="560" w:lineRule="atLeast"/>
              <w:jc w:val="both"/>
              <w:rPr>
                <w:rFonts w:hint="default" w:ascii="仿宋" w:hAnsi="仿宋" w:eastAsia="仿宋" w:cs="仿宋"/>
                <w:b w:val="0"/>
                <w:bCs w:val="0"/>
                <w:color w:val="000000"/>
                <w:kern w:val="0"/>
                <w:sz w:val="21"/>
                <w:szCs w:val="21"/>
                <w:lang w:val="en-US" w:eastAsia="zh-CN"/>
              </w:rPr>
            </w:pPr>
            <w:r>
              <w:rPr>
                <w:rFonts w:hint="eastAsia" w:ascii="仿宋" w:hAnsi="仿宋" w:eastAsia="仿宋" w:cs="仿宋"/>
                <w:b w:val="0"/>
                <w:bCs w:val="0"/>
                <w:color w:val="000000"/>
                <w:kern w:val="0"/>
                <w:sz w:val="21"/>
                <w:szCs w:val="21"/>
                <w:lang w:val="en-US" w:eastAsia="zh-CN"/>
              </w:rPr>
              <w:t>761782</w:t>
            </w: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14:paraId="6E117856">
            <w:pPr>
              <w:pageBreakBefore w:val="0"/>
              <w:widowControl/>
              <w:kinsoku/>
              <w:wordWrap/>
              <w:overflowPunct/>
              <w:topLinePunct w:val="0"/>
              <w:autoSpaceDE/>
              <w:autoSpaceDN/>
              <w:bidi w:val="0"/>
              <w:adjustRightInd/>
              <w:snapToGrid/>
              <w:spacing w:line="560" w:lineRule="atLeast"/>
              <w:jc w:val="both"/>
              <w:rPr>
                <w:rFonts w:hint="default" w:ascii="仿宋" w:hAnsi="仿宋" w:eastAsia="仿宋" w:cs="仿宋"/>
                <w:b w:val="0"/>
                <w:bCs w:val="0"/>
                <w:color w:val="000000"/>
                <w:kern w:val="0"/>
                <w:sz w:val="21"/>
                <w:szCs w:val="21"/>
                <w:lang w:val="en-US" w:eastAsia="zh-CN"/>
              </w:rPr>
            </w:pPr>
            <w:r>
              <w:rPr>
                <w:rFonts w:hint="eastAsia" w:ascii="仿宋" w:hAnsi="仿宋" w:eastAsia="仿宋" w:cs="仿宋"/>
                <w:b w:val="0"/>
                <w:bCs w:val="0"/>
                <w:color w:val="000000"/>
                <w:kern w:val="0"/>
                <w:sz w:val="21"/>
                <w:szCs w:val="21"/>
                <w:lang w:val="en-US" w:eastAsia="zh-CN"/>
              </w:rPr>
              <w:t>503786.8</w:t>
            </w:r>
          </w:p>
        </w:tc>
      </w:tr>
    </w:tbl>
    <w:p w14:paraId="0DA5A5DD">
      <w:pPr>
        <w:pageBreakBefore w:val="0"/>
        <w:kinsoku/>
        <w:wordWrap/>
        <w:overflowPunct/>
        <w:topLinePunct w:val="0"/>
        <w:autoSpaceDE/>
        <w:autoSpaceDN/>
        <w:bidi w:val="0"/>
        <w:adjustRightInd/>
        <w:snapToGrid/>
        <w:spacing w:line="560" w:lineRule="atLeas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（二）项目绩效目标</w:t>
      </w:r>
    </w:p>
    <w:p w14:paraId="6BE977BB">
      <w:pPr>
        <w:pageBreakBefore w:val="0"/>
        <w:kinsoku/>
        <w:wordWrap/>
        <w:overflowPunct/>
        <w:topLinePunct w:val="0"/>
        <w:autoSpaceDE/>
        <w:autoSpaceDN/>
        <w:bidi w:val="0"/>
        <w:adjustRightInd/>
        <w:snapToGrid/>
        <w:spacing w:line="560" w:lineRule="atLeast"/>
        <w:ind w:firstLine="641"/>
        <w:rPr>
          <w:b/>
          <w:bCs/>
        </w:rPr>
      </w:pPr>
      <w:r>
        <w:rPr>
          <w:rFonts w:hint="eastAsia" w:ascii="仿宋_GB2312" w:hAnsi="仿宋_GB2312" w:eastAsia="仿宋_GB2312" w:cs="仿宋_GB2312"/>
          <w:b/>
          <w:bCs/>
          <w:sz w:val="32"/>
          <w:szCs w:val="32"/>
        </w:rPr>
        <w:t>1、总体目标</w:t>
      </w:r>
    </w:p>
    <w:p w14:paraId="7118FCA3">
      <w:pPr>
        <w:pageBreakBefore w:val="0"/>
        <w:kinsoku/>
        <w:wordWrap/>
        <w:overflowPunct/>
        <w:topLinePunct w:val="0"/>
        <w:autoSpaceDE/>
        <w:autoSpaceDN/>
        <w:bidi w:val="0"/>
        <w:adjustRightInd/>
        <w:snapToGrid/>
        <w:spacing w:line="560" w:lineRule="atLeast"/>
        <w:ind w:left="0" w:firstLine="640" w:firstLineChars="200"/>
        <w:rPr>
          <w:rFonts w:hint="eastAsia" w:ascii="仿宋" w:hAnsi="仿宋" w:eastAsia="仿宋" w:cs="仿宋"/>
          <w:sz w:val="28"/>
          <w:szCs w:val="28"/>
          <w:lang w:eastAsia="zh-CN"/>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特检所承压类检验室专项项目预算</w:t>
      </w:r>
      <w:r>
        <w:rPr>
          <w:rFonts w:hint="eastAsia" w:ascii="仿宋_GB2312" w:hAnsi="仿宋_GB2312" w:eastAsia="仿宋_GB2312" w:cs="仿宋_GB2312"/>
          <w:sz w:val="32"/>
          <w:szCs w:val="32"/>
          <w:lang w:val="en-US" w:eastAsia="zh-CN"/>
        </w:rPr>
        <w:t>76.18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特检所全体工作人员</w:t>
      </w:r>
      <w:r>
        <w:rPr>
          <w:rFonts w:hint="eastAsia" w:ascii="仿宋_GB2312" w:hAnsi="仿宋_GB2312" w:eastAsia="仿宋_GB2312" w:cs="仿宋_GB2312"/>
          <w:sz w:val="32"/>
          <w:szCs w:val="32"/>
        </w:rPr>
        <w:t>严格按照财务管理制度规定，为民办实事，</w:t>
      </w:r>
      <w:r>
        <w:rPr>
          <w:rFonts w:hint="eastAsia" w:ascii="仿宋_GB2312" w:hAnsi="仿宋_GB2312" w:eastAsia="仿宋_GB2312" w:cs="仿宋_GB2312"/>
          <w:sz w:val="32"/>
          <w:szCs w:val="32"/>
          <w:lang w:eastAsia="zh-CN"/>
        </w:rPr>
        <w:t>以安全为原则，以技术为保障，以公正树权威，以服务求发展。帮助企业排忧解难</w:t>
      </w:r>
      <w:r>
        <w:rPr>
          <w:rFonts w:hint="eastAsia" w:ascii="仿宋_GB2312" w:hAnsi="仿宋_GB2312" w:eastAsia="仿宋_GB2312" w:cs="仿宋_GB2312"/>
          <w:sz w:val="32"/>
          <w:szCs w:val="32"/>
          <w:lang w:val="en-US" w:eastAsia="zh-CN"/>
        </w:rPr>
        <w:t>，解决塔城地区承压类特种设备检验检测问题，为塔城地区事业的发展，履职尽责。</w:t>
      </w:r>
      <w:r>
        <w:rPr>
          <w:rFonts w:hint="eastAsia" w:ascii="仿宋_GB2312" w:hAnsi="仿宋_GB2312" w:eastAsia="仿宋_GB2312" w:cs="仿宋_GB2312"/>
          <w:sz w:val="32"/>
          <w:szCs w:val="32"/>
        </w:rPr>
        <w:t>主要是用于做好</w:t>
      </w:r>
      <w:r>
        <w:rPr>
          <w:rFonts w:hint="eastAsia" w:ascii="仿宋_GB2312" w:hAnsi="仿宋_GB2312" w:eastAsia="仿宋_GB2312" w:cs="仿宋_GB2312"/>
          <w:sz w:val="32"/>
          <w:szCs w:val="32"/>
          <w:lang w:eastAsia="zh-CN"/>
        </w:rPr>
        <w:t>全地区承压类设备的检验检测</w:t>
      </w:r>
      <w:r>
        <w:rPr>
          <w:rFonts w:hint="eastAsia" w:ascii="仿宋_GB2312" w:hAnsi="仿宋_GB2312" w:eastAsia="仿宋_GB2312" w:cs="仿宋_GB2312"/>
          <w:sz w:val="32"/>
          <w:szCs w:val="32"/>
        </w:rPr>
        <w:t>工作，细化支出范围与标准，进一步扎实持久开展好</w:t>
      </w:r>
      <w:r>
        <w:rPr>
          <w:rFonts w:hint="eastAsia" w:ascii="仿宋_GB2312" w:hAnsi="仿宋_GB2312" w:eastAsia="仿宋_GB2312" w:cs="仿宋_GB2312"/>
          <w:sz w:val="32"/>
          <w:szCs w:val="32"/>
          <w:lang w:eastAsia="zh-CN"/>
        </w:rPr>
        <w:t>对特种设备的检验检测工作和安全检查工作</w:t>
      </w:r>
      <w:r>
        <w:rPr>
          <w:rFonts w:hint="eastAsia" w:ascii="仿宋_GB2312" w:hAnsi="仿宋_GB2312" w:eastAsia="仿宋_GB2312" w:cs="仿宋_GB2312"/>
          <w:sz w:val="32"/>
          <w:szCs w:val="32"/>
        </w:rPr>
        <w:t>。</w:t>
      </w:r>
    </w:p>
    <w:p w14:paraId="19BD1703">
      <w:pPr>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2、阶段性目标</w:t>
      </w:r>
    </w:p>
    <w:p w14:paraId="42615362">
      <w:pPr>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rPr>
        <w:t>（1）前期准备：</w:t>
      </w:r>
      <w:r>
        <w:rPr>
          <w:rFonts w:hint="eastAsia" w:ascii="仿宋_GB2312" w:hAnsi="仿宋_GB2312" w:eastAsia="仿宋_GB2312" w:cs="仿宋_GB2312"/>
          <w:sz w:val="32"/>
          <w:szCs w:val="32"/>
          <w:highlight w:val="none"/>
        </w:rPr>
        <w:t>根据《</w:t>
      </w:r>
      <w:r>
        <w:rPr>
          <w:rFonts w:hint="eastAsia" w:ascii="仿宋_GB2312" w:hAnsi="仿宋_GB2312" w:eastAsia="仿宋_GB2312" w:cs="仿宋_GB2312"/>
          <w:sz w:val="32"/>
          <w:szCs w:val="32"/>
          <w:highlight w:val="none"/>
          <w:lang w:val="en-US" w:eastAsia="zh-CN"/>
        </w:rPr>
        <w:t>预算绩效管理实施</w:t>
      </w:r>
      <w:r>
        <w:rPr>
          <w:rFonts w:hint="eastAsia" w:ascii="仿宋_GB2312" w:hAnsi="仿宋_GB2312" w:eastAsia="仿宋_GB2312" w:cs="仿宋_GB2312"/>
          <w:sz w:val="32"/>
          <w:szCs w:val="32"/>
          <w:highlight w:val="none"/>
        </w:rPr>
        <w:t>方案》，通过制定项目实施方案，经项目负责人审核通过后，有序开展后续工程。</w:t>
      </w:r>
    </w:p>
    <w:p w14:paraId="755E3C22">
      <w:pPr>
        <w:pageBreakBefore w:val="0"/>
        <w:kinsoku/>
        <w:wordWrap/>
        <w:overflowPunct/>
        <w:topLinePunct w:val="0"/>
        <w:autoSpaceDE/>
        <w:autoSpaceDN/>
        <w:bidi w:val="0"/>
        <w:adjustRightInd/>
        <w:snapToGrid/>
        <w:spacing w:line="560" w:lineRule="atLeas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highlight w:val="none"/>
        </w:rPr>
        <w:t>（2）组织实施：资金一到位，立即根据项目要求实施项目。项目责任人按照《</w:t>
      </w:r>
      <w:r>
        <w:rPr>
          <w:rFonts w:hint="eastAsia" w:ascii="仿宋_GB2312" w:hAnsi="仿宋_GB2312" w:eastAsia="仿宋_GB2312" w:cs="仿宋_GB2312"/>
          <w:sz w:val="32"/>
          <w:szCs w:val="32"/>
          <w:highlight w:val="none"/>
          <w:lang w:val="en-US" w:eastAsia="zh-CN"/>
        </w:rPr>
        <w:t>预算绩效管理实施</w:t>
      </w:r>
      <w:r>
        <w:rPr>
          <w:rFonts w:hint="eastAsia" w:ascii="仿宋_GB2312" w:hAnsi="仿宋_GB2312" w:eastAsia="仿宋_GB2312" w:cs="仿宋_GB2312"/>
          <w:sz w:val="32"/>
          <w:szCs w:val="32"/>
          <w:highlight w:val="none"/>
        </w:rPr>
        <w:t>方案》要求逐一进行</w:t>
      </w:r>
      <w:r>
        <w:rPr>
          <w:rFonts w:hint="eastAsia" w:ascii="仿宋_GB2312" w:hAnsi="仿宋_GB2312" w:eastAsia="仿宋_GB2312" w:cs="仿宋_GB2312"/>
          <w:sz w:val="32"/>
          <w:szCs w:val="32"/>
        </w:rPr>
        <w:t>项目部署安排，提高项目质量及效率性。</w:t>
      </w:r>
    </w:p>
    <w:p w14:paraId="37DF85B2">
      <w:pPr>
        <w:pageBreakBefore w:val="0"/>
        <w:kinsoku/>
        <w:wordWrap/>
        <w:overflowPunct/>
        <w:topLinePunct w:val="0"/>
        <w:autoSpaceDE/>
        <w:autoSpaceDN/>
        <w:bidi w:val="0"/>
        <w:adjustRightInd/>
        <w:snapToGrid/>
        <w:spacing w:line="560" w:lineRule="atLeast"/>
        <w:ind w:firstLine="641"/>
        <w:rPr>
          <w:rFonts w:ascii="黑体" w:hAnsi="黑体" w:eastAsia="黑体"/>
          <w:sz w:val="32"/>
          <w:szCs w:val="32"/>
        </w:rPr>
      </w:pPr>
      <w:r>
        <w:rPr>
          <w:rFonts w:hint="eastAsia" w:ascii="黑体" w:hAnsi="黑体" w:eastAsia="黑体"/>
          <w:sz w:val="32"/>
          <w:szCs w:val="32"/>
        </w:rPr>
        <w:t>二、绩效评价工作开展情况</w:t>
      </w:r>
    </w:p>
    <w:p w14:paraId="70E1B9C6">
      <w:pPr>
        <w:pageBreakBefore w:val="0"/>
        <w:kinsoku/>
        <w:wordWrap/>
        <w:overflowPunct/>
        <w:topLinePunct w:val="0"/>
        <w:autoSpaceDE/>
        <w:autoSpaceDN/>
        <w:bidi w:val="0"/>
        <w:adjustRightInd/>
        <w:snapToGrid/>
        <w:spacing w:line="560" w:lineRule="atLeas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14:paraId="668DE7CB">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1、绩效评价的目的</w:t>
      </w:r>
    </w:p>
    <w:p w14:paraId="19C3F41A">
      <w:pPr>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1A80D8B4">
      <w:pPr>
        <w:pageBreakBefore w:val="0"/>
        <w:numPr>
          <w:ilvl w:val="0"/>
          <w:numId w:val="2"/>
        </w:numPr>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14:paraId="73E5CFC0">
      <w:pPr>
        <w:pageBreakBefore w:val="0"/>
        <w:kinsoku/>
        <w:wordWrap/>
        <w:overflowPunct/>
        <w:topLinePunct w:val="0"/>
        <w:autoSpaceDE/>
        <w:autoSpaceDN/>
        <w:bidi w:val="0"/>
        <w:adjustRightInd/>
        <w:snapToGrid/>
        <w:spacing w:line="560" w:lineRule="atLeast"/>
        <w:ind w:left="641"/>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14:paraId="64E21AEB">
      <w:pPr>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14:paraId="49FAFCBF">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hint="eastAsia" w:ascii="仿宋_GB2312" w:hAnsi="仿宋_GB2312" w:eastAsia="仿宋_GB2312" w:cs="仿宋_GB2312"/>
          <w:b/>
          <w:bCs/>
        </w:rPr>
      </w:pPr>
      <w:r>
        <w:rPr>
          <w:rFonts w:hint="eastAsia" w:ascii="仿宋_GB2312" w:hAnsi="仿宋_GB2312" w:eastAsia="仿宋_GB2312" w:cs="仿宋_GB2312"/>
          <w:b/>
          <w:bCs/>
        </w:rPr>
        <w:t>2、绩效评价的对象</w:t>
      </w:r>
    </w:p>
    <w:p w14:paraId="05CE7F17">
      <w:pPr>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塔城地区特种设备检验检测所承压类检验项目。</w:t>
      </w:r>
    </w:p>
    <w:p w14:paraId="75B5650B">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hint="eastAsia" w:ascii="仿宋_GB2312" w:hAnsi="仿宋_GB2312" w:eastAsia="仿宋_GB2312" w:cs="仿宋_GB2312"/>
          <w:b/>
          <w:bCs/>
        </w:rPr>
      </w:pPr>
      <w:r>
        <w:rPr>
          <w:rFonts w:hint="eastAsia" w:ascii="仿宋_GB2312" w:hAnsi="仿宋_GB2312" w:eastAsia="仿宋_GB2312" w:cs="仿宋_GB2312"/>
          <w:b/>
          <w:bCs/>
        </w:rPr>
        <w:t>3、绩效评价的范围</w:t>
      </w:r>
    </w:p>
    <w:p w14:paraId="6D949C7E">
      <w:pPr>
        <w:pageBreakBefore w:val="0"/>
        <w:kinsoku/>
        <w:wordWrap/>
        <w:overflowPunct/>
        <w:topLinePunct w:val="0"/>
        <w:autoSpaceDE/>
        <w:autoSpaceDN/>
        <w:bidi w:val="0"/>
        <w:adjustRightInd/>
        <w:snapToGrid/>
        <w:spacing w:line="560" w:lineRule="atLeast"/>
        <w:ind w:firstLine="641"/>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从承压类检验项目的决策、过程、产出、效益等方面进行评价</w:t>
      </w:r>
      <w:r>
        <w:rPr>
          <w:rFonts w:hint="eastAsia" w:ascii="仿宋_GB2312" w:hAnsi="仿宋_GB2312" w:eastAsia="仿宋_GB2312" w:cs="仿宋_GB2312"/>
          <w:sz w:val="32"/>
          <w:szCs w:val="32"/>
          <w:lang w:eastAsia="zh-CN"/>
        </w:rPr>
        <w:t>。</w:t>
      </w:r>
    </w:p>
    <w:p w14:paraId="080E3B2E">
      <w:pPr>
        <w:pageBreakBefore w:val="0"/>
        <w:kinsoku/>
        <w:wordWrap/>
        <w:overflowPunct/>
        <w:topLinePunct w:val="0"/>
        <w:autoSpaceDE/>
        <w:autoSpaceDN/>
        <w:bidi w:val="0"/>
        <w:adjustRightInd/>
        <w:snapToGrid/>
        <w:spacing w:line="560" w:lineRule="atLeast"/>
        <w:ind w:firstLine="641"/>
        <w:rPr>
          <w:rFonts w:ascii="仿宋_GB2312"/>
        </w:rPr>
      </w:pPr>
      <w:r>
        <w:rPr>
          <w:rFonts w:hint="eastAsia" w:ascii="楷体_GB2312" w:hAnsi="楷体_GB2312" w:eastAsia="楷体_GB2312" w:cs="楷体_GB2312"/>
          <w:b/>
          <w:bCs/>
          <w:sz w:val="32"/>
          <w:szCs w:val="32"/>
        </w:rPr>
        <w:t>（二）绩效评价原则、评价指标体系（详情见表1）、评价方法、评价标准。</w:t>
      </w:r>
    </w:p>
    <w:p w14:paraId="58354B36">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val="0"/>
          <w:bCs w:val="0"/>
        </w:rPr>
        <w:t>1、</w:t>
      </w:r>
      <w:r>
        <w:rPr>
          <w:rFonts w:hint="eastAsia" w:ascii="仿宋_GB2312" w:hAnsi="仿宋_GB2312" w:eastAsia="仿宋_GB2312" w:cs="仿宋_GB2312"/>
          <w:b/>
          <w:bCs/>
        </w:rPr>
        <w:t>绩效评价原则</w:t>
      </w:r>
    </w:p>
    <w:p w14:paraId="23453493">
      <w:pPr>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14:paraId="6304468A">
      <w:pPr>
        <w:pageBreakBefore w:val="0"/>
        <w:kinsoku/>
        <w:wordWrap/>
        <w:overflowPunct/>
        <w:topLinePunct w:val="0"/>
        <w:autoSpaceDE/>
        <w:autoSpaceDN/>
        <w:bidi w:val="0"/>
        <w:adjustRightInd/>
        <w:snapToGrid/>
        <w:spacing w:line="560" w:lineRule="atLeas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）科学公正。绩效评价应当运用科学合理的方法，按照规范的程序，对项目绩效进行客观、公正的反映。</w:t>
      </w:r>
    </w:p>
    <w:p w14:paraId="09AE1D4E">
      <w:pPr>
        <w:pageBreakBefore w:val="0"/>
        <w:kinsoku/>
        <w:wordWrap/>
        <w:overflowPunct/>
        <w:topLinePunct w:val="0"/>
        <w:autoSpaceDE/>
        <w:autoSpaceDN/>
        <w:bidi w:val="0"/>
        <w:adjustRightInd/>
        <w:snapToGrid/>
        <w:spacing w:line="560" w:lineRule="atLeas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统筹兼顾。单位自评、部门评价和财政评价应职责明确，各有侧重，相互衔接。单位自评应由项目单位负责实施，即“谁支出、谁自评”。部门评价和财政评价应在单位自评的基础上开展，必要时可委托第三方机构实施。</w:t>
      </w:r>
    </w:p>
    <w:p w14:paraId="3C57AF37">
      <w:pPr>
        <w:pageBreakBefore w:val="0"/>
        <w:kinsoku/>
        <w:wordWrap/>
        <w:overflowPunct/>
        <w:topLinePunct w:val="0"/>
        <w:autoSpaceDE/>
        <w:autoSpaceDN/>
        <w:bidi w:val="0"/>
        <w:adjustRightInd/>
        <w:snapToGrid/>
        <w:spacing w:line="560" w:lineRule="atLeas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）激励约束。绩效评价结果应与预算安排、政策调整、改进管理实质性挂钩，体现奖优罚劣和激励相容导向，有效要安排、低效要压减、无效要问责。</w:t>
      </w:r>
    </w:p>
    <w:p w14:paraId="26C8B00F">
      <w:pPr>
        <w:pageBreakBefore w:val="0"/>
        <w:kinsoku/>
        <w:wordWrap/>
        <w:overflowPunct/>
        <w:topLinePunct w:val="0"/>
        <w:autoSpaceDE/>
        <w:autoSpaceDN/>
        <w:bidi w:val="0"/>
        <w:adjustRightInd/>
        <w:snapToGrid/>
        <w:spacing w:line="560" w:lineRule="atLeas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）公开透明。绩效评价结果应依法依规公开，并自觉接受社会监督。</w:t>
      </w:r>
    </w:p>
    <w:p w14:paraId="56D0A7CD">
      <w:pPr>
        <w:pageBreakBefore w:val="0"/>
        <w:kinsoku/>
        <w:wordWrap/>
        <w:overflowPunct/>
        <w:topLinePunct w:val="0"/>
        <w:autoSpaceDE/>
        <w:autoSpaceDN/>
        <w:bidi w:val="0"/>
        <w:adjustRightInd/>
        <w:snapToGrid/>
        <w:spacing w:line="560" w:lineRule="atLeast"/>
        <w:ind w:firstLine="641"/>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b/>
          <w:bCs/>
          <w:sz w:val="32"/>
          <w:szCs w:val="32"/>
        </w:rPr>
        <w:t>评价指标体系</w:t>
      </w:r>
    </w:p>
    <w:p w14:paraId="4A271B6B">
      <w:pPr>
        <w:pageBreakBefore w:val="0"/>
        <w:kinsoku/>
        <w:wordWrap/>
        <w:overflowPunct/>
        <w:topLinePunct w:val="0"/>
        <w:autoSpaceDE/>
        <w:autoSpaceDN/>
        <w:bidi w:val="0"/>
        <w:adjustRightInd/>
        <w:snapToGrid/>
        <w:spacing w:line="560" w:lineRule="atLeas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由于我所是事业性检验检测单位，</w:t>
      </w:r>
      <w:r>
        <w:rPr>
          <w:rFonts w:hint="eastAsia" w:ascii="仿宋_GB2312" w:hAnsi="仿宋_GB2312" w:eastAsia="仿宋_GB2312" w:cs="仿宋_GB2312"/>
          <w:sz w:val="32"/>
          <w:szCs w:val="32"/>
        </w:rPr>
        <w:t>本次绩效评价指标体系主要</w:t>
      </w:r>
      <w:r>
        <w:rPr>
          <w:rFonts w:hint="eastAsia" w:ascii="仿宋_GB2312" w:hAnsi="仿宋_GB2312" w:eastAsia="仿宋_GB2312" w:cs="仿宋_GB2312"/>
          <w:sz w:val="32"/>
          <w:szCs w:val="32"/>
          <w:lang w:eastAsia="zh-CN"/>
        </w:rPr>
        <w:t>从产出指标、效益指标、满意度指标三方面评价</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highlight w:val="none"/>
          <w:lang w:eastAsia="zh-CN"/>
        </w:rPr>
        <w:t>项目评价选择</w:t>
      </w:r>
      <w:r>
        <w:rPr>
          <w:rFonts w:hint="eastAsia" w:ascii="仿宋_GB2312" w:hAnsi="仿宋_GB2312" w:eastAsia="仿宋_GB2312" w:cs="仿宋_GB2312"/>
          <w:sz w:val="32"/>
          <w:szCs w:val="32"/>
          <w:highlight w:val="none"/>
        </w:rPr>
        <w:t>下</w:t>
      </w:r>
      <w:r>
        <w:rPr>
          <w:rFonts w:hint="eastAsia" w:ascii="仿宋_GB2312" w:hAnsi="仿宋_GB2312" w:eastAsia="仿宋_GB2312" w:cs="仿宋_GB2312"/>
          <w:color w:val="000000"/>
          <w:spacing w:val="17"/>
          <w:sz w:val="32"/>
          <w:szCs w:val="32"/>
          <w:highlight w:val="none"/>
        </w:rPr>
        <w:t>项目</w:t>
      </w:r>
      <w:r>
        <w:rPr>
          <w:rFonts w:hint="eastAsia" w:ascii="仿宋_GB2312" w:hAnsi="仿宋_GB2312" w:eastAsia="仿宋_GB2312" w:cs="仿宋_GB2312"/>
          <w:color w:val="000000"/>
          <w:spacing w:val="17"/>
          <w:sz w:val="32"/>
          <w:szCs w:val="32"/>
          <w:highlight w:val="none"/>
          <w:lang w:val="en-US" w:eastAsia="zh-CN"/>
        </w:rPr>
        <w:t>决策</w:t>
      </w:r>
      <w:r>
        <w:rPr>
          <w:rFonts w:hint="eastAsia" w:ascii="仿宋_GB2312" w:hAnsi="仿宋_GB2312" w:eastAsia="仿宋_GB2312" w:cs="仿宋_GB2312"/>
          <w:color w:val="000000"/>
          <w:spacing w:val="17"/>
          <w:sz w:val="32"/>
          <w:szCs w:val="32"/>
          <w:highlight w:val="none"/>
        </w:rPr>
        <w:t>指标、项目</w:t>
      </w:r>
      <w:r>
        <w:rPr>
          <w:rFonts w:hint="eastAsia" w:ascii="仿宋_GB2312" w:hAnsi="仿宋_GB2312" w:eastAsia="仿宋_GB2312" w:cs="仿宋_GB2312"/>
          <w:color w:val="000000"/>
          <w:spacing w:val="17"/>
          <w:sz w:val="32"/>
          <w:szCs w:val="32"/>
          <w:highlight w:val="none"/>
          <w:lang w:val="en-US" w:eastAsia="zh-CN"/>
        </w:rPr>
        <w:t>过程</w:t>
      </w:r>
      <w:r>
        <w:rPr>
          <w:rFonts w:hint="eastAsia" w:ascii="仿宋_GB2312" w:hAnsi="仿宋_GB2312" w:eastAsia="仿宋_GB2312" w:cs="仿宋_GB2312"/>
          <w:color w:val="000000"/>
          <w:spacing w:val="17"/>
          <w:sz w:val="32"/>
          <w:szCs w:val="32"/>
          <w:highlight w:val="none"/>
        </w:rPr>
        <w:t>指标、项目</w:t>
      </w:r>
      <w:r>
        <w:rPr>
          <w:rFonts w:hint="eastAsia" w:ascii="仿宋_GB2312" w:hAnsi="仿宋_GB2312" w:eastAsia="仿宋_GB2312" w:cs="仿宋_GB2312"/>
          <w:color w:val="000000"/>
          <w:spacing w:val="17"/>
          <w:sz w:val="32"/>
          <w:szCs w:val="32"/>
          <w:highlight w:val="none"/>
          <w:lang w:val="en-US" w:eastAsia="zh-CN"/>
        </w:rPr>
        <w:t>产出</w:t>
      </w:r>
      <w:r>
        <w:rPr>
          <w:rFonts w:hint="eastAsia" w:ascii="仿宋_GB2312" w:hAnsi="仿宋_GB2312" w:eastAsia="仿宋_GB2312" w:cs="仿宋_GB2312"/>
          <w:color w:val="000000"/>
          <w:spacing w:val="17"/>
          <w:sz w:val="32"/>
          <w:szCs w:val="32"/>
          <w:highlight w:val="none"/>
        </w:rPr>
        <w:t>指标、项目</w:t>
      </w:r>
      <w:r>
        <w:rPr>
          <w:rFonts w:hint="eastAsia" w:ascii="仿宋_GB2312" w:hAnsi="仿宋_GB2312" w:eastAsia="仿宋_GB2312" w:cs="仿宋_GB2312"/>
          <w:color w:val="000000"/>
          <w:spacing w:val="17"/>
          <w:sz w:val="32"/>
          <w:szCs w:val="32"/>
          <w:highlight w:val="none"/>
          <w:lang w:val="en-US" w:eastAsia="zh-CN"/>
        </w:rPr>
        <w:t>效益</w:t>
      </w:r>
      <w:r>
        <w:rPr>
          <w:rFonts w:hint="eastAsia" w:ascii="仿宋_GB2312" w:hAnsi="仿宋_GB2312" w:eastAsia="仿宋_GB2312" w:cs="仿宋_GB2312"/>
          <w:color w:val="000000"/>
          <w:spacing w:val="17"/>
          <w:sz w:val="32"/>
          <w:szCs w:val="32"/>
          <w:highlight w:val="none"/>
        </w:rPr>
        <w:t>指标</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个</w:t>
      </w:r>
      <w:r>
        <w:rPr>
          <w:rFonts w:hint="eastAsia" w:ascii="仿宋_GB2312" w:hAnsi="仿宋_GB2312" w:eastAsia="仿宋_GB2312" w:cs="仿宋_GB2312"/>
          <w:sz w:val="32"/>
          <w:szCs w:val="32"/>
          <w:highlight w:val="none"/>
          <w:lang w:eastAsia="zh-CN"/>
        </w:rPr>
        <w:t>为</w:t>
      </w:r>
      <w:r>
        <w:rPr>
          <w:rFonts w:hint="eastAsia" w:ascii="仿宋_GB2312" w:hAnsi="仿宋_GB2312" w:eastAsia="仿宋_GB2312" w:cs="仿宋_GB2312"/>
          <w:sz w:val="32"/>
          <w:szCs w:val="32"/>
          <w:highlight w:val="none"/>
        </w:rPr>
        <w:t>一级指标，</w:t>
      </w:r>
      <w:r>
        <w:rPr>
          <w:rFonts w:hint="eastAsia" w:ascii="仿宋_GB2312" w:hAnsi="仿宋_GB2312" w:eastAsia="仿宋_GB2312" w:cs="仿宋_GB2312"/>
          <w:sz w:val="32"/>
          <w:szCs w:val="32"/>
        </w:rPr>
        <w:t>其中</w:t>
      </w:r>
      <w:r>
        <w:rPr>
          <w:rFonts w:hint="eastAsia" w:ascii="仿宋_GB2312" w:hAnsi="仿宋_GB2312" w:eastAsia="仿宋_GB2312" w:cs="仿宋_GB2312"/>
          <w:sz w:val="32"/>
          <w:szCs w:val="32"/>
          <w:lang w:eastAsia="zh-CN"/>
        </w:rPr>
        <w:t>每个一级指标下分</w:t>
      </w:r>
      <w:r>
        <w:rPr>
          <w:rFonts w:hint="eastAsia" w:ascii="仿宋_GB2312" w:hAnsi="仿宋_GB2312" w:eastAsia="仿宋_GB2312" w:cs="仿宋_GB2312"/>
          <w:sz w:val="32"/>
          <w:szCs w:val="32"/>
        </w:rPr>
        <w:t>二级指标。项目绩效评价指标体系详见下表：</w:t>
      </w:r>
    </w:p>
    <w:p w14:paraId="38205F42">
      <w:pPr>
        <w:pageBreakBefore w:val="0"/>
        <w:kinsoku/>
        <w:wordWrap/>
        <w:overflowPunct/>
        <w:topLinePunct w:val="0"/>
        <w:autoSpaceDE/>
        <w:autoSpaceDN/>
        <w:bidi w:val="0"/>
        <w:adjustRightInd/>
        <w:snapToGrid/>
        <w:spacing w:line="560" w:lineRule="atLeast"/>
        <w:ind w:left="0" w:firstLine="560" w:firstLineChars="20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项目绩效评价指标体系</w:t>
      </w:r>
    </w:p>
    <w:tbl>
      <w:tblPr>
        <w:tblStyle w:val="9"/>
        <w:tblW w:w="8863" w:type="dxa"/>
        <w:tblInd w:w="0" w:type="dxa"/>
        <w:shd w:val="clear" w:color="auto" w:fill="auto"/>
        <w:tblLayout w:type="fixed"/>
        <w:tblCellMar>
          <w:top w:w="0" w:type="dxa"/>
          <w:left w:w="0" w:type="dxa"/>
          <w:bottom w:w="0" w:type="dxa"/>
          <w:right w:w="0" w:type="dxa"/>
        </w:tblCellMar>
      </w:tblPr>
      <w:tblGrid>
        <w:gridCol w:w="2388"/>
        <w:gridCol w:w="4119"/>
        <w:gridCol w:w="2356"/>
      </w:tblGrid>
      <w:tr w14:paraId="2883B3C2">
        <w:tblPrEx>
          <w:shd w:val="clear" w:color="auto" w:fill="auto"/>
          <w:tblCellMar>
            <w:top w:w="0" w:type="dxa"/>
            <w:left w:w="0" w:type="dxa"/>
            <w:bottom w:w="0" w:type="dxa"/>
            <w:right w:w="0" w:type="dxa"/>
          </w:tblCellMar>
        </w:tblPrEx>
        <w:trPr>
          <w:trHeight w:val="422" w:hRule="atLeast"/>
        </w:trPr>
        <w:tc>
          <w:tcPr>
            <w:tcW w:w="238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1E98F64">
            <w:pPr>
              <w:keepNext w:val="0"/>
              <w:keepLines w:val="0"/>
              <w:pageBreakBefore w:val="0"/>
              <w:widowControl/>
              <w:suppressLineNumbers w:val="0"/>
              <w:kinsoku/>
              <w:wordWrap/>
              <w:overflowPunct/>
              <w:topLinePunct w:val="0"/>
              <w:autoSpaceDE/>
              <w:autoSpaceDN/>
              <w:bidi w:val="0"/>
              <w:adjustRightInd/>
              <w:snapToGrid/>
              <w:spacing w:line="40" w:lineRule="atLeast"/>
              <w:ind w:left="0" w:firstLine="420" w:firstLineChars="200"/>
              <w:jc w:val="center"/>
              <w:textAlignment w:val="center"/>
              <w:rPr>
                <w:rFonts w:hint="eastAsia" w:ascii="仿宋" w:hAnsi="仿宋" w:eastAsia="仿宋" w:cs="仿宋"/>
                <w:b w:val="0"/>
                <w:bCs/>
                <w:i w:val="0"/>
                <w:color w:val="000000"/>
                <w:sz w:val="21"/>
                <w:szCs w:val="21"/>
                <w:u w:val="none"/>
              </w:rPr>
            </w:pPr>
            <w:r>
              <w:rPr>
                <w:rFonts w:hint="eastAsia" w:ascii="仿宋" w:hAnsi="仿宋" w:eastAsia="仿宋" w:cs="仿宋"/>
                <w:b w:val="0"/>
                <w:bCs/>
                <w:i w:val="0"/>
                <w:color w:val="000000"/>
                <w:kern w:val="0"/>
                <w:sz w:val="21"/>
                <w:szCs w:val="21"/>
                <w:u w:val="none"/>
                <w:lang w:val="en-US" w:eastAsia="zh-CN" w:bidi="ar"/>
              </w:rPr>
              <w:t>一级指标</w:t>
            </w:r>
          </w:p>
        </w:tc>
        <w:tc>
          <w:tcPr>
            <w:tcW w:w="411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1BF6D4C6">
            <w:pPr>
              <w:keepNext w:val="0"/>
              <w:keepLines w:val="0"/>
              <w:pageBreakBefore w:val="0"/>
              <w:widowControl/>
              <w:suppressLineNumbers w:val="0"/>
              <w:kinsoku/>
              <w:wordWrap/>
              <w:overflowPunct/>
              <w:topLinePunct w:val="0"/>
              <w:autoSpaceDE/>
              <w:autoSpaceDN/>
              <w:bidi w:val="0"/>
              <w:adjustRightInd/>
              <w:snapToGrid/>
              <w:spacing w:line="40" w:lineRule="atLeast"/>
              <w:ind w:left="0" w:firstLine="420" w:firstLineChars="200"/>
              <w:jc w:val="center"/>
              <w:textAlignment w:val="center"/>
              <w:rPr>
                <w:rFonts w:hint="eastAsia" w:ascii="仿宋" w:hAnsi="仿宋" w:eastAsia="仿宋" w:cs="仿宋"/>
                <w:b w:val="0"/>
                <w:bCs/>
                <w:i w:val="0"/>
                <w:color w:val="000000"/>
                <w:sz w:val="21"/>
                <w:szCs w:val="21"/>
                <w:u w:val="none"/>
              </w:rPr>
            </w:pPr>
            <w:r>
              <w:rPr>
                <w:rFonts w:hint="eastAsia" w:ascii="仿宋" w:hAnsi="仿宋" w:eastAsia="仿宋" w:cs="仿宋"/>
                <w:b w:val="0"/>
                <w:bCs/>
                <w:i w:val="0"/>
                <w:color w:val="000000"/>
                <w:kern w:val="0"/>
                <w:sz w:val="21"/>
                <w:szCs w:val="21"/>
                <w:u w:val="none"/>
                <w:lang w:val="en-US" w:eastAsia="zh-CN" w:bidi="ar"/>
              </w:rPr>
              <w:t>二级指标</w:t>
            </w:r>
          </w:p>
        </w:tc>
        <w:tc>
          <w:tcPr>
            <w:tcW w:w="235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41605214">
            <w:pPr>
              <w:keepNext w:val="0"/>
              <w:keepLines w:val="0"/>
              <w:pageBreakBefore w:val="0"/>
              <w:widowControl/>
              <w:suppressLineNumbers w:val="0"/>
              <w:kinsoku/>
              <w:wordWrap/>
              <w:overflowPunct/>
              <w:topLinePunct w:val="0"/>
              <w:autoSpaceDE/>
              <w:autoSpaceDN/>
              <w:bidi w:val="0"/>
              <w:adjustRightInd/>
              <w:snapToGrid/>
              <w:spacing w:line="40" w:lineRule="atLeast"/>
              <w:ind w:left="0" w:firstLine="420" w:firstLineChars="200"/>
              <w:jc w:val="center"/>
              <w:textAlignment w:val="center"/>
              <w:rPr>
                <w:rFonts w:hint="eastAsia" w:ascii="仿宋" w:hAnsi="仿宋" w:eastAsia="仿宋" w:cs="仿宋"/>
                <w:b w:val="0"/>
                <w:bCs/>
                <w:i w:val="0"/>
                <w:color w:val="000000"/>
                <w:sz w:val="21"/>
                <w:szCs w:val="21"/>
                <w:u w:val="none"/>
              </w:rPr>
            </w:pPr>
            <w:r>
              <w:rPr>
                <w:rFonts w:hint="eastAsia" w:ascii="仿宋" w:hAnsi="仿宋" w:eastAsia="仿宋" w:cs="仿宋"/>
                <w:b w:val="0"/>
                <w:bCs/>
                <w:i w:val="0"/>
                <w:color w:val="000000"/>
                <w:kern w:val="0"/>
                <w:sz w:val="21"/>
                <w:szCs w:val="21"/>
                <w:u w:val="none"/>
                <w:lang w:val="en-US" w:eastAsia="zh-CN" w:bidi="ar"/>
              </w:rPr>
              <w:t>得分</w:t>
            </w:r>
          </w:p>
        </w:tc>
      </w:tr>
      <w:tr w14:paraId="2A95C803">
        <w:tblPrEx>
          <w:shd w:val="clear" w:color="auto" w:fill="auto"/>
          <w:tblCellMar>
            <w:top w:w="0" w:type="dxa"/>
            <w:left w:w="0" w:type="dxa"/>
            <w:bottom w:w="0" w:type="dxa"/>
            <w:right w:w="0" w:type="dxa"/>
          </w:tblCellMar>
        </w:tblPrEx>
        <w:trPr>
          <w:trHeight w:val="90" w:hRule="atLeast"/>
        </w:trPr>
        <w:tc>
          <w:tcPr>
            <w:tcW w:w="2388" w:type="dxa"/>
            <w:vMerge w:val="restart"/>
            <w:tcBorders>
              <w:top w:val="single" w:color="000000" w:sz="4" w:space="0"/>
              <w:left w:val="single" w:color="000000" w:sz="4" w:space="0"/>
              <w:right w:val="single" w:color="000000" w:sz="4" w:space="0"/>
            </w:tcBorders>
            <w:shd w:val="clear" w:color="auto" w:fill="FFFFFF"/>
            <w:tcMar>
              <w:top w:w="12" w:type="dxa"/>
              <w:left w:w="12" w:type="dxa"/>
              <w:right w:w="12" w:type="dxa"/>
            </w:tcMar>
            <w:vAlign w:val="center"/>
          </w:tcPr>
          <w:p w14:paraId="504E941D">
            <w:pPr>
              <w:keepNext w:val="0"/>
              <w:keepLines w:val="0"/>
              <w:pageBreakBefore w:val="0"/>
              <w:kinsoku/>
              <w:wordWrap/>
              <w:overflowPunct/>
              <w:topLinePunct w:val="0"/>
              <w:autoSpaceDE/>
              <w:autoSpaceDN/>
              <w:bidi w:val="0"/>
              <w:adjustRightInd/>
              <w:snapToGrid/>
              <w:spacing w:line="40" w:lineRule="atLeast"/>
              <w:jc w:val="center"/>
              <w:rPr>
                <w:rFonts w:hint="eastAsia" w:ascii="仿宋" w:hAnsi="仿宋" w:eastAsia="仿宋" w:cs="仿宋"/>
                <w:b w:val="0"/>
                <w:bCs/>
                <w:i w:val="0"/>
                <w:color w:val="000000"/>
                <w:sz w:val="21"/>
                <w:szCs w:val="21"/>
                <w:u w:val="none"/>
                <w:lang w:eastAsia="zh-CN"/>
              </w:rPr>
            </w:pPr>
            <w:r>
              <w:rPr>
                <w:rFonts w:hint="eastAsia" w:ascii="仿宋" w:hAnsi="仿宋" w:eastAsia="仿宋" w:cs="仿宋"/>
                <w:b w:val="0"/>
                <w:bCs/>
                <w:i w:val="0"/>
                <w:color w:val="000000"/>
                <w:sz w:val="21"/>
                <w:szCs w:val="21"/>
                <w:u w:val="none"/>
                <w:lang w:val="en-US" w:eastAsia="zh-CN"/>
              </w:rPr>
              <w:t>项目决策（10分）</w:t>
            </w:r>
          </w:p>
        </w:tc>
        <w:tc>
          <w:tcPr>
            <w:tcW w:w="411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3D8CA7D7">
            <w:pPr>
              <w:keepNext w:val="0"/>
              <w:keepLines w:val="0"/>
              <w:pageBreakBefore w:val="0"/>
              <w:kinsoku/>
              <w:wordWrap/>
              <w:overflowPunct/>
              <w:topLinePunct w:val="0"/>
              <w:autoSpaceDE/>
              <w:autoSpaceDN/>
              <w:bidi w:val="0"/>
              <w:adjustRightInd/>
              <w:snapToGrid/>
              <w:spacing w:line="40" w:lineRule="atLeast"/>
              <w:jc w:val="center"/>
              <w:rPr>
                <w:rFonts w:hint="eastAsia" w:ascii="仿宋" w:hAnsi="仿宋" w:eastAsia="仿宋" w:cs="仿宋"/>
                <w:b w:val="0"/>
                <w:bCs/>
                <w:i w:val="0"/>
                <w:color w:val="000000"/>
                <w:sz w:val="21"/>
                <w:szCs w:val="21"/>
                <w:u w:val="none"/>
                <w:lang w:eastAsia="zh-CN"/>
              </w:rPr>
            </w:pPr>
            <w:r>
              <w:rPr>
                <w:rFonts w:hint="eastAsia" w:ascii="仿宋" w:hAnsi="仿宋" w:eastAsia="仿宋" w:cs="仿宋"/>
                <w:b w:val="0"/>
                <w:bCs/>
                <w:i w:val="0"/>
                <w:color w:val="000000"/>
                <w:sz w:val="21"/>
                <w:szCs w:val="21"/>
                <w:u w:val="none"/>
                <w:lang w:eastAsia="zh-CN"/>
              </w:rPr>
              <w:t>项目立项（</w:t>
            </w:r>
            <w:r>
              <w:rPr>
                <w:rFonts w:hint="eastAsia" w:ascii="仿宋" w:hAnsi="仿宋" w:eastAsia="仿宋" w:cs="仿宋"/>
                <w:b w:val="0"/>
                <w:bCs/>
                <w:i w:val="0"/>
                <w:color w:val="000000"/>
                <w:sz w:val="21"/>
                <w:szCs w:val="21"/>
                <w:u w:val="none"/>
                <w:lang w:val="en-US" w:eastAsia="zh-CN"/>
              </w:rPr>
              <w:t>2分</w:t>
            </w:r>
            <w:r>
              <w:rPr>
                <w:rFonts w:hint="eastAsia" w:ascii="仿宋" w:hAnsi="仿宋" w:eastAsia="仿宋" w:cs="仿宋"/>
                <w:b w:val="0"/>
                <w:bCs/>
                <w:i w:val="0"/>
                <w:color w:val="000000"/>
                <w:sz w:val="21"/>
                <w:szCs w:val="21"/>
                <w:u w:val="none"/>
                <w:lang w:eastAsia="zh-CN"/>
              </w:rPr>
              <w:t>）</w:t>
            </w:r>
          </w:p>
        </w:tc>
        <w:tc>
          <w:tcPr>
            <w:tcW w:w="235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7511E9C1">
            <w:pPr>
              <w:keepNext w:val="0"/>
              <w:keepLines w:val="0"/>
              <w:pageBreakBefore w:val="0"/>
              <w:widowControl/>
              <w:suppressLineNumbers w:val="0"/>
              <w:kinsoku/>
              <w:wordWrap/>
              <w:overflowPunct/>
              <w:topLinePunct w:val="0"/>
              <w:autoSpaceDE/>
              <w:autoSpaceDN/>
              <w:bidi w:val="0"/>
              <w:adjustRightInd/>
              <w:snapToGrid/>
              <w:spacing w:line="40" w:lineRule="atLeast"/>
              <w:ind w:left="0" w:firstLine="420" w:firstLineChars="200"/>
              <w:jc w:val="center"/>
              <w:textAlignment w:val="center"/>
              <w:rPr>
                <w:rFonts w:hint="default" w:ascii="仿宋" w:hAnsi="仿宋" w:eastAsia="仿宋" w:cs="仿宋"/>
                <w:b w:val="0"/>
                <w:bCs/>
                <w:i w:val="0"/>
                <w:color w:val="000000"/>
                <w:kern w:val="0"/>
                <w:sz w:val="21"/>
                <w:szCs w:val="21"/>
                <w:u w:val="none"/>
                <w:lang w:val="en-US" w:eastAsia="zh-CN" w:bidi="ar"/>
              </w:rPr>
            </w:pPr>
            <w:r>
              <w:rPr>
                <w:rFonts w:hint="eastAsia" w:ascii="仿宋" w:hAnsi="仿宋" w:eastAsia="仿宋" w:cs="仿宋"/>
                <w:b w:val="0"/>
                <w:bCs/>
                <w:i w:val="0"/>
                <w:color w:val="000000"/>
                <w:kern w:val="0"/>
                <w:sz w:val="21"/>
                <w:szCs w:val="21"/>
                <w:u w:val="none"/>
                <w:lang w:val="en-US" w:eastAsia="zh-CN" w:bidi="ar"/>
              </w:rPr>
              <w:t>2</w:t>
            </w:r>
          </w:p>
        </w:tc>
      </w:tr>
      <w:tr w14:paraId="26729971">
        <w:tblPrEx>
          <w:shd w:val="clear" w:color="auto" w:fill="auto"/>
          <w:tblCellMar>
            <w:top w:w="0" w:type="dxa"/>
            <w:left w:w="0" w:type="dxa"/>
            <w:bottom w:w="0" w:type="dxa"/>
            <w:right w:w="0" w:type="dxa"/>
          </w:tblCellMar>
        </w:tblPrEx>
        <w:trPr>
          <w:trHeight w:val="90" w:hRule="atLeast"/>
        </w:trPr>
        <w:tc>
          <w:tcPr>
            <w:tcW w:w="2388" w:type="dxa"/>
            <w:vMerge w:val="continue"/>
            <w:tcBorders>
              <w:left w:val="single" w:color="000000" w:sz="4" w:space="0"/>
              <w:right w:val="single" w:color="000000" w:sz="4" w:space="0"/>
            </w:tcBorders>
            <w:shd w:val="clear" w:color="auto" w:fill="FFFFFF"/>
            <w:tcMar>
              <w:top w:w="12" w:type="dxa"/>
              <w:left w:w="12" w:type="dxa"/>
              <w:right w:w="12" w:type="dxa"/>
            </w:tcMar>
            <w:vAlign w:val="center"/>
          </w:tcPr>
          <w:p w14:paraId="472D9041">
            <w:pPr>
              <w:keepNext w:val="0"/>
              <w:keepLines w:val="0"/>
              <w:pageBreakBefore w:val="0"/>
              <w:kinsoku/>
              <w:wordWrap/>
              <w:overflowPunct/>
              <w:topLinePunct w:val="0"/>
              <w:autoSpaceDE/>
              <w:autoSpaceDN/>
              <w:bidi w:val="0"/>
              <w:adjustRightInd/>
              <w:snapToGrid/>
              <w:spacing w:line="40" w:lineRule="atLeast"/>
              <w:jc w:val="center"/>
              <w:rPr>
                <w:rFonts w:hint="eastAsia" w:ascii="仿宋" w:hAnsi="仿宋" w:eastAsia="仿宋" w:cs="仿宋"/>
                <w:b w:val="0"/>
                <w:bCs/>
                <w:i w:val="0"/>
                <w:color w:val="000000"/>
                <w:sz w:val="21"/>
                <w:szCs w:val="21"/>
                <w:u w:val="none"/>
                <w:lang w:val="en-US" w:eastAsia="zh-CN"/>
              </w:rPr>
            </w:pPr>
          </w:p>
        </w:tc>
        <w:tc>
          <w:tcPr>
            <w:tcW w:w="411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0DD1FC15">
            <w:pPr>
              <w:keepNext w:val="0"/>
              <w:keepLines w:val="0"/>
              <w:pageBreakBefore w:val="0"/>
              <w:kinsoku/>
              <w:wordWrap/>
              <w:overflowPunct/>
              <w:topLinePunct w:val="0"/>
              <w:autoSpaceDE/>
              <w:autoSpaceDN/>
              <w:bidi w:val="0"/>
              <w:adjustRightInd/>
              <w:snapToGrid/>
              <w:spacing w:line="40" w:lineRule="atLeast"/>
              <w:jc w:val="center"/>
              <w:rPr>
                <w:rFonts w:hint="eastAsia" w:ascii="仿宋" w:hAnsi="仿宋" w:eastAsia="仿宋" w:cs="仿宋"/>
                <w:b w:val="0"/>
                <w:bCs/>
                <w:i w:val="0"/>
                <w:color w:val="000000"/>
                <w:sz w:val="21"/>
                <w:szCs w:val="21"/>
                <w:u w:val="none"/>
                <w:lang w:eastAsia="zh-CN"/>
              </w:rPr>
            </w:pPr>
            <w:r>
              <w:rPr>
                <w:rFonts w:hint="eastAsia" w:ascii="仿宋" w:hAnsi="仿宋" w:eastAsia="仿宋" w:cs="仿宋"/>
                <w:b w:val="0"/>
                <w:bCs/>
                <w:i w:val="0"/>
                <w:color w:val="000000"/>
                <w:sz w:val="21"/>
                <w:szCs w:val="21"/>
                <w:u w:val="none"/>
                <w:lang w:eastAsia="zh-CN"/>
              </w:rPr>
              <w:t>绩效目标（</w:t>
            </w:r>
            <w:r>
              <w:rPr>
                <w:rFonts w:hint="eastAsia" w:ascii="仿宋" w:hAnsi="仿宋" w:eastAsia="仿宋" w:cs="仿宋"/>
                <w:b w:val="0"/>
                <w:bCs/>
                <w:i w:val="0"/>
                <w:color w:val="000000"/>
                <w:sz w:val="21"/>
                <w:szCs w:val="21"/>
                <w:u w:val="none"/>
                <w:lang w:val="en-US" w:eastAsia="zh-CN"/>
              </w:rPr>
              <w:t>3分</w:t>
            </w:r>
            <w:r>
              <w:rPr>
                <w:rFonts w:hint="eastAsia" w:ascii="仿宋" w:hAnsi="仿宋" w:eastAsia="仿宋" w:cs="仿宋"/>
                <w:b w:val="0"/>
                <w:bCs/>
                <w:i w:val="0"/>
                <w:color w:val="000000"/>
                <w:sz w:val="21"/>
                <w:szCs w:val="21"/>
                <w:u w:val="none"/>
                <w:lang w:eastAsia="zh-CN"/>
              </w:rPr>
              <w:t>）</w:t>
            </w:r>
          </w:p>
        </w:tc>
        <w:tc>
          <w:tcPr>
            <w:tcW w:w="235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17336A78">
            <w:pPr>
              <w:keepNext w:val="0"/>
              <w:keepLines w:val="0"/>
              <w:pageBreakBefore w:val="0"/>
              <w:widowControl/>
              <w:suppressLineNumbers w:val="0"/>
              <w:kinsoku/>
              <w:wordWrap/>
              <w:overflowPunct/>
              <w:topLinePunct w:val="0"/>
              <w:autoSpaceDE/>
              <w:autoSpaceDN/>
              <w:bidi w:val="0"/>
              <w:adjustRightInd/>
              <w:snapToGrid/>
              <w:spacing w:line="40" w:lineRule="atLeast"/>
              <w:ind w:left="0" w:firstLine="420" w:firstLineChars="200"/>
              <w:jc w:val="center"/>
              <w:textAlignment w:val="center"/>
              <w:rPr>
                <w:rFonts w:hint="default" w:ascii="仿宋" w:hAnsi="仿宋" w:eastAsia="仿宋" w:cs="仿宋"/>
                <w:b w:val="0"/>
                <w:bCs/>
                <w:i w:val="0"/>
                <w:color w:val="000000"/>
                <w:kern w:val="0"/>
                <w:sz w:val="21"/>
                <w:szCs w:val="21"/>
                <w:u w:val="none"/>
                <w:lang w:val="en-US" w:eastAsia="zh-CN" w:bidi="ar"/>
              </w:rPr>
            </w:pPr>
            <w:r>
              <w:rPr>
                <w:rFonts w:hint="eastAsia" w:ascii="仿宋" w:hAnsi="仿宋" w:eastAsia="仿宋" w:cs="仿宋"/>
                <w:b w:val="0"/>
                <w:bCs/>
                <w:i w:val="0"/>
                <w:color w:val="000000"/>
                <w:kern w:val="0"/>
                <w:sz w:val="21"/>
                <w:szCs w:val="21"/>
                <w:u w:val="none"/>
                <w:lang w:val="en-US" w:eastAsia="zh-CN" w:bidi="ar"/>
              </w:rPr>
              <w:t>3</w:t>
            </w:r>
          </w:p>
        </w:tc>
      </w:tr>
      <w:tr w14:paraId="4CA5B504">
        <w:tblPrEx>
          <w:shd w:val="clear" w:color="auto" w:fill="auto"/>
          <w:tblCellMar>
            <w:top w:w="0" w:type="dxa"/>
            <w:left w:w="0" w:type="dxa"/>
            <w:bottom w:w="0" w:type="dxa"/>
            <w:right w:w="0" w:type="dxa"/>
          </w:tblCellMar>
        </w:tblPrEx>
        <w:trPr>
          <w:trHeight w:val="90" w:hRule="atLeast"/>
        </w:trPr>
        <w:tc>
          <w:tcPr>
            <w:tcW w:w="2388" w:type="dxa"/>
            <w:vMerge w:val="continue"/>
            <w:tcBorders>
              <w:left w:val="single" w:color="000000" w:sz="4" w:space="0"/>
              <w:right w:val="single" w:color="000000" w:sz="4" w:space="0"/>
            </w:tcBorders>
            <w:shd w:val="clear" w:color="auto" w:fill="FFFFFF"/>
            <w:tcMar>
              <w:top w:w="12" w:type="dxa"/>
              <w:left w:w="12" w:type="dxa"/>
              <w:right w:w="12" w:type="dxa"/>
            </w:tcMar>
            <w:vAlign w:val="center"/>
          </w:tcPr>
          <w:p w14:paraId="1D99E48D">
            <w:pPr>
              <w:keepNext w:val="0"/>
              <w:keepLines w:val="0"/>
              <w:pageBreakBefore w:val="0"/>
              <w:kinsoku/>
              <w:wordWrap/>
              <w:overflowPunct/>
              <w:topLinePunct w:val="0"/>
              <w:autoSpaceDE/>
              <w:autoSpaceDN/>
              <w:bidi w:val="0"/>
              <w:adjustRightInd/>
              <w:snapToGrid/>
              <w:spacing w:line="40" w:lineRule="atLeast"/>
              <w:jc w:val="center"/>
              <w:rPr>
                <w:rFonts w:hint="eastAsia" w:ascii="仿宋" w:hAnsi="仿宋" w:eastAsia="仿宋" w:cs="仿宋"/>
                <w:b w:val="0"/>
                <w:bCs/>
                <w:i w:val="0"/>
                <w:color w:val="000000"/>
                <w:sz w:val="21"/>
                <w:szCs w:val="21"/>
                <w:u w:val="none"/>
                <w:lang w:eastAsia="zh-CN"/>
              </w:rPr>
            </w:pPr>
          </w:p>
        </w:tc>
        <w:tc>
          <w:tcPr>
            <w:tcW w:w="411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29596D3A">
            <w:pPr>
              <w:keepNext w:val="0"/>
              <w:keepLines w:val="0"/>
              <w:pageBreakBefore w:val="0"/>
              <w:kinsoku/>
              <w:wordWrap/>
              <w:overflowPunct/>
              <w:topLinePunct w:val="0"/>
              <w:autoSpaceDE/>
              <w:autoSpaceDN/>
              <w:bidi w:val="0"/>
              <w:adjustRightInd/>
              <w:snapToGrid/>
              <w:spacing w:line="40" w:lineRule="atLeast"/>
              <w:jc w:val="center"/>
              <w:rPr>
                <w:rFonts w:hint="eastAsia" w:ascii="仿宋" w:hAnsi="仿宋" w:eastAsia="仿宋" w:cs="仿宋"/>
                <w:b w:val="0"/>
                <w:bCs/>
                <w:i w:val="0"/>
                <w:color w:val="000000"/>
                <w:sz w:val="21"/>
                <w:szCs w:val="21"/>
                <w:u w:val="none"/>
                <w:lang w:eastAsia="zh-CN"/>
              </w:rPr>
            </w:pPr>
            <w:r>
              <w:rPr>
                <w:rFonts w:hint="eastAsia" w:ascii="仿宋" w:hAnsi="仿宋" w:eastAsia="仿宋" w:cs="仿宋"/>
                <w:b w:val="0"/>
                <w:bCs/>
                <w:i w:val="0"/>
                <w:color w:val="000000"/>
                <w:sz w:val="21"/>
                <w:szCs w:val="21"/>
                <w:u w:val="none"/>
                <w:lang w:eastAsia="zh-CN"/>
              </w:rPr>
              <w:t>资金投入（</w:t>
            </w:r>
            <w:r>
              <w:rPr>
                <w:rFonts w:hint="eastAsia" w:ascii="仿宋" w:hAnsi="仿宋" w:eastAsia="仿宋" w:cs="仿宋"/>
                <w:b w:val="0"/>
                <w:bCs/>
                <w:i w:val="0"/>
                <w:color w:val="000000"/>
                <w:sz w:val="21"/>
                <w:szCs w:val="21"/>
                <w:u w:val="none"/>
                <w:lang w:val="en-US" w:eastAsia="zh-CN"/>
              </w:rPr>
              <w:t>5分</w:t>
            </w:r>
            <w:r>
              <w:rPr>
                <w:rFonts w:hint="eastAsia" w:ascii="仿宋" w:hAnsi="仿宋" w:eastAsia="仿宋" w:cs="仿宋"/>
                <w:b w:val="0"/>
                <w:bCs/>
                <w:i w:val="0"/>
                <w:color w:val="000000"/>
                <w:sz w:val="21"/>
                <w:szCs w:val="21"/>
                <w:u w:val="none"/>
                <w:lang w:eastAsia="zh-CN"/>
              </w:rPr>
              <w:t>）</w:t>
            </w:r>
          </w:p>
        </w:tc>
        <w:tc>
          <w:tcPr>
            <w:tcW w:w="235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74F6F07E">
            <w:pPr>
              <w:keepNext w:val="0"/>
              <w:keepLines w:val="0"/>
              <w:pageBreakBefore w:val="0"/>
              <w:widowControl/>
              <w:suppressLineNumbers w:val="0"/>
              <w:kinsoku/>
              <w:wordWrap/>
              <w:overflowPunct/>
              <w:topLinePunct w:val="0"/>
              <w:autoSpaceDE/>
              <w:autoSpaceDN/>
              <w:bidi w:val="0"/>
              <w:adjustRightInd/>
              <w:snapToGrid/>
              <w:spacing w:line="40" w:lineRule="atLeast"/>
              <w:ind w:left="0" w:firstLine="420" w:firstLineChars="200"/>
              <w:jc w:val="center"/>
              <w:textAlignment w:val="center"/>
              <w:rPr>
                <w:rFonts w:hint="default" w:ascii="仿宋" w:hAnsi="仿宋" w:eastAsia="仿宋" w:cs="仿宋"/>
                <w:b w:val="0"/>
                <w:bCs/>
                <w:i w:val="0"/>
                <w:color w:val="000000"/>
                <w:kern w:val="0"/>
                <w:sz w:val="21"/>
                <w:szCs w:val="21"/>
                <w:u w:val="none"/>
                <w:lang w:val="en-US" w:eastAsia="zh-CN" w:bidi="ar"/>
              </w:rPr>
            </w:pPr>
            <w:r>
              <w:rPr>
                <w:rFonts w:hint="eastAsia" w:ascii="仿宋" w:hAnsi="仿宋" w:eastAsia="仿宋" w:cs="仿宋"/>
                <w:b w:val="0"/>
                <w:bCs/>
                <w:i w:val="0"/>
                <w:color w:val="000000"/>
                <w:kern w:val="0"/>
                <w:sz w:val="21"/>
                <w:szCs w:val="21"/>
                <w:u w:val="none"/>
                <w:lang w:val="en-US" w:eastAsia="zh-CN" w:bidi="ar"/>
              </w:rPr>
              <w:t>5</w:t>
            </w:r>
          </w:p>
        </w:tc>
      </w:tr>
      <w:tr w14:paraId="2BE3F626">
        <w:tblPrEx>
          <w:shd w:val="clear" w:color="auto" w:fill="auto"/>
          <w:tblCellMar>
            <w:top w:w="0" w:type="dxa"/>
            <w:left w:w="0" w:type="dxa"/>
            <w:bottom w:w="0" w:type="dxa"/>
            <w:right w:w="0" w:type="dxa"/>
          </w:tblCellMar>
        </w:tblPrEx>
        <w:trPr>
          <w:trHeight w:val="90" w:hRule="atLeast"/>
        </w:trPr>
        <w:tc>
          <w:tcPr>
            <w:tcW w:w="2388" w:type="dxa"/>
            <w:vMerge w:val="restart"/>
            <w:tcBorders>
              <w:top w:val="single" w:color="000000" w:sz="4" w:space="0"/>
              <w:left w:val="single" w:color="000000" w:sz="4" w:space="0"/>
              <w:right w:val="single" w:color="000000" w:sz="4" w:space="0"/>
            </w:tcBorders>
            <w:shd w:val="clear" w:color="auto" w:fill="FFFFFF"/>
            <w:tcMar>
              <w:top w:w="12" w:type="dxa"/>
              <w:left w:w="12" w:type="dxa"/>
              <w:right w:w="12" w:type="dxa"/>
            </w:tcMar>
            <w:vAlign w:val="center"/>
          </w:tcPr>
          <w:p w14:paraId="2F13E17C">
            <w:pPr>
              <w:keepNext w:val="0"/>
              <w:keepLines w:val="0"/>
              <w:pageBreakBefore w:val="0"/>
              <w:kinsoku/>
              <w:wordWrap/>
              <w:overflowPunct/>
              <w:topLinePunct w:val="0"/>
              <w:autoSpaceDE/>
              <w:autoSpaceDN/>
              <w:bidi w:val="0"/>
              <w:adjustRightInd/>
              <w:snapToGrid/>
              <w:spacing w:line="40" w:lineRule="atLeast"/>
              <w:jc w:val="center"/>
              <w:rPr>
                <w:rFonts w:hint="eastAsia" w:ascii="仿宋" w:hAnsi="仿宋" w:eastAsia="仿宋" w:cs="仿宋"/>
                <w:b w:val="0"/>
                <w:bCs/>
                <w:i w:val="0"/>
                <w:color w:val="000000"/>
                <w:sz w:val="21"/>
                <w:szCs w:val="21"/>
                <w:u w:val="none"/>
                <w:lang w:eastAsia="zh-CN"/>
              </w:rPr>
            </w:pPr>
            <w:r>
              <w:rPr>
                <w:rFonts w:hint="eastAsia" w:ascii="仿宋" w:hAnsi="仿宋" w:eastAsia="仿宋" w:cs="仿宋"/>
                <w:b w:val="0"/>
                <w:bCs/>
                <w:i w:val="0"/>
                <w:color w:val="000000"/>
                <w:sz w:val="21"/>
                <w:szCs w:val="21"/>
                <w:u w:val="none"/>
                <w:lang w:eastAsia="zh-CN"/>
              </w:rPr>
              <w:t>项目过程（</w:t>
            </w:r>
            <w:r>
              <w:rPr>
                <w:rFonts w:hint="eastAsia" w:ascii="仿宋" w:hAnsi="仿宋" w:eastAsia="仿宋" w:cs="仿宋"/>
                <w:b w:val="0"/>
                <w:bCs/>
                <w:i w:val="0"/>
                <w:color w:val="000000"/>
                <w:sz w:val="21"/>
                <w:szCs w:val="21"/>
                <w:u w:val="none"/>
                <w:lang w:val="en-US" w:eastAsia="zh-CN"/>
              </w:rPr>
              <w:t>10分</w:t>
            </w:r>
            <w:r>
              <w:rPr>
                <w:rFonts w:hint="eastAsia" w:ascii="仿宋" w:hAnsi="仿宋" w:eastAsia="仿宋" w:cs="仿宋"/>
                <w:b w:val="0"/>
                <w:bCs/>
                <w:i w:val="0"/>
                <w:color w:val="000000"/>
                <w:sz w:val="21"/>
                <w:szCs w:val="21"/>
                <w:u w:val="none"/>
                <w:lang w:eastAsia="zh-CN"/>
              </w:rPr>
              <w:t>）</w:t>
            </w:r>
          </w:p>
        </w:tc>
        <w:tc>
          <w:tcPr>
            <w:tcW w:w="411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5F086E4B">
            <w:pPr>
              <w:keepNext w:val="0"/>
              <w:keepLines w:val="0"/>
              <w:pageBreakBefore w:val="0"/>
              <w:kinsoku/>
              <w:wordWrap/>
              <w:overflowPunct/>
              <w:topLinePunct w:val="0"/>
              <w:autoSpaceDE/>
              <w:autoSpaceDN/>
              <w:bidi w:val="0"/>
              <w:adjustRightInd/>
              <w:snapToGrid/>
              <w:spacing w:line="40" w:lineRule="atLeast"/>
              <w:jc w:val="center"/>
              <w:rPr>
                <w:rFonts w:hint="eastAsia" w:ascii="仿宋" w:hAnsi="仿宋" w:eastAsia="仿宋" w:cs="仿宋"/>
                <w:b w:val="0"/>
                <w:bCs/>
                <w:i w:val="0"/>
                <w:color w:val="000000"/>
                <w:sz w:val="21"/>
                <w:szCs w:val="21"/>
                <w:u w:val="none"/>
                <w:lang w:eastAsia="zh-CN"/>
              </w:rPr>
            </w:pPr>
            <w:r>
              <w:rPr>
                <w:rFonts w:hint="eastAsia" w:ascii="仿宋" w:hAnsi="仿宋" w:eastAsia="仿宋" w:cs="仿宋"/>
                <w:b w:val="0"/>
                <w:bCs/>
                <w:i w:val="0"/>
                <w:color w:val="000000"/>
                <w:sz w:val="21"/>
                <w:szCs w:val="21"/>
                <w:u w:val="none"/>
                <w:lang w:eastAsia="zh-CN"/>
              </w:rPr>
              <w:t>资金管理（</w:t>
            </w:r>
            <w:r>
              <w:rPr>
                <w:rFonts w:hint="eastAsia" w:ascii="仿宋" w:hAnsi="仿宋" w:eastAsia="仿宋" w:cs="仿宋"/>
                <w:b w:val="0"/>
                <w:bCs/>
                <w:i w:val="0"/>
                <w:color w:val="000000"/>
                <w:sz w:val="21"/>
                <w:szCs w:val="21"/>
                <w:u w:val="none"/>
                <w:lang w:val="en-US" w:eastAsia="zh-CN"/>
              </w:rPr>
              <w:t>5分</w:t>
            </w:r>
            <w:r>
              <w:rPr>
                <w:rFonts w:hint="eastAsia" w:ascii="仿宋" w:hAnsi="仿宋" w:eastAsia="仿宋" w:cs="仿宋"/>
                <w:b w:val="0"/>
                <w:bCs/>
                <w:i w:val="0"/>
                <w:color w:val="000000"/>
                <w:sz w:val="21"/>
                <w:szCs w:val="21"/>
                <w:u w:val="none"/>
                <w:lang w:eastAsia="zh-CN"/>
              </w:rPr>
              <w:t>）</w:t>
            </w:r>
          </w:p>
        </w:tc>
        <w:tc>
          <w:tcPr>
            <w:tcW w:w="235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5D0EEDB7">
            <w:pPr>
              <w:keepNext w:val="0"/>
              <w:keepLines w:val="0"/>
              <w:pageBreakBefore w:val="0"/>
              <w:widowControl/>
              <w:suppressLineNumbers w:val="0"/>
              <w:kinsoku/>
              <w:wordWrap/>
              <w:overflowPunct/>
              <w:topLinePunct w:val="0"/>
              <w:autoSpaceDE/>
              <w:autoSpaceDN/>
              <w:bidi w:val="0"/>
              <w:adjustRightInd/>
              <w:snapToGrid/>
              <w:spacing w:line="40" w:lineRule="atLeast"/>
              <w:ind w:left="0" w:firstLine="420" w:firstLineChars="200"/>
              <w:jc w:val="center"/>
              <w:textAlignment w:val="center"/>
              <w:rPr>
                <w:rFonts w:hint="default" w:ascii="仿宋" w:hAnsi="仿宋" w:eastAsia="仿宋" w:cs="仿宋"/>
                <w:b w:val="0"/>
                <w:bCs/>
                <w:i w:val="0"/>
                <w:color w:val="000000"/>
                <w:kern w:val="0"/>
                <w:sz w:val="21"/>
                <w:szCs w:val="21"/>
                <w:u w:val="none"/>
                <w:lang w:val="en-US" w:eastAsia="zh-CN" w:bidi="ar"/>
              </w:rPr>
            </w:pPr>
            <w:r>
              <w:rPr>
                <w:rFonts w:hint="eastAsia" w:ascii="仿宋" w:hAnsi="仿宋" w:eastAsia="仿宋" w:cs="仿宋"/>
                <w:b w:val="0"/>
                <w:bCs/>
                <w:i w:val="0"/>
                <w:color w:val="000000"/>
                <w:kern w:val="0"/>
                <w:sz w:val="21"/>
                <w:szCs w:val="21"/>
                <w:u w:val="none"/>
                <w:lang w:val="en-US" w:eastAsia="zh-CN" w:bidi="ar"/>
              </w:rPr>
              <w:t>5</w:t>
            </w:r>
          </w:p>
        </w:tc>
      </w:tr>
      <w:tr w14:paraId="22BE1C38">
        <w:tblPrEx>
          <w:tblCellMar>
            <w:top w:w="0" w:type="dxa"/>
            <w:left w:w="0" w:type="dxa"/>
            <w:bottom w:w="0" w:type="dxa"/>
            <w:right w:w="0" w:type="dxa"/>
          </w:tblCellMar>
        </w:tblPrEx>
        <w:trPr>
          <w:trHeight w:val="90" w:hRule="atLeast"/>
        </w:trPr>
        <w:tc>
          <w:tcPr>
            <w:tcW w:w="2388" w:type="dxa"/>
            <w:vMerge w:val="continue"/>
            <w:tcBorders>
              <w:left w:val="single" w:color="000000" w:sz="4" w:space="0"/>
              <w:right w:val="single" w:color="000000" w:sz="4" w:space="0"/>
            </w:tcBorders>
            <w:shd w:val="clear" w:color="auto" w:fill="FFFFFF"/>
            <w:tcMar>
              <w:top w:w="12" w:type="dxa"/>
              <w:left w:w="12" w:type="dxa"/>
              <w:right w:w="12" w:type="dxa"/>
            </w:tcMar>
            <w:vAlign w:val="center"/>
          </w:tcPr>
          <w:p w14:paraId="704234FC">
            <w:pPr>
              <w:keepNext w:val="0"/>
              <w:keepLines w:val="0"/>
              <w:pageBreakBefore w:val="0"/>
              <w:kinsoku/>
              <w:wordWrap/>
              <w:overflowPunct/>
              <w:topLinePunct w:val="0"/>
              <w:autoSpaceDE/>
              <w:autoSpaceDN/>
              <w:bidi w:val="0"/>
              <w:adjustRightInd/>
              <w:snapToGrid/>
              <w:spacing w:line="40" w:lineRule="atLeast"/>
              <w:jc w:val="center"/>
              <w:rPr>
                <w:rFonts w:hint="eastAsia" w:ascii="仿宋" w:hAnsi="仿宋" w:eastAsia="仿宋" w:cs="仿宋"/>
                <w:b w:val="0"/>
                <w:bCs/>
                <w:i w:val="0"/>
                <w:color w:val="000000"/>
                <w:sz w:val="21"/>
                <w:szCs w:val="21"/>
                <w:u w:val="none"/>
                <w:lang w:eastAsia="zh-CN"/>
              </w:rPr>
            </w:pPr>
          </w:p>
        </w:tc>
        <w:tc>
          <w:tcPr>
            <w:tcW w:w="411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059EC184">
            <w:pPr>
              <w:keepNext w:val="0"/>
              <w:keepLines w:val="0"/>
              <w:pageBreakBefore w:val="0"/>
              <w:kinsoku/>
              <w:wordWrap/>
              <w:overflowPunct/>
              <w:topLinePunct w:val="0"/>
              <w:autoSpaceDE/>
              <w:autoSpaceDN/>
              <w:bidi w:val="0"/>
              <w:adjustRightInd/>
              <w:snapToGrid/>
              <w:spacing w:line="40" w:lineRule="atLeast"/>
              <w:jc w:val="center"/>
              <w:rPr>
                <w:rFonts w:hint="eastAsia" w:ascii="仿宋" w:hAnsi="仿宋" w:eastAsia="仿宋" w:cs="仿宋"/>
                <w:b w:val="0"/>
                <w:bCs/>
                <w:i w:val="0"/>
                <w:color w:val="000000"/>
                <w:sz w:val="21"/>
                <w:szCs w:val="21"/>
                <w:u w:val="none"/>
                <w:lang w:eastAsia="zh-CN"/>
              </w:rPr>
            </w:pPr>
            <w:r>
              <w:rPr>
                <w:rFonts w:hint="eastAsia" w:ascii="仿宋" w:hAnsi="仿宋" w:eastAsia="仿宋" w:cs="仿宋"/>
                <w:b w:val="0"/>
                <w:bCs/>
                <w:i w:val="0"/>
                <w:color w:val="000000"/>
                <w:sz w:val="21"/>
                <w:szCs w:val="21"/>
                <w:u w:val="none"/>
                <w:lang w:eastAsia="zh-CN"/>
              </w:rPr>
              <w:t>组织实施（</w:t>
            </w:r>
            <w:r>
              <w:rPr>
                <w:rFonts w:hint="eastAsia" w:ascii="仿宋" w:hAnsi="仿宋" w:eastAsia="仿宋" w:cs="仿宋"/>
                <w:b w:val="0"/>
                <w:bCs/>
                <w:i w:val="0"/>
                <w:color w:val="000000"/>
                <w:sz w:val="21"/>
                <w:szCs w:val="21"/>
                <w:u w:val="none"/>
                <w:lang w:val="en-US" w:eastAsia="zh-CN"/>
              </w:rPr>
              <w:t>5分</w:t>
            </w:r>
            <w:r>
              <w:rPr>
                <w:rFonts w:hint="eastAsia" w:ascii="仿宋" w:hAnsi="仿宋" w:eastAsia="仿宋" w:cs="仿宋"/>
                <w:b w:val="0"/>
                <w:bCs/>
                <w:i w:val="0"/>
                <w:color w:val="000000"/>
                <w:sz w:val="21"/>
                <w:szCs w:val="21"/>
                <w:u w:val="none"/>
                <w:lang w:eastAsia="zh-CN"/>
              </w:rPr>
              <w:t>）</w:t>
            </w:r>
          </w:p>
        </w:tc>
        <w:tc>
          <w:tcPr>
            <w:tcW w:w="235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0E2BB999">
            <w:pPr>
              <w:keepNext w:val="0"/>
              <w:keepLines w:val="0"/>
              <w:pageBreakBefore w:val="0"/>
              <w:widowControl/>
              <w:suppressLineNumbers w:val="0"/>
              <w:kinsoku/>
              <w:wordWrap/>
              <w:overflowPunct/>
              <w:topLinePunct w:val="0"/>
              <w:autoSpaceDE/>
              <w:autoSpaceDN/>
              <w:bidi w:val="0"/>
              <w:adjustRightInd/>
              <w:snapToGrid/>
              <w:spacing w:line="40" w:lineRule="atLeast"/>
              <w:ind w:left="0" w:firstLine="420" w:firstLineChars="200"/>
              <w:jc w:val="center"/>
              <w:textAlignment w:val="center"/>
              <w:rPr>
                <w:rFonts w:hint="default" w:ascii="仿宋" w:hAnsi="仿宋" w:eastAsia="仿宋" w:cs="仿宋"/>
                <w:b w:val="0"/>
                <w:bCs/>
                <w:i w:val="0"/>
                <w:color w:val="000000"/>
                <w:kern w:val="0"/>
                <w:sz w:val="21"/>
                <w:szCs w:val="21"/>
                <w:u w:val="none"/>
                <w:lang w:val="en-US" w:eastAsia="zh-CN" w:bidi="ar"/>
              </w:rPr>
            </w:pPr>
            <w:r>
              <w:rPr>
                <w:rFonts w:hint="eastAsia" w:ascii="仿宋" w:hAnsi="仿宋" w:eastAsia="仿宋" w:cs="仿宋"/>
                <w:b w:val="0"/>
                <w:bCs/>
                <w:i w:val="0"/>
                <w:color w:val="000000"/>
                <w:kern w:val="0"/>
                <w:sz w:val="21"/>
                <w:szCs w:val="21"/>
                <w:u w:val="none"/>
                <w:lang w:val="en-US" w:eastAsia="zh-CN" w:bidi="ar"/>
              </w:rPr>
              <w:t>5</w:t>
            </w:r>
          </w:p>
        </w:tc>
      </w:tr>
      <w:tr w14:paraId="2CE8208F">
        <w:tblPrEx>
          <w:shd w:val="clear" w:color="auto" w:fill="auto"/>
          <w:tblCellMar>
            <w:top w:w="0" w:type="dxa"/>
            <w:left w:w="0" w:type="dxa"/>
            <w:bottom w:w="0" w:type="dxa"/>
            <w:right w:w="0" w:type="dxa"/>
          </w:tblCellMar>
        </w:tblPrEx>
        <w:trPr>
          <w:trHeight w:val="90" w:hRule="atLeast"/>
        </w:trPr>
        <w:tc>
          <w:tcPr>
            <w:tcW w:w="2388" w:type="dxa"/>
            <w:vMerge w:val="restart"/>
            <w:tcBorders>
              <w:top w:val="single" w:color="000000" w:sz="4" w:space="0"/>
              <w:left w:val="single" w:color="000000" w:sz="4" w:space="0"/>
              <w:right w:val="single" w:color="000000" w:sz="4" w:space="0"/>
            </w:tcBorders>
            <w:shd w:val="clear" w:color="auto" w:fill="FFFFFF"/>
            <w:tcMar>
              <w:top w:w="12" w:type="dxa"/>
              <w:left w:w="12" w:type="dxa"/>
              <w:right w:w="12" w:type="dxa"/>
            </w:tcMar>
            <w:vAlign w:val="center"/>
          </w:tcPr>
          <w:p w14:paraId="2A264D53">
            <w:pPr>
              <w:keepNext w:val="0"/>
              <w:keepLines w:val="0"/>
              <w:pageBreakBefore w:val="0"/>
              <w:kinsoku/>
              <w:wordWrap/>
              <w:overflowPunct/>
              <w:topLinePunct w:val="0"/>
              <w:autoSpaceDE/>
              <w:autoSpaceDN/>
              <w:bidi w:val="0"/>
              <w:adjustRightInd/>
              <w:snapToGrid/>
              <w:spacing w:line="40" w:lineRule="atLeast"/>
              <w:jc w:val="center"/>
              <w:rPr>
                <w:rFonts w:hint="default" w:ascii="仿宋" w:hAnsi="仿宋" w:eastAsia="仿宋" w:cs="仿宋"/>
                <w:b w:val="0"/>
                <w:bCs/>
                <w:i w:val="0"/>
                <w:color w:val="000000"/>
                <w:sz w:val="21"/>
                <w:szCs w:val="21"/>
                <w:u w:val="none"/>
                <w:lang w:val="en-US" w:eastAsia="zh-CN"/>
              </w:rPr>
            </w:pPr>
            <w:r>
              <w:rPr>
                <w:rFonts w:hint="eastAsia" w:ascii="仿宋" w:hAnsi="仿宋" w:eastAsia="仿宋" w:cs="仿宋"/>
                <w:b w:val="0"/>
                <w:bCs/>
                <w:i w:val="0"/>
                <w:color w:val="000000"/>
                <w:sz w:val="21"/>
                <w:szCs w:val="21"/>
                <w:u w:val="none"/>
                <w:lang w:eastAsia="zh-CN"/>
              </w:rPr>
              <w:t>项目产出（</w:t>
            </w:r>
            <w:r>
              <w:rPr>
                <w:rFonts w:hint="eastAsia" w:ascii="仿宋" w:hAnsi="仿宋" w:eastAsia="仿宋" w:cs="仿宋"/>
                <w:b w:val="0"/>
                <w:bCs/>
                <w:i w:val="0"/>
                <w:color w:val="000000"/>
                <w:sz w:val="21"/>
                <w:szCs w:val="21"/>
                <w:u w:val="none"/>
                <w:lang w:val="en-US" w:eastAsia="zh-CN"/>
              </w:rPr>
              <w:t>30分）</w:t>
            </w:r>
          </w:p>
        </w:tc>
        <w:tc>
          <w:tcPr>
            <w:tcW w:w="411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421CC300">
            <w:pPr>
              <w:keepNext w:val="0"/>
              <w:keepLines w:val="0"/>
              <w:pageBreakBefore w:val="0"/>
              <w:kinsoku/>
              <w:wordWrap/>
              <w:overflowPunct/>
              <w:topLinePunct w:val="0"/>
              <w:autoSpaceDE/>
              <w:autoSpaceDN/>
              <w:bidi w:val="0"/>
              <w:adjustRightInd/>
              <w:snapToGrid/>
              <w:spacing w:line="40" w:lineRule="atLeast"/>
              <w:jc w:val="center"/>
              <w:rPr>
                <w:rFonts w:hint="default" w:ascii="仿宋" w:hAnsi="仿宋" w:eastAsia="仿宋" w:cs="仿宋"/>
                <w:b w:val="0"/>
                <w:bCs/>
                <w:i w:val="0"/>
                <w:color w:val="000000"/>
                <w:sz w:val="21"/>
                <w:szCs w:val="21"/>
                <w:u w:val="none"/>
                <w:lang w:val="en-US" w:eastAsia="zh-CN"/>
              </w:rPr>
            </w:pPr>
            <w:r>
              <w:rPr>
                <w:rFonts w:hint="eastAsia" w:ascii="仿宋" w:hAnsi="仿宋" w:eastAsia="仿宋" w:cs="仿宋"/>
                <w:b w:val="0"/>
                <w:bCs/>
                <w:i w:val="0"/>
                <w:color w:val="000000"/>
                <w:sz w:val="21"/>
                <w:szCs w:val="21"/>
                <w:u w:val="none"/>
                <w:lang w:eastAsia="zh-CN"/>
              </w:rPr>
              <w:t>数量指标（</w:t>
            </w:r>
            <w:r>
              <w:rPr>
                <w:rFonts w:hint="eastAsia" w:ascii="仿宋" w:hAnsi="仿宋" w:eastAsia="仿宋" w:cs="仿宋"/>
                <w:b w:val="0"/>
                <w:bCs/>
                <w:i w:val="0"/>
                <w:color w:val="000000"/>
                <w:sz w:val="21"/>
                <w:szCs w:val="21"/>
                <w:u w:val="none"/>
                <w:lang w:val="en-US" w:eastAsia="zh-CN"/>
              </w:rPr>
              <w:t>10分）</w:t>
            </w:r>
          </w:p>
        </w:tc>
        <w:tc>
          <w:tcPr>
            <w:tcW w:w="235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53B514F2">
            <w:pPr>
              <w:keepNext w:val="0"/>
              <w:keepLines w:val="0"/>
              <w:pageBreakBefore w:val="0"/>
              <w:widowControl/>
              <w:suppressLineNumbers w:val="0"/>
              <w:kinsoku/>
              <w:wordWrap/>
              <w:overflowPunct/>
              <w:topLinePunct w:val="0"/>
              <w:autoSpaceDE/>
              <w:autoSpaceDN/>
              <w:bidi w:val="0"/>
              <w:adjustRightInd/>
              <w:snapToGrid/>
              <w:spacing w:line="40" w:lineRule="atLeast"/>
              <w:ind w:left="0" w:firstLine="420" w:firstLineChars="200"/>
              <w:jc w:val="center"/>
              <w:textAlignment w:val="center"/>
              <w:rPr>
                <w:rFonts w:hint="default" w:ascii="仿宋" w:hAnsi="仿宋" w:eastAsia="仿宋" w:cs="仿宋"/>
                <w:b w:val="0"/>
                <w:bCs/>
                <w:i w:val="0"/>
                <w:color w:val="000000"/>
                <w:sz w:val="21"/>
                <w:szCs w:val="21"/>
                <w:u w:val="none"/>
                <w:lang w:val="en-US"/>
              </w:rPr>
            </w:pPr>
            <w:r>
              <w:rPr>
                <w:rFonts w:hint="eastAsia" w:ascii="仿宋" w:hAnsi="仿宋" w:eastAsia="仿宋" w:cs="仿宋"/>
                <w:b w:val="0"/>
                <w:bCs/>
                <w:i w:val="0"/>
                <w:color w:val="000000"/>
                <w:kern w:val="0"/>
                <w:sz w:val="21"/>
                <w:szCs w:val="21"/>
                <w:u w:val="none"/>
                <w:lang w:val="en-US" w:eastAsia="zh-CN" w:bidi="ar"/>
              </w:rPr>
              <w:t>7.9</w:t>
            </w:r>
          </w:p>
        </w:tc>
      </w:tr>
      <w:tr w14:paraId="77BF5318">
        <w:tblPrEx>
          <w:tblCellMar>
            <w:top w:w="0" w:type="dxa"/>
            <w:left w:w="0" w:type="dxa"/>
            <w:bottom w:w="0" w:type="dxa"/>
            <w:right w:w="0" w:type="dxa"/>
          </w:tblCellMar>
        </w:tblPrEx>
        <w:trPr>
          <w:trHeight w:val="312" w:hRule="atLeast"/>
        </w:trPr>
        <w:tc>
          <w:tcPr>
            <w:tcW w:w="2388" w:type="dxa"/>
            <w:vMerge w:val="continue"/>
            <w:tcBorders>
              <w:left w:val="single" w:color="000000" w:sz="4" w:space="0"/>
              <w:right w:val="single" w:color="000000" w:sz="4" w:space="0"/>
            </w:tcBorders>
            <w:shd w:val="clear" w:color="auto" w:fill="FFFFFF"/>
            <w:tcMar>
              <w:top w:w="12" w:type="dxa"/>
              <w:left w:w="12" w:type="dxa"/>
              <w:right w:w="12" w:type="dxa"/>
            </w:tcMar>
            <w:vAlign w:val="center"/>
          </w:tcPr>
          <w:p w14:paraId="1C75F52C">
            <w:pPr>
              <w:keepNext w:val="0"/>
              <w:keepLines w:val="0"/>
              <w:pageBreakBefore w:val="0"/>
              <w:kinsoku/>
              <w:wordWrap/>
              <w:overflowPunct/>
              <w:topLinePunct w:val="0"/>
              <w:autoSpaceDE/>
              <w:autoSpaceDN/>
              <w:bidi w:val="0"/>
              <w:adjustRightInd/>
              <w:snapToGrid/>
              <w:spacing w:line="40" w:lineRule="atLeast"/>
              <w:jc w:val="center"/>
              <w:rPr>
                <w:rFonts w:hint="eastAsia" w:ascii="仿宋" w:hAnsi="仿宋" w:eastAsia="仿宋" w:cs="仿宋"/>
                <w:b w:val="0"/>
                <w:bCs/>
                <w:i w:val="0"/>
                <w:color w:val="000000"/>
                <w:sz w:val="21"/>
                <w:szCs w:val="21"/>
                <w:u w:val="none"/>
                <w:lang w:eastAsia="zh-CN"/>
              </w:rPr>
            </w:pPr>
          </w:p>
        </w:tc>
        <w:tc>
          <w:tcPr>
            <w:tcW w:w="411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2076EA68">
            <w:pPr>
              <w:keepNext w:val="0"/>
              <w:keepLines w:val="0"/>
              <w:pageBreakBefore w:val="0"/>
              <w:kinsoku/>
              <w:wordWrap/>
              <w:overflowPunct/>
              <w:topLinePunct w:val="0"/>
              <w:autoSpaceDE/>
              <w:autoSpaceDN/>
              <w:bidi w:val="0"/>
              <w:adjustRightInd/>
              <w:snapToGrid/>
              <w:spacing w:line="40" w:lineRule="atLeast"/>
              <w:jc w:val="center"/>
              <w:rPr>
                <w:rFonts w:hint="eastAsia" w:ascii="仿宋" w:hAnsi="仿宋" w:eastAsia="仿宋" w:cs="仿宋"/>
                <w:b w:val="0"/>
                <w:bCs/>
                <w:i w:val="0"/>
                <w:color w:val="000000"/>
                <w:sz w:val="21"/>
                <w:szCs w:val="21"/>
                <w:u w:val="none"/>
                <w:lang w:eastAsia="zh-CN"/>
              </w:rPr>
            </w:pPr>
            <w:r>
              <w:rPr>
                <w:rFonts w:hint="eastAsia" w:ascii="仿宋" w:hAnsi="仿宋" w:eastAsia="仿宋" w:cs="仿宋"/>
                <w:b w:val="0"/>
                <w:bCs/>
                <w:i w:val="0"/>
                <w:color w:val="000000"/>
                <w:sz w:val="21"/>
                <w:szCs w:val="21"/>
                <w:u w:val="none"/>
                <w:lang w:val="en-US" w:eastAsia="zh-CN"/>
              </w:rPr>
              <w:t>质量指标（10分）</w:t>
            </w:r>
          </w:p>
        </w:tc>
        <w:tc>
          <w:tcPr>
            <w:tcW w:w="235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1AFADE3A">
            <w:pPr>
              <w:keepNext w:val="0"/>
              <w:keepLines w:val="0"/>
              <w:pageBreakBefore w:val="0"/>
              <w:widowControl/>
              <w:suppressLineNumbers w:val="0"/>
              <w:kinsoku/>
              <w:wordWrap/>
              <w:overflowPunct/>
              <w:topLinePunct w:val="0"/>
              <w:autoSpaceDE/>
              <w:autoSpaceDN/>
              <w:bidi w:val="0"/>
              <w:adjustRightInd/>
              <w:snapToGrid/>
              <w:spacing w:line="40" w:lineRule="atLeast"/>
              <w:ind w:left="0" w:firstLine="420" w:firstLineChars="200"/>
              <w:jc w:val="center"/>
              <w:textAlignment w:val="center"/>
              <w:rPr>
                <w:rFonts w:hint="default" w:ascii="仿宋" w:hAnsi="仿宋" w:eastAsia="仿宋" w:cs="仿宋"/>
                <w:b w:val="0"/>
                <w:bCs/>
                <w:i w:val="0"/>
                <w:color w:val="000000"/>
                <w:sz w:val="21"/>
                <w:szCs w:val="21"/>
                <w:u w:val="none"/>
                <w:lang w:val="en-US" w:eastAsia="zh-CN"/>
              </w:rPr>
            </w:pPr>
            <w:r>
              <w:rPr>
                <w:rFonts w:hint="eastAsia" w:ascii="仿宋" w:hAnsi="仿宋" w:eastAsia="仿宋" w:cs="仿宋"/>
                <w:b w:val="0"/>
                <w:bCs/>
                <w:i w:val="0"/>
                <w:color w:val="000000"/>
                <w:sz w:val="21"/>
                <w:szCs w:val="21"/>
                <w:u w:val="none"/>
                <w:lang w:val="en-US" w:eastAsia="zh-CN"/>
              </w:rPr>
              <w:t>10</w:t>
            </w:r>
          </w:p>
        </w:tc>
      </w:tr>
      <w:tr w14:paraId="181BFEF4">
        <w:tblPrEx>
          <w:shd w:val="clear" w:color="auto" w:fill="auto"/>
          <w:tblCellMar>
            <w:top w:w="0" w:type="dxa"/>
            <w:left w:w="0" w:type="dxa"/>
            <w:bottom w:w="0" w:type="dxa"/>
            <w:right w:w="0" w:type="dxa"/>
          </w:tblCellMar>
        </w:tblPrEx>
        <w:trPr>
          <w:trHeight w:val="312" w:hRule="atLeast"/>
        </w:trPr>
        <w:tc>
          <w:tcPr>
            <w:tcW w:w="2388" w:type="dxa"/>
            <w:vMerge w:val="continue"/>
            <w:tcBorders>
              <w:left w:val="single" w:color="000000" w:sz="4" w:space="0"/>
              <w:right w:val="single" w:color="000000" w:sz="4" w:space="0"/>
            </w:tcBorders>
            <w:shd w:val="clear" w:color="auto" w:fill="FFFFFF"/>
            <w:tcMar>
              <w:top w:w="12" w:type="dxa"/>
              <w:left w:w="12" w:type="dxa"/>
              <w:right w:w="12" w:type="dxa"/>
            </w:tcMar>
            <w:vAlign w:val="center"/>
          </w:tcPr>
          <w:p w14:paraId="544A528E">
            <w:pPr>
              <w:keepNext w:val="0"/>
              <w:keepLines w:val="0"/>
              <w:pageBreakBefore w:val="0"/>
              <w:kinsoku/>
              <w:wordWrap/>
              <w:overflowPunct/>
              <w:topLinePunct w:val="0"/>
              <w:autoSpaceDE/>
              <w:autoSpaceDN/>
              <w:bidi w:val="0"/>
              <w:adjustRightInd/>
              <w:snapToGrid/>
              <w:spacing w:line="40" w:lineRule="atLeast"/>
              <w:jc w:val="center"/>
              <w:rPr>
                <w:rFonts w:hint="eastAsia" w:ascii="仿宋" w:hAnsi="仿宋" w:eastAsia="仿宋" w:cs="仿宋"/>
                <w:b w:val="0"/>
                <w:bCs/>
                <w:i w:val="0"/>
                <w:color w:val="000000"/>
                <w:sz w:val="21"/>
                <w:szCs w:val="21"/>
                <w:u w:val="none"/>
                <w:lang w:eastAsia="zh-CN"/>
              </w:rPr>
            </w:pPr>
          </w:p>
        </w:tc>
        <w:tc>
          <w:tcPr>
            <w:tcW w:w="411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47A1A6BD">
            <w:pPr>
              <w:keepNext w:val="0"/>
              <w:keepLines w:val="0"/>
              <w:pageBreakBefore w:val="0"/>
              <w:kinsoku/>
              <w:wordWrap/>
              <w:overflowPunct/>
              <w:topLinePunct w:val="0"/>
              <w:autoSpaceDE/>
              <w:autoSpaceDN/>
              <w:bidi w:val="0"/>
              <w:adjustRightInd/>
              <w:snapToGrid/>
              <w:spacing w:line="40" w:lineRule="atLeast"/>
              <w:jc w:val="center"/>
              <w:rPr>
                <w:rFonts w:hint="eastAsia" w:ascii="仿宋" w:hAnsi="仿宋" w:eastAsia="仿宋" w:cs="仿宋"/>
                <w:b w:val="0"/>
                <w:bCs/>
                <w:i w:val="0"/>
                <w:color w:val="000000"/>
                <w:sz w:val="21"/>
                <w:szCs w:val="21"/>
                <w:u w:val="none"/>
                <w:lang w:eastAsia="zh-CN"/>
              </w:rPr>
            </w:pPr>
            <w:r>
              <w:rPr>
                <w:rFonts w:hint="eastAsia" w:ascii="仿宋" w:hAnsi="仿宋" w:eastAsia="仿宋" w:cs="仿宋"/>
                <w:b w:val="0"/>
                <w:bCs/>
                <w:i w:val="0"/>
                <w:color w:val="000000"/>
                <w:sz w:val="21"/>
                <w:szCs w:val="21"/>
                <w:u w:val="none"/>
                <w:lang w:val="en-US" w:eastAsia="zh-CN"/>
              </w:rPr>
              <w:t>时效指标（5分）</w:t>
            </w:r>
          </w:p>
        </w:tc>
        <w:tc>
          <w:tcPr>
            <w:tcW w:w="235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B2601B6">
            <w:pPr>
              <w:keepNext w:val="0"/>
              <w:keepLines w:val="0"/>
              <w:pageBreakBefore w:val="0"/>
              <w:widowControl/>
              <w:suppressLineNumbers w:val="0"/>
              <w:kinsoku/>
              <w:wordWrap/>
              <w:overflowPunct/>
              <w:topLinePunct w:val="0"/>
              <w:autoSpaceDE/>
              <w:autoSpaceDN/>
              <w:bidi w:val="0"/>
              <w:adjustRightInd/>
              <w:snapToGrid/>
              <w:spacing w:line="40" w:lineRule="atLeast"/>
              <w:ind w:left="0" w:firstLine="420" w:firstLineChars="200"/>
              <w:jc w:val="center"/>
              <w:textAlignment w:val="center"/>
              <w:rPr>
                <w:rFonts w:hint="default" w:ascii="仿宋" w:hAnsi="仿宋" w:eastAsia="仿宋" w:cs="仿宋"/>
                <w:b w:val="0"/>
                <w:bCs/>
                <w:i w:val="0"/>
                <w:color w:val="000000"/>
                <w:sz w:val="21"/>
                <w:szCs w:val="21"/>
                <w:u w:val="none"/>
                <w:lang w:val="en-US" w:eastAsia="zh-CN"/>
              </w:rPr>
            </w:pPr>
            <w:r>
              <w:rPr>
                <w:rFonts w:hint="eastAsia" w:ascii="仿宋" w:hAnsi="仿宋" w:eastAsia="仿宋" w:cs="仿宋"/>
                <w:b w:val="0"/>
                <w:bCs/>
                <w:i w:val="0"/>
                <w:color w:val="000000"/>
                <w:sz w:val="21"/>
                <w:szCs w:val="21"/>
                <w:u w:val="none"/>
                <w:lang w:val="en-US" w:eastAsia="zh-CN"/>
              </w:rPr>
              <w:t>5</w:t>
            </w:r>
          </w:p>
        </w:tc>
      </w:tr>
      <w:tr w14:paraId="6E22300B">
        <w:tblPrEx>
          <w:tblCellMar>
            <w:top w:w="0" w:type="dxa"/>
            <w:left w:w="0" w:type="dxa"/>
            <w:bottom w:w="0" w:type="dxa"/>
            <w:right w:w="0" w:type="dxa"/>
          </w:tblCellMar>
        </w:tblPrEx>
        <w:trPr>
          <w:trHeight w:val="312" w:hRule="atLeast"/>
        </w:trPr>
        <w:tc>
          <w:tcPr>
            <w:tcW w:w="2388" w:type="dxa"/>
            <w:vMerge w:val="continue"/>
            <w:tcBorders>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31AF40D">
            <w:pPr>
              <w:keepNext w:val="0"/>
              <w:keepLines w:val="0"/>
              <w:pageBreakBefore w:val="0"/>
              <w:kinsoku/>
              <w:wordWrap/>
              <w:overflowPunct/>
              <w:topLinePunct w:val="0"/>
              <w:autoSpaceDE/>
              <w:autoSpaceDN/>
              <w:bidi w:val="0"/>
              <w:adjustRightInd/>
              <w:snapToGrid/>
              <w:spacing w:line="40" w:lineRule="atLeast"/>
              <w:jc w:val="center"/>
              <w:rPr>
                <w:rFonts w:hint="eastAsia" w:ascii="仿宋" w:hAnsi="仿宋" w:eastAsia="仿宋" w:cs="仿宋"/>
                <w:b w:val="0"/>
                <w:bCs/>
                <w:i w:val="0"/>
                <w:color w:val="000000"/>
                <w:sz w:val="21"/>
                <w:szCs w:val="21"/>
                <w:u w:val="none"/>
                <w:lang w:eastAsia="zh-CN"/>
              </w:rPr>
            </w:pPr>
          </w:p>
        </w:tc>
        <w:tc>
          <w:tcPr>
            <w:tcW w:w="411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0CF0E676">
            <w:pPr>
              <w:keepNext w:val="0"/>
              <w:keepLines w:val="0"/>
              <w:pageBreakBefore w:val="0"/>
              <w:kinsoku/>
              <w:wordWrap/>
              <w:overflowPunct/>
              <w:topLinePunct w:val="0"/>
              <w:autoSpaceDE/>
              <w:autoSpaceDN/>
              <w:bidi w:val="0"/>
              <w:adjustRightInd/>
              <w:snapToGrid/>
              <w:spacing w:line="40" w:lineRule="atLeast"/>
              <w:jc w:val="center"/>
              <w:rPr>
                <w:rFonts w:hint="default" w:ascii="仿宋" w:hAnsi="仿宋" w:eastAsia="仿宋" w:cs="仿宋"/>
                <w:b w:val="0"/>
                <w:bCs/>
                <w:i w:val="0"/>
                <w:color w:val="000000"/>
                <w:sz w:val="21"/>
                <w:szCs w:val="21"/>
                <w:u w:val="none"/>
                <w:lang w:val="en-US" w:eastAsia="zh-CN"/>
              </w:rPr>
            </w:pPr>
            <w:r>
              <w:rPr>
                <w:rFonts w:hint="eastAsia" w:ascii="仿宋" w:hAnsi="仿宋" w:eastAsia="仿宋" w:cs="仿宋"/>
                <w:b w:val="0"/>
                <w:bCs/>
                <w:i w:val="0"/>
                <w:color w:val="000000"/>
                <w:sz w:val="21"/>
                <w:szCs w:val="21"/>
                <w:u w:val="none"/>
                <w:lang w:val="en-US" w:eastAsia="zh-CN"/>
              </w:rPr>
              <w:t>成本指标（5分）</w:t>
            </w:r>
          </w:p>
        </w:tc>
        <w:tc>
          <w:tcPr>
            <w:tcW w:w="235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B195E92">
            <w:pPr>
              <w:keepNext w:val="0"/>
              <w:keepLines w:val="0"/>
              <w:pageBreakBefore w:val="0"/>
              <w:widowControl/>
              <w:suppressLineNumbers w:val="0"/>
              <w:kinsoku/>
              <w:wordWrap/>
              <w:overflowPunct/>
              <w:topLinePunct w:val="0"/>
              <w:autoSpaceDE/>
              <w:autoSpaceDN/>
              <w:bidi w:val="0"/>
              <w:adjustRightInd/>
              <w:snapToGrid/>
              <w:spacing w:line="40" w:lineRule="atLeast"/>
              <w:ind w:left="0" w:firstLine="420" w:firstLineChars="200"/>
              <w:jc w:val="center"/>
              <w:textAlignment w:val="center"/>
              <w:rPr>
                <w:rFonts w:hint="default" w:ascii="仿宋" w:hAnsi="仿宋" w:eastAsia="仿宋" w:cs="仿宋"/>
                <w:b w:val="0"/>
                <w:bCs/>
                <w:i w:val="0"/>
                <w:color w:val="000000"/>
                <w:kern w:val="0"/>
                <w:sz w:val="21"/>
                <w:szCs w:val="21"/>
                <w:u w:val="none"/>
                <w:lang w:val="en-US" w:eastAsia="zh-CN" w:bidi="ar"/>
              </w:rPr>
            </w:pPr>
            <w:r>
              <w:rPr>
                <w:rFonts w:hint="eastAsia" w:ascii="仿宋" w:hAnsi="仿宋" w:eastAsia="仿宋" w:cs="仿宋"/>
                <w:b w:val="0"/>
                <w:bCs/>
                <w:i w:val="0"/>
                <w:color w:val="000000"/>
                <w:kern w:val="0"/>
                <w:sz w:val="21"/>
                <w:szCs w:val="21"/>
                <w:u w:val="none"/>
                <w:lang w:val="en-US" w:eastAsia="zh-CN" w:bidi="ar"/>
              </w:rPr>
              <w:t>5</w:t>
            </w:r>
          </w:p>
        </w:tc>
      </w:tr>
      <w:tr w14:paraId="38EF4823">
        <w:tblPrEx>
          <w:shd w:val="clear" w:color="auto" w:fill="auto"/>
          <w:tblCellMar>
            <w:top w:w="0" w:type="dxa"/>
            <w:left w:w="0" w:type="dxa"/>
            <w:bottom w:w="0" w:type="dxa"/>
            <w:right w:w="0" w:type="dxa"/>
          </w:tblCellMar>
        </w:tblPrEx>
        <w:trPr>
          <w:trHeight w:val="312" w:hRule="atLeast"/>
        </w:trPr>
        <w:tc>
          <w:tcPr>
            <w:tcW w:w="2388" w:type="dxa"/>
            <w:vMerge w:val="restart"/>
            <w:tcBorders>
              <w:top w:val="single" w:color="000000" w:sz="4" w:space="0"/>
              <w:left w:val="single" w:color="000000" w:sz="4" w:space="0"/>
              <w:right w:val="single" w:color="000000" w:sz="4" w:space="0"/>
            </w:tcBorders>
            <w:shd w:val="clear" w:color="auto" w:fill="FFFFFF"/>
            <w:tcMar>
              <w:top w:w="12" w:type="dxa"/>
              <w:left w:w="12" w:type="dxa"/>
              <w:right w:w="12" w:type="dxa"/>
            </w:tcMar>
            <w:vAlign w:val="center"/>
          </w:tcPr>
          <w:p w14:paraId="7DD788FE">
            <w:pPr>
              <w:keepNext w:val="0"/>
              <w:keepLines w:val="0"/>
              <w:pageBreakBefore w:val="0"/>
              <w:kinsoku/>
              <w:wordWrap/>
              <w:overflowPunct/>
              <w:topLinePunct w:val="0"/>
              <w:autoSpaceDE/>
              <w:autoSpaceDN/>
              <w:bidi w:val="0"/>
              <w:adjustRightInd/>
              <w:snapToGrid/>
              <w:spacing w:line="40" w:lineRule="atLeast"/>
              <w:jc w:val="center"/>
              <w:rPr>
                <w:rFonts w:hint="eastAsia" w:ascii="仿宋" w:hAnsi="仿宋" w:eastAsia="仿宋" w:cs="仿宋"/>
                <w:b w:val="0"/>
                <w:bCs/>
                <w:i w:val="0"/>
                <w:color w:val="000000"/>
                <w:sz w:val="21"/>
                <w:szCs w:val="21"/>
                <w:u w:val="none"/>
                <w:lang w:eastAsia="zh-CN"/>
              </w:rPr>
            </w:pPr>
            <w:r>
              <w:rPr>
                <w:rFonts w:hint="eastAsia" w:ascii="仿宋" w:hAnsi="仿宋" w:eastAsia="仿宋" w:cs="仿宋"/>
                <w:b w:val="0"/>
                <w:bCs/>
                <w:i w:val="0"/>
                <w:color w:val="000000"/>
                <w:sz w:val="21"/>
                <w:szCs w:val="21"/>
                <w:u w:val="none"/>
                <w:lang w:val="en-US" w:eastAsia="zh-CN"/>
              </w:rPr>
              <w:t>项目效益（50分）</w:t>
            </w:r>
          </w:p>
        </w:tc>
        <w:tc>
          <w:tcPr>
            <w:tcW w:w="411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5249BEC7">
            <w:pPr>
              <w:keepNext w:val="0"/>
              <w:keepLines w:val="0"/>
              <w:pageBreakBefore w:val="0"/>
              <w:kinsoku/>
              <w:wordWrap/>
              <w:overflowPunct/>
              <w:topLinePunct w:val="0"/>
              <w:autoSpaceDE/>
              <w:autoSpaceDN/>
              <w:bidi w:val="0"/>
              <w:adjustRightInd/>
              <w:snapToGrid/>
              <w:spacing w:line="40" w:lineRule="atLeast"/>
              <w:jc w:val="center"/>
              <w:rPr>
                <w:rFonts w:hint="default" w:ascii="仿宋" w:hAnsi="仿宋" w:eastAsia="仿宋" w:cs="仿宋"/>
                <w:b w:val="0"/>
                <w:bCs/>
                <w:i w:val="0"/>
                <w:color w:val="000000"/>
                <w:sz w:val="21"/>
                <w:szCs w:val="21"/>
                <w:u w:val="none"/>
                <w:lang w:val="en-US" w:eastAsia="zh-CN"/>
              </w:rPr>
            </w:pPr>
            <w:r>
              <w:rPr>
                <w:rFonts w:hint="eastAsia" w:ascii="仿宋" w:hAnsi="仿宋" w:eastAsia="仿宋" w:cs="仿宋"/>
                <w:b w:val="0"/>
                <w:bCs/>
                <w:i w:val="0"/>
                <w:color w:val="000000"/>
                <w:sz w:val="21"/>
                <w:szCs w:val="21"/>
                <w:u w:val="none"/>
                <w:lang w:eastAsia="zh-CN"/>
              </w:rPr>
              <w:t>经济效益指标（</w:t>
            </w:r>
            <w:r>
              <w:rPr>
                <w:rFonts w:hint="eastAsia" w:ascii="仿宋" w:hAnsi="仿宋" w:eastAsia="仿宋" w:cs="仿宋"/>
                <w:b w:val="0"/>
                <w:bCs/>
                <w:i w:val="0"/>
                <w:color w:val="000000"/>
                <w:sz w:val="21"/>
                <w:szCs w:val="21"/>
                <w:u w:val="none"/>
                <w:lang w:val="en-US" w:eastAsia="zh-CN"/>
              </w:rPr>
              <w:t>20分）</w:t>
            </w:r>
          </w:p>
        </w:tc>
        <w:tc>
          <w:tcPr>
            <w:tcW w:w="235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42429CE6">
            <w:pPr>
              <w:keepNext w:val="0"/>
              <w:keepLines w:val="0"/>
              <w:pageBreakBefore w:val="0"/>
              <w:widowControl/>
              <w:suppressLineNumbers w:val="0"/>
              <w:kinsoku/>
              <w:wordWrap/>
              <w:overflowPunct/>
              <w:topLinePunct w:val="0"/>
              <w:autoSpaceDE/>
              <w:autoSpaceDN/>
              <w:bidi w:val="0"/>
              <w:adjustRightInd/>
              <w:snapToGrid/>
              <w:spacing w:line="40" w:lineRule="atLeast"/>
              <w:ind w:left="0" w:firstLine="420" w:firstLineChars="200"/>
              <w:jc w:val="center"/>
              <w:textAlignment w:val="center"/>
              <w:rPr>
                <w:rFonts w:hint="default" w:ascii="仿宋" w:hAnsi="仿宋" w:eastAsia="仿宋" w:cs="仿宋"/>
                <w:b w:val="0"/>
                <w:bCs/>
                <w:i w:val="0"/>
                <w:color w:val="000000"/>
                <w:sz w:val="21"/>
                <w:szCs w:val="21"/>
                <w:u w:val="none"/>
                <w:lang w:val="en-US"/>
              </w:rPr>
            </w:pPr>
            <w:r>
              <w:rPr>
                <w:rFonts w:hint="eastAsia" w:ascii="仿宋" w:hAnsi="仿宋" w:eastAsia="仿宋" w:cs="仿宋"/>
                <w:b w:val="0"/>
                <w:bCs/>
                <w:i w:val="0"/>
                <w:color w:val="000000"/>
                <w:kern w:val="0"/>
                <w:sz w:val="21"/>
                <w:szCs w:val="21"/>
                <w:u w:val="none"/>
                <w:lang w:val="en-US" w:eastAsia="zh-CN" w:bidi="ar"/>
              </w:rPr>
              <w:t>14.42</w:t>
            </w:r>
          </w:p>
        </w:tc>
      </w:tr>
      <w:tr w14:paraId="49A6409E">
        <w:tblPrEx>
          <w:shd w:val="clear" w:color="auto" w:fill="auto"/>
          <w:tblCellMar>
            <w:top w:w="0" w:type="dxa"/>
            <w:left w:w="0" w:type="dxa"/>
            <w:bottom w:w="0" w:type="dxa"/>
            <w:right w:w="0" w:type="dxa"/>
          </w:tblCellMar>
        </w:tblPrEx>
        <w:trPr>
          <w:trHeight w:val="312" w:hRule="atLeast"/>
        </w:trPr>
        <w:tc>
          <w:tcPr>
            <w:tcW w:w="2388" w:type="dxa"/>
            <w:vMerge w:val="continue"/>
            <w:tcBorders>
              <w:left w:val="single" w:color="000000" w:sz="4" w:space="0"/>
              <w:bottom w:val="single" w:color="auto" w:sz="4" w:space="0"/>
              <w:right w:val="single" w:color="000000" w:sz="4" w:space="0"/>
            </w:tcBorders>
            <w:shd w:val="clear" w:color="auto" w:fill="FFFFFF"/>
            <w:tcMar>
              <w:top w:w="12" w:type="dxa"/>
              <w:left w:w="12" w:type="dxa"/>
              <w:right w:w="12" w:type="dxa"/>
            </w:tcMar>
            <w:vAlign w:val="center"/>
          </w:tcPr>
          <w:p w14:paraId="389DC429">
            <w:pPr>
              <w:keepNext w:val="0"/>
              <w:keepLines w:val="0"/>
              <w:pageBreakBefore w:val="0"/>
              <w:widowControl/>
              <w:suppressLineNumbers w:val="0"/>
              <w:kinsoku/>
              <w:wordWrap/>
              <w:overflowPunct/>
              <w:topLinePunct w:val="0"/>
              <w:autoSpaceDE/>
              <w:autoSpaceDN/>
              <w:bidi w:val="0"/>
              <w:adjustRightInd/>
              <w:snapToGrid/>
              <w:spacing w:line="40" w:lineRule="atLeast"/>
              <w:ind w:left="0"/>
              <w:jc w:val="center"/>
              <w:textAlignment w:val="center"/>
              <w:rPr>
                <w:rFonts w:hint="eastAsia" w:ascii="仿宋" w:hAnsi="仿宋" w:eastAsia="仿宋" w:cs="仿宋"/>
                <w:b w:val="0"/>
                <w:bCs/>
                <w:i w:val="0"/>
                <w:color w:val="000000"/>
                <w:kern w:val="0"/>
                <w:sz w:val="21"/>
                <w:szCs w:val="21"/>
                <w:u w:val="none"/>
                <w:lang w:val="en-US" w:eastAsia="zh-CN" w:bidi="ar"/>
              </w:rPr>
            </w:pPr>
          </w:p>
        </w:tc>
        <w:tc>
          <w:tcPr>
            <w:tcW w:w="4119" w:type="dxa"/>
            <w:tcBorders>
              <w:top w:val="single" w:color="000000" w:sz="4" w:space="0"/>
              <w:left w:val="single" w:color="000000" w:sz="4" w:space="0"/>
              <w:bottom w:val="single" w:color="auto" w:sz="4" w:space="0"/>
              <w:right w:val="single" w:color="000000" w:sz="4" w:space="0"/>
            </w:tcBorders>
            <w:shd w:val="clear" w:color="auto" w:fill="FFFFFF"/>
            <w:tcMar>
              <w:top w:w="12" w:type="dxa"/>
              <w:left w:w="12" w:type="dxa"/>
              <w:right w:w="12" w:type="dxa"/>
            </w:tcMar>
            <w:vAlign w:val="center"/>
          </w:tcPr>
          <w:p w14:paraId="66EF55E3">
            <w:pPr>
              <w:keepNext w:val="0"/>
              <w:keepLines w:val="0"/>
              <w:pageBreakBefore w:val="0"/>
              <w:kinsoku/>
              <w:wordWrap/>
              <w:overflowPunct/>
              <w:topLinePunct w:val="0"/>
              <w:autoSpaceDE/>
              <w:autoSpaceDN/>
              <w:bidi w:val="0"/>
              <w:adjustRightInd/>
              <w:snapToGrid/>
              <w:spacing w:line="40" w:lineRule="atLeast"/>
              <w:jc w:val="center"/>
              <w:rPr>
                <w:rFonts w:hint="eastAsia" w:ascii="仿宋" w:hAnsi="仿宋" w:eastAsia="仿宋" w:cs="仿宋"/>
                <w:b w:val="0"/>
                <w:bCs/>
                <w:i w:val="0"/>
                <w:color w:val="000000"/>
                <w:kern w:val="2"/>
                <w:sz w:val="21"/>
                <w:szCs w:val="21"/>
                <w:u w:val="none"/>
                <w:lang w:val="en-US" w:eastAsia="zh-CN" w:bidi="ar-SA"/>
              </w:rPr>
            </w:pPr>
            <w:r>
              <w:rPr>
                <w:rFonts w:hint="eastAsia" w:ascii="仿宋" w:hAnsi="仿宋" w:eastAsia="仿宋" w:cs="仿宋"/>
                <w:b w:val="0"/>
                <w:bCs/>
                <w:i w:val="0"/>
                <w:color w:val="000000"/>
                <w:sz w:val="21"/>
                <w:szCs w:val="21"/>
                <w:u w:val="none"/>
                <w:lang w:eastAsia="zh-CN"/>
              </w:rPr>
              <w:t>社会效益指标（</w:t>
            </w:r>
            <w:r>
              <w:rPr>
                <w:rFonts w:hint="eastAsia" w:ascii="仿宋" w:hAnsi="仿宋" w:eastAsia="仿宋" w:cs="仿宋"/>
                <w:b w:val="0"/>
                <w:bCs/>
                <w:i w:val="0"/>
                <w:color w:val="000000"/>
                <w:sz w:val="21"/>
                <w:szCs w:val="21"/>
                <w:u w:val="none"/>
                <w:lang w:val="en-US" w:eastAsia="zh-CN"/>
              </w:rPr>
              <w:t>20分）</w:t>
            </w:r>
          </w:p>
        </w:tc>
        <w:tc>
          <w:tcPr>
            <w:tcW w:w="235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5F364562">
            <w:pPr>
              <w:keepNext w:val="0"/>
              <w:keepLines w:val="0"/>
              <w:pageBreakBefore w:val="0"/>
              <w:widowControl/>
              <w:suppressLineNumbers w:val="0"/>
              <w:kinsoku/>
              <w:wordWrap/>
              <w:overflowPunct/>
              <w:topLinePunct w:val="0"/>
              <w:autoSpaceDE/>
              <w:autoSpaceDN/>
              <w:bidi w:val="0"/>
              <w:adjustRightInd/>
              <w:snapToGrid/>
              <w:spacing w:line="40" w:lineRule="atLeast"/>
              <w:ind w:left="0" w:leftChars="0" w:firstLine="420" w:firstLineChars="200"/>
              <w:jc w:val="center"/>
              <w:textAlignment w:val="center"/>
              <w:rPr>
                <w:rFonts w:hint="default" w:ascii="仿宋" w:hAnsi="仿宋" w:eastAsia="仿宋" w:cs="仿宋"/>
                <w:b w:val="0"/>
                <w:bCs/>
                <w:i w:val="0"/>
                <w:color w:val="000000"/>
                <w:kern w:val="2"/>
                <w:sz w:val="21"/>
                <w:szCs w:val="21"/>
                <w:u w:val="none"/>
                <w:lang w:val="en-US" w:eastAsia="zh-CN" w:bidi="ar-SA"/>
              </w:rPr>
            </w:pPr>
            <w:r>
              <w:rPr>
                <w:rFonts w:hint="eastAsia" w:ascii="仿宋" w:hAnsi="仿宋" w:eastAsia="仿宋" w:cs="仿宋"/>
                <w:b w:val="0"/>
                <w:bCs/>
                <w:i w:val="0"/>
                <w:color w:val="000000"/>
                <w:kern w:val="0"/>
                <w:sz w:val="21"/>
                <w:szCs w:val="21"/>
                <w:u w:val="none"/>
                <w:lang w:val="en-US" w:eastAsia="zh-CN" w:bidi="ar"/>
              </w:rPr>
              <w:t>20</w:t>
            </w:r>
          </w:p>
        </w:tc>
      </w:tr>
      <w:tr w14:paraId="747D1161">
        <w:tblPrEx>
          <w:tblCellMar>
            <w:top w:w="0" w:type="dxa"/>
            <w:left w:w="0" w:type="dxa"/>
            <w:bottom w:w="0" w:type="dxa"/>
            <w:right w:w="0" w:type="dxa"/>
          </w:tblCellMar>
        </w:tblPrEx>
        <w:trPr>
          <w:trHeight w:val="312" w:hRule="atLeast"/>
        </w:trPr>
        <w:tc>
          <w:tcPr>
            <w:tcW w:w="2388" w:type="dxa"/>
            <w:tcBorders>
              <w:top w:val="single" w:color="auto" w:sz="4" w:space="0"/>
              <w:left w:val="single" w:color="000000" w:sz="4" w:space="0"/>
              <w:bottom w:val="single" w:color="auto" w:sz="4" w:space="0"/>
              <w:right w:val="single" w:color="000000" w:sz="4" w:space="0"/>
            </w:tcBorders>
            <w:shd w:val="clear" w:color="auto" w:fill="FFFFFF"/>
            <w:tcMar>
              <w:top w:w="12" w:type="dxa"/>
              <w:left w:w="12" w:type="dxa"/>
              <w:right w:w="12" w:type="dxa"/>
            </w:tcMar>
            <w:vAlign w:val="center"/>
          </w:tcPr>
          <w:p w14:paraId="6988F167">
            <w:pPr>
              <w:keepNext w:val="0"/>
              <w:keepLines w:val="0"/>
              <w:pageBreakBefore w:val="0"/>
              <w:widowControl/>
              <w:suppressLineNumbers w:val="0"/>
              <w:kinsoku/>
              <w:wordWrap/>
              <w:overflowPunct/>
              <w:topLinePunct w:val="0"/>
              <w:autoSpaceDE/>
              <w:autoSpaceDN/>
              <w:bidi w:val="0"/>
              <w:adjustRightInd/>
              <w:snapToGrid/>
              <w:spacing w:line="40" w:lineRule="atLeast"/>
              <w:ind w:left="0"/>
              <w:jc w:val="center"/>
              <w:textAlignment w:val="center"/>
              <w:rPr>
                <w:rFonts w:hint="eastAsia" w:ascii="仿宋" w:hAnsi="仿宋" w:eastAsia="仿宋" w:cs="仿宋"/>
                <w:b w:val="0"/>
                <w:bCs/>
                <w:i w:val="0"/>
                <w:color w:val="000000"/>
                <w:kern w:val="0"/>
                <w:sz w:val="21"/>
                <w:szCs w:val="21"/>
                <w:u w:val="none"/>
                <w:lang w:val="en-US" w:eastAsia="zh-CN" w:bidi="ar"/>
              </w:rPr>
            </w:pPr>
          </w:p>
        </w:tc>
        <w:tc>
          <w:tcPr>
            <w:tcW w:w="4119" w:type="dxa"/>
            <w:tcBorders>
              <w:top w:val="single" w:color="auto" w:sz="4" w:space="0"/>
              <w:left w:val="single" w:color="000000" w:sz="4" w:space="0"/>
              <w:bottom w:val="single" w:color="auto" w:sz="4" w:space="0"/>
              <w:right w:val="single" w:color="000000" w:sz="4" w:space="0"/>
            </w:tcBorders>
            <w:shd w:val="clear" w:color="auto" w:fill="FFFFFF"/>
            <w:tcMar>
              <w:top w:w="12" w:type="dxa"/>
              <w:left w:w="12" w:type="dxa"/>
              <w:right w:w="12" w:type="dxa"/>
            </w:tcMar>
            <w:vAlign w:val="center"/>
          </w:tcPr>
          <w:p w14:paraId="731321D3">
            <w:pPr>
              <w:keepNext w:val="0"/>
              <w:keepLines w:val="0"/>
              <w:pageBreakBefore w:val="0"/>
              <w:kinsoku/>
              <w:wordWrap/>
              <w:overflowPunct/>
              <w:topLinePunct w:val="0"/>
              <w:autoSpaceDE/>
              <w:autoSpaceDN/>
              <w:bidi w:val="0"/>
              <w:adjustRightInd/>
              <w:snapToGrid/>
              <w:spacing w:line="40" w:lineRule="atLeast"/>
              <w:jc w:val="center"/>
              <w:rPr>
                <w:rFonts w:hint="eastAsia" w:ascii="仿宋" w:hAnsi="仿宋" w:eastAsia="仿宋" w:cs="仿宋"/>
                <w:b w:val="0"/>
                <w:bCs/>
                <w:i w:val="0"/>
                <w:color w:val="000000"/>
                <w:kern w:val="2"/>
                <w:sz w:val="21"/>
                <w:szCs w:val="21"/>
                <w:u w:val="none"/>
                <w:lang w:val="en-US" w:eastAsia="zh-CN" w:bidi="ar-SA"/>
              </w:rPr>
            </w:pPr>
            <w:r>
              <w:rPr>
                <w:rFonts w:hint="eastAsia" w:ascii="仿宋" w:hAnsi="仿宋" w:eastAsia="仿宋" w:cs="仿宋"/>
                <w:b w:val="0"/>
                <w:bCs/>
                <w:i w:val="0"/>
                <w:color w:val="000000"/>
                <w:sz w:val="21"/>
                <w:szCs w:val="21"/>
                <w:u w:val="none"/>
                <w:lang w:eastAsia="zh-CN"/>
              </w:rPr>
              <w:t>可持续影响指标（</w:t>
            </w:r>
            <w:r>
              <w:rPr>
                <w:rFonts w:hint="eastAsia" w:ascii="仿宋" w:hAnsi="仿宋" w:eastAsia="仿宋" w:cs="仿宋"/>
                <w:b w:val="0"/>
                <w:bCs/>
                <w:i w:val="0"/>
                <w:color w:val="000000"/>
                <w:sz w:val="21"/>
                <w:szCs w:val="21"/>
                <w:u w:val="none"/>
                <w:lang w:val="en-US" w:eastAsia="zh-CN"/>
              </w:rPr>
              <w:t>10分）</w:t>
            </w:r>
          </w:p>
        </w:tc>
        <w:tc>
          <w:tcPr>
            <w:tcW w:w="2356" w:type="dxa"/>
            <w:tcBorders>
              <w:top w:val="single" w:color="000000" w:sz="4" w:space="0"/>
              <w:left w:val="single" w:color="000000" w:sz="4" w:space="0"/>
              <w:bottom w:val="single" w:color="auto" w:sz="4" w:space="0"/>
              <w:right w:val="single" w:color="000000" w:sz="4" w:space="0"/>
            </w:tcBorders>
            <w:shd w:val="clear" w:color="auto" w:fill="FFFFFF"/>
            <w:tcMar>
              <w:top w:w="12" w:type="dxa"/>
              <w:left w:w="12" w:type="dxa"/>
              <w:right w:w="12" w:type="dxa"/>
            </w:tcMar>
            <w:vAlign w:val="center"/>
          </w:tcPr>
          <w:p w14:paraId="67CC6242">
            <w:pPr>
              <w:keepNext w:val="0"/>
              <w:keepLines w:val="0"/>
              <w:pageBreakBefore w:val="0"/>
              <w:widowControl/>
              <w:suppressLineNumbers w:val="0"/>
              <w:kinsoku/>
              <w:wordWrap/>
              <w:overflowPunct/>
              <w:topLinePunct w:val="0"/>
              <w:autoSpaceDE/>
              <w:autoSpaceDN/>
              <w:bidi w:val="0"/>
              <w:adjustRightInd/>
              <w:snapToGrid/>
              <w:spacing w:line="40" w:lineRule="atLeast"/>
              <w:ind w:left="0" w:leftChars="0" w:firstLine="420" w:firstLineChars="200"/>
              <w:jc w:val="center"/>
              <w:textAlignment w:val="center"/>
              <w:rPr>
                <w:rFonts w:hint="eastAsia" w:ascii="仿宋" w:hAnsi="仿宋" w:eastAsia="仿宋" w:cs="仿宋"/>
                <w:b w:val="0"/>
                <w:bCs/>
                <w:i w:val="0"/>
                <w:color w:val="000000"/>
                <w:kern w:val="2"/>
                <w:sz w:val="21"/>
                <w:szCs w:val="21"/>
                <w:u w:val="none"/>
                <w:lang w:val="en-US" w:eastAsia="zh-CN" w:bidi="ar-SA"/>
              </w:rPr>
            </w:pPr>
            <w:r>
              <w:rPr>
                <w:rFonts w:hint="eastAsia" w:ascii="仿宋" w:hAnsi="仿宋" w:eastAsia="仿宋" w:cs="仿宋"/>
                <w:b w:val="0"/>
                <w:bCs/>
                <w:i w:val="0"/>
                <w:color w:val="000000"/>
                <w:kern w:val="0"/>
                <w:sz w:val="21"/>
                <w:szCs w:val="21"/>
                <w:u w:val="none"/>
                <w:lang w:val="en-US" w:eastAsia="zh-CN" w:bidi="ar"/>
              </w:rPr>
              <w:t>10</w:t>
            </w:r>
          </w:p>
        </w:tc>
      </w:tr>
    </w:tbl>
    <w:p w14:paraId="32A1AEE9">
      <w:pPr>
        <w:pStyle w:val="2"/>
        <w:pageBreakBefore w:val="0"/>
        <w:kinsoku/>
        <w:wordWrap/>
        <w:overflowPunct/>
        <w:topLinePunct w:val="0"/>
        <w:autoSpaceDE/>
        <w:autoSpaceDN/>
        <w:bidi w:val="0"/>
        <w:adjustRightInd/>
        <w:snapToGrid/>
        <w:spacing w:before="0" w:after="0" w:line="560" w:lineRule="atLeast"/>
        <w:ind w:firstLine="708" w:firstLineChars="200"/>
        <w:jc w:val="both"/>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3B6E97B7">
      <w:pPr>
        <w:pageBreakBefore w:val="0"/>
        <w:kinsoku/>
        <w:wordWrap/>
        <w:overflowPunct/>
        <w:topLinePunct w:val="0"/>
        <w:autoSpaceDE/>
        <w:autoSpaceDN/>
        <w:bidi w:val="0"/>
        <w:adjustRightInd/>
        <w:snapToGrid/>
        <w:spacing w:line="560" w:lineRule="atLeast"/>
        <w:ind w:left="0" w:firstLine="708" w:firstLineChars="200"/>
        <w:rPr>
          <w:rFonts w:hint="eastAsia" w:ascii="仿宋_GB2312" w:hAnsi="仿宋_GB2312" w:eastAsia="仿宋_GB2312" w:cs="仿宋_GB2312"/>
          <w:b w:val="0"/>
          <w:bCs w:val="0"/>
          <w:color w:val="000000"/>
          <w:spacing w:val="17"/>
          <w:kern w:val="2"/>
          <w:sz w:val="32"/>
          <w:szCs w:val="32"/>
          <w:lang w:val="en-US" w:eastAsia="zh-CN" w:bidi="ar-SA"/>
        </w:rPr>
      </w:pPr>
      <w:r>
        <w:rPr>
          <w:rFonts w:hint="eastAsia" w:ascii="仿宋_GB2312" w:hAnsi="仿宋_GB2312" w:eastAsia="仿宋_GB2312" w:cs="仿宋_GB2312"/>
          <w:b w:val="0"/>
          <w:bCs w:val="0"/>
          <w:color w:val="000000"/>
          <w:spacing w:val="17"/>
          <w:kern w:val="2"/>
          <w:sz w:val="32"/>
          <w:szCs w:val="32"/>
          <w:lang w:val="en-US" w:eastAsia="zh-CN" w:bidi="ar-SA"/>
        </w:rPr>
        <w:t>3、</w:t>
      </w:r>
      <w:r>
        <w:rPr>
          <w:rFonts w:hint="eastAsia" w:ascii="仿宋_GB2312" w:hAnsi="仿宋_GB2312" w:eastAsia="仿宋_GB2312" w:cs="仿宋_GB2312"/>
          <w:b/>
          <w:bCs/>
          <w:color w:val="000000"/>
          <w:spacing w:val="17"/>
          <w:kern w:val="2"/>
          <w:sz w:val="32"/>
          <w:szCs w:val="32"/>
          <w:lang w:val="en-US" w:eastAsia="zh-CN" w:bidi="ar-SA"/>
        </w:rPr>
        <w:t>评价方法</w:t>
      </w:r>
    </w:p>
    <w:p w14:paraId="292F6250">
      <w:pPr>
        <w:pageBreakBefore w:val="0"/>
        <w:kinsoku/>
        <w:wordWrap/>
        <w:overflowPunct/>
        <w:topLinePunct w:val="0"/>
        <w:autoSpaceDE/>
        <w:autoSpaceDN/>
        <w:bidi w:val="0"/>
        <w:adjustRightInd/>
        <w:snapToGrid/>
        <w:spacing w:line="560" w:lineRule="atLeast"/>
        <w:ind w:left="0" w:firstLine="708" w:firstLineChars="200"/>
        <w:rPr>
          <w:rFonts w:hint="eastAsia" w:ascii="仿宋_GB2312" w:hAnsi="仿宋_GB2312" w:eastAsia="仿宋_GB2312" w:cs="仿宋_GB2312"/>
          <w:b w:val="0"/>
          <w:bCs w:val="0"/>
          <w:color w:val="000000"/>
          <w:spacing w:val="17"/>
          <w:kern w:val="2"/>
          <w:sz w:val="32"/>
          <w:szCs w:val="32"/>
          <w:lang w:val="en-US" w:eastAsia="zh-CN" w:bidi="ar-SA"/>
        </w:rPr>
      </w:pPr>
      <w:r>
        <w:rPr>
          <w:rFonts w:hint="eastAsia" w:ascii="仿宋_GB2312" w:hAnsi="仿宋_GB2312" w:eastAsia="仿宋_GB2312" w:cs="仿宋_GB2312"/>
          <w:b w:val="0"/>
          <w:bCs w:val="0"/>
          <w:color w:val="000000"/>
          <w:spacing w:val="17"/>
          <w:kern w:val="2"/>
          <w:sz w:val="32"/>
          <w:szCs w:val="32"/>
          <w:lang w:val="en-US" w:eastAsia="zh-CN" w:bidi="ar-SA"/>
        </w:rPr>
        <w:t>绩效评价方法主要包括成本效益分析法、比较法、因素分析法、最低成本法、公众评判法、标杆管理法等。</w:t>
      </w:r>
    </w:p>
    <w:p w14:paraId="77C1D1D0">
      <w:pPr>
        <w:pageBreakBefore w:val="0"/>
        <w:kinsoku/>
        <w:wordWrap/>
        <w:overflowPunct/>
        <w:topLinePunct w:val="0"/>
        <w:autoSpaceDE/>
        <w:autoSpaceDN/>
        <w:bidi w:val="0"/>
        <w:adjustRightInd/>
        <w:snapToGrid/>
        <w:spacing w:line="560" w:lineRule="atLeast"/>
        <w:ind w:left="0" w:firstLine="708" w:firstLineChars="200"/>
        <w:rPr>
          <w:rFonts w:hint="eastAsia" w:ascii="仿宋_GB2312" w:hAnsi="仿宋_GB2312" w:eastAsia="仿宋_GB2312" w:cs="仿宋_GB2312"/>
          <w:b w:val="0"/>
          <w:bCs w:val="0"/>
          <w:color w:val="000000"/>
          <w:spacing w:val="17"/>
          <w:kern w:val="2"/>
          <w:sz w:val="32"/>
          <w:szCs w:val="32"/>
          <w:lang w:val="en-US" w:eastAsia="zh-CN" w:bidi="ar-SA"/>
        </w:rPr>
      </w:pPr>
      <w:r>
        <w:rPr>
          <w:rFonts w:hint="eastAsia" w:ascii="仿宋_GB2312" w:hAnsi="仿宋_GB2312" w:eastAsia="仿宋_GB2312" w:cs="仿宋_GB2312"/>
          <w:b w:val="0"/>
          <w:bCs w:val="0"/>
          <w:color w:val="000000"/>
          <w:spacing w:val="17"/>
          <w:kern w:val="2"/>
          <w:sz w:val="32"/>
          <w:szCs w:val="32"/>
          <w:lang w:val="en-US" w:eastAsia="zh-CN" w:bidi="ar-SA"/>
        </w:rPr>
        <w:t>针对本项目，在评价过程中主要采用了成本效益分析法。</w:t>
      </w:r>
    </w:p>
    <w:p w14:paraId="22408EEA">
      <w:pPr>
        <w:pStyle w:val="3"/>
        <w:pageBreakBefore w:val="0"/>
        <w:kinsoku/>
        <w:wordWrap/>
        <w:overflowPunct/>
        <w:topLinePunct w:val="0"/>
        <w:autoSpaceDE/>
        <w:autoSpaceDN/>
        <w:bidi w:val="0"/>
        <w:adjustRightInd/>
        <w:snapToGrid/>
        <w:spacing w:before="0" w:after="0" w:line="560" w:lineRule="atLeast"/>
        <w:ind w:left="0" w:firstLine="562" w:firstLineChars="200"/>
        <w:rPr>
          <w:rFonts w:hint="eastAsia" w:ascii="仿宋_GB2312" w:hAnsi="仿宋_GB2312" w:eastAsia="仿宋_GB2312" w:cs="仿宋_GB2312"/>
          <w:b/>
          <w:bCs/>
          <w:color w:val="000000"/>
          <w:spacing w:val="17"/>
          <w:kern w:val="2"/>
          <w:sz w:val="32"/>
          <w:szCs w:val="32"/>
          <w:lang w:val="en-US" w:eastAsia="zh-CN" w:bidi="ar-SA"/>
        </w:rPr>
      </w:pPr>
      <w:r>
        <w:rPr>
          <w:rFonts w:hint="eastAsia" w:ascii="仿宋" w:hAnsi="仿宋" w:eastAsia="仿宋" w:cs="仿宋"/>
          <w:b/>
          <w:bCs/>
          <w:kern w:val="2"/>
          <w:sz w:val="28"/>
          <w:szCs w:val="28"/>
          <w:lang w:val="en-US" w:eastAsia="zh-CN" w:bidi="ar-SA"/>
        </w:rPr>
        <w:t>4、</w:t>
      </w:r>
      <w:r>
        <w:rPr>
          <w:rFonts w:hint="eastAsia" w:ascii="仿宋_GB2312" w:hAnsi="仿宋_GB2312" w:eastAsia="仿宋_GB2312" w:cs="仿宋_GB2312"/>
          <w:b/>
          <w:bCs/>
          <w:color w:val="000000"/>
          <w:spacing w:val="17"/>
          <w:kern w:val="2"/>
          <w:sz w:val="32"/>
          <w:szCs w:val="32"/>
          <w:lang w:val="en-US" w:eastAsia="zh-CN" w:bidi="ar-SA"/>
        </w:rPr>
        <w:t>绩效评价标准</w:t>
      </w:r>
    </w:p>
    <w:p w14:paraId="476714B3">
      <w:pPr>
        <w:pageBreakBefore w:val="0"/>
        <w:kinsoku/>
        <w:wordWrap/>
        <w:overflowPunct/>
        <w:topLinePunct w:val="0"/>
        <w:autoSpaceDE/>
        <w:autoSpaceDN/>
        <w:bidi w:val="0"/>
        <w:adjustRightInd/>
        <w:snapToGrid/>
        <w:spacing w:line="560" w:lineRule="atLeast"/>
        <w:ind w:firstLine="708" w:firstLineChars="200"/>
        <w:contextualSpacing/>
        <w:rPr>
          <w:rFonts w:hint="eastAsia" w:ascii="仿宋_GB2312" w:hAnsi="仿宋_GB2312" w:eastAsia="仿宋_GB2312" w:cs="仿宋_GB2312"/>
          <w:b w:val="0"/>
          <w:bCs w:val="0"/>
          <w:color w:val="000000"/>
          <w:spacing w:val="17"/>
          <w:kern w:val="2"/>
          <w:sz w:val="32"/>
          <w:szCs w:val="32"/>
          <w:lang w:val="en-US" w:eastAsia="zh-CN" w:bidi="ar-SA"/>
        </w:rPr>
      </w:pPr>
      <w:r>
        <w:rPr>
          <w:rFonts w:hint="eastAsia" w:ascii="仿宋_GB2312" w:hAnsi="仿宋_GB2312" w:eastAsia="仿宋_GB2312" w:cs="仿宋_GB2312"/>
          <w:color w:val="000000"/>
          <w:spacing w:val="17"/>
          <w:sz w:val="32"/>
          <w:szCs w:val="32"/>
        </w:rPr>
        <w:t>绩效评价标准通常包括计划标准、行业标准、历史标准等，用于对绩效指标完成情况进行比较。</w:t>
      </w:r>
      <w:r>
        <w:rPr>
          <w:rFonts w:hint="eastAsia" w:ascii="仿宋_GB2312" w:hAnsi="仿宋_GB2312" w:eastAsia="仿宋_GB2312" w:cs="仿宋_GB2312"/>
          <w:color w:val="000000"/>
          <w:spacing w:val="17"/>
          <w:sz w:val="32"/>
          <w:szCs w:val="32"/>
          <w:highlight w:val="none"/>
        </w:rPr>
        <w:t>本次评价主要采用了</w:t>
      </w:r>
      <w:r>
        <w:rPr>
          <w:rFonts w:hint="eastAsia" w:ascii="仿宋_GB2312" w:hAnsi="仿宋_GB2312" w:eastAsia="仿宋_GB2312" w:cs="仿宋_GB2312"/>
          <w:b w:val="0"/>
          <w:bCs w:val="0"/>
          <w:color w:val="000000"/>
          <w:spacing w:val="17"/>
          <w:kern w:val="2"/>
          <w:sz w:val="32"/>
          <w:szCs w:val="32"/>
          <w:lang w:val="en-US" w:eastAsia="zh-CN" w:bidi="ar-SA"/>
        </w:rPr>
        <w:t>中国特种设备安全法、中国特种设备安全监察条例、特种设备监察规程、特种设备定检规程等国家标准规定、国家推荐标准、地方法律法规、行业标准及技术标准、</w:t>
      </w:r>
      <w:r>
        <w:rPr>
          <w:rFonts w:hint="eastAsia" w:ascii="仿宋_GB2312" w:hAnsi="仿宋_GB2312" w:eastAsia="仿宋_GB2312" w:cs="仿宋_GB2312"/>
          <w:kern w:val="1"/>
          <w:sz w:val="32"/>
          <w:szCs w:val="32"/>
        </w:rPr>
        <w:t>行政单位财务规则</w:t>
      </w:r>
      <w:r>
        <w:rPr>
          <w:rFonts w:hint="eastAsia" w:ascii="仿宋_GB2312" w:hAnsi="仿宋_GB2312" w:eastAsia="仿宋_GB2312" w:cs="仿宋_GB2312"/>
          <w:kern w:val="1"/>
          <w:sz w:val="32"/>
          <w:szCs w:val="32"/>
          <w:lang w:eastAsia="zh-CN"/>
        </w:rPr>
        <w:t>，</w:t>
      </w:r>
      <w:r>
        <w:rPr>
          <w:rFonts w:hint="eastAsia" w:ascii="仿宋_GB2312" w:hAnsi="仿宋_GB2312" w:eastAsia="仿宋_GB2312" w:cs="仿宋_GB2312"/>
          <w:b w:val="0"/>
          <w:bCs w:val="0"/>
          <w:color w:val="000000"/>
          <w:spacing w:val="17"/>
          <w:kern w:val="2"/>
          <w:sz w:val="32"/>
          <w:szCs w:val="32"/>
          <w:lang w:val="en-US" w:eastAsia="zh-CN" w:bidi="ar-SA"/>
        </w:rPr>
        <w:t>用于对绩效指标完成情况进行比较。</w:t>
      </w:r>
    </w:p>
    <w:p w14:paraId="578D0166">
      <w:pPr>
        <w:pageBreakBefore w:val="0"/>
        <w:kinsoku/>
        <w:wordWrap/>
        <w:overflowPunct/>
        <w:topLinePunct w:val="0"/>
        <w:autoSpaceDE/>
        <w:autoSpaceDN/>
        <w:bidi w:val="0"/>
        <w:adjustRightInd/>
        <w:snapToGrid/>
        <w:spacing w:line="560" w:lineRule="atLeast"/>
        <w:ind w:firstLine="641"/>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（三）绩效评价工作过程</w:t>
      </w:r>
    </w:p>
    <w:p w14:paraId="5FFE580B">
      <w:pPr>
        <w:pageBreakBefore w:val="0"/>
        <w:kinsoku/>
        <w:wordWrap/>
        <w:overflowPunct/>
        <w:topLinePunct w:val="0"/>
        <w:autoSpaceDE/>
        <w:autoSpaceDN/>
        <w:bidi w:val="0"/>
        <w:adjustRightInd/>
        <w:snapToGrid/>
        <w:spacing w:line="560" w:lineRule="atLeast"/>
        <w:ind w:left="0" w:firstLine="708" w:firstLineChars="200"/>
        <w:rPr>
          <w:rFonts w:hint="eastAsia" w:ascii="仿宋_GB2312" w:hAnsi="仿宋_GB2312" w:eastAsia="仿宋_GB2312" w:cs="仿宋_GB2312"/>
          <w:b w:val="0"/>
          <w:bCs w:val="0"/>
          <w:color w:val="000000"/>
          <w:spacing w:val="17"/>
          <w:kern w:val="2"/>
          <w:sz w:val="32"/>
          <w:szCs w:val="32"/>
          <w:lang w:val="en-US" w:eastAsia="zh-CN" w:bidi="ar-SA"/>
        </w:rPr>
      </w:pPr>
      <w:r>
        <w:rPr>
          <w:rFonts w:hint="eastAsia" w:ascii="仿宋_GB2312" w:hAnsi="仿宋_GB2312" w:eastAsia="仿宋_GB2312" w:cs="仿宋_GB2312"/>
          <w:b w:val="0"/>
          <w:bCs w:val="0"/>
          <w:color w:val="000000"/>
          <w:spacing w:val="17"/>
          <w:kern w:val="2"/>
          <w:sz w:val="32"/>
          <w:szCs w:val="32"/>
          <w:lang w:val="en-US" w:eastAsia="zh-CN" w:bidi="ar-SA"/>
        </w:rPr>
        <w:t>自评价项目启动以来，项目组通过前期与财务、项目管理人员及科室工作人员进行沟通访谈调研等充分准备，了解项目的实施情况、资金使用情况，完成了项目绩效评价工作方案，明确了评价的目的、方法、原则、指标、标准、社会调查方案等。项目评价期间，项目组严格按照工作方案，经过数据采集、问卷调查及数据复核、数据分析和报告撰写等环节，顺利完成了新疆塔城地区特种设备检验检测所2020年度“承压类设备检验专项经费”的绩效评价工作。</w:t>
      </w:r>
    </w:p>
    <w:p w14:paraId="31A47547">
      <w:pPr>
        <w:pageBreakBefore w:val="0"/>
        <w:numPr>
          <w:ilvl w:val="0"/>
          <w:numId w:val="3"/>
        </w:numPr>
        <w:kinsoku/>
        <w:wordWrap/>
        <w:overflowPunct/>
        <w:topLinePunct w:val="0"/>
        <w:autoSpaceDE/>
        <w:autoSpaceDN/>
        <w:bidi w:val="0"/>
        <w:adjustRightInd/>
        <w:snapToGrid/>
        <w:spacing w:line="560" w:lineRule="atLeast"/>
        <w:ind w:firstLine="641"/>
        <w:rPr>
          <w:rFonts w:ascii="黑体" w:hAnsi="黑体" w:eastAsia="黑体" w:cs="黑体"/>
          <w:sz w:val="32"/>
          <w:szCs w:val="32"/>
        </w:rPr>
      </w:pPr>
      <w:r>
        <w:rPr>
          <w:rFonts w:hint="eastAsia" w:ascii="黑体" w:hAnsi="黑体" w:eastAsia="黑体" w:cs="黑体"/>
          <w:sz w:val="32"/>
          <w:szCs w:val="32"/>
        </w:rPr>
        <w:t>综合评价情况及评价结论（附相关评分表）</w:t>
      </w:r>
    </w:p>
    <w:p w14:paraId="1F0893A0">
      <w:pPr>
        <w:pageBreakBefore w:val="0"/>
        <w:kinsoku/>
        <w:wordWrap/>
        <w:overflowPunct/>
        <w:topLinePunct w:val="0"/>
        <w:autoSpaceDE/>
        <w:autoSpaceDN/>
        <w:bidi w:val="0"/>
        <w:adjustRightInd/>
        <w:snapToGrid/>
        <w:spacing w:line="560" w:lineRule="atLeast"/>
        <w:ind w:left="0" w:firstLine="708" w:firstLineChars="200"/>
        <w:rPr>
          <w:rFonts w:hint="eastAsia" w:ascii="仿宋_GB2312" w:hAnsi="仿宋_GB2312" w:eastAsia="仿宋_GB2312" w:cs="仿宋_GB2312"/>
          <w:b w:val="0"/>
          <w:bCs w:val="0"/>
          <w:color w:val="000000"/>
          <w:spacing w:val="17"/>
          <w:kern w:val="2"/>
          <w:sz w:val="32"/>
          <w:szCs w:val="32"/>
          <w:lang w:val="en-US" w:eastAsia="zh-CN" w:bidi="ar-SA"/>
        </w:rPr>
      </w:pPr>
      <w:r>
        <w:rPr>
          <w:rFonts w:hint="eastAsia" w:ascii="仿宋_GB2312" w:hAnsi="仿宋_GB2312" w:eastAsia="仿宋_GB2312" w:cs="仿宋_GB2312"/>
          <w:b w:val="0"/>
          <w:bCs w:val="0"/>
          <w:color w:val="000000"/>
          <w:spacing w:val="17"/>
          <w:kern w:val="2"/>
          <w:sz w:val="32"/>
          <w:szCs w:val="32"/>
          <w:lang w:val="en-US" w:eastAsia="zh-CN" w:bidi="ar-SA"/>
        </w:rPr>
        <w:t>“承压类设备检验专项经费”从2020年3月开始，从项目的完成情况看，项目工作能按照实施方案的各时间节点完成，项目资金预算执行率为66.13%；从项目的效果看，项目自2020年实施以来，完成塔城地区注册到期的锅炉166台，安全阀639只，压力容器定期检验392台，完成塔城地区注册到期的压力管道定期检验和监督验收29Km。</w:t>
      </w:r>
    </w:p>
    <w:p w14:paraId="123FF92F">
      <w:pPr>
        <w:pageBreakBefore w:val="0"/>
        <w:kinsoku/>
        <w:wordWrap/>
        <w:overflowPunct/>
        <w:topLinePunct w:val="0"/>
        <w:autoSpaceDE/>
        <w:autoSpaceDN/>
        <w:bidi w:val="0"/>
        <w:adjustRightInd/>
        <w:snapToGrid/>
        <w:spacing w:line="560" w:lineRule="atLeast"/>
        <w:ind w:left="0" w:firstLine="708" w:firstLineChars="200"/>
        <w:rPr>
          <w:rFonts w:hint="eastAsia" w:ascii="仿宋_GB2312" w:hAnsi="仿宋_GB2312" w:eastAsia="仿宋_GB2312" w:cs="仿宋_GB2312"/>
          <w:b w:val="0"/>
          <w:bCs w:val="0"/>
          <w:color w:val="000000"/>
          <w:spacing w:val="17"/>
          <w:kern w:val="2"/>
          <w:sz w:val="32"/>
          <w:szCs w:val="32"/>
          <w:lang w:val="en-US" w:eastAsia="zh-CN" w:bidi="ar-SA"/>
        </w:rPr>
      </w:pPr>
      <w:r>
        <w:rPr>
          <w:rFonts w:hint="eastAsia" w:ascii="仿宋_GB2312" w:hAnsi="仿宋_GB2312" w:eastAsia="仿宋_GB2312" w:cs="仿宋_GB2312"/>
          <w:b w:val="0"/>
          <w:bCs w:val="0"/>
          <w:color w:val="000000"/>
          <w:spacing w:val="17"/>
          <w:kern w:val="2"/>
          <w:sz w:val="32"/>
          <w:szCs w:val="32"/>
          <w:lang w:val="en-US" w:eastAsia="zh-CN" w:bidi="ar-SA"/>
        </w:rPr>
        <w:t>解决了锅炉、压力容器、压力管道使用的安全保障工作，企业特种设备使用的安全生产工作，总体实施效果较佳。</w:t>
      </w:r>
    </w:p>
    <w:p w14:paraId="755460A4">
      <w:pPr>
        <w:pageBreakBefore w:val="0"/>
        <w:kinsoku/>
        <w:wordWrap/>
        <w:overflowPunct/>
        <w:topLinePunct w:val="0"/>
        <w:autoSpaceDE/>
        <w:autoSpaceDN/>
        <w:bidi w:val="0"/>
        <w:adjustRightInd/>
        <w:snapToGrid/>
        <w:spacing w:line="560" w:lineRule="atLeast"/>
        <w:ind w:left="0" w:firstLine="708" w:firstLineChars="200"/>
        <w:rPr>
          <w:rFonts w:hint="eastAsia" w:ascii="仿宋_GB2312" w:hAnsi="仿宋_GB2312" w:eastAsia="仿宋_GB2312" w:cs="仿宋_GB2312"/>
          <w:b w:val="0"/>
          <w:bCs w:val="0"/>
          <w:color w:val="000000"/>
          <w:spacing w:val="17"/>
          <w:kern w:val="2"/>
          <w:sz w:val="32"/>
          <w:szCs w:val="32"/>
          <w:lang w:val="en-US" w:eastAsia="zh-CN" w:bidi="ar-SA"/>
        </w:rPr>
      </w:pPr>
      <w:r>
        <w:rPr>
          <w:rFonts w:hint="eastAsia" w:ascii="仿宋_GB2312" w:hAnsi="仿宋_GB2312" w:eastAsia="仿宋_GB2312" w:cs="仿宋_GB2312"/>
          <w:b w:val="0"/>
          <w:bCs w:val="0"/>
          <w:color w:val="000000"/>
          <w:spacing w:val="17"/>
          <w:kern w:val="2"/>
          <w:sz w:val="32"/>
          <w:szCs w:val="32"/>
          <w:lang w:val="en-US" w:eastAsia="zh-CN" w:bidi="ar-SA"/>
        </w:rPr>
        <w:t>运用由项目组制订评价指标体系及评分标准，通过数据采集、问卷调查及访谈，对“承压类设备检验专项经费”进行客观评价，最终评分结果：总得分为92.32分，属于“优”。其中：项目决策权重10分，得分为10分，得分率100%，项目过程指标权重为10分，得分为10，得分率为100%；项目产出权重为30分，得分为27.9，得分率为93%；项目效益指标权重为50分，得分为44.42分，得分率为88.8%；具体打分情况详见附件2（综合评分表）。</w:t>
      </w:r>
    </w:p>
    <w:p w14:paraId="7C8D1BC6">
      <w:pPr>
        <w:pStyle w:val="2"/>
        <w:pageBreakBefore w:val="0"/>
        <w:kinsoku/>
        <w:wordWrap/>
        <w:overflowPunct/>
        <w:topLinePunct w:val="0"/>
        <w:autoSpaceDE/>
        <w:autoSpaceDN/>
        <w:bidi w:val="0"/>
        <w:adjustRightInd/>
        <w:snapToGrid/>
        <w:spacing w:before="0" w:after="0" w:line="560" w:lineRule="atLeast"/>
        <w:rPr>
          <w:rFonts w:ascii="仿宋_GB2312" w:hAnsi="仿宋_GB2312" w:eastAsia="仿宋_GB2312" w:cs="仿宋_GB2312"/>
          <w:sz w:val="30"/>
          <w:szCs w:val="30"/>
        </w:rPr>
      </w:pPr>
      <w:r>
        <w:rPr>
          <w:rFonts w:hint="eastAsia" w:ascii="仿宋_GB2312" w:hAnsi="仿宋_GB2312" w:eastAsia="仿宋_GB2312" w:cs="仿宋_GB2312"/>
          <w:sz w:val="30"/>
          <w:szCs w:val="30"/>
        </w:rPr>
        <w:t>表</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综合评分表</w:t>
      </w:r>
    </w:p>
    <w:tbl>
      <w:tblPr>
        <w:tblStyle w:val="9"/>
        <w:tblW w:w="8863" w:type="dxa"/>
        <w:jc w:val="center"/>
        <w:shd w:val="clear" w:color="auto" w:fill="auto"/>
        <w:tblLayout w:type="fixed"/>
        <w:tblCellMar>
          <w:top w:w="0" w:type="dxa"/>
          <w:left w:w="0" w:type="dxa"/>
          <w:bottom w:w="0" w:type="dxa"/>
          <w:right w:w="0" w:type="dxa"/>
        </w:tblCellMar>
      </w:tblPr>
      <w:tblGrid>
        <w:gridCol w:w="1891"/>
        <w:gridCol w:w="2536"/>
        <w:gridCol w:w="2217"/>
        <w:gridCol w:w="2219"/>
      </w:tblGrid>
      <w:tr w14:paraId="14EFD0ED">
        <w:tblPrEx>
          <w:shd w:val="clear" w:color="auto" w:fill="auto"/>
          <w:tblCellMar>
            <w:top w:w="0" w:type="dxa"/>
            <w:left w:w="0" w:type="dxa"/>
            <w:bottom w:w="0" w:type="dxa"/>
            <w:right w:w="0" w:type="dxa"/>
          </w:tblCellMar>
        </w:tblPrEx>
        <w:trPr>
          <w:trHeight w:val="312" w:hRule="atLeast"/>
          <w:jc w:val="center"/>
        </w:trPr>
        <w:tc>
          <w:tcPr>
            <w:tcW w:w="189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0DA5E9B7">
            <w:pPr>
              <w:keepNext w:val="0"/>
              <w:keepLines w:val="0"/>
              <w:pageBreakBefore w:val="0"/>
              <w:widowControl/>
              <w:suppressLineNumbers w:val="0"/>
              <w:kinsoku/>
              <w:wordWrap/>
              <w:overflowPunct/>
              <w:topLinePunct w:val="0"/>
              <w:autoSpaceDE/>
              <w:autoSpaceDN/>
              <w:bidi w:val="0"/>
              <w:adjustRightInd/>
              <w:snapToGrid/>
              <w:spacing w:line="560" w:lineRule="atLeast"/>
              <w:jc w:val="center"/>
              <w:textAlignment w:val="center"/>
              <w:rPr>
                <w:rFonts w:hint="eastAsia" w:ascii="仿宋" w:hAnsi="仿宋" w:eastAsia="仿宋" w:cs="仿宋"/>
                <w:b w:val="0"/>
                <w:bCs/>
                <w:i w:val="0"/>
                <w:color w:val="000000"/>
                <w:sz w:val="21"/>
                <w:szCs w:val="21"/>
                <w:u w:val="none"/>
              </w:rPr>
            </w:pPr>
            <w:r>
              <w:rPr>
                <w:rFonts w:hint="eastAsia" w:ascii="仿宋" w:hAnsi="仿宋" w:eastAsia="仿宋" w:cs="仿宋"/>
                <w:b w:val="0"/>
                <w:bCs/>
                <w:i w:val="0"/>
                <w:color w:val="000000"/>
                <w:kern w:val="0"/>
                <w:sz w:val="21"/>
                <w:szCs w:val="21"/>
                <w:u w:val="none"/>
                <w:lang w:val="en-US" w:eastAsia="zh-CN" w:bidi="ar"/>
              </w:rPr>
              <w:t>一级指标</w:t>
            </w:r>
          </w:p>
        </w:tc>
        <w:tc>
          <w:tcPr>
            <w:tcW w:w="253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F77C56">
            <w:pPr>
              <w:keepNext w:val="0"/>
              <w:keepLines w:val="0"/>
              <w:pageBreakBefore w:val="0"/>
              <w:widowControl/>
              <w:suppressLineNumbers w:val="0"/>
              <w:kinsoku/>
              <w:wordWrap/>
              <w:overflowPunct/>
              <w:topLinePunct w:val="0"/>
              <w:autoSpaceDE/>
              <w:autoSpaceDN/>
              <w:bidi w:val="0"/>
              <w:adjustRightInd/>
              <w:snapToGrid/>
              <w:spacing w:line="560" w:lineRule="atLeast"/>
              <w:jc w:val="center"/>
              <w:textAlignment w:val="center"/>
              <w:rPr>
                <w:rFonts w:hint="eastAsia" w:ascii="仿宋" w:hAnsi="仿宋" w:eastAsia="仿宋" w:cs="仿宋"/>
                <w:b w:val="0"/>
                <w:bCs/>
                <w:i w:val="0"/>
                <w:color w:val="000000"/>
                <w:sz w:val="21"/>
                <w:szCs w:val="21"/>
                <w:u w:val="none"/>
              </w:rPr>
            </w:pPr>
            <w:r>
              <w:rPr>
                <w:rFonts w:hint="eastAsia" w:ascii="仿宋" w:hAnsi="仿宋" w:eastAsia="仿宋" w:cs="仿宋"/>
                <w:b w:val="0"/>
                <w:bCs/>
                <w:i w:val="0"/>
                <w:color w:val="000000"/>
                <w:kern w:val="0"/>
                <w:sz w:val="21"/>
                <w:szCs w:val="21"/>
                <w:u w:val="none"/>
                <w:lang w:val="en-US" w:eastAsia="zh-CN" w:bidi="ar"/>
              </w:rPr>
              <w:t>权重</w:t>
            </w:r>
          </w:p>
        </w:tc>
        <w:tc>
          <w:tcPr>
            <w:tcW w:w="2217"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1BE6B1B2">
            <w:pPr>
              <w:keepNext w:val="0"/>
              <w:keepLines w:val="0"/>
              <w:pageBreakBefore w:val="0"/>
              <w:widowControl/>
              <w:suppressLineNumbers w:val="0"/>
              <w:kinsoku/>
              <w:wordWrap/>
              <w:overflowPunct/>
              <w:topLinePunct w:val="0"/>
              <w:autoSpaceDE/>
              <w:autoSpaceDN/>
              <w:bidi w:val="0"/>
              <w:adjustRightInd/>
              <w:snapToGrid/>
              <w:spacing w:line="560" w:lineRule="atLeast"/>
              <w:jc w:val="center"/>
              <w:textAlignment w:val="center"/>
              <w:rPr>
                <w:rFonts w:hint="eastAsia" w:ascii="仿宋" w:hAnsi="仿宋" w:eastAsia="仿宋" w:cs="仿宋"/>
                <w:b w:val="0"/>
                <w:bCs/>
                <w:i w:val="0"/>
                <w:color w:val="000000"/>
                <w:sz w:val="21"/>
                <w:szCs w:val="21"/>
                <w:u w:val="none"/>
              </w:rPr>
            </w:pPr>
            <w:r>
              <w:rPr>
                <w:rFonts w:hint="eastAsia" w:ascii="仿宋" w:hAnsi="仿宋" w:eastAsia="仿宋" w:cs="仿宋"/>
                <w:b w:val="0"/>
                <w:bCs/>
                <w:i w:val="0"/>
                <w:color w:val="000000"/>
                <w:kern w:val="0"/>
                <w:sz w:val="21"/>
                <w:szCs w:val="21"/>
                <w:u w:val="none"/>
                <w:lang w:val="en-US" w:eastAsia="zh-CN" w:bidi="ar"/>
              </w:rPr>
              <w:t>得分率</w:t>
            </w:r>
          </w:p>
        </w:tc>
        <w:tc>
          <w:tcPr>
            <w:tcW w:w="221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1E2A194">
            <w:pPr>
              <w:keepNext w:val="0"/>
              <w:keepLines w:val="0"/>
              <w:pageBreakBefore w:val="0"/>
              <w:widowControl/>
              <w:suppressLineNumbers w:val="0"/>
              <w:kinsoku/>
              <w:wordWrap/>
              <w:overflowPunct/>
              <w:topLinePunct w:val="0"/>
              <w:autoSpaceDE/>
              <w:autoSpaceDN/>
              <w:bidi w:val="0"/>
              <w:adjustRightInd/>
              <w:snapToGrid/>
              <w:spacing w:line="560" w:lineRule="atLeast"/>
              <w:jc w:val="center"/>
              <w:textAlignment w:val="center"/>
              <w:rPr>
                <w:rFonts w:hint="eastAsia" w:ascii="仿宋" w:hAnsi="仿宋" w:eastAsia="仿宋" w:cs="仿宋"/>
                <w:b w:val="0"/>
                <w:bCs/>
                <w:i w:val="0"/>
                <w:color w:val="000000"/>
                <w:sz w:val="21"/>
                <w:szCs w:val="21"/>
                <w:u w:val="none"/>
              </w:rPr>
            </w:pPr>
            <w:r>
              <w:rPr>
                <w:rFonts w:hint="eastAsia" w:ascii="仿宋" w:hAnsi="仿宋" w:eastAsia="仿宋" w:cs="仿宋"/>
                <w:b w:val="0"/>
                <w:bCs/>
                <w:i w:val="0"/>
                <w:color w:val="000000"/>
                <w:kern w:val="0"/>
                <w:sz w:val="21"/>
                <w:szCs w:val="21"/>
                <w:u w:val="none"/>
                <w:lang w:val="en-US" w:eastAsia="zh-CN" w:bidi="ar"/>
              </w:rPr>
              <w:t>实际得分</w:t>
            </w:r>
          </w:p>
        </w:tc>
      </w:tr>
      <w:tr w14:paraId="7FE1513B">
        <w:tblPrEx>
          <w:shd w:val="clear" w:color="auto" w:fill="auto"/>
          <w:tblCellMar>
            <w:top w:w="0" w:type="dxa"/>
            <w:left w:w="0" w:type="dxa"/>
            <w:bottom w:w="0" w:type="dxa"/>
            <w:right w:w="0" w:type="dxa"/>
          </w:tblCellMar>
        </w:tblPrEx>
        <w:trPr>
          <w:trHeight w:val="515" w:hRule="atLeast"/>
          <w:jc w:val="center"/>
        </w:trPr>
        <w:tc>
          <w:tcPr>
            <w:tcW w:w="18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8B24B6">
            <w:pPr>
              <w:keepNext w:val="0"/>
              <w:keepLines w:val="0"/>
              <w:pageBreakBefore w:val="0"/>
              <w:widowControl/>
              <w:suppressLineNumbers w:val="0"/>
              <w:kinsoku/>
              <w:wordWrap/>
              <w:overflowPunct/>
              <w:topLinePunct w:val="0"/>
              <w:autoSpaceDE/>
              <w:autoSpaceDN/>
              <w:bidi w:val="0"/>
              <w:adjustRightInd/>
              <w:snapToGrid/>
              <w:spacing w:line="560" w:lineRule="atLeast"/>
              <w:jc w:val="center"/>
              <w:textAlignment w:val="center"/>
              <w:rPr>
                <w:rFonts w:hint="eastAsia" w:ascii="仿宋" w:hAnsi="仿宋" w:eastAsia="仿宋" w:cs="仿宋"/>
                <w:b w:val="0"/>
                <w:bCs/>
                <w:i w:val="0"/>
                <w:color w:val="000000"/>
                <w:kern w:val="0"/>
                <w:sz w:val="21"/>
                <w:szCs w:val="21"/>
                <w:u w:val="none"/>
                <w:lang w:val="en-US" w:eastAsia="zh-CN" w:bidi="ar"/>
              </w:rPr>
            </w:pPr>
            <w:r>
              <w:rPr>
                <w:rFonts w:hint="eastAsia" w:ascii="仿宋" w:hAnsi="仿宋" w:eastAsia="仿宋" w:cs="仿宋"/>
                <w:b w:val="0"/>
                <w:bCs/>
                <w:i w:val="0"/>
                <w:color w:val="000000"/>
                <w:kern w:val="0"/>
                <w:sz w:val="21"/>
                <w:szCs w:val="21"/>
                <w:u w:val="none"/>
                <w:lang w:val="en-US" w:eastAsia="zh-CN" w:bidi="ar"/>
              </w:rPr>
              <w:t>项目决策</w:t>
            </w:r>
          </w:p>
        </w:tc>
        <w:tc>
          <w:tcPr>
            <w:tcW w:w="25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743E4680">
            <w:pPr>
              <w:keepNext w:val="0"/>
              <w:keepLines w:val="0"/>
              <w:pageBreakBefore w:val="0"/>
              <w:widowControl/>
              <w:suppressLineNumbers w:val="0"/>
              <w:kinsoku/>
              <w:wordWrap/>
              <w:overflowPunct/>
              <w:topLinePunct w:val="0"/>
              <w:autoSpaceDE/>
              <w:autoSpaceDN/>
              <w:bidi w:val="0"/>
              <w:adjustRightInd/>
              <w:snapToGrid/>
              <w:spacing w:line="560" w:lineRule="atLeast"/>
              <w:jc w:val="center"/>
              <w:textAlignment w:val="center"/>
              <w:rPr>
                <w:rFonts w:hint="default" w:ascii="仿宋" w:hAnsi="仿宋" w:eastAsia="仿宋" w:cs="仿宋"/>
                <w:b w:val="0"/>
                <w:bCs/>
                <w:i w:val="0"/>
                <w:color w:val="000000"/>
                <w:kern w:val="0"/>
                <w:sz w:val="21"/>
                <w:szCs w:val="21"/>
                <w:u w:val="none"/>
                <w:lang w:val="en-US" w:eastAsia="zh-CN" w:bidi="ar"/>
              </w:rPr>
            </w:pPr>
            <w:r>
              <w:rPr>
                <w:rFonts w:hint="eastAsia" w:ascii="仿宋" w:hAnsi="仿宋" w:eastAsia="仿宋" w:cs="仿宋"/>
                <w:b w:val="0"/>
                <w:bCs/>
                <w:i w:val="0"/>
                <w:color w:val="000000"/>
                <w:kern w:val="0"/>
                <w:sz w:val="21"/>
                <w:szCs w:val="21"/>
                <w:u w:val="none"/>
                <w:lang w:val="en-US" w:eastAsia="zh-CN" w:bidi="ar"/>
              </w:rPr>
              <w:t>10</w:t>
            </w:r>
          </w:p>
        </w:tc>
        <w:tc>
          <w:tcPr>
            <w:tcW w:w="2217"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F131A17">
            <w:pPr>
              <w:keepNext w:val="0"/>
              <w:keepLines w:val="0"/>
              <w:pageBreakBefore w:val="0"/>
              <w:widowControl/>
              <w:suppressLineNumbers w:val="0"/>
              <w:kinsoku/>
              <w:wordWrap/>
              <w:overflowPunct/>
              <w:topLinePunct w:val="0"/>
              <w:autoSpaceDE/>
              <w:autoSpaceDN/>
              <w:bidi w:val="0"/>
              <w:adjustRightInd/>
              <w:snapToGrid/>
              <w:spacing w:line="560" w:lineRule="atLeast"/>
              <w:jc w:val="center"/>
              <w:textAlignment w:val="center"/>
              <w:rPr>
                <w:rFonts w:hint="default" w:ascii="仿宋" w:hAnsi="仿宋" w:eastAsia="仿宋" w:cs="仿宋"/>
                <w:b w:val="0"/>
                <w:bCs/>
                <w:i w:val="0"/>
                <w:color w:val="000000"/>
                <w:kern w:val="0"/>
                <w:sz w:val="21"/>
                <w:szCs w:val="21"/>
                <w:u w:val="none"/>
                <w:lang w:val="en-US" w:eastAsia="zh-CN" w:bidi="ar"/>
              </w:rPr>
            </w:pPr>
            <w:r>
              <w:rPr>
                <w:rFonts w:hint="eastAsia" w:ascii="仿宋" w:hAnsi="仿宋" w:eastAsia="仿宋" w:cs="仿宋"/>
                <w:b w:val="0"/>
                <w:bCs/>
                <w:i w:val="0"/>
                <w:color w:val="000000"/>
                <w:kern w:val="0"/>
                <w:sz w:val="21"/>
                <w:szCs w:val="21"/>
                <w:u w:val="none"/>
                <w:lang w:val="en-US" w:eastAsia="zh-CN" w:bidi="ar"/>
              </w:rPr>
              <w:t>100%</w:t>
            </w:r>
          </w:p>
        </w:tc>
        <w:tc>
          <w:tcPr>
            <w:tcW w:w="221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597C06A0">
            <w:pPr>
              <w:keepNext w:val="0"/>
              <w:keepLines w:val="0"/>
              <w:pageBreakBefore w:val="0"/>
              <w:widowControl/>
              <w:suppressLineNumbers w:val="0"/>
              <w:kinsoku/>
              <w:wordWrap/>
              <w:overflowPunct/>
              <w:topLinePunct w:val="0"/>
              <w:autoSpaceDE/>
              <w:autoSpaceDN/>
              <w:bidi w:val="0"/>
              <w:adjustRightInd/>
              <w:snapToGrid/>
              <w:spacing w:line="560" w:lineRule="atLeast"/>
              <w:jc w:val="center"/>
              <w:textAlignment w:val="center"/>
              <w:rPr>
                <w:rFonts w:hint="default" w:ascii="仿宋" w:hAnsi="仿宋" w:eastAsia="仿宋" w:cs="仿宋"/>
                <w:b w:val="0"/>
                <w:bCs/>
                <w:i w:val="0"/>
                <w:color w:val="000000"/>
                <w:kern w:val="0"/>
                <w:sz w:val="21"/>
                <w:szCs w:val="21"/>
                <w:u w:val="none"/>
                <w:lang w:val="en-US" w:eastAsia="zh-CN" w:bidi="ar"/>
              </w:rPr>
            </w:pPr>
            <w:r>
              <w:rPr>
                <w:rFonts w:hint="eastAsia" w:ascii="仿宋" w:hAnsi="仿宋" w:eastAsia="仿宋" w:cs="仿宋"/>
                <w:b w:val="0"/>
                <w:bCs/>
                <w:i w:val="0"/>
                <w:color w:val="000000"/>
                <w:kern w:val="0"/>
                <w:sz w:val="21"/>
                <w:szCs w:val="21"/>
                <w:u w:val="none"/>
                <w:lang w:val="en-US" w:eastAsia="zh-CN" w:bidi="ar"/>
              </w:rPr>
              <w:t>10</w:t>
            </w:r>
          </w:p>
        </w:tc>
      </w:tr>
      <w:tr w14:paraId="1080B256">
        <w:tblPrEx>
          <w:shd w:val="clear" w:color="auto" w:fill="auto"/>
          <w:tblCellMar>
            <w:top w:w="0" w:type="dxa"/>
            <w:left w:w="0" w:type="dxa"/>
            <w:bottom w:w="0" w:type="dxa"/>
            <w:right w:w="0" w:type="dxa"/>
          </w:tblCellMar>
        </w:tblPrEx>
        <w:trPr>
          <w:trHeight w:val="515" w:hRule="atLeast"/>
          <w:jc w:val="center"/>
        </w:trPr>
        <w:tc>
          <w:tcPr>
            <w:tcW w:w="18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84F100">
            <w:pPr>
              <w:keepNext w:val="0"/>
              <w:keepLines w:val="0"/>
              <w:pageBreakBefore w:val="0"/>
              <w:widowControl/>
              <w:suppressLineNumbers w:val="0"/>
              <w:kinsoku/>
              <w:wordWrap/>
              <w:overflowPunct/>
              <w:topLinePunct w:val="0"/>
              <w:autoSpaceDE/>
              <w:autoSpaceDN/>
              <w:bidi w:val="0"/>
              <w:adjustRightInd/>
              <w:snapToGrid/>
              <w:spacing w:line="560" w:lineRule="atLeast"/>
              <w:jc w:val="center"/>
              <w:textAlignment w:val="center"/>
              <w:rPr>
                <w:rFonts w:hint="eastAsia" w:ascii="仿宋" w:hAnsi="仿宋" w:eastAsia="仿宋" w:cs="仿宋"/>
                <w:b w:val="0"/>
                <w:bCs/>
                <w:i w:val="0"/>
                <w:color w:val="000000"/>
                <w:kern w:val="0"/>
                <w:sz w:val="21"/>
                <w:szCs w:val="21"/>
                <w:u w:val="none"/>
                <w:lang w:val="en-US" w:eastAsia="zh-CN" w:bidi="ar"/>
              </w:rPr>
            </w:pPr>
            <w:r>
              <w:rPr>
                <w:rFonts w:hint="eastAsia" w:ascii="仿宋" w:hAnsi="仿宋" w:eastAsia="仿宋" w:cs="仿宋"/>
                <w:b w:val="0"/>
                <w:bCs/>
                <w:i w:val="0"/>
                <w:color w:val="000000"/>
                <w:kern w:val="0"/>
                <w:sz w:val="21"/>
                <w:szCs w:val="21"/>
                <w:u w:val="none"/>
                <w:lang w:val="en-US" w:eastAsia="zh-CN" w:bidi="ar"/>
              </w:rPr>
              <w:t>项目过程</w:t>
            </w:r>
          </w:p>
        </w:tc>
        <w:tc>
          <w:tcPr>
            <w:tcW w:w="25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711F1221">
            <w:pPr>
              <w:keepNext w:val="0"/>
              <w:keepLines w:val="0"/>
              <w:pageBreakBefore w:val="0"/>
              <w:widowControl/>
              <w:suppressLineNumbers w:val="0"/>
              <w:kinsoku/>
              <w:wordWrap/>
              <w:overflowPunct/>
              <w:topLinePunct w:val="0"/>
              <w:autoSpaceDE/>
              <w:autoSpaceDN/>
              <w:bidi w:val="0"/>
              <w:adjustRightInd/>
              <w:snapToGrid/>
              <w:spacing w:line="560" w:lineRule="atLeast"/>
              <w:jc w:val="center"/>
              <w:textAlignment w:val="center"/>
              <w:rPr>
                <w:rFonts w:hint="default" w:ascii="仿宋" w:hAnsi="仿宋" w:eastAsia="仿宋" w:cs="仿宋"/>
                <w:b w:val="0"/>
                <w:bCs/>
                <w:i w:val="0"/>
                <w:color w:val="000000"/>
                <w:kern w:val="0"/>
                <w:sz w:val="21"/>
                <w:szCs w:val="21"/>
                <w:u w:val="none"/>
                <w:lang w:val="en-US" w:eastAsia="zh-CN" w:bidi="ar"/>
              </w:rPr>
            </w:pPr>
            <w:r>
              <w:rPr>
                <w:rFonts w:hint="eastAsia" w:ascii="仿宋" w:hAnsi="仿宋" w:eastAsia="仿宋" w:cs="仿宋"/>
                <w:b w:val="0"/>
                <w:bCs/>
                <w:i w:val="0"/>
                <w:color w:val="000000"/>
                <w:kern w:val="0"/>
                <w:sz w:val="21"/>
                <w:szCs w:val="21"/>
                <w:u w:val="none"/>
                <w:lang w:val="en-US" w:eastAsia="zh-CN" w:bidi="ar"/>
              </w:rPr>
              <w:t>10</w:t>
            </w:r>
          </w:p>
        </w:tc>
        <w:tc>
          <w:tcPr>
            <w:tcW w:w="2217"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A7691F4">
            <w:pPr>
              <w:keepNext w:val="0"/>
              <w:keepLines w:val="0"/>
              <w:pageBreakBefore w:val="0"/>
              <w:widowControl/>
              <w:suppressLineNumbers w:val="0"/>
              <w:kinsoku/>
              <w:wordWrap/>
              <w:overflowPunct/>
              <w:topLinePunct w:val="0"/>
              <w:autoSpaceDE/>
              <w:autoSpaceDN/>
              <w:bidi w:val="0"/>
              <w:adjustRightInd/>
              <w:snapToGrid/>
              <w:spacing w:line="560" w:lineRule="atLeast"/>
              <w:jc w:val="center"/>
              <w:textAlignment w:val="center"/>
              <w:rPr>
                <w:rFonts w:hint="default" w:ascii="仿宋" w:hAnsi="仿宋" w:eastAsia="仿宋" w:cs="仿宋"/>
                <w:b w:val="0"/>
                <w:bCs/>
                <w:i w:val="0"/>
                <w:color w:val="000000"/>
                <w:kern w:val="0"/>
                <w:sz w:val="21"/>
                <w:szCs w:val="21"/>
                <w:u w:val="none"/>
                <w:lang w:val="en-US" w:eastAsia="zh-CN" w:bidi="ar"/>
              </w:rPr>
            </w:pPr>
            <w:r>
              <w:rPr>
                <w:rFonts w:hint="eastAsia" w:ascii="仿宋" w:hAnsi="仿宋" w:eastAsia="仿宋" w:cs="仿宋"/>
                <w:b w:val="0"/>
                <w:bCs/>
                <w:i w:val="0"/>
                <w:color w:val="000000"/>
                <w:kern w:val="0"/>
                <w:sz w:val="21"/>
                <w:szCs w:val="21"/>
                <w:u w:val="none"/>
                <w:lang w:val="en-US" w:eastAsia="zh-CN" w:bidi="ar"/>
              </w:rPr>
              <w:t>100%</w:t>
            </w:r>
          </w:p>
        </w:tc>
        <w:tc>
          <w:tcPr>
            <w:tcW w:w="221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093DEC90">
            <w:pPr>
              <w:keepNext w:val="0"/>
              <w:keepLines w:val="0"/>
              <w:pageBreakBefore w:val="0"/>
              <w:widowControl/>
              <w:suppressLineNumbers w:val="0"/>
              <w:kinsoku/>
              <w:wordWrap/>
              <w:overflowPunct/>
              <w:topLinePunct w:val="0"/>
              <w:autoSpaceDE/>
              <w:autoSpaceDN/>
              <w:bidi w:val="0"/>
              <w:adjustRightInd/>
              <w:snapToGrid/>
              <w:spacing w:line="560" w:lineRule="atLeast"/>
              <w:jc w:val="center"/>
              <w:textAlignment w:val="center"/>
              <w:rPr>
                <w:rFonts w:hint="default" w:ascii="仿宋" w:hAnsi="仿宋" w:eastAsia="仿宋" w:cs="仿宋"/>
                <w:b w:val="0"/>
                <w:bCs/>
                <w:i w:val="0"/>
                <w:color w:val="000000"/>
                <w:kern w:val="0"/>
                <w:sz w:val="21"/>
                <w:szCs w:val="21"/>
                <w:u w:val="none"/>
                <w:lang w:val="en-US" w:eastAsia="zh-CN" w:bidi="ar"/>
              </w:rPr>
            </w:pPr>
            <w:r>
              <w:rPr>
                <w:rFonts w:hint="eastAsia" w:ascii="仿宋" w:hAnsi="仿宋" w:eastAsia="仿宋" w:cs="仿宋"/>
                <w:b w:val="0"/>
                <w:bCs/>
                <w:i w:val="0"/>
                <w:color w:val="000000"/>
                <w:kern w:val="0"/>
                <w:sz w:val="21"/>
                <w:szCs w:val="21"/>
                <w:u w:val="none"/>
                <w:lang w:val="en-US" w:eastAsia="zh-CN" w:bidi="ar"/>
              </w:rPr>
              <w:t>10</w:t>
            </w:r>
          </w:p>
        </w:tc>
      </w:tr>
      <w:tr w14:paraId="7D584C01">
        <w:tblPrEx>
          <w:shd w:val="clear" w:color="auto" w:fill="auto"/>
          <w:tblCellMar>
            <w:top w:w="0" w:type="dxa"/>
            <w:left w:w="0" w:type="dxa"/>
            <w:bottom w:w="0" w:type="dxa"/>
            <w:right w:w="0" w:type="dxa"/>
          </w:tblCellMar>
        </w:tblPrEx>
        <w:trPr>
          <w:trHeight w:val="312" w:hRule="atLeast"/>
          <w:jc w:val="center"/>
        </w:trPr>
        <w:tc>
          <w:tcPr>
            <w:tcW w:w="18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D284AC">
            <w:pPr>
              <w:keepNext w:val="0"/>
              <w:keepLines w:val="0"/>
              <w:pageBreakBefore w:val="0"/>
              <w:widowControl/>
              <w:suppressLineNumbers w:val="0"/>
              <w:kinsoku/>
              <w:wordWrap/>
              <w:overflowPunct/>
              <w:topLinePunct w:val="0"/>
              <w:autoSpaceDE/>
              <w:autoSpaceDN/>
              <w:bidi w:val="0"/>
              <w:adjustRightInd/>
              <w:snapToGrid/>
              <w:spacing w:line="560" w:lineRule="atLeast"/>
              <w:jc w:val="center"/>
              <w:textAlignment w:val="center"/>
              <w:rPr>
                <w:rFonts w:hint="eastAsia" w:ascii="仿宋" w:hAnsi="仿宋" w:eastAsia="仿宋" w:cs="仿宋"/>
                <w:b w:val="0"/>
                <w:bCs/>
                <w:i w:val="0"/>
                <w:color w:val="000000"/>
                <w:kern w:val="0"/>
                <w:sz w:val="21"/>
                <w:szCs w:val="21"/>
                <w:u w:val="none"/>
                <w:lang w:val="en-US" w:eastAsia="zh-CN" w:bidi="ar"/>
              </w:rPr>
            </w:pPr>
            <w:r>
              <w:rPr>
                <w:rFonts w:hint="eastAsia" w:ascii="仿宋" w:hAnsi="仿宋" w:eastAsia="仿宋" w:cs="仿宋"/>
                <w:b w:val="0"/>
                <w:bCs/>
                <w:i w:val="0"/>
                <w:color w:val="000000"/>
                <w:kern w:val="0"/>
                <w:sz w:val="21"/>
                <w:szCs w:val="21"/>
                <w:u w:val="none"/>
                <w:lang w:val="en-US" w:eastAsia="zh-CN" w:bidi="ar"/>
              </w:rPr>
              <w:t>项目产出</w:t>
            </w:r>
          </w:p>
        </w:tc>
        <w:tc>
          <w:tcPr>
            <w:tcW w:w="25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1DC1DDDE">
            <w:pPr>
              <w:keepNext w:val="0"/>
              <w:keepLines w:val="0"/>
              <w:pageBreakBefore w:val="0"/>
              <w:widowControl/>
              <w:suppressLineNumbers w:val="0"/>
              <w:kinsoku/>
              <w:wordWrap/>
              <w:overflowPunct/>
              <w:topLinePunct w:val="0"/>
              <w:autoSpaceDE/>
              <w:autoSpaceDN/>
              <w:bidi w:val="0"/>
              <w:adjustRightInd/>
              <w:snapToGrid/>
              <w:spacing w:line="560" w:lineRule="atLeast"/>
              <w:jc w:val="center"/>
              <w:textAlignment w:val="center"/>
              <w:rPr>
                <w:rFonts w:hint="default" w:ascii="仿宋" w:hAnsi="仿宋" w:eastAsia="仿宋" w:cs="仿宋"/>
                <w:b w:val="0"/>
                <w:bCs/>
                <w:i w:val="0"/>
                <w:color w:val="000000"/>
                <w:kern w:val="0"/>
                <w:sz w:val="21"/>
                <w:szCs w:val="21"/>
                <w:u w:val="none"/>
                <w:lang w:val="en-US" w:eastAsia="zh-CN" w:bidi="ar"/>
              </w:rPr>
            </w:pPr>
            <w:r>
              <w:rPr>
                <w:rFonts w:hint="eastAsia" w:ascii="仿宋" w:hAnsi="仿宋" w:eastAsia="仿宋" w:cs="仿宋"/>
                <w:b w:val="0"/>
                <w:bCs/>
                <w:i w:val="0"/>
                <w:color w:val="000000"/>
                <w:kern w:val="0"/>
                <w:sz w:val="21"/>
                <w:szCs w:val="21"/>
                <w:u w:val="none"/>
                <w:lang w:val="en-US" w:eastAsia="zh-CN" w:bidi="ar"/>
              </w:rPr>
              <w:t>30</w:t>
            </w:r>
          </w:p>
        </w:tc>
        <w:tc>
          <w:tcPr>
            <w:tcW w:w="2217"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14EEB6F7">
            <w:pPr>
              <w:keepNext w:val="0"/>
              <w:keepLines w:val="0"/>
              <w:pageBreakBefore w:val="0"/>
              <w:widowControl/>
              <w:suppressLineNumbers w:val="0"/>
              <w:kinsoku/>
              <w:wordWrap/>
              <w:overflowPunct/>
              <w:topLinePunct w:val="0"/>
              <w:autoSpaceDE/>
              <w:autoSpaceDN/>
              <w:bidi w:val="0"/>
              <w:adjustRightInd/>
              <w:snapToGrid/>
              <w:spacing w:line="560" w:lineRule="atLeast"/>
              <w:jc w:val="center"/>
              <w:textAlignment w:val="center"/>
              <w:rPr>
                <w:rFonts w:hint="eastAsia" w:ascii="仿宋" w:hAnsi="仿宋" w:eastAsia="仿宋" w:cs="仿宋"/>
                <w:b w:val="0"/>
                <w:bCs/>
                <w:i w:val="0"/>
                <w:color w:val="000000"/>
                <w:kern w:val="0"/>
                <w:sz w:val="21"/>
                <w:szCs w:val="21"/>
                <w:u w:val="none"/>
                <w:lang w:val="en-US" w:eastAsia="zh-CN" w:bidi="ar"/>
              </w:rPr>
            </w:pPr>
            <w:r>
              <w:rPr>
                <w:rFonts w:hint="eastAsia" w:ascii="仿宋" w:hAnsi="仿宋" w:eastAsia="仿宋" w:cs="仿宋"/>
                <w:b w:val="0"/>
                <w:bCs/>
                <w:i w:val="0"/>
                <w:color w:val="000000"/>
                <w:kern w:val="0"/>
                <w:sz w:val="21"/>
                <w:szCs w:val="21"/>
                <w:u w:val="none"/>
                <w:lang w:val="en-US" w:eastAsia="zh-CN" w:bidi="ar"/>
              </w:rPr>
              <w:t>93%</w:t>
            </w:r>
          </w:p>
        </w:tc>
        <w:tc>
          <w:tcPr>
            <w:tcW w:w="221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6C4F7EF">
            <w:pPr>
              <w:keepNext w:val="0"/>
              <w:keepLines w:val="0"/>
              <w:pageBreakBefore w:val="0"/>
              <w:widowControl/>
              <w:suppressLineNumbers w:val="0"/>
              <w:kinsoku/>
              <w:wordWrap/>
              <w:overflowPunct/>
              <w:topLinePunct w:val="0"/>
              <w:autoSpaceDE/>
              <w:autoSpaceDN/>
              <w:bidi w:val="0"/>
              <w:adjustRightInd/>
              <w:snapToGrid/>
              <w:spacing w:line="560" w:lineRule="atLeast"/>
              <w:jc w:val="center"/>
              <w:textAlignment w:val="center"/>
              <w:rPr>
                <w:rFonts w:hint="default" w:ascii="仿宋" w:hAnsi="仿宋" w:eastAsia="仿宋" w:cs="仿宋"/>
                <w:b w:val="0"/>
                <w:bCs/>
                <w:i w:val="0"/>
                <w:color w:val="000000"/>
                <w:kern w:val="0"/>
                <w:sz w:val="21"/>
                <w:szCs w:val="21"/>
                <w:u w:val="none"/>
                <w:lang w:val="en-US" w:eastAsia="zh-CN" w:bidi="ar"/>
              </w:rPr>
            </w:pPr>
            <w:r>
              <w:rPr>
                <w:rFonts w:hint="eastAsia" w:ascii="仿宋" w:hAnsi="仿宋" w:eastAsia="仿宋" w:cs="仿宋"/>
                <w:b w:val="0"/>
                <w:bCs/>
                <w:i w:val="0"/>
                <w:color w:val="000000"/>
                <w:kern w:val="0"/>
                <w:sz w:val="21"/>
                <w:szCs w:val="21"/>
                <w:u w:val="none"/>
                <w:lang w:val="en-US" w:eastAsia="zh-CN" w:bidi="ar"/>
              </w:rPr>
              <w:t>27.9</w:t>
            </w:r>
          </w:p>
        </w:tc>
      </w:tr>
      <w:tr w14:paraId="337166BE">
        <w:tblPrEx>
          <w:shd w:val="clear" w:color="auto" w:fill="auto"/>
          <w:tblCellMar>
            <w:top w:w="0" w:type="dxa"/>
            <w:left w:w="0" w:type="dxa"/>
            <w:bottom w:w="0" w:type="dxa"/>
            <w:right w:w="0" w:type="dxa"/>
          </w:tblCellMar>
        </w:tblPrEx>
        <w:trPr>
          <w:trHeight w:val="475" w:hRule="atLeast"/>
          <w:jc w:val="center"/>
        </w:trPr>
        <w:tc>
          <w:tcPr>
            <w:tcW w:w="18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E98E6B">
            <w:pPr>
              <w:keepNext w:val="0"/>
              <w:keepLines w:val="0"/>
              <w:pageBreakBefore w:val="0"/>
              <w:widowControl/>
              <w:suppressLineNumbers w:val="0"/>
              <w:kinsoku/>
              <w:wordWrap/>
              <w:overflowPunct/>
              <w:topLinePunct w:val="0"/>
              <w:autoSpaceDE/>
              <w:autoSpaceDN/>
              <w:bidi w:val="0"/>
              <w:adjustRightInd/>
              <w:snapToGrid/>
              <w:spacing w:line="560" w:lineRule="atLeast"/>
              <w:jc w:val="center"/>
              <w:textAlignment w:val="center"/>
              <w:rPr>
                <w:rFonts w:hint="eastAsia" w:ascii="仿宋" w:hAnsi="仿宋" w:eastAsia="仿宋" w:cs="仿宋"/>
                <w:b w:val="0"/>
                <w:bCs/>
                <w:i w:val="0"/>
                <w:color w:val="000000"/>
                <w:kern w:val="0"/>
                <w:sz w:val="21"/>
                <w:szCs w:val="21"/>
                <w:u w:val="none"/>
                <w:lang w:val="en-US" w:eastAsia="zh-CN" w:bidi="ar"/>
              </w:rPr>
            </w:pPr>
            <w:r>
              <w:rPr>
                <w:rFonts w:hint="eastAsia" w:ascii="仿宋" w:hAnsi="仿宋" w:eastAsia="仿宋" w:cs="仿宋"/>
                <w:b w:val="0"/>
                <w:bCs/>
                <w:i w:val="0"/>
                <w:color w:val="000000"/>
                <w:kern w:val="0"/>
                <w:sz w:val="21"/>
                <w:szCs w:val="21"/>
                <w:u w:val="none"/>
                <w:lang w:val="en-US" w:eastAsia="zh-CN" w:bidi="ar"/>
              </w:rPr>
              <w:t>项目效益</w:t>
            </w:r>
          </w:p>
        </w:tc>
        <w:tc>
          <w:tcPr>
            <w:tcW w:w="25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3C1F9A99">
            <w:pPr>
              <w:keepNext w:val="0"/>
              <w:keepLines w:val="0"/>
              <w:pageBreakBefore w:val="0"/>
              <w:widowControl/>
              <w:suppressLineNumbers w:val="0"/>
              <w:kinsoku/>
              <w:wordWrap/>
              <w:overflowPunct/>
              <w:topLinePunct w:val="0"/>
              <w:autoSpaceDE/>
              <w:autoSpaceDN/>
              <w:bidi w:val="0"/>
              <w:adjustRightInd/>
              <w:snapToGrid/>
              <w:spacing w:line="560" w:lineRule="atLeast"/>
              <w:jc w:val="center"/>
              <w:textAlignment w:val="center"/>
              <w:rPr>
                <w:rFonts w:hint="default" w:ascii="仿宋" w:hAnsi="仿宋" w:eastAsia="仿宋" w:cs="仿宋"/>
                <w:b w:val="0"/>
                <w:bCs/>
                <w:i w:val="0"/>
                <w:color w:val="000000"/>
                <w:kern w:val="0"/>
                <w:sz w:val="21"/>
                <w:szCs w:val="21"/>
                <w:u w:val="none"/>
                <w:lang w:val="en-US" w:eastAsia="zh-CN" w:bidi="ar"/>
              </w:rPr>
            </w:pPr>
            <w:r>
              <w:rPr>
                <w:rFonts w:hint="eastAsia" w:ascii="仿宋" w:hAnsi="仿宋" w:eastAsia="仿宋" w:cs="仿宋"/>
                <w:b w:val="0"/>
                <w:bCs/>
                <w:i w:val="0"/>
                <w:color w:val="000000"/>
                <w:kern w:val="0"/>
                <w:sz w:val="21"/>
                <w:szCs w:val="21"/>
                <w:u w:val="none"/>
                <w:lang w:val="en-US" w:eastAsia="zh-CN" w:bidi="ar"/>
              </w:rPr>
              <w:t>50</w:t>
            </w:r>
          </w:p>
        </w:tc>
        <w:tc>
          <w:tcPr>
            <w:tcW w:w="2217"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49442370">
            <w:pPr>
              <w:keepNext w:val="0"/>
              <w:keepLines w:val="0"/>
              <w:pageBreakBefore w:val="0"/>
              <w:widowControl/>
              <w:suppressLineNumbers w:val="0"/>
              <w:kinsoku/>
              <w:wordWrap/>
              <w:overflowPunct/>
              <w:topLinePunct w:val="0"/>
              <w:autoSpaceDE/>
              <w:autoSpaceDN/>
              <w:bidi w:val="0"/>
              <w:adjustRightInd/>
              <w:snapToGrid/>
              <w:spacing w:line="560" w:lineRule="atLeast"/>
              <w:jc w:val="center"/>
              <w:textAlignment w:val="center"/>
              <w:rPr>
                <w:rFonts w:hint="eastAsia" w:ascii="仿宋" w:hAnsi="仿宋" w:eastAsia="仿宋" w:cs="仿宋"/>
                <w:b w:val="0"/>
                <w:bCs/>
                <w:i w:val="0"/>
                <w:color w:val="000000"/>
                <w:kern w:val="0"/>
                <w:sz w:val="21"/>
                <w:szCs w:val="21"/>
                <w:u w:val="none"/>
                <w:lang w:val="en-US" w:eastAsia="zh-CN" w:bidi="ar"/>
              </w:rPr>
            </w:pPr>
            <w:r>
              <w:rPr>
                <w:rFonts w:hint="eastAsia" w:ascii="仿宋" w:hAnsi="仿宋" w:eastAsia="仿宋" w:cs="仿宋"/>
                <w:b w:val="0"/>
                <w:bCs/>
                <w:i w:val="0"/>
                <w:color w:val="000000"/>
                <w:kern w:val="0"/>
                <w:sz w:val="21"/>
                <w:szCs w:val="21"/>
                <w:u w:val="none"/>
                <w:lang w:val="en-US" w:eastAsia="zh-CN" w:bidi="ar"/>
              </w:rPr>
              <w:t>88.8%</w:t>
            </w:r>
          </w:p>
        </w:tc>
        <w:tc>
          <w:tcPr>
            <w:tcW w:w="221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27178320">
            <w:pPr>
              <w:keepNext w:val="0"/>
              <w:keepLines w:val="0"/>
              <w:pageBreakBefore w:val="0"/>
              <w:widowControl/>
              <w:suppressLineNumbers w:val="0"/>
              <w:kinsoku/>
              <w:wordWrap/>
              <w:overflowPunct/>
              <w:topLinePunct w:val="0"/>
              <w:autoSpaceDE/>
              <w:autoSpaceDN/>
              <w:bidi w:val="0"/>
              <w:adjustRightInd/>
              <w:snapToGrid/>
              <w:spacing w:line="560" w:lineRule="atLeast"/>
              <w:jc w:val="center"/>
              <w:textAlignment w:val="center"/>
              <w:rPr>
                <w:rFonts w:hint="default" w:ascii="仿宋" w:hAnsi="仿宋" w:eastAsia="仿宋" w:cs="仿宋"/>
                <w:b w:val="0"/>
                <w:bCs/>
                <w:i w:val="0"/>
                <w:color w:val="000000"/>
                <w:kern w:val="0"/>
                <w:sz w:val="21"/>
                <w:szCs w:val="21"/>
                <w:u w:val="none"/>
                <w:lang w:val="en-US" w:eastAsia="zh-CN" w:bidi="ar"/>
              </w:rPr>
            </w:pPr>
            <w:r>
              <w:rPr>
                <w:rFonts w:hint="eastAsia" w:ascii="仿宋" w:hAnsi="仿宋" w:eastAsia="仿宋" w:cs="仿宋"/>
                <w:b w:val="0"/>
                <w:bCs/>
                <w:i w:val="0"/>
                <w:color w:val="000000"/>
                <w:kern w:val="0"/>
                <w:sz w:val="21"/>
                <w:szCs w:val="21"/>
                <w:u w:val="none"/>
                <w:lang w:val="en-US" w:eastAsia="zh-CN" w:bidi="ar"/>
              </w:rPr>
              <w:t>44.42</w:t>
            </w:r>
          </w:p>
        </w:tc>
      </w:tr>
      <w:tr w14:paraId="677CDD72">
        <w:tblPrEx>
          <w:tblCellMar>
            <w:top w:w="0" w:type="dxa"/>
            <w:left w:w="0" w:type="dxa"/>
            <w:bottom w:w="0" w:type="dxa"/>
            <w:right w:w="0" w:type="dxa"/>
          </w:tblCellMar>
        </w:tblPrEx>
        <w:trPr>
          <w:trHeight w:val="432" w:hRule="atLeast"/>
          <w:jc w:val="center"/>
        </w:trPr>
        <w:tc>
          <w:tcPr>
            <w:tcW w:w="189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253596">
            <w:pPr>
              <w:keepNext w:val="0"/>
              <w:keepLines w:val="0"/>
              <w:pageBreakBefore w:val="0"/>
              <w:widowControl/>
              <w:suppressLineNumbers w:val="0"/>
              <w:kinsoku/>
              <w:wordWrap/>
              <w:overflowPunct/>
              <w:topLinePunct w:val="0"/>
              <w:autoSpaceDE/>
              <w:autoSpaceDN/>
              <w:bidi w:val="0"/>
              <w:adjustRightInd/>
              <w:snapToGrid/>
              <w:spacing w:line="560" w:lineRule="atLeast"/>
              <w:jc w:val="center"/>
              <w:textAlignment w:val="center"/>
              <w:rPr>
                <w:rFonts w:hint="eastAsia" w:ascii="仿宋" w:hAnsi="仿宋" w:eastAsia="仿宋" w:cs="仿宋"/>
                <w:b w:val="0"/>
                <w:bCs/>
                <w:i w:val="0"/>
                <w:color w:val="000000"/>
                <w:sz w:val="21"/>
                <w:szCs w:val="21"/>
                <w:u w:val="none"/>
              </w:rPr>
            </w:pPr>
            <w:r>
              <w:rPr>
                <w:rFonts w:hint="eastAsia" w:ascii="仿宋" w:hAnsi="仿宋" w:eastAsia="仿宋" w:cs="仿宋"/>
                <w:b w:val="0"/>
                <w:bCs/>
                <w:i w:val="0"/>
                <w:color w:val="000000"/>
                <w:kern w:val="0"/>
                <w:sz w:val="21"/>
                <w:szCs w:val="21"/>
                <w:u w:val="none"/>
                <w:lang w:val="en-US" w:eastAsia="zh-CN" w:bidi="ar"/>
              </w:rPr>
              <w:t>合计</w:t>
            </w:r>
          </w:p>
        </w:tc>
        <w:tc>
          <w:tcPr>
            <w:tcW w:w="253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56FFBE12">
            <w:pPr>
              <w:keepNext w:val="0"/>
              <w:keepLines w:val="0"/>
              <w:pageBreakBefore w:val="0"/>
              <w:widowControl/>
              <w:suppressLineNumbers w:val="0"/>
              <w:kinsoku/>
              <w:wordWrap/>
              <w:overflowPunct/>
              <w:topLinePunct w:val="0"/>
              <w:autoSpaceDE/>
              <w:autoSpaceDN/>
              <w:bidi w:val="0"/>
              <w:adjustRightInd/>
              <w:snapToGrid/>
              <w:spacing w:line="560" w:lineRule="atLeast"/>
              <w:jc w:val="center"/>
              <w:textAlignment w:val="center"/>
              <w:rPr>
                <w:rFonts w:hint="default" w:ascii="仿宋" w:hAnsi="仿宋" w:eastAsia="仿宋" w:cs="仿宋"/>
                <w:b w:val="0"/>
                <w:bCs/>
                <w:i w:val="0"/>
                <w:color w:val="000000"/>
                <w:kern w:val="0"/>
                <w:sz w:val="21"/>
                <w:szCs w:val="21"/>
                <w:u w:val="none"/>
                <w:lang w:val="en-US" w:eastAsia="zh-CN" w:bidi="ar"/>
              </w:rPr>
            </w:pPr>
            <w:r>
              <w:rPr>
                <w:rFonts w:hint="eastAsia" w:ascii="仿宋" w:hAnsi="仿宋" w:eastAsia="仿宋" w:cs="仿宋"/>
                <w:b w:val="0"/>
                <w:bCs/>
                <w:i w:val="0"/>
                <w:color w:val="000000"/>
                <w:kern w:val="0"/>
                <w:sz w:val="21"/>
                <w:szCs w:val="21"/>
                <w:u w:val="none"/>
                <w:lang w:val="en-US" w:eastAsia="zh-CN" w:bidi="ar"/>
              </w:rPr>
              <w:t>100</w:t>
            </w:r>
          </w:p>
        </w:tc>
        <w:tc>
          <w:tcPr>
            <w:tcW w:w="2217"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00C514A6">
            <w:pPr>
              <w:keepNext w:val="0"/>
              <w:keepLines w:val="0"/>
              <w:pageBreakBefore w:val="0"/>
              <w:widowControl/>
              <w:suppressLineNumbers w:val="0"/>
              <w:kinsoku/>
              <w:wordWrap/>
              <w:overflowPunct/>
              <w:topLinePunct w:val="0"/>
              <w:autoSpaceDE/>
              <w:autoSpaceDN/>
              <w:bidi w:val="0"/>
              <w:adjustRightInd/>
              <w:snapToGrid/>
              <w:spacing w:line="560" w:lineRule="atLeast"/>
              <w:jc w:val="center"/>
              <w:textAlignment w:val="center"/>
              <w:rPr>
                <w:rFonts w:hint="default" w:ascii="仿宋" w:hAnsi="仿宋" w:eastAsia="仿宋" w:cs="仿宋"/>
                <w:b w:val="0"/>
                <w:bCs/>
                <w:i w:val="0"/>
                <w:color w:val="000000"/>
                <w:kern w:val="0"/>
                <w:sz w:val="21"/>
                <w:szCs w:val="21"/>
                <w:u w:val="none"/>
                <w:lang w:val="en-US" w:eastAsia="zh-CN" w:bidi="ar"/>
              </w:rPr>
            </w:pPr>
            <w:r>
              <w:rPr>
                <w:rFonts w:hint="eastAsia" w:ascii="仿宋" w:hAnsi="仿宋" w:eastAsia="仿宋" w:cs="仿宋"/>
                <w:b w:val="0"/>
                <w:bCs/>
                <w:i w:val="0"/>
                <w:color w:val="000000"/>
                <w:kern w:val="0"/>
                <w:sz w:val="21"/>
                <w:szCs w:val="21"/>
                <w:u w:val="none"/>
                <w:lang w:val="en-US" w:eastAsia="zh-CN" w:bidi="ar"/>
              </w:rPr>
              <w:t>92.32%</w:t>
            </w:r>
          </w:p>
        </w:tc>
        <w:tc>
          <w:tcPr>
            <w:tcW w:w="221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48BD669E">
            <w:pPr>
              <w:keepNext w:val="0"/>
              <w:keepLines w:val="0"/>
              <w:pageBreakBefore w:val="0"/>
              <w:widowControl/>
              <w:suppressLineNumbers w:val="0"/>
              <w:kinsoku/>
              <w:wordWrap/>
              <w:overflowPunct/>
              <w:topLinePunct w:val="0"/>
              <w:autoSpaceDE/>
              <w:autoSpaceDN/>
              <w:bidi w:val="0"/>
              <w:adjustRightInd/>
              <w:snapToGrid/>
              <w:spacing w:line="560" w:lineRule="atLeast"/>
              <w:jc w:val="center"/>
              <w:textAlignment w:val="center"/>
              <w:rPr>
                <w:rFonts w:hint="default" w:ascii="仿宋" w:hAnsi="仿宋" w:eastAsia="仿宋" w:cs="仿宋"/>
                <w:b w:val="0"/>
                <w:bCs/>
                <w:i w:val="0"/>
                <w:color w:val="000000"/>
                <w:kern w:val="0"/>
                <w:sz w:val="21"/>
                <w:szCs w:val="21"/>
                <w:u w:val="none"/>
                <w:lang w:val="en-US" w:eastAsia="zh-CN" w:bidi="ar"/>
              </w:rPr>
            </w:pPr>
            <w:r>
              <w:rPr>
                <w:rFonts w:hint="eastAsia" w:ascii="仿宋" w:hAnsi="仿宋" w:eastAsia="仿宋" w:cs="仿宋"/>
                <w:b w:val="0"/>
                <w:bCs/>
                <w:i w:val="0"/>
                <w:color w:val="000000"/>
                <w:kern w:val="0"/>
                <w:sz w:val="21"/>
                <w:szCs w:val="21"/>
                <w:u w:val="none"/>
                <w:lang w:val="en-US" w:eastAsia="zh-CN" w:bidi="ar"/>
              </w:rPr>
              <w:t>92.32</w:t>
            </w:r>
          </w:p>
        </w:tc>
      </w:tr>
    </w:tbl>
    <w:p w14:paraId="48F9B637">
      <w:pPr>
        <w:pageBreakBefore w:val="0"/>
        <w:numPr>
          <w:ilvl w:val="0"/>
          <w:numId w:val="0"/>
        </w:numPr>
        <w:kinsoku/>
        <w:wordWrap/>
        <w:overflowPunct/>
        <w:topLinePunct w:val="0"/>
        <w:autoSpaceDE/>
        <w:autoSpaceDN/>
        <w:bidi w:val="0"/>
        <w:adjustRightInd/>
        <w:snapToGrid/>
        <w:spacing w:line="560" w:lineRule="atLeast"/>
        <w:ind w:firstLine="640" w:firstLineChars="200"/>
        <w:rPr>
          <w:rFonts w:hint="eastAsia" w:ascii="黑体" w:hAnsi="黑体" w:eastAsia="黑体" w:cs="黑体"/>
          <w:sz w:val="32"/>
          <w:szCs w:val="32"/>
        </w:rPr>
      </w:pPr>
      <w:r>
        <w:rPr>
          <w:rFonts w:hint="eastAsia" w:ascii="黑体" w:hAnsi="黑体" w:eastAsia="黑体" w:cs="黑体"/>
          <w:sz w:val="32"/>
          <w:szCs w:val="32"/>
          <w:lang w:val="en-US" w:eastAsia="zh-CN"/>
        </w:rPr>
        <w:t>四、</w:t>
      </w:r>
      <w:r>
        <w:rPr>
          <w:rFonts w:hint="eastAsia" w:ascii="黑体" w:hAnsi="黑体" w:eastAsia="黑体" w:cs="黑体"/>
          <w:sz w:val="32"/>
          <w:szCs w:val="32"/>
        </w:rPr>
        <w:t>绩效评价指标分析</w:t>
      </w:r>
    </w:p>
    <w:p w14:paraId="05122162">
      <w:pPr>
        <w:pageBreakBefore w:val="0"/>
        <w:kinsoku/>
        <w:wordWrap/>
        <w:overflowPunct/>
        <w:topLinePunct w:val="0"/>
        <w:autoSpaceDE/>
        <w:autoSpaceDN/>
        <w:bidi w:val="0"/>
        <w:adjustRightInd/>
        <w:snapToGrid/>
        <w:spacing w:line="560" w:lineRule="atLeast"/>
        <w:ind w:firstLine="641"/>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（一）项目决策情况</w:t>
      </w:r>
    </w:p>
    <w:p w14:paraId="62EE356B">
      <w:pPr>
        <w:pageBreakBefore w:val="0"/>
        <w:kinsoku/>
        <w:wordWrap/>
        <w:overflowPunct/>
        <w:topLinePunct w:val="0"/>
        <w:autoSpaceDE/>
        <w:autoSpaceDN/>
        <w:bidi w:val="0"/>
        <w:adjustRightInd/>
        <w:snapToGrid/>
        <w:spacing w:line="560" w:lineRule="atLeast"/>
        <w:ind w:left="0" w:firstLine="640" w:firstLineChars="200"/>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1、项目立项</w:t>
      </w:r>
    </w:p>
    <w:p w14:paraId="30F9AA4E">
      <w:pPr>
        <w:keepNext w:val="0"/>
        <w:keepLines w:val="0"/>
        <w:pageBreakBefore w:val="0"/>
        <w:widowControl w:val="0"/>
        <w:kinsoku/>
        <w:wordWrap/>
        <w:overflowPunct/>
        <w:topLinePunct w:val="0"/>
        <w:autoSpaceDE/>
        <w:autoSpaceDN/>
        <w:bidi w:val="0"/>
        <w:adjustRightInd/>
        <w:snapToGrid/>
        <w:spacing w:line="560" w:lineRule="atLeast"/>
        <w:ind w:left="0" w:firstLine="708" w:firstLineChars="200"/>
        <w:textAlignment w:val="auto"/>
        <w:rPr>
          <w:rFonts w:hint="eastAsia" w:ascii="仿宋_GB2312" w:hAnsi="仿宋_GB2312" w:eastAsia="仿宋_GB2312" w:cs="仿宋_GB2312"/>
          <w:b w:val="0"/>
          <w:bCs w:val="0"/>
          <w:color w:val="000000"/>
          <w:spacing w:val="17"/>
          <w:kern w:val="2"/>
          <w:sz w:val="32"/>
          <w:szCs w:val="32"/>
          <w:lang w:val="en-US" w:eastAsia="zh-CN" w:bidi="ar-SA"/>
        </w:rPr>
      </w:pPr>
      <w:r>
        <w:rPr>
          <w:rFonts w:hint="eastAsia" w:ascii="仿宋_GB2312" w:hAnsi="仿宋_GB2312" w:eastAsia="仿宋_GB2312" w:cs="仿宋_GB2312"/>
          <w:b w:val="0"/>
          <w:bCs w:val="0"/>
          <w:color w:val="000000"/>
          <w:spacing w:val="17"/>
          <w:kern w:val="2"/>
          <w:sz w:val="32"/>
          <w:szCs w:val="32"/>
          <w:lang w:val="en-US" w:eastAsia="zh-CN" w:bidi="ar-SA"/>
        </w:rPr>
        <w:t>承压类设备专项资金的项目立项以特种设备法、特种设备安全监察条例、塔城地区财政局下发相关文件及关规定制度作为项目立项的依据，并严格按照相关法律法规结合塔城地区特检所质量保证体系进行对其程序的规范性进行整合，所领导班子对技术所工作进行管理及分工，对整个项目工作进行了统筹安排和组织实施，加强日常检查监督工作，确保项目按计划顺利开展。</w:t>
      </w:r>
    </w:p>
    <w:p w14:paraId="75556C8D">
      <w:pPr>
        <w:pageBreakBefore w:val="0"/>
        <w:kinsoku/>
        <w:wordWrap/>
        <w:overflowPunct/>
        <w:topLinePunct w:val="0"/>
        <w:autoSpaceDE/>
        <w:autoSpaceDN/>
        <w:bidi w:val="0"/>
        <w:adjustRightInd/>
        <w:snapToGrid/>
        <w:spacing w:line="560" w:lineRule="atLeast"/>
        <w:ind w:left="0" w:firstLine="708" w:firstLineChars="200"/>
        <w:rPr>
          <w:rFonts w:hint="eastAsia" w:ascii="仿宋_GB2312" w:hAnsi="仿宋_GB2312" w:eastAsia="仿宋_GB2312" w:cs="仿宋_GB2312"/>
          <w:b w:val="0"/>
          <w:bCs w:val="0"/>
          <w:color w:val="000000"/>
          <w:spacing w:val="17"/>
          <w:kern w:val="2"/>
          <w:sz w:val="32"/>
          <w:szCs w:val="32"/>
          <w:lang w:val="en-US" w:eastAsia="zh-CN" w:bidi="ar-SA"/>
        </w:rPr>
      </w:pPr>
      <w:r>
        <w:rPr>
          <w:rFonts w:hint="eastAsia" w:ascii="仿宋_GB2312" w:hAnsi="仿宋_GB2312" w:eastAsia="仿宋_GB2312" w:cs="仿宋_GB2312"/>
          <w:b w:val="0"/>
          <w:bCs w:val="0"/>
          <w:color w:val="000000"/>
          <w:spacing w:val="17"/>
          <w:kern w:val="2"/>
          <w:sz w:val="32"/>
          <w:szCs w:val="32"/>
          <w:lang w:val="en-US" w:eastAsia="zh-CN" w:bidi="ar-SA"/>
        </w:rPr>
        <w:t>2、绩效目标</w:t>
      </w:r>
    </w:p>
    <w:p w14:paraId="0EBD0E7E">
      <w:pPr>
        <w:keepNext w:val="0"/>
        <w:keepLines w:val="0"/>
        <w:pageBreakBefore w:val="0"/>
        <w:widowControl w:val="0"/>
        <w:kinsoku/>
        <w:wordWrap/>
        <w:overflowPunct/>
        <w:topLinePunct w:val="0"/>
        <w:autoSpaceDE/>
        <w:autoSpaceDN/>
        <w:bidi w:val="0"/>
        <w:adjustRightInd/>
        <w:snapToGrid/>
        <w:spacing w:line="560" w:lineRule="atLeast"/>
        <w:ind w:left="0" w:firstLine="708" w:firstLineChars="200"/>
        <w:textAlignment w:val="auto"/>
        <w:rPr>
          <w:rFonts w:hint="eastAsia" w:ascii="仿宋_GB2312" w:hAnsi="仿宋_GB2312" w:eastAsia="仿宋_GB2312" w:cs="仿宋_GB2312"/>
          <w:b w:val="0"/>
          <w:bCs w:val="0"/>
          <w:color w:val="000000"/>
          <w:spacing w:val="17"/>
          <w:kern w:val="2"/>
          <w:sz w:val="32"/>
          <w:szCs w:val="32"/>
          <w:lang w:val="en-US" w:eastAsia="zh-CN" w:bidi="ar-SA"/>
        </w:rPr>
      </w:pPr>
      <w:r>
        <w:rPr>
          <w:rFonts w:hint="eastAsia" w:ascii="仿宋_GB2312" w:hAnsi="仿宋_GB2312" w:eastAsia="仿宋_GB2312" w:cs="仿宋_GB2312"/>
          <w:b w:val="0"/>
          <w:bCs w:val="0"/>
          <w:color w:val="000000"/>
          <w:spacing w:val="17"/>
          <w:kern w:val="2"/>
          <w:sz w:val="32"/>
          <w:szCs w:val="32"/>
          <w:lang w:val="en-US" w:eastAsia="zh-CN" w:bidi="ar-SA"/>
        </w:rPr>
        <w:t>绩效目标在于，完成塔城地区承压类设备检验工作，且确保承压类设备定检率、保证地区企业安全生产的前提下完成承压类设备绩效既定目标，对绩效目标的完成情况做到合法、合规、合理。</w:t>
      </w:r>
    </w:p>
    <w:p w14:paraId="5918E27F">
      <w:pPr>
        <w:keepNext w:val="0"/>
        <w:keepLines w:val="0"/>
        <w:pageBreakBefore w:val="0"/>
        <w:widowControl w:val="0"/>
        <w:kinsoku/>
        <w:wordWrap/>
        <w:overflowPunct/>
        <w:topLinePunct w:val="0"/>
        <w:autoSpaceDE/>
        <w:autoSpaceDN/>
        <w:bidi w:val="0"/>
        <w:adjustRightInd/>
        <w:snapToGrid/>
        <w:spacing w:line="560" w:lineRule="atLeast"/>
        <w:ind w:left="0" w:firstLine="708" w:firstLineChars="200"/>
        <w:textAlignment w:val="auto"/>
        <w:rPr>
          <w:rFonts w:hint="eastAsia" w:ascii="仿宋_GB2312" w:hAnsi="仿宋_GB2312" w:eastAsia="仿宋_GB2312" w:cs="仿宋_GB2312"/>
          <w:b w:val="0"/>
          <w:bCs w:val="0"/>
          <w:color w:val="000000"/>
          <w:spacing w:val="17"/>
          <w:kern w:val="2"/>
          <w:sz w:val="32"/>
          <w:szCs w:val="32"/>
          <w:lang w:val="en-US" w:eastAsia="zh-CN" w:bidi="ar-SA"/>
        </w:rPr>
      </w:pPr>
      <w:r>
        <w:rPr>
          <w:rFonts w:hint="eastAsia" w:ascii="仿宋_GB2312" w:hAnsi="仿宋_GB2312" w:eastAsia="仿宋_GB2312" w:cs="仿宋_GB2312"/>
          <w:b w:val="0"/>
          <w:bCs w:val="0"/>
          <w:color w:val="000000"/>
          <w:spacing w:val="17"/>
          <w:kern w:val="2"/>
          <w:sz w:val="32"/>
          <w:szCs w:val="32"/>
          <w:lang w:val="en-US" w:eastAsia="zh-CN" w:bidi="ar-SA"/>
        </w:rPr>
        <w:t>3、资金投入</w:t>
      </w:r>
    </w:p>
    <w:p w14:paraId="001EEE5A">
      <w:pPr>
        <w:keepNext w:val="0"/>
        <w:keepLines w:val="0"/>
        <w:pageBreakBefore w:val="0"/>
        <w:widowControl w:val="0"/>
        <w:kinsoku/>
        <w:wordWrap/>
        <w:overflowPunct/>
        <w:topLinePunct w:val="0"/>
        <w:autoSpaceDE/>
        <w:autoSpaceDN/>
        <w:bidi w:val="0"/>
        <w:adjustRightInd/>
        <w:snapToGrid/>
        <w:spacing w:line="560" w:lineRule="atLeast"/>
        <w:ind w:left="0" w:firstLine="708" w:firstLineChars="200"/>
        <w:textAlignment w:val="auto"/>
        <w:rPr>
          <w:rFonts w:hint="default" w:ascii="仿宋_GB2312" w:hAnsi="仿宋_GB2312" w:eastAsia="仿宋_GB2312" w:cs="仿宋_GB2312"/>
          <w:b w:val="0"/>
          <w:bCs w:val="0"/>
          <w:color w:val="000000"/>
          <w:spacing w:val="17"/>
          <w:kern w:val="2"/>
          <w:sz w:val="32"/>
          <w:szCs w:val="32"/>
          <w:lang w:val="en-US" w:eastAsia="zh-CN" w:bidi="ar-SA"/>
        </w:rPr>
      </w:pPr>
      <w:r>
        <w:rPr>
          <w:rFonts w:hint="eastAsia" w:ascii="仿宋_GB2312" w:hAnsi="仿宋_GB2312" w:eastAsia="仿宋_GB2312" w:cs="仿宋_GB2312"/>
          <w:b w:val="0"/>
          <w:bCs w:val="0"/>
          <w:color w:val="000000"/>
          <w:spacing w:val="17"/>
          <w:kern w:val="2"/>
          <w:sz w:val="32"/>
          <w:szCs w:val="32"/>
          <w:lang w:val="en-US" w:eastAsia="zh-CN" w:bidi="ar-SA"/>
        </w:rPr>
        <w:t>承压类设备专项资金项目预算编制经过数年的实践验证，明确标准，资金额度与年度目标基本适应，在承压类设备专项资金投入及合理使用方面，特检所严格按照特检所财务管理制度合理分配每一项资金占比且能做到合理使用与地方实际情况能够相互适应。</w:t>
      </w:r>
    </w:p>
    <w:p w14:paraId="264E5793">
      <w:pPr>
        <w:pageBreakBefore w:val="0"/>
        <w:kinsoku/>
        <w:wordWrap/>
        <w:overflowPunct/>
        <w:topLinePunct w:val="0"/>
        <w:autoSpaceDE/>
        <w:autoSpaceDN/>
        <w:bidi w:val="0"/>
        <w:adjustRightInd/>
        <w:snapToGrid/>
        <w:spacing w:line="560" w:lineRule="atLeast"/>
        <w:ind w:firstLine="641"/>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（二）项目过程情况</w:t>
      </w:r>
    </w:p>
    <w:p w14:paraId="1C2819D4">
      <w:pPr>
        <w:keepNext w:val="0"/>
        <w:keepLines w:val="0"/>
        <w:pageBreakBefore w:val="0"/>
        <w:widowControl w:val="0"/>
        <w:kinsoku/>
        <w:wordWrap/>
        <w:overflowPunct/>
        <w:topLinePunct w:val="0"/>
        <w:autoSpaceDE/>
        <w:autoSpaceDN/>
        <w:bidi w:val="0"/>
        <w:adjustRightInd/>
        <w:snapToGrid/>
        <w:spacing w:line="560" w:lineRule="atLeast"/>
        <w:ind w:left="0" w:firstLine="708" w:firstLineChars="200"/>
        <w:textAlignment w:val="auto"/>
        <w:rPr>
          <w:rFonts w:hint="eastAsia" w:ascii="仿宋_GB2312" w:hAnsi="仿宋_GB2312" w:eastAsia="仿宋_GB2312" w:cs="仿宋_GB2312"/>
          <w:b w:val="0"/>
          <w:bCs w:val="0"/>
          <w:color w:val="000000"/>
          <w:spacing w:val="17"/>
          <w:kern w:val="2"/>
          <w:sz w:val="32"/>
          <w:szCs w:val="32"/>
          <w:lang w:val="en-US" w:eastAsia="zh-CN" w:bidi="ar-SA"/>
        </w:rPr>
      </w:pPr>
      <w:r>
        <w:rPr>
          <w:rFonts w:hint="eastAsia" w:ascii="仿宋_GB2312" w:hAnsi="仿宋_GB2312" w:eastAsia="仿宋_GB2312" w:cs="仿宋_GB2312"/>
          <w:b w:val="0"/>
          <w:bCs w:val="0"/>
          <w:color w:val="000000"/>
          <w:spacing w:val="17"/>
          <w:kern w:val="2"/>
          <w:sz w:val="32"/>
          <w:szCs w:val="32"/>
          <w:lang w:val="en-US" w:eastAsia="zh-CN" w:bidi="ar-SA"/>
        </w:rPr>
        <w:t>本项目资金的到位率100%，执行率66.13%，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14:paraId="4BCFE86B">
      <w:pPr>
        <w:pageBreakBefore w:val="0"/>
        <w:kinsoku/>
        <w:wordWrap/>
        <w:overflowPunct/>
        <w:topLinePunct w:val="0"/>
        <w:autoSpaceDE/>
        <w:autoSpaceDN/>
        <w:bidi w:val="0"/>
        <w:adjustRightInd/>
        <w:snapToGrid/>
        <w:spacing w:line="560" w:lineRule="atLeast"/>
        <w:ind w:firstLine="641"/>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（三）项目产出情况</w:t>
      </w:r>
    </w:p>
    <w:p w14:paraId="79D40142">
      <w:pPr>
        <w:keepNext w:val="0"/>
        <w:keepLines w:val="0"/>
        <w:pageBreakBefore w:val="0"/>
        <w:widowControl w:val="0"/>
        <w:kinsoku/>
        <w:wordWrap/>
        <w:overflowPunct/>
        <w:topLinePunct w:val="0"/>
        <w:autoSpaceDE/>
        <w:autoSpaceDN/>
        <w:bidi w:val="0"/>
        <w:adjustRightInd/>
        <w:snapToGrid/>
        <w:spacing w:line="560" w:lineRule="atLeast"/>
        <w:ind w:left="0" w:firstLine="708" w:firstLineChars="200"/>
        <w:textAlignment w:val="auto"/>
        <w:rPr>
          <w:rFonts w:hint="eastAsia" w:ascii="仿宋_GB2312" w:hAnsi="仿宋_GB2312" w:eastAsia="仿宋_GB2312" w:cs="仿宋_GB2312"/>
          <w:b w:val="0"/>
          <w:bCs w:val="0"/>
          <w:color w:val="000000"/>
          <w:spacing w:val="17"/>
          <w:kern w:val="2"/>
          <w:sz w:val="32"/>
          <w:szCs w:val="32"/>
          <w:lang w:val="en-US" w:eastAsia="zh-CN" w:bidi="ar-SA"/>
        </w:rPr>
      </w:pPr>
      <w:r>
        <w:rPr>
          <w:rFonts w:hint="eastAsia" w:ascii="仿宋_GB2312" w:hAnsi="仿宋_GB2312" w:eastAsia="仿宋_GB2312" w:cs="仿宋_GB2312"/>
          <w:b w:val="0"/>
          <w:bCs w:val="0"/>
          <w:color w:val="000000"/>
          <w:spacing w:val="17"/>
          <w:kern w:val="2"/>
          <w:sz w:val="32"/>
          <w:szCs w:val="32"/>
          <w:lang w:val="en-US" w:eastAsia="zh-CN" w:bidi="ar-SA"/>
        </w:rPr>
        <w:t>项目产出指标分数量指标、质量指标、时效指标、成本指标，四个方向进行分析，数量指标分值10分，实际得分7.9，分得分率79%，上一年度受疫情影响车用气瓶的送检数量未达到预期数量，其余项目均已按照年初项目计划达标。产出指标分值共30分，得分27.9分，得分率93%。</w:t>
      </w:r>
    </w:p>
    <w:p w14:paraId="1BF6B06D">
      <w:pPr>
        <w:pageBreakBefore w:val="0"/>
        <w:kinsoku/>
        <w:wordWrap/>
        <w:overflowPunct/>
        <w:topLinePunct w:val="0"/>
        <w:autoSpaceDE/>
        <w:autoSpaceDN/>
        <w:bidi w:val="0"/>
        <w:adjustRightInd/>
        <w:snapToGrid/>
        <w:spacing w:line="560" w:lineRule="atLeast"/>
        <w:ind w:left="0"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项目产出指标得分情况如表所示。</w:t>
      </w:r>
    </w:p>
    <w:p w14:paraId="762C5287">
      <w:pPr>
        <w:pageBreakBefore w:val="0"/>
        <w:kinsoku/>
        <w:wordWrap/>
        <w:overflowPunct/>
        <w:topLinePunct w:val="0"/>
        <w:autoSpaceDE/>
        <w:autoSpaceDN/>
        <w:bidi w:val="0"/>
        <w:adjustRightInd/>
        <w:snapToGrid/>
        <w:spacing w:line="560" w:lineRule="atLeast"/>
        <w:ind w:left="0" w:firstLine="560" w:firstLineChars="200"/>
        <w:jc w:val="center"/>
        <w:rPr>
          <w:rFonts w:hint="eastAsia" w:ascii="仿宋" w:hAnsi="仿宋" w:eastAsia="仿宋" w:cs="仿宋"/>
          <w:sz w:val="28"/>
          <w:szCs w:val="28"/>
        </w:rPr>
      </w:pPr>
      <w:r>
        <w:rPr>
          <w:rFonts w:hint="eastAsia" w:ascii="仿宋" w:hAnsi="仿宋" w:eastAsia="仿宋" w:cs="仿宋"/>
          <w:sz w:val="28"/>
          <w:szCs w:val="28"/>
          <w:lang w:val="en-US" w:eastAsia="zh-CN"/>
        </w:rPr>
        <w:t>项目产出</w:t>
      </w:r>
      <w:r>
        <w:rPr>
          <w:rFonts w:hint="eastAsia" w:ascii="仿宋" w:hAnsi="仿宋" w:eastAsia="仿宋" w:cs="仿宋"/>
          <w:sz w:val="28"/>
          <w:szCs w:val="28"/>
        </w:rPr>
        <w:t>指标</w:t>
      </w:r>
      <w:r>
        <w:rPr>
          <w:rFonts w:hint="eastAsia" w:ascii="仿宋" w:hAnsi="仿宋" w:eastAsia="仿宋" w:cs="仿宋"/>
          <w:color w:val="000000"/>
          <w:kern w:val="0"/>
          <w:sz w:val="28"/>
          <w:szCs w:val="28"/>
        </w:rPr>
        <w:t>得分情况</w:t>
      </w:r>
    </w:p>
    <w:tbl>
      <w:tblPr>
        <w:tblStyle w:val="9"/>
        <w:tblW w:w="8863" w:type="dxa"/>
        <w:tblInd w:w="0" w:type="dxa"/>
        <w:shd w:val="clear" w:color="auto" w:fill="auto"/>
        <w:tblLayout w:type="fixed"/>
        <w:tblCellMar>
          <w:top w:w="0" w:type="dxa"/>
          <w:left w:w="0" w:type="dxa"/>
          <w:bottom w:w="0" w:type="dxa"/>
          <w:right w:w="0" w:type="dxa"/>
        </w:tblCellMar>
      </w:tblPr>
      <w:tblGrid>
        <w:gridCol w:w="2214"/>
        <w:gridCol w:w="2214"/>
        <w:gridCol w:w="2216"/>
        <w:gridCol w:w="2219"/>
      </w:tblGrid>
      <w:tr w14:paraId="68CF8192">
        <w:tblPrEx>
          <w:shd w:val="clear" w:color="auto" w:fill="auto"/>
          <w:tblCellMar>
            <w:top w:w="0" w:type="dxa"/>
            <w:left w:w="0" w:type="dxa"/>
            <w:bottom w:w="0" w:type="dxa"/>
            <w:right w:w="0" w:type="dxa"/>
          </w:tblCellMar>
        </w:tblPrEx>
        <w:trPr>
          <w:trHeight w:val="312" w:hRule="atLeast"/>
          <w:tblHeader/>
        </w:trPr>
        <w:tc>
          <w:tcPr>
            <w:tcW w:w="2214"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16F1ED20">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560" w:firstLineChars="20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二级指标</w:t>
            </w:r>
          </w:p>
        </w:tc>
        <w:tc>
          <w:tcPr>
            <w:tcW w:w="2214"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1FB7AE5">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560" w:firstLineChars="20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权重</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AE93E63">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560" w:firstLineChars="20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得分率</w:t>
            </w:r>
          </w:p>
        </w:tc>
        <w:tc>
          <w:tcPr>
            <w:tcW w:w="2219" w:type="dxa"/>
            <w:tcBorders>
              <w:top w:val="single" w:color="000000"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14:paraId="7A50AC68">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560" w:firstLineChars="20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实际得分</w:t>
            </w:r>
          </w:p>
        </w:tc>
      </w:tr>
      <w:tr w14:paraId="2F537760">
        <w:tblPrEx>
          <w:shd w:val="clear" w:color="auto" w:fill="auto"/>
          <w:tblCellMar>
            <w:top w:w="0" w:type="dxa"/>
            <w:left w:w="0" w:type="dxa"/>
            <w:bottom w:w="0" w:type="dxa"/>
            <w:right w:w="0" w:type="dxa"/>
          </w:tblCellMar>
        </w:tblPrEx>
        <w:trPr>
          <w:trHeight w:val="432" w:hRule="atLeast"/>
        </w:trPr>
        <w:tc>
          <w:tcPr>
            <w:tcW w:w="2214"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right w:w="12" w:type="dxa"/>
            </w:tcMar>
            <w:vAlign w:val="center"/>
          </w:tcPr>
          <w:p w14:paraId="2C4991EF">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420" w:firstLineChars="200"/>
              <w:jc w:val="center"/>
              <w:textAlignment w:val="center"/>
              <w:rPr>
                <w:rFonts w:hint="eastAsia" w:ascii="仿宋" w:hAnsi="仿宋" w:eastAsia="仿宋" w:cs="仿宋"/>
                <w:i w:val="0"/>
                <w:color w:val="000000"/>
                <w:sz w:val="28"/>
                <w:szCs w:val="28"/>
                <w:u w:val="none"/>
              </w:rPr>
            </w:pPr>
            <w:r>
              <w:rPr>
                <w:rFonts w:hint="eastAsia" w:ascii="仿宋" w:hAnsi="仿宋" w:eastAsia="仿宋" w:cs="仿宋"/>
                <w:b w:val="0"/>
                <w:bCs/>
                <w:i w:val="0"/>
                <w:color w:val="000000"/>
                <w:sz w:val="21"/>
                <w:szCs w:val="21"/>
                <w:u w:val="none"/>
                <w:lang w:eastAsia="zh-CN"/>
              </w:rPr>
              <w:t>数量指标</w:t>
            </w:r>
          </w:p>
        </w:tc>
        <w:tc>
          <w:tcPr>
            <w:tcW w:w="2214"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right w:w="12" w:type="dxa"/>
            </w:tcMar>
            <w:vAlign w:val="center"/>
          </w:tcPr>
          <w:p w14:paraId="619365B1">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560" w:firstLineChars="200"/>
              <w:jc w:val="center"/>
              <w:textAlignment w:val="center"/>
              <w:rPr>
                <w:rFonts w:hint="default" w:ascii="仿宋" w:hAnsi="仿宋" w:eastAsia="仿宋" w:cs="仿宋"/>
                <w:i w:val="0"/>
                <w:color w:val="000000"/>
                <w:sz w:val="28"/>
                <w:szCs w:val="28"/>
                <w:u w:val="none"/>
                <w:lang w:val="en-US"/>
              </w:rPr>
            </w:pPr>
            <w:r>
              <w:rPr>
                <w:rFonts w:hint="eastAsia" w:ascii="仿宋" w:hAnsi="仿宋" w:eastAsia="仿宋" w:cs="仿宋"/>
                <w:i w:val="0"/>
                <w:color w:val="000000"/>
                <w:kern w:val="0"/>
                <w:sz w:val="28"/>
                <w:szCs w:val="28"/>
                <w:u w:val="none"/>
                <w:lang w:val="en-US" w:eastAsia="zh-CN" w:bidi="ar"/>
              </w:rPr>
              <w:t>10</w:t>
            </w:r>
          </w:p>
        </w:tc>
        <w:tc>
          <w:tcPr>
            <w:tcW w:w="2216"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right w:w="12" w:type="dxa"/>
            </w:tcMar>
            <w:vAlign w:val="center"/>
          </w:tcPr>
          <w:p w14:paraId="43A0647B">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560" w:firstLineChars="200"/>
              <w:jc w:val="center"/>
              <w:textAlignment w:val="center"/>
              <w:rPr>
                <w:rFonts w:hint="default" w:ascii="仿宋" w:hAnsi="仿宋" w:eastAsia="仿宋" w:cs="仿宋"/>
                <w:i w:val="0"/>
                <w:color w:val="000000"/>
                <w:sz w:val="28"/>
                <w:szCs w:val="28"/>
                <w:u w:val="none"/>
                <w:lang w:val="en-US"/>
              </w:rPr>
            </w:pPr>
            <w:r>
              <w:rPr>
                <w:rFonts w:hint="eastAsia" w:ascii="仿宋" w:hAnsi="仿宋" w:eastAsia="仿宋" w:cs="仿宋"/>
                <w:i w:val="0"/>
                <w:color w:val="000000"/>
                <w:kern w:val="0"/>
                <w:sz w:val="28"/>
                <w:szCs w:val="28"/>
                <w:u w:val="none"/>
                <w:lang w:val="en-US" w:eastAsia="zh-CN" w:bidi="ar"/>
              </w:rPr>
              <w:t>79%</w:t>
            </w:r>
          </w:p>
        </w:tc>
        <w:tc>
          <w:tcPr>
            <w:tcW w:w="2219" w:type="dxa"/>
            <w:tcBorders>
              <w:top w:val="single" w:color="000000" w:sz="4" w:space="0"/>
              <w:left w:val="single" w:color="auto" w:sz="4" w:space="0"/>
              <w:bottom w:val="single" w:color="000000" w:sz="4" w:space="0"/>
              <w:right w:val="single" w:color="000000" w:sz="4" w:space="0"/>
            </w:tcBorders>
            <w:shd w:val="clear" w:color="auto" w:fill="FFFFFF"/>
            <w:tcMar>
              <w:top w:w="12" w:type="dxa"/>
              <w:left w:w="12" w:type="dxa"/>
              <w:right w:w="12" w:type="dxa"/>
            </w:tcMar>
            <w:vAlign w:val="center"/>
          </w:tcPr>
          <w:p w14:paraId="0D40D077">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560" w:firstLineChars="200"/>
              <w:jc w:val="center"/>
              <w:textAlignment w:val="center"/>
              <w:rPr>
                <w:rFonts w:hint="default" w:ascii="仿宋" w:hAnsi="仿宋" w:eastAsia="仿宋" w:cs="仿宋"/>
                <w:i w:val="0"/>
                <w:color w:val="000000"/>
                <w:sz w:val="28"/>
                <w:szCs w:val="28"/>
                <w:u w:val="none"/>
                <w:lang w:val="en-US"/>
              </w:rPr>
            </w:pPr>
            <w:r>
              <w:rPr>
                <w:rFonts w:hint="eastAsia" w:ascii="仿宋" w:hAnsi="仿宋" w:eastAsia="仿宋" w:cs="仿宋"/>
                <w:sz w:val="28"/>
                <w:szCs w:val="28"/>
                <w:lang w:val="en-US" w:eastAsia="zh-CN"/>
              </w:rPr>
              <w:t>7.9</w:t>
            </w:r>
          </w:p>
        </w:tc>
      </w:tr>
      <w:tr w14:paraId="2AF9C6CB">
        <w:tblPrEx>
          <w:shd w:val="clear" w:color="auto" w:fill="auto"/>
          <w:tblCellMar>
            <w:top w:w="0" w:type="dxa"/>
            <w:left w:w="0" w:type="dxa"/>
            <w:bottom w:w="0" w:type="dxa"/>
            <w:right w:w="0" w:type="dxa"/>
          </w:tblCellMar>
        </w:tblPrEx>
        <w:trPr>
          <w:trHeight w:val="312" w:hRule="atLeast"/>
        </w:trPr>
        <w:tc>
          <w:tcPr>
            <w:tcW w:w="2214"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right w:w="12" w:type="dxa"/>
            </w:tcMar>
            <w:vAlign w:val="center"/>
          </w:tcPr>
          <w:p w14:paraId="7257CEB7">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420" w:firstLineChars="200"/>
              <w:jc w:val="center"/>
              <w:textAlignment w:val="center"/>
              <w:rPr>
                <w:rFonts w:hint="eastAsia" w:ascii="仿宋" w:hAnsi="仿宋" w:eastAsia="仿宋" w:cs="仿宋"/>
                <w:i w:val="0"/>
                <w:color w:val="000000"/>
                <w:sz w:val="28"/>
                <w:szCs w:val="28"/>
                <w:u w:val="none"/>
              </w:rPr>
            </w:pPr>
            <w:r>
              <w:rPr>
                <w:rFonts w:hint="eastAsia" w:ascii="仿宋" w:hAnsi="仿宋" w:eastAsia="仿宋" w:cs="仿宋"/>
                <w:b w:val="0"/>
                <w:bCs/>
                <w:i w:val="0"/>
                <w:color w:val="000000"/>
                <w:sz w:val="21"/>
                <w:szCs w:val="21"/>
                <w:u w:val="none"/>
                <w:lang w:val="en-US" w:eastAsia="zh-CN"/>
              </w:rPr>
              <w:t>质量指标</w:t>
            </w:r>
          </w:p>
        </w:tc>
        <w:tc>
          <w:tcPr>
            <w:tcW w:w="2214"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right w:w="12" w:type="dxa"/>
            </w:tcMar>
            <w:vAlign w:val="center"/>
          </w:tcPr>
          <w:p w14:paraId="42DF284F">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560" w:firstLineChars="200"/>
              <w:jc w:val="center"/>
              <w:textAlignment w:val="center"/>
              <w:rPr>
                <w:rFonts w:hint="default" w:ascii="仿宋" w:hAnsi="仿宋" w:eastAsia="仿宋" w:cs="仿宋"/>
                <w:i w:val="0"/>
                <w:color w:val="000000"/>
                <w:sz w:val="28"/>
                <w:szCs w:val="28"/>
                <w:u w:val="none"/>
                <w:lang w:val="en-US"/>
              </w:rPr>
            </w:pPr>
            <w:r>
              <w:rPr>
                <w:rFonts w:hint="eastAsia" w:ascii="仿宋" w:hAnsi="仿宋" w:eastAsia="仿宋" w:cs="仿宋"/>
                <w:i w:val="0"/>
                <w:color w:val="000000"/>
                <w:kern w:val="0"/>
                <w:sz w:val="28"/>
                <w:szCs w:val="28"/>
                <w:u w:val="none"/>
                <w:lang w:val="en-US" w:eastAsia="zh-CN" w:bidi="ar"/>
              </w:rPr>
              <w:t>10</w:t>
            </w:r>
          </w:p>
        </w:tc>
        <w:tc>
          <w:tcPr>
            <w:tcW w:w="2216" w:type="dxa"/>
            <w:tcBorders>
              <w:top w:val="single" w:color="auto" w:sz="4" w:space="0"/>
              <w:left w:val="single" w:color="auto" w:sz="4" w:space="0"/>
              <w:bottom w:val="single" w:color="auto" w:sz="4" w:space="0"/>
              <w:right w:val="single" w:color="auto" w:sz="4" w:space="0"/>
            </w:tcBorders>
            <w:shd w:val="clear" w:color="auto" w:fill="FFFFFF"/>
            <w:tcMar>
              <w:top w:w="12" w:type="dxa"/>
              <w:left w:w="12" w:type="dxa"/>
              <w:right w:w="12" w:type="dxa"/>
            </w:tcMar>
            <w:vAlign w:val="center"/>
          </w:tcPr>
          <w:p w14:paraId="16E2ACC4">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560" w:firstLineChars="20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100%</w:t>
            </w:r>
          </w:p>
        </w:tc>
        <w:tc>
          <w:tcPr>
            <w:tcW w:w="2219" w:type="dxa"/>
            <w:tcBorders>
              <w:top w:val="single" w:color="000000" w:sz="4" w:space="0"/>
              <w:left w:val="single" w:color="auto" w:sz="4" w:space="0"/>
              <w:bottom w:val="single" w:color="000000" w:sz="4" w:space="0"/>
              <w:right w:val="single" w:color="000000" w:sz="4" w:space="0"/>
            </w:tcBorders>
            <w:shd w:val="clear" w:color="auto" w:fill="FFFFFF"/>
            <w:tcMar>
              <w:top w:w="12" w:type="dxa"/>
              <w:left w:w="12" w:type="dxa"/>
              <w:right w:w="12" w:type="dxa"/>
            </w:tcMar>
            <w:vAlign w:val="center"/>
          </w:tcPr>
          <w:p w14:paraId="47ECDCA7">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560" w:firstLineChars="200"/>
              <w:jc w:val="center"/>
              <w:textAlignment w:val="center"/>
              <w:rPr>
                <w:rFonts w:hint="default" w:ascii="仿宋" w:hAnsi="仿宋" w:eastAsia="仿宋" w:cs="仿宋"/>
                <w:i w:val="0"/>
                <w:color w:val="000000"/>
                <w:sz w:val="28"/>
                <w:szCs w:val="28"/>
                <w:u w:val="none"/>
                <w:lang w:val="en-US"/>
              </w:rPr>
            </w:pPr>
            <w:r>
              <w:rPr>
                <w:rFonts w:hint="eastAsia" w:ascii="仿宋" w:hAnsi="仿宋" w:eastAsia="仿宋" w:cs="仿宋"/>
                <w:i w:val="0"/>
                <w:color w:val="000000"/>
                <w:kern w:val="0"/>
                <w:sz w:val="28"/>
                <w:szCs w:val="28"/>
                <w:u w:val="none"/>
                <w:lang w:val="en-US" w:eastAsia="zh-CN" w:bidi="ar"/>
              </w:rPr>
              <w:t>10</w:t>
            </w:r>
          </w:p>
        </w:tc>
      </w:tr>
      <w:tr w14:paraId="21DACF77">
        <w:tblPrEx>
          <w:shd w:val="clear" w:color="auto" w:fill="auto"/>
          <w:tblCellMar>
            <w:top w:w="0" w:type="dxa"/>
            <w:left w:w="0" w:type="dxa"/>
            <w:bottom w:w="0" w:type="dxa"/>
            <w:right w:w="0" w:type="dxa"/>
          </w:tblCellMar>
        </w:tblPrEx>
        <w:trPr>
          <w:trHeight w:val="312" w:hRule="atLeast"/>
        </w:trPr>
        <w:tc>
          <w:tcPr>
            <w:tcW w:w="2214" w:type="dxa"/>
            <w:tcBorders>
              <w:top w:val="single" w:color="auto"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781B376A">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420" w:firstLineChars="200"/>
              <w:jc w:val="center"/>
              <w:textAlignment w:val="center"/>
              <w:rPr>
                <w:rFonts w:hint="eastAsia" w:ascii="仿宋" w:hAnsi="仿宋" w:eastAsia="仿宋" w:cs="仿宋"/>
                <w:i w:val="0"/>
                <w:color w:val="000000"/>
                <w:sz w:val="28"/>
                <w:szCs w:val="28"/>
                <w:u w:val="none"/>
              </w:rPr>
            </w:pPr>
            <w:r>
              <w:rPr>
                <w:rFonts w:hint="eastAsia" w:ascii="仿宋" w:hAnsi="仿宋" w:eastAsia="仿宋" w:cs="仿宋"/>
                <w:b w:val="0"/>
                <w:bCs/>
                <w:i w:val="0"/>
                <w:color w:val="000000"/>
                <w:sz w:val="21"/>
                <w:szCs w:val="21"/>
                <w:u w:val="none"/>
                <w:lang w:val="en-US" w:eastAsia="zh-CN"/>
              </w:rPr>
              <w:t>时效指标</w:t>
            </w:r>
          </w:p>
        </w:tc>
        <w:tc>
          <w:tcPr>
            <w:tcW w:w="2214" w:type="dxa"/>
            <w:tcBorders>
              <w:top w:val="single" w:color="auto"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4E6F735A">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560" w:firstLineChars="200"/>
              <w:jc w:val="center"/>
              <w:textAlignment w:val="center"/>
              <w:rPr>
                <w:rFonts w:hint="default" w:ascii="仿宋" w:hAnsi="仿宋" w:eastAsia="仿宋" w:cs="仿宋"/>
                <w:i w:val="0"/>
                <w:color w:val="000000"/>
                <w:sz w:val="28"/>
                <w:szCs w:val="28"/>
                <w:u w:val="none"/>
                <w:lang w:val="en-US"/>
              </w:rPr>
            </w:pPr>
            <w:r>
              <w:rPr>
                <w:rFonts w:hint="eastAsia" w:ascii="仿宋" w:hAnsi="仿宋" w:eastAsia="仿宋" w:cs="仿宋"/>
                <w:i w:val="0"/>
                <w:color w:val="000000"/>
                <w:kern w:val="0"/>
                <w:sz w:val="28"/>
                <w:szCs w:val="28"/>
                <w:u w:val="none"/>
                <w:lang w:val="en-US" w:eastAsia="zh-CN" w:bidi="ar"/>
              </w:rPr>
              <w:t>5</w:t>
            </w:r>
          </w:p>
        </w:tc>
        <w:tc>
          <w:tcPr>
            <w:tcW w:w="2216" w:type="dxa"/>
            <w:tcBorders>
              <w:top w:val="single" w:color="auto"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49B5C2A9">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560" w:firstLineChars="20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100%</w:t>
            </w:r>
          </w:p>
        </w:tc>
        <w:tc>
          <w:tcPr>
            <w:tcW w:w="221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0DA57740">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560" w:firstLineChars="200"/>
              <w:jc w:val="center"/>
              <w:textAlignment w:val="center"/>
              <w:rPr>
                <w:rFonts w:hint="default" w:ascii="仿宋" w:hAnsi="仿宋" w:eastAsia="仿宋" w:cs="仿宋"/>
                <w:i w:val="0"/>
                <w:color w:val="000000"/>
                <w:sz w:val="28"/>
                <w:szCs w:val="28"/>
                <w:u w:val="none"/>
                <w:lang w:val="en-US"/>
              </w:rPr>
            </w:pPr>
            <w:r>
              <w:rPr>
                <w:rFonts w:hint="eastAsia" w:ascii="仿宋" w:hAnsi="仿宋" w:eastAsia="仿宋" w:cs="仿宋"/>
                <w:i w:val="0"/>
                <w:color w:val="000000"/>
                <w:kern w:val="0"/>
                <w:sz w:val="28"/>
                <w:szCs w:val="28"/>
                <w:u w:val="none"/>
                <w:lang w:val="en-US" w:eastAsia="zh-CN" w:bidi="ar"/>
              </w:rPr>
              <w:t>5</w:t>
            </w:r>
          </w:p>
        </w:tc>
      </w:tr>
      <w:tr w14:paraId="737580DE">
        <w:tblPrEx>
          <w:shd w:val="clear" w:color="auto" w:fill="auto"/>
          <w:tblCellMar>
            <w:top w:w="0" w:type="dxa"/>
            <w:left w:w="0" w:type="dxa"/>
            <w:bottom w:w="0" w:type="dxa"/>
            <w:right w:w="0" w:type="dxa"/>
          </w:tblCellMar>
        </w:tblPrEx>
        <w:trPr>
          <w:trHeight w:val="312" w:hRule="atLeast"/>
        </w:trPr>
        <w:tc>
          <w:tcPr>
            <w:tcW w:w="221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5C2D4D4C">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420" w:firstLineChars="200"/>
              <w:jc w:val="center"/>
              <w:textAlignment w:val="center"/>
              <w:rPr>
                <w:rFonts w:hint="eastAsia" w:ascii="仿宋" w:hAnsi="仿宋" w:eastAsia="仿宋" w:cs="仿宋"/>
                <w:b w:val="0"/>
                <w:bCs/>
                <w:i w:val="0"/>
                <w:color w:val="000000"/>
                <w:sz w:val="21"/>
                <w:szCs w:val="21"/>
                <w:u w:val="none"/>
                <w:lang w:val="en-US" w:eastAsia="zh-CN"/>
              </w:rPr>
            </w:pPr>
            <w:r>
              <w:rPr>
                <w:rFonts w:hint="eastAsia" w:ascii="仿宋" w:hAnsi="仿宋" w:eastAsia="仿宋" w:cs="仿宋"/>
                <w:b w:val="0"/>
                <w:bCs/>
                <w:i w:val="0"/>
                <w:color w:val="000000"/>
                <w:sz w:val="21"/>
                <w:szCs w:val="21"/>
                <w:u w:val="none"/>
                <w:lang w:val="en-US" w:eastAsia="zh-CN"/>
              </w:rPr>
              <w:t>成本指标</w:t>
            </w:r>
          </w:p>
        </w:tc>
        <w:tc>
          <w:tcPr>
            <w:tcW w:w="221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2DC98CAD">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560" w:firstLineChars="200"/>
              <w:jc w:val="center"/>
              <w:textAlignment w:val="center"/>
              <w:rPr>
                <w:rFonts w:hint="default" w:ascii="仿宋" w:hAnsi="仿宋" w:eastAsia="仿宋" w:cs="仿宋"/>
                <w:i w:val="0"/>
                <w:color w:val="000000"/>
                <w:kern w:val="0"/>
                <w:sz w:val="28"/>
                <w:szCs w:val="28"/>
                <w:u w:val="none"/>
                <w:lang w:val="en-US" w:eastAsia="zh-CN" w:bidi="ar"/>
              </w:rPr>
            </w:pPr>
            <w:r>
              <w:rPr>
                <w:rFonts w:hint="eastAsia" w:ascii="仿宋" w:hAnsi="仿宋" w:eastAsia="仿宋" w:cs="仿宋"/>
                <w:i w:val="0"/>
                <w:color w:val="000000"/>
                <w:kern w:val="0"/>
                <w:sz w:val="28"/>
                <w:szCs w:val="28"/>
                <w:u w:val="none"/>
                <w:lang w:val="en-US" w:eastAsia="zh-CN" w:bidi="ar"/>
              </w:rPr>
              <w:t>5</w:t>
            </w:r>
          </w:p>
        </w:tc>
        <w:tc>
          <w:tcPr>
            <w:tcW w:w="22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227DBE4">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560" w:firstLineChars="200"/>
              <w:jc w:val="center"/>
              <w:textAlignment w:val="center"/>
              <w:rPr>
                <w:rFonts w:hint="default" w:ascii="仿宋" w:hAnsi="仿宋" w:eastAsia="仿宋" w:cs="仿宋"/>
                <w:i w:val="0"/>
                <w:color w:val="000000"/>
                <w:kern w:val="0"/>
                <w:sz w:val="28"/>
                <w:szCs w:val="28"/>
                <w:u w:val="none"/>
                <w:lang w:val="en-US" w:eastAsia="zh-CN" w:bidi="ar"/>
              </w:rPr>
            </w:pPr>
            <w:r>
              <w:rPr>
                <w:rFonts w:hint="eastAsia" w:ascii="仿宋" w:hAnsi="仿宋" w:eastAsia="仿宋" w:cs="仿宋"/>
                <w:i w:val="0"/>
                <w:color w:val="000000"/>
                <w:kern w:val="0"/>
                <w:sz w:val="28"/>
                <w:szCs w:val="28"/>
                <w:u w:val="none"/>
                <w:lang w:val="en-US" w:eastAsia="zh-CN" w:bidi="ar"/>
              </w:rPr>
              <w:t>100%</w:t>
            </w:r>
          </w:p>
        </w:tc>
        <w:tc>
          <w:tcPr>
            <w:tcW w:w="221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42A8D1EA">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560" w:firstLineChars="200"/>
              <w:jc w:val="center"/>
              <w:textAlignment w:val="center"/>
              <w:rPr>
                <w:rFonts w:hint="default" w:ascii="仿宋" w:hAnsi="仿宋" w:eastAsia="仿宋" w:cs="仿宋"/>
                <w:i w:val="0"/>
                <w:color w:val="000000"/>
                <w:kern w:val="0"/>
                <w:sz w:val="28"/>
                <w:szCs w:val="28"/>
                <w:u w:val="none"/>
                <w:lang w:val="en-US" w:eastAsia="zh-CN" w:bidi="ar"/>
              </w:rPr>
            </w:pPr>
            <w:r>
              <w:rPr>
                <w:rFonts w:hint="eastAsia" w:ascii="仿宋" w:hAnsi="仿宋" w:eastAsia="仿宋" w:cs="仿宋"/>
                <w:i w:val="0"/>
                <w:color w:val="000000"/>
                <w:kern w:val="0"/>
                <w:sz w:val="28"/>
                <w:szCs w:val="28"/>
                <w:u w:val="none"/>
                <w:lang w:val="en-US" w:eastAsia="zh-CN" w:bidi="ar"/>
              </w:rPr>
              <w:t>5</w:t>
            </w:r>
          </w:p>
        </w:tc>
      </w:tr>
      <w:tr w14:paraId="3D5D8F24">
        <w:tblPrEx>
          <w:shd w:val="clear" w:color="auto" w:fill="auto"/>
          <w:tblCellMar>
            <w:top w:w="0" w:type="dxa"/>
            <w:left w:w="0" w:type="dxa"/>
            <w:bottom w:w="0" w:type="dxa"/>
            <w:right w:w="0" w:type="dxa"/>
          </w:tblCellMar>
        </w:tblPrEx>
        <w:trPr>
          <w:trHeight w:val="312" w:hRule="atLeast"/>
        </w:trPr>
        <w:tc>
          <w:tcPr>
            <w:tcW w:w="221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55316B4">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560" w:firstLineChars="20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合计</w:t>
            </w:r>
          </w:p>
        </w:tc>
        <w:tc>
          <w:tcPr>
            <w:tcW w:w="221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31658297">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560" w:firstLineChars="200"/>
              <w:jc w:val="center"/>
              <w:textAlignment w:val="center"/>
              <w:rPr>
                <w:rFonts w:hint="default" w:ascii="仿宋" w:hAnsi="仿宋" w:eastAsia="仿宋" w:cs="仿宋"/>
                <w:i w:val="0"/>
                <w:color w:val="000000"/>
                <w:sz w:val="28"/>
                <w:szCs w:val="28"/>
                <w:u w:val="none"/>
                <w:lang w:val="en-US"/>
              </w:rPr>
            </w:pPr>
            <w:r>
              <w:rPr>
                <w:rFonts w:hint="eastAsia" w:ascii="仿宋" w:hAnsi="仿宋" w:eastAsia="仿宋" w:cs="仿宋"/>
                <w:i w:val="0"/>
                <w:color w:val="000000"/>
                <w:kern w:val="0"/>
                <w:sz w:val="28"/>
                <w:szCs w:val="28"/>
                <w:u w:val="none"/>
                <w:lang w:val="en-US" w:eastAsia="zh-CN" w:bidi="ar"/>
              </w:rPr>
              <w:t>30</w:t>
            </w:r>
          </w:p>
        </w:tc>
        <w:tc>
          <w:tcPr>
            <w:tcW w:w="22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26856708">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560" w:firstLineChars="200"/>
              <w:jc w:val="center"/>
              <w:textAlignment w:val="center"/>
              <w:rPr>
                <w:rFonts w:hint="default" w:ascii="仿宋" w:hAnsi="仿宋" w:eastAsia="仿宋" w:cs="仿宋"/>
                <w:i w:val="0"/>
                <w:color w:val="000000"/>
                <w:sz w:val="28"/>
                <w:szCs w:val="28"/>
                <w:u w:val="none"/>
                <w:lang w:val="en-US"/>
              </w:rPr>
            </w:pPr>
            <w:r>
              <w:rPr>
                <w:rFonts w:hint="eastAsia" w:ascii="仿宋" w:hAnsi="仿宋" w:eastAsia="仿宋" w:cs="仿宋"/>
                <w:sz w:val="28"/>
                <w:szCs w:val="28"/>
                <w:lang w:val="en-US" w:eastAsia="zh-CN"/>
              </w:rPr>
              <w:t>93%</w:t>
            </w:r>
          </w:p>
        </w:tc>
        <w:tc>
          <w:tcPr>
            <w:tcW w:w="221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3170B989">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560" w:firstLineChars="200"/>
              <w:jc w:val="center"/>
              <w:textAlignment w:val="center"/>
              <w:rPr>
                <w:rFonts w:hint="default" w:ascii="仿宋" w:hAnsi="仿宋" w:eastAsia="仿宋" w:cs="仿宋"/>
                <w:i w:val="0"/>
                <w:color w:val="000000"/>
                <w:sz w:val="28"/>
                <w:szCs w:val="28"/>
                <w:u w:val="none"/>
                <w:lang w:val="en-US"/>
              </w:rPr>
            </w:pPr>
            <w:r>
              <w:rPr>
                <w:rFonts w:hint="eastAsia" w:ascii="仿宋" w:hAnsi="仿宋" w:eastAsia="仿宋" w:cs="仿宋"/>
                <w:i w:val="0"/>
                <w:color w:val="000000"/>
                <w:kern w:val="0"/>
                <w:sz w:val="28"/>
                <w:szCs w:val="28"/>
                <w:u w:val="none"/>
                <w:lang w:val="en-US" w:eastAsia="zh-CN" w:bidi="ar"/>
              </w:rPr>
              <w:t>27.9</w:t>
            </w:r>
          </w:p>
        </w:tc>
      </w:tr>
    </w:tbl>
    <w:p w14:paraId="4D76CC41">
      <w:pPr>
        <w:pageBreakBefore w:val="0"/>
        <w:kinsoku/>
        <w:wordWrap/>
        <w:overflowPunct/>
        <w:topLinePunct w:val="0"/>
        <w:autoSpaceDE/>
        <w:autoSpaceDN/>
        <w:bidi w:val="0"/>
        <w:adjustRightInd/>
        <w:snapToGrid/>
        <w:spacing w:line="560" w:lineRule="atLeast"/>
        <w:ind w:left="0" w:firstLine="643"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数量指标：</w:t>
      </w:r>
      <w:r>
        <w:rPr>
          <w:rFonts w:hint="eastAsia" w:ascii="仿宋_GB2312" w:hAnsi="仿宋_GB2312" w:eastAsia="仿宋_GB2312" w:cs="仿宋_GB2312"/>
          <w:kern w:val="2"/>
          <w:sz w:val="32"/>
          <w:szCs w:val="32"/>
          <w:lang w:val="en-US" w:eastAsia="zh-CN" w:bidi="ar-SA"/>
        </w:rPr>
        <w:t>锅炉检验数量，年度指标值为=120台，实际完成值为166台；安全阀校验数量，年度指标值为=700只，实际完成值为639只；压力容器检验数量，年度指标值为=210台，实际完成值为392台；压力管道检验数量，年度指标值为=30km，实际完成值为29km；培训人次，年度指标值为≥8人次，实际完成值为5人次。</w:t>
      </w:r>
    </w:p>
    <w:p w14:paraId="4C6C24BF">
      <w:pPr>
        <w:pageBreakBefore w:val="0"/>
        <w:kinsoku/>
        <w:wordWrap/>
        <w:overflowPunct/>
        <w:topLinePunct w:val="0"/>
        <w:autoSpaceDE/>
        <w:autoSpaceDN/>
        <w:bidi w:val="0"/>
        <w:adjustRightInd/>
        <w:snapToGrid/>
        <w:spacing w:line="560" w:lineRule="atLeast"/>
        <w:ind w:left="0" w:firstLine="643"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质量指标：</w:t>
      </w:r>
      <w:r>
        <w:rPr>
          <w:rFonts w:hint="eastAsia" w:ascii="仿宋_GB2312" w:hAnsi="仿宋_GB2312" w:eastAsia="仿宋_GB2312" w:cs="仿宋_GB2312"/>
          <w:kern w:val="2"/>
          <w:sz w:val="32"/>
          <w:szCs w:val="32"/>
          <w:lang w:val="en-US" w:eastAsia="zh-CN" w:bidi="ar-SA"/>
        </w:rPr>
        <w:t>特种设备定检完成率，年度指标值为≥90%，实际完成值为95%；复检率，年度指标值为≤10%，实际完成值为0%。</w:t>
      </w:r>
    </w:p>
    <w:p w14:paraId="5ECC8FB3">
      <w:pPr>
        <w:pageBreakBefore w:val="0"/>
        <w:kinsoku/>
        <w:wordWrap/>
        <w:overflowPunct/>
        <w:topLinePunct w:val="0"/>
        <w:autoSpaceDE/>
        <w:autoSpaceDN/>
        <w:bidi w:val="0"/>
        <w:adjustRightInd/>
        <w:snapToGrid/>
        <w:spacing w:line="560" w:lineRule="atLeast"/>
        <w:ind w:left="0" w:firstLine="643"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时效指标：</w:t>
      </w:r>
      <w:r>
        <w:rPr>
          <w:rFonts w:hint="eastAsia" w:ascii="仿宋_GB2312" w:hAnsi="仿宋_GB2312" w:eastAsia="仿宋_GB2312" w:cs="仿宋_GB2312"/>
          <w:kern w:val="2"/>
          <w:sz w:val="32"/>
          <w:szCs w:val="32"/>
          <w:lang w:val="en-US" w:eastAsia="zh-CN" w:bidi="ar-SA"/>
        </w:rPr>
        <w:t>按期检验完成时限，年度指标值为≤15工作日，实际完成值为10工作日。</w:t>
      </w:r>
    </w:p>
    <w:p w14:paraId="21FE3AD4">
      <w:pPr>
        <w:pageBreakBefore w:val="0"/>
        <w:kinsoku/>
        <w:wordWrap/>
        <w:overflowPunct/>
        <w:topLinePunct w:val="0"/>
        <w:autoSpaceDE/>
        <w:autoSpaceDN/>
        <w:bidi w:val="0"/>
        <w:adjustRightInd/>
        <w:snapToGrid/>
        <w:spacing w:line="560" w:lineRule="atLeast"/>
        <w:ind w:left="0" w:firstLine="643"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成本指标：</w:t>
      </w:r>
      <w:r>
        <w:rPr>
          <w:rFonts w:hint="eastAsia" w:ascii="仿宋_GB2312" w:hAnsi="仿宋_GB2312" w:eastAsia="仿宋_GB2312" w:cs="仿宋_GB2312"/>
          <w:kern w:val="2"/>
          <w:sz w:val="32"/>
          <w:szCs w:val="32"/>
          <w:lang w:val="en-US" w:eastAsia="zh-CN" w:bidi="ar-SA"/>
        </w:rPr>
        <w:t>检验专项业务成本，年度指标值为≤76.17万元，实际完成值为50.38万元。</w:t>
      </w:r>
    </w:p>
    <w:p w14:paraId="6AB7E569">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atLeast"/>
        <w:ind w:right="0" w:firstLine="643"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（四）项目效益情况</w:t>
      </w:r>
    </w:p>
    <w:p w14:paraId="18E8D53A">
      <w:pPr>
        <w:pageBreakBefore w:val="0"/>
        <w:kinsoku/>
        <w:wordWrap/>
        <w:overflowPunct/>
        <w:topLinePunct w:val="0"/>
        <w:autoSpaceDE/>
        <w:autoSpaceDN/>
        <w:bidi w:val="0"/>
        <w:adjustRightInd/>
        <w:snapToGrid/>
        <w:spacing w:line="560" w:lineRule="atLeast"/>
        <w:ind w:left="0"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项目效益指标从立项依据经济效益指标、社会效益指标、可持续影响指标3个方面对项目产出指标是否符合法律法规、相关政策、发展规划以及部门职责，用以反映和考核项目立项依据情况进行考察。经济效益指标分值10分，实际得分为7.9分。由于上一年度受企业受疫情影响、国际原油、原材料价格及运输等客观因素影响报检企业效益不好，对于检验费用的交纳不及时，实际到账数未达到预期值，其余指标均达到预期值。</w:t>
      </w:r>
      <w:r>
        <w:rPr>
          <w:rFonts w:hint="eastAsia" w:ascii="仿宋_GB2312" w:hAnsi="仿宋_GB2312" w:eastAsia="仿宋_GB2312" w:cs="仿宋_GB2312"/>
          <w:b w:val="0"/>
          <w:bCs w:val="0"/>
          <w:color w:val="000000"/>
          <w:spacing w:val="17"/>
          <w:kern w:val="2"/>
          <w:sz w:val="32"/>
          <w:szCs w:val="32"/>
          <w:lang w:val="en-US" w:eastAsia="zh-CN" w:bidi="ar-SA"/>
        </w:rPr>
        <w:t>效益指标分值共50分，得分44.42分，得分率88.8%</w:t>
      </w:r>
    </w:p>
    <w:p w14:paraId="6D7853C6">
      <w:pPr>
        <w:pageBreakBefore w:val="0"/>
        <w:kinsoku/>
        <w:wordWrap/>
        <w:overflowPunct/>
        <w:topLinePunct w:val="0"/>
        <w:autoSpaceDE/>
        <w:autoSpaceDN/>
        <w:bidi w:val="0"/>
        <w:adjustRightInd/>
        <w:snapToGrid/>
        <w:spacing w:line="560" w:lineRule="atLeast"/>
        <w:ind w:left="0"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项目效益指标得分情况如表所示。</w:t>
      </w:r>
    </w:p>
    <w:p w14:paraId="61AA06AA">
      <w:pPr>
        <w:pageBreakBefore w:val="0"/>
        <w:kinsoku/>
        <w:wordWrap/>
        <w:overflowPunct/>
        <w:topLinePunct w:val="0"/>
        <w:autoSpaceDE/>
        <w:autoSpaceDN/>
        <w:bidi w:val="0"/>
        <w:adjustRightInd/>
        <w:snapToGrid/>
        <w:spacing w:line="560" w:lineRule="atLeast"/>
        <w:ind w:left="0" w:firstLine="560" w:firstLineChars="200"/>
        <w:jc w:val="center"/>
        <w:rPr>
          <w:rFonts w:hint="eastAsia" w:ascii="仿宋" w:hAnsi="仿宋" w:eastAsia="仿宋" w:cs="仿宋"/>
          <w:sz w:val="28"/>
          <w:szCs w:val="28"/>
        </w:rPr>
      </w:pPr>
      <w:r>
        <w:rPr>
          <w:rFonts w:hint="eastAsia" w:ascii="仿宋" w:hAnsi="仿宋" w:eastAsia="仿宋" w:cs="仿宋"/>
          <w:sz w:val="28"/>
          <w:szCs w:val="28"/>
          <w:lang w:val="en-US" w:eastAsia="zh-CN"/>
        </w:rPr>
        <w:t>项目效益</w:t>
      </w:r>
      <w:r>
        <w:rPr>
          <w:rFonts w:hint="eastAsia" w:ascii="仿宋" w:hAnsi="仿宋" w:eastAsia="仿宋" w:cs="仿宋"/>
          <w:sz w:val="28"/>
          <w:szCs w:val="28"/>
        </w:rPr>
        <w:t>指标</w:t>
      </w:r>
      <w:r>
        <w:rPr>
          <w:rFonts w:hint="eastAsia" w:ascii="仿宋" w:hAnsi="仿宋" w:eastAsia="仿宋" w:cs="仿宋"/>
          <w:color w:val="000000"/>
          <w:kern w:val="0"/>
          <w:sz w:val="28"/>
          <w:szCs w:val="28"/>
        </w:rPr>
        <w:t>得分情况</w:t>
      </w:r>
    </w:p>
    <w:tbl>
      <w:tblPr>
        <w:tblStyle w:val="9"/>
        <w:tblW w:w="8863" w:type="dxa"/>
        <w:tblInd w:w="0" w:type="dxa"/>
        <w:shd w:val="clear" w:color="auto" w:fill="auto"/>
        <w:tblLayout w:type="fixed"/>
        <w:tblCellMar>
          <w:top w:w="0" w:type="dxa"/>
          <w:left w:w="0" w:type="dxa"/>
          <w:bottom w:w="0" w:type="dxa"/>
          <w:right w:w="0" w:type="dxa"/>
        </w:tblCellMar>
      </w:tblPr>
      <w:tblGrid>
        <w:gridCol w:w="2214"/>
        <w:gridCol w:w="2214"/>
        <w:gridCol w:w="2216"/>
        <w:gridCol w:w="2219"/>
      </w:tblGrid>
      <w:tr w14:paraId="1612D57D">
        <w:tblPrEx>
          <w:shd w:val="clear" w:color="auto" w:fill="auto"/>
          <w:tblCellMar>
            <w:top w:w="0" w:type="dxa"/>
            <w:left w:w="0" w:type="dxa"/>
            <w:bottom w:w="0" w:type="dxa"/>
            <w:right w:w="0" w:type="dxa"/>
          </w:tblCellMar>
        </w:tblPrEx>
        <w:trPr>
          <w:trHeight w:val="312" w:hRule="atLeast"/>
        </w:trPr>
        <w:tc>
          <w:tcPr>
            <w:tcW w:w="221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861277">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560" w:firstLineChars="20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二级指标</w:t>
            </w:r>
          </w:p>
        </w:tc>
        <w:tc>
          <w:tcPr>
            <w:tcW w:w="221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5DB3B8">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560" w:firstLineChars="20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权重</w:t>
            </w:r>
          </w:p>
        </w:tc>
        <w:tc>
          <w:tcPr>
            <w:tcW w:w="22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32B8CC">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560" w:firstLineChars="20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得分率</w:t>
            </w:r>
          </w:p>
        </w:tc>
        <w:tc>
          <w:tcPr>
            <w:tcW w:w="221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A3FC26">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560" w:firstLineChars="20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实际得分</w:t>
            </w:r>
          </w:p>
        </w:tc>
      </w:tr>
      <w:tr w14:paraId="44BE625D">
        <w:tblPrEx>
          <w:shd w:val="clear" w:color="auto" w:fill="auto"/>
          <w:tblCellMar>
            <w:top w:w="0" w:type="dxa"/>
            <w:left w:w="0" w:type="dxa"/>
            <w:bottom w:w="0" w:type="dxa"/>
            <w:right w:w="0" w:type="dxa"/>
          </w:tblCellMar>
        </w:tblPrEx>
        <w:trPr>
          <w:trHeight w:val="432" w:hRule="atLeast"/>
        </w:trPr>
        <w:tc>
          <w:tcPr>
            <w:tcW w:w="2214" w:type="dxa"/>
            <w:tcBorders>
              <w:top w:val="single" w:color="000000" w:sz="4" w:space="0"/>
              <w:left w:val="single" w:color="000000" w:sz="4" w:space="0"/>
              <w:bottom w:val="nil"/>
              <w:right w:val="single" w:color="000000" w:sz="4" w:space="0"/>
            </w:tcBorders>
            <w:shd w:val="clear" w:color="auto" w:fill="FFFFFF"/>
            <w:tcMar>
              <w:top w:w="12" w:type="dxa"/>
              <w:left w:w="12" w:type="dxa"/>
              <w:right w:w="12" w:type="dxa"/>
            </w:tcMar>
            <w:vAlign w:val="center"/>
          </w:tcPr>
          <w:p w14:paraId="6A0D23F0">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420" w:firstLineChars="200"/>
              <w:jc w:val="center"/>
              <w:textAlignment w:val="center"/>
              <w:rPr>
                <w:rFonts w:hint="eastAsia" w:ascii="仿宋" w:hAnsi="仿宋" w:eastAsia="仿宋" w:cs="仿宋"/>
                <w:i w:val="0"/>
                <w:color w:val="000000"/>
                <w:sz w:val="28"/>
                <w:szCs w:val="28"/>
                <w:u w:val="none"/>
              </w:rPr>
            </w:pPr>
            <w:r>
              <w:rPr>
                <w:rFonts w:hint="eastAsia" w:ascii="仿宋" w:hAnsi="仿宋" w:eastAsia="仿宋" w:cs="仿宋"/>
                <w:b w:val="0"/>
                <w:bCs/>
                <w:i w:val="0"/>
                <w:color w:val="000000"/>
                <w:sz w:val="21"/>
                <w:szCs w:val="21"/>
                <w:u w:val="none"/>
                <w:lang w:eastAsia="zh-CN"/>
              </w:rPr>
              <w:t>经济指标</w:t>
            </w:r>
          </w:p>
        </w:tc>
        <w:tc>
          <w:tcPr>
            <w:tcW w:w="221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4F262227">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560" w:firstLineChars="200"/>
              <w:jc w:val="center"/>
              <w:textAlignment w:val="center"/>
              <w:rPr>
                <w:rFonts w:hint="default" w:ascii="仿宋" w:hAnsi="仿宋" w:eastAsia="仿宋" w:cs="仿宋"/>
                <w:i w:val="0"/>
                <w:color w:val="000000"/>
                <w:sz w:val="28"/>
                <w:szCs w:val="28"/>
                <w:u w:val="none"/>
                <w:lang w:val="en-US"/>
              </w:rPr>
            </w:pPr>
            <w:r>
              <w:rPr>
                <w:rFonts w:hint="eastAsia" w:ascii="仿宋" w:hAnsi="仿宋" w:eastAsia="仿宋" w:cs="仿宋"/>
                <w:i w:val="0"/>
                <w:color w:val="000000"/>
                <w:kern w:val="0"/>
                <w:sz w:val="28"/>
                <w:szCs w:val="28"/>
                <w:u w:val="none"/>
                <w:lang w:val="en-US" w:eastAsia="zh-CN" w:bidi="ar"/>
              </w:rPr>
              <w:t>20</w:t>
            </w:r>
          </w:p>
        </w:tc>
        <w:tc>
          <w:tcPr>
            <w:tcW w:w="22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0C88CB39">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560" w:firstLineChars="20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72.1%</w:t>
            </w:r>
          </w:p>
        </w:tc>
        <w:tc>
          <w:tcPr>
            <w:tcW w:w="221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2ADF3246">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560" w:firstLineChars="200"/>
              <w:jc w:val="center"/>
              <w:textAlignment w:val="center"/>
              <w:rPr>
                <w:rFonts w:hint="default" w:ascii="仿宋" w:hAnsi="仿宋" w:eastAsia="仿宋" w:cs="仿宋"/>
                <w:i w:val="0"/>
                <w:color w:val="000000"/>
                <w:sz w:val="28"/>
                <w:szCs w:val="28"/>
                <w:u w:val="none"/>
                <w:lang w:val="en-US"/>
              </w:rPr>
            </w:pPr>
            <w:r>
              <w:rPr>
                <w:rFonts w:hint="eastAsia" w:ascii="仿宋" w:hAnsi="仿宋" w:eastAsia="仿宋" w:cs="仿宋"/>
                <w:sz w:val="28"/>
                <w:szCs w:val="28"/>
                <w:lang w:val="en-US" w:eastAsia="zh-CN"/>
              </w:rPr>
              <w:t>14.42</w:t>
            </w:r>
          </w:p>
        </w:tc>
      </w:tr>
      <w:tr w14:paraId="538DA384">
        <w:tblPrEx>
          <w:shd w:val="clear" w:color="auto" w:fill="auto"/>
          <w:tblCellMar>
            <w:top w:w="0" w:type="dxa"/>
            <w:left w:w="0" w:type="dxa"/>
            <w:bottom w:w="0" w:type="dxa"/>
            <w:right w:w="0" w:type="dxa"/>
          </w:tblCellMar>
        </w:tblPrEx>
        <w:trPr>
          <w:trHeight w:val="312" w:hRule="atLeast"/>
        </w:trPr>
        <w:tc>
          <w:tcPr>
            <w:tcW w:w="221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3B53370C">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420" w:firstLineChars="200"/>
              <w:jc w:val="center"/>
              <w:textAlignment w:val="center"/>
              <w:rPr>
                <w:rFonts w:hint="eastAsia" w:ascii="仿宋" w:hAnsi="仿宋" w:eastAsia="仿宋" w:cs="仿宋"/>
                <w:i w:val="0"/>
                <w:color w:val="000000"/>
                <w:sz w:val="28"/>
                <w:szCs w:val="28"/>
                <w:u w:val="none"/>
              </w:rPr>
            </w:pPr>
            <w:r>
              <w:rPr>
                <w:rFonts w:hint="eastAsia" w:ascii="仿宋" w:hAnsi="仿宋" w:eastAsia="仿宋" w:cs="仿宋"/>
                <w:b w:val="0"/>
                <w:bCs/>
                <w:i w:val="0"/>
                <w:color w:val="000000"/>
                <w:sz w:val="21"/>
                <w:szCs w:val="21"/>
                <w:u w:val="none"/>
                <w:lang w:eastAsia="zh-CN"/>
              </w:rPr>
              <w:t>社会指标</w:t>
            </w:r>
          </w:p>
        </w:tc>
        <w:tc>
          <w:tcPr>
            <w:tcW w:w="221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75ED0682">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560" w:firstLineChars="200"/>
              <w:jc w:val="center"/>
              <w:textAlignment w:val="center"/>
              <w:rPr>
                <w:rFonts w:hint="default" w:ascii="仿宋" w:hAnsi="仿宋" w:eastAsia="仿宋" w:cs="仿宋"/>
                <w:i w:val="0"/>
                <w:color w:val="000000"/>
                <w:sz w:val="28"/>
                <w:szCs w:val="28"/>
                <w:u w:val="none"/>
                <w:lang w:val="en-US"/>
              </w:rPr>
            </w:pPr>
            <w:r>
              <w:rPr>
                <w:rFonts w:hint="eastAsia" w:ascii="仿宋" w:hAnsi="仿宋" w:eastAsia="仿宋" w:cs="仿宋"/>
                <w:i w:val="0"/>
                <w:color w:val="000000"/>
                <w:kern w:val="0"/>
                <w:sz w:val="28"/>
                <w:szCs w:val="28"/>
                <w:u w:val="none"/>
                <w:lang w:val="en-US" w:eastAsia="zh-CN" w:bidi="ar"/>
              </w:rPr>
              <w:t>20</w:t>
            </w:r>
          </w:p>
        </w:tc>
        <w:tc>
          <w:tcPr>
            <w:tcW w:w="22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156809EE">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560" w:firstLineChars="20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100%</w:t>
            </w:r>
          </w:p>
        </w:tc>
        <w:tc>
          <w:tcPr>
            <w:tcW w:w="221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51BBD5A">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560" w:firstLineChars="200"/>
              <w:jc w:val="center"/>
              <w:textAlignment w:val="center"/>
              <w:rPr>
                <w:rFonts w:hint="default" w:ascii="仿宋" w:hAnsi="仿宋" w:eastAsia="仿宋" w:cs="仿宋"/>
                <w:i w:val="0"/>
                <w:color w:val="000000"/>
                <w:sz w:val="28"/>
                <w:szCs w:val="28"/>
                <w:u w:val="none"/>
                <w:lang w:val="en-US"/>
              </w:rPr>
            </w:pPr>
            <w:r>
              <w:rPr>
                <w:rFonts w:hint="eastAsia" w:ascii="仿宋" w:hAnsi="仿宋" w:eastAsia="仿宋" w:cs="仿宋"/>
                <w:i w:val="0"/>
                <w:color w:val="000000"/>
                <w:kern w:val="0"/>
                <w:sz w:val="28"/>
                <w:szCs w:val="28"/>
                <w:u w:val="none"/>
                <w:lang w:val="en-US" w:eastAsia="zh-CN" w:bidi="ar"/>
              </w:rPr>
              <w:t>20</w:t>
            </w:r>
          </w:p>
        </w:tc>
      </w:tr>
      <w:tr w14:paraId="40D9AF96">
        <w:tblPrEx>
          <w:shd w:val="clear" w:color="auto" w:fill="auto"/>
          <w:tblCellMar>
            <w:top w:w="0" w:type="dxa"/>
            <w:left w:w="0" w:type="dxa"/>
            <w:bottom w:w="0" w:type="dxa"/>
            <w:right w:w="0" w:type="dxa"/>
          </w:tblCellMar>
        </w:tblPrEx>
        <w:trPr>
          <w:trHeight w:val="312" w:hRule="atLeast"/>
        </w:trPr>
        <w:tc>
          <w:tcPr>
            <w:tcW w:w="221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30284830">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420" w:firstLineChars="200"/>
              <w:jc w:val="center"/>
              <w:textAlignment w:val="center"/>
              <w:rPr>
                <w:rFonts w:hint="eastAsia" w:ascii="仿宋" w:hAnsi="仿宋" w:eastAsia="仿宋" w:cs="仿宋"/>
                <w:i w:val="0"/>
                <w:color w:val="000000"/>
                <w:sz w:val="28"/>
                <w:szCs w:val="28"/>
                <w:u w:val="none"/>
              </w:rPr>
            </w:pPr>
            <w:r>
              <w:rPr>
                <w:rFonts w:hint="eastAsia" w:ascii="仿宋" w:hAnsi="仿宋" w:eastAsia="仿宋" w:cs="仿宋"/>
                <w:b w:val="0"/>
                <w:bCs/>
                <w:i w:val="0"/>
                <w:color w:val="000000"/>
                <w:sz w:val="21"/>
                <w:szCs w:val="21"/>
                <w:u w:val="none"/>
                <w:lang w:eastAsia="zh-CN"/>
              </w:rPr>
              <w:t>可持续影响指标</w:t>
            </w:r>
          </w:p>
        </w:tc>
        <w:tc>
          <w:tcPr>
            <w:tcW w:w="221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5A3CC239">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560" w:firstLineChars="200"/>
              <w:jc w:val="center"/>
              <w:textAlignment w:val="center"/>
              <w:rPr>
                <w:rFonts w:hint="default" w:ascii="仿宋" w:hAnsi="仿宋" w:eastAsia="仿宋" w:cs="仿宋"/>
                <w:i w:val="0"/>
                <w:color w:val="000000"/>
                <w:sz w:val="28"/>
                <w:szCs w:val="28"/>
                <w:u w:val="none"/>
                <w:lang w:val="en-US"/>
              </w:rPr>
            </w:pPr>
            <w:r>
              <w:rPr>
                <w:rFonts w:hint="eastAsia" w:ascii="仿宋" w:hAnsi="仿宋" w:eastAsia="仿宋" w:cs="仿宋"/>
                <w:i w:val="0"/>
                <w:color w:val="000000"/>
                <w:kern w:val="0"/>
                <w:sz w:val="28"/>
                <w:szCs w:val="28"/>
                <w:u w:val="none"/>
                <w:lang w:val="en-US" w:eastAsia="zh-CN" w:bidi="ar"/>
              </w:rPr>
              <w:t>10</w:t>
            </w:r>
          </w:p>
        </w:tc>
        <w:tc>
          <w:tcPr>
            <w:tcW w:w="22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594F4959">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560" w:firstLineChars="20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100%</w:t>
            </w:r>
          </w:p>
        </w:tc>
        <w:tc>
          <w:tcPr>
            <w:tcW w:w="221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713AF88D">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560" w:firstLineChars="200"/>
              <w:jc w:val="center"/>
              <w:textAlignment w:val="center"/>
              <w:rPr>
                <w:rFonts w:hint="default" w:ascii="仿宋" w:hAnsi="仿宋" w:eastAsia="仿宋" w:cs="仿宋"/>
                <w:i w:val="0"/>
                <w:color w:val="000000"/>
                <w:sz w:val="28"/>
                <w:szCs w:val="28"/>
                <w:u w:val="none"/>
                <w:lang w:val="en-US"/>
              </w:rPr>
            </w:pPr>
            <w:r>
              <w:rPr>
                <w:rFonts w:hint="eastAsia" w:ascii="仿宋" w:hAnsi="仿宋" w:eastAsia="仿宋" w:cs="仿宋"/>
                <w:i w:val="0"/>
                <w:color w:val="000000"/>
                <w:kern w:val="0"/>
                <w:sz w:val="28"/>
                <w:szCs w:val="28"/>
                <w:u w:val="none"/>
                <w:lang w:val="en-US" w:eastAsia="zh-CN" w:bidi="ar"/>
              </w:rPr>
              <w:t>10</w:t>
            </w:r>
          </w:p>
        </w:tc>
      </w:tr>
      <w:tr w14:paraId="2E7C4FA8">
        <w:tblPrEx>
          <w:shd w:val="clear" w:color="auto" w:fill="auto"/>
          <w:tblCellMar>
            <w:top w:w="0" w:type="dxa"/>
            <w:left w:w="0" w:type="dxa"/>
            <w:bottom w:w="0" w:type="dxa"/>
            <w:right w:w="0" w:type="dxa"/>
          </w:tblCellMar>
        </w:tblPrEx>
        <w:trPr>
          <w:trHeight w:val="312" w:hRule="atLeast"/>
        </w:trPr>
        <w:tc>
          <w:tcPr>
            <w:tcW w:w="221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56070003">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560" w:firstLineChars="200"/>
              <w:jc w:val="center"/>
              <w:textAlignment w:val="center"/>
              <w:rPr>
                <w:rFonts w:hint="eastAsia" w:ascii="仿宋" w:hAnsi="仿宋" w:eastAsia="仿宋" w:cs="仿宋"/>
                <w:i w:val="0"/>
                <w:color w:val="000000"/>
                <w:sz w:val="28"/>
                <w:szCs w:val="28"/>
                <w:u w:val="none"/>
              </w:rPr>
            </w:pPr>
            <w:r>
              <w:rPr>
                <w:rFonts w:hint="eastAsia" w:ascii="仿宋" w:hAnsi="仿宋" w:eastAsia="仿宋" w:cs="仿宋"/>
                <w:i w:val="0"/>
                <w:color w:val="000000"/>
                <w:kern w:val="0"/>
                <w:sz w:val="28"/>
                <w:szCs w:val="28"/>
                <w:u w:val="none"/>
                <w:lang w:val="en-US" w:eastAsia="zh-CN" w:bidi="ar"/>
              </w:rPr>
              <w:t>合计</w:t>
            </w:r>
          </w:p>
        </w:tc>
        <w:tc>
          <w:tcPr>
            <w:tcW w:w="221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27173F3E">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560" w:firstLineChars="200"/>
              <w:jc w:val="center"/>
              <w:textAlignment w:val="center"/>
              <w:rPr>
                <w:rFonts w:hint="default" w:ascii="仿宋" w:hAnsi="仿宋" w:eastAsia="仿宋" w:cs="仿宋"/>
                <w:i w:val="0"/>
                <w:color w:val="000000"/>
                <w:sz w:val="28"/>
                <w:szCs w:val="28"/>
                <w:u w:val="none"/>
                <w:lang w:val="en-US"/>
              </w:rPr>
            </w:pPr>
            <w:r>
              <w:rPr>
                <w:rFonts w:hint="eastAsia" w:ascii="仿宋" w:hAnsi="仿宋" w:eastAsia="仿宋" w:cs="仿宋"/>
                <w:i w:val="0"/>
                <w:color w:val="000000"/>
                <w:kern w:val="0"/>
                <w:sz w:val="28"/>
                <w:szCs w:val="28"/>
                <w:u w:val="none"/>
                <w:lang w:val="en-US" w:eastAsia="zh-CN" w:bidi="ar"/>
              </w:rPr>
              <w:t>50</w:t>
            </w:r>
          </w:p>
        </w:tc>
        <w:tc>
          <w:tcPr>
            <w:tcW w:w="22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82FE813">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560" w:firstLineChars="200"/>
              <w:jc w:val="center"/>
              <w:textAlignment w:val="center"/>
              <w:rPr>
                <w:rFonts w:hint="eastAsia" w:ascii="仿宋" w:hAnsi="仿宋" w:eastAsia="仿宋" w:cs="仿宋"/>
                <w:i w:val="0"/>
                <w:color w:val="000000"/>
                <w:sz w:val="28"/>
                <w:szCs w:val="28"/>
                <w:u w:val="none"/>
              </w:rPr>
            </w:pPr>
            <w:r>
              <w:rPr>
                <w:rFonts w:hint="eastAsia" w:ascii="仿宋" w:hAnsi="仿宋" w:eastAsia="仿宋" w:cs="仿宋"/>
                <w:sz w:val="28"/>
                <w:szCs w:val="28"/>
                <w:lang w:val="en-US" w:eastAsia="zh-CN"/>
              </w:rPr>
              <w:t>88.8</w:t>
            </w:r>
            <w:r>
              <w:rPr>
                <w:rFonts w:hint="eastAsia" w:ascii="仿宋" w:hAnsi="仿宋" w:eastAsia="仿宋" w:cs="仿宋"/>
                <w:sz w:val="28"/>
                <w:szCs w:val="28"/>
              </w:rPr>
              <w:t>%</w:t>
            </w:r>
          </w:p>
        </w:tc>
        <w:tc>
          <w:tcPr>
            <w:tcW w:w="221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21B2AEC">
            <w:pPr>
              <w:keepNext w:val="0"/>
              <w:keepLines w:val="0"/>
              <w:pageBreakBefore w:val="0"/>
              <w:widowControl/>
              <w:suppressLineNumbers w:val="0"/>
              <w:kinsoku/>
              <w:wordWrap/>
              <w:overflowPunct/>
              <w:topLinePunct w:val="0"/>
              <w:autoSpaceDE/>
              <w:autoSpaceDN/>
              <w:bidi w:val="0"/>
              <w:adjustRightInd/>
              <w:snapToGrid/>
              <w:spacing w:line="560" w:lineRule="atLeast"/>
              <w:ind w:left="0" w:firstLine="560" w:firstLineChars="200"/>
              <w:jc w:val="center"/>
              <w:textAlignment w:val="center"/>
              <w:rPr>
                <w:rFonts w:hint="default" w:ascii="仿宋" w:hAnsi="仿宋" w:eastAsia="仿宋" w:cs="仿宋"/>
                <w:i w:val="0"/>
                <w:color w:val="000000"/>
                <w:sz w:val="28"/>
                <w:szCs w:val="28"/>
                <w:u w:val="none"/>
                <w:lang w:val="en-US"/>
              </w:rPr>
            </w:pPr>
            <w:r>
              <w:rPr>
                <w:rFonts w:hint="eastAsia" w:ascii="仿宋" w:hAnsi="仿宋" w:eastAsia="仿宋" w:cs="仿宋"/>
                <w:i w:val="0"/>
                <w:color w:val="000000"/>
                <w:kern w:val="0"/>
                <w:sz w:val="28"/>
                <w:szCs w:val="28"/>
                <w:u w:val="none"/>
                <w:lang w:val="en-US" w:eastAsia="zh-CN" w:bidi="ar"/>
              </w:rPr>
              <w:t>44.42</w:t>
            </w:r>
          </w:p>
        </w:tc>
      </w:tr>
    </w:tbl>
    <w:p w14:paraId="138D9DDE">
      <w:pPr>
        <w:pageBreakBefore w:val="0"/>
        <w:kinsoku/>
        <w:wordWrap/>
        <w:overflowPunct/>
        <w:topLinePunct w:val="0"/>
        <w:autoSpaceDE/>
        <w:autoSpaceDN/>
        <w:bidi w:val="0"/>
        <w:adjustRightInd/>
        <w:snapToGrid/>
        <w:spacing w:line="560" w:lineRule="atLeast"/>
        <w:ind w:left="0" w:firstLine="643"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经济效益指标：</w:t>
      </w:r>
      <w:r>
        <w:rPr>
          <w:rFonts w:hint="eastAsia" w:ascii="仿宋_GB2312" w:hAnsi="仿宋_GB2312" w:eastAsia="仿宋_GB2312" w:cs="仿宋_GB2312"/>
          <w:b w:val="0"/>
          <w:bCs w:val="0"/>
          <w:kern w:val="2"/>
          <w:sz w:val="32"/>
          <w:szCs w:val="32"/>
          <w:lang w:val="en-US" w:eastAsia="zh-CN" w:bidi="ar-SA"/>
        </w:rPr>
        <w:t>承压类设备检验收费，年度指标值为≥260万元，实际完成值为187.47万元。</w:t>
      </w:r>
    </w:p>
    <w:p w14:paraId="07954A73">
      <w:pPr>
        <w:pageBreakBefore w:val="0"/>
        <w:kinsoku/>
        <w:wordWrap/>
        <w:overflowPunct/>
        <w:topLinePunct w:val="0"/>
        <w:autoSpaceDE/>
        <w:autoSpaceDN/>
        <w:bidi w:val="0"/>
        <w:adjustRightInd/>
        <w:snapToGrid/>
        <w:spacing w:line="560" w:lineRule="atLeast"/>
        <w:ind w:left="0" w:firstLine="643"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社会效益指标：</w:t>
      </w:r>
      <w:r>
        <w:rPr>
          <w:rFonts w:hint="eastAsia" w:ascii="仿宋_GB2312" w:hAnsi="仿宋_GB2312" w:eastAsia="仿宋_GB2312" w:cs="仿宋_GB2312"/>
          <w:b w:val="0"/>
          <w:bCs w:val="0"/>
          <w:kern w:val="2"/>
          <w:sz w:val="32"/>
          <w:szCs w:val="32"/>
          <w:lang w:val="en-US" w:eastAsia="zh-CN" w:bidi="ar-SA"/>
        </w:rPr>
        <w:t>安全生产事故率，年度指标值为=0次，实际完成值为0次。</w:t>
      </w:r>
    </w:p>
    <w:p w14:paraId="4C19656E">
      <w:pPr>
        <w:pageBreakBefore w:val="0"/>
        <w:kinsoku/>
        <w:wordWrap/>
        <w:overflowPunct/>
        <w:topLinePunct w:val="0"/>
        <w:autoSpaceDE/>
        <w:autoSpaceDN/>
        <w:bidi w:val="0"/>
        <w:adjustRightInd/>
        <w:snapToGrid/>
        <w:spacing w:line="560" w:lineRule="atLeast"/>
        <w:ind w:left="0" w:firstLine="643"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可持续影响指标：</w:t>
      </w:r>
      <w:r>
        <w:rPr>
          <w:rFonts w:hint="eastAsia" w:ascii="仿宋_GB2312" w:hAnsi="仿宋_GB2312" w:eastAsia="仿宋_GB2312" w:cs="仿宋_GB2312"/>
          <w:b w:val="0"/>
          <w:bCs w:val="0"/>
          <w:kern w:val="2"/>
          <w:sz w:val="32"/>
          <w:szCs w:val="32"/>
          <w:lang w:val="en-US" w:eastAsia="zh-CN" w:bidi="ar-SA"/>
        </w:rPr>
        <w:t>促进全特种设备安全运行，年度指标值为中长期，实际完成值为中长期。</w:t>
      </w:r>
    </w:p>
    <w:p w14:paraId="1F4730FD">
      <w:pPr>
        <w:pageBreakBefore w:val="0"/>
        <w:kinsoku/>
        <w:wordWrap/>
        <w:overflowPunct/>
        <w:topLinePunct w:val="0"/>
        <w:autoSpaceDE/>
        <w:autoSpaceDN/>
        <w:bidi w:val="0"/>
        <w:adjustRightInd/>
        <w:snapToGrid/>
        <w:spacing w:line="560" w:lineRule="atLeast"/>
        <w:ind w:left="0" w:firstLine="643"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满意度指标：</w:t>
      </w:r>
      <w:r>
        <w:rPr>
          <w:rFonts w:hint="eastAsia" w:ascii="仿宋_GB2312" w:hAnsi="仿宋_GB2312" w:eastAsia="仿宋_GB2312" w:cs="仿宋_GB2312"/>
          <w:b w:val="0"/>
          <w:bCs w:val="0"/>
          <w:kern w:val="2"/>
          <w:sz w:val="32"/>
          <w:szCs w:val="32"/>
          <w:lang w:val="en-US" w:eastAsia="zh-CN" w:bidi="ar-SA"/>
        </w:rPr>
        <w:t>受检单位投诉率，年度指标值为=0次，实际完成值为0次。</w:t>
      </w:r>
    </w:p>
    <w:p w14:paraId="724D25DD">
      <w:pPr>
        <w:pageBreakBefore w:val="0"/>
        <w:kinsoku/>
        <w:wordWrap/>
        <w:overflowPunct/>
        <w:topLinePunct w:val="0"/>
        <w:autoSpaceDE/>
        <w:autoSpaceDN/>
        <w:bidi w:val="0"/>
        <w:adjustRightInd/>
        <w:snapToGrid/>
        <w:spacing w:line="560" w:lineRule="atLeast"/>
        <w:ind w:firstLine="641"/>
        <w:rPr>
          <w:rFonts w:hint="eastAsia" w:ascii="黑体" w:hAnsi="黑体" w:eastAsia="黑体" w:cs="Times New Roman"/>
          <w:sz w:val="32"/>
          <w:szCs w:val="32"/>
          <w:lang w:eastAsia="zh-CN"/>
        </w:rPr>
      </w:pPr>
      <w:r>
        <w:rPr>
          <w:rFonts w:hint="eastAsia" w:ascii="黑体" w:hAnsi="黑体" w:eastAsia="黑体" w:cs="Times New Roman"/>
          <w:sz w:val="32"/>
          <w:szCs w:val="32"/>
          <w:lang w:eastAsia="zh-CN"/>
        </w:rPr>
        <w:t>五、主要经验及做法、存在的问题及原因分析</w:t>
      </w:r>
    </w:p>
    <w:p w14:paraId="4C4EC4E8">
      <w:pPr>
        <w:pageBreakBefore w:val="0"/>
        <w:kinsoku/>
        <w:wordWrap/>
        <w:overflowPunct/>
        <w:topLinePunct w:val="0"/>
        <w:autoSpaceDE/>
        <w:autoSpaceDN/>
        <w:bidi w:val="0"/>
        <w:adjustRightInd/>
        <w:snapToGrid/>
        <w:spacing w:line="560" w:lineRule="atLeast"/>
        <w:ind w:firstLine="567" w:firstLineChars="181"/>
        <w:rPr>
          <w:rFonts w:ascii="楷体" w:hAnsi="楷体" w:eastAsia="楷体"/>
          <w:b/>
          <w:spacing w:val="-4"/>
          <w:sz w:val="32"/>
          <w:szCs w:val="32"/>
        </w:rPr>
      </w:pPr>
      <w:r>
        <w:rPr>
          <w:rFonts w:hint="eastAsia" w:ascii="楷体" w:hAnsi="楷体" w:eastAsia="楷体"/>
          <w:b/>
          <w:spacing w:val="-4"/>
          <w:sz w:val="32"/>
          <w:szCs w:val="32"/>
        </w:rPr>
        <w:t>（一）主要经验及做法</w:t>
      </w:r>
    </w:p>
    <w:p w14:paraId="20580CA4">
      <w:pPr>
        <w:pageBreakBefore w:val="0"/>
        <w:kinsoku/>
        <w:wordWrap/>
        <w:overflowPunct/>
        <w:topLinePunct w:val="0"/>
        <w:autoSpaceDE/>
        <w:autoSpaceDN/>
        <w:bidi w:val="0"/>
        <w:adjustRightInd/>
        <w:snapToGrid/>
        <w:spacing w:line="560" w:lineRule="atLeas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3530026F">
      <w:pPr>
        <w:pStyle w:val="2"/>
        <w:pageBreakBefore w:val="0"/>
        <w:kinsoku/>
        <w:wordWrap/>
        <w:overflowPunct/>
        <w:topLinePunct w:val="0"/>
        <w:autoSpaceDE/>
        <w:autoSpaceDN/>
        <w:bidi w:val="0"/>
        <w:adjustRightInd/>
        <w:snapToGrid/>
        <w:spacing w:before="0" w:after="0" w:line="560" w:lineRule="atLeast"/>
        <w:ind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0DA331CF">
      <w:pPr>
        <w:keepNext/>
        <w:keepLines/>
        <w:pageBreakBefore w:val="0"/>
        <w:numPr>
          <w:ilvl w:val="0"/>
          <w:numId w:val="4"/>
        </w:numPr>
        <w:kinsoku/>
        <w:wordWrap/>
        <w:overflowPunct/>
        <w:topLinePunct w:val="0"/>
        <w:autoSpaceDE/>
        <w:autoSpaceDN/>
        <w:bidi w:val="0"/>
        <w:adjustRightInd/>
        <w:snapToGrid/>
        <w:spacing w:line="560" w:lineRule="atLeas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14:paraId="08945B9B">
      <w:pPr>
        <w:pageBreakBefore w:val="0"/>
        <w:kinsoku/>
        <w:wordWrap/>
        <w:overflowPunct/>
        <w:topLinePunct w:val="0"/>
        <w:autoSpaceDE/>
        <w:autoSpaceDN/>
        <w:bidi w:val="0"/>
        <w:adjustRightInd/>
        <w:snapToGrid/>
        <w:spacing w:line="560" w:lineRule="atLeast"/>
        <w:ind w:firstLine="640" w:firstLineChars="200"/>
        <w:contextualSpacing/>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由于绩效自评是一项开展不久的工作任务，项目支出运行实践经验还欠缺，按时间的序时进度的阶段性支出还不够，相关制度建设还有待进一步加强。</w:t>
      </w:r>
    </w:p>
    <w:p w14:paraId="7E22C5ED">
      <w:pPr>
        <w:pageBreakBefore w:val="0"/>
        <w:kinsoku/>
        <w:wordWrap/>
        <w:overflowPunct/>
        <w:topLinePunct w:val="0"/>
        <w:autoSpaceDE/>
        <w:autoSpaceDN/>
        <w:bidi w:val="0"/>
        <w:adjustRightInd/>
        <w:snapToGrid/>
        <w:spacing w:line="560" w:lineRule="atLeast"/>
        <w:ind w:firstLine="640" w:firstLineChars="200"/>
        <w:contextualSpacing/>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现在的项目指标面临着承压类设备的不断增加、更新等因素的影响，在编制预算与执行中，将尽可能地用有限的经费平衡每年工作任务，尽量做到科学、合理的分配。</w:t>
      </w:r>
    </w:p>
    <w:p w14:paraId="2B389FE1">
      <w:pPr>
        <w:pageBreakBefore w:val="0"/>
        <w:kinsoku/>
        <w:wordWrap/>
        <w:overflowPunct/>
        <w:topLinePunct w:val="0"/>
        <w:autoSpaceDE/>
        <w:autoSpaceDN/>
        <w:bidi w:val="0"/>
        <w:adjustRightInd/>
        <w:snapToGrid/>
        <w:spacing w:line="560" w:lineRule="atLeast"/>
        <w:ind w:firstLine="641"/>
        <w:rPr>
          <w:rFonts w:hint="eastAsia" w:ascii="黑体" w:hAnsi="黑体" w:eastAsia="黑体" w:cs="Times New Roman"/>
          <w:sz w:val="32"/>
          <w:szCs w:val="32"/>
          <w:lang w:eastAsia="zh-CN"/>
        </w:rPr>
      </w:pPr>
      <w:r>
        <w:rPr>
          <w:rFonts w:hint="eastAsia" w:ascii="黑体" w:hAnsi="黑体" w:eastAsia="黑体" w:cs="Times New Roman"/>
          <w:sz w:val="32"/>
          <w:szCs w:val="32"/>
          <w:lang w:eastAsia="zh-CN"/>
        </w:rPr>
        <w:t>六、有关建议</w:t>
      </w:r>
    </w:p>
    <w:p w14:paraId="2C0013CF">
      <w:pPr>
        <w:pageBreakBefore w:val="0"/>
        <w:numPr>
          <w:ilvl w:val="0"/>
          <w:numId w:val="5"/>
        </w:numPr>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14:paraId="43FB2578">
      <w:pPr>
        <w:pageBreakBefore w:val="0"/>
        <w:numPr>
          <w:ilvl w:val="0"/>
          <w:numId w:val="5"/>
        </w:numPr>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财政和项目实施单位严格实行“三专”管理，即设专户、建专</w:t>
      </w:r>
      <w:r>
        <w:rPr>
          <w:rFonts w:hint="eastAsia" w:ascii="仿宋_GB2312" w:hAnsi="仿宋_GB2312" w:eastAsia="仿宋_GB2312" w:cs="仿宋_GB2312"/>
          <w:sz w:val="32"/>
          <w:szCs w:val="32"/>
          <w:lang w:val="en-US" w:eastAsia="zh-CN"/>
        </w:rPr>
        <w:t>账</w:t>
      </w:r>
      <w:r>
        <w:rPr>
          <w:rFonts w:hint="eastAsia" w:ascii="仿宋_GB2312" w:hAnsi="仿宋_GB2312" w:eastAsia="仿宋_GB2312" w:cs="仿宋_GB2312"/>
          <w:sz w:val="32"/>
          <w:szCs w:val="32"/>
        </w:rPr>
        <w:t>、定专人。同时，资金拨付除坚持按项目计划、工程进度和质量分阶段验收拨款外，还坚持部门联审制，项目单位先做事、后报</w:t>
      </w:r>
      <w:r>
        <w:rPr>
          <w:rFonts w:hint="eastAsia" w:ascii="仿宋_GB2312" w:hAnsi="仿宋_GB2312" w:eastAsia="仿宋_GB2312" w:cs="仿宋_GB2312"/>
          <w:sz w:val="32"/>
          <w:szCs w:val="32"/>
          <w:lang w:val="en-US" w:eastAsia="zh-CN"/>
        </w:rPr>
        <w:t>账</w:t>
      </w:r>
      <w:r>
        <w:rPr>
          <w:rFonts w:hint="eastAsia" w:ascii="仿宋_GB2312" w:hAnsi="仿宋_GB2312" w:eastAsia="仿宋_GB2312" w:cs="仿宋_GB2312"/>
          <w:sz w:val="32"/>
          <w:szCs w:val="32"/>
        </w:rPr>
        <w:t>，从而确保专项资金专款专用，有效地防止了截留、挤占和挪用。</w:t>
      </w:r>
    </w:p>
    <w:p w14:paraId="0B08F24A">
      <w:pPr>
        <w:pageBreakBefore w:val="0"/>
        <w:numPr>
          <w:ilvl w:val="0"/>
          <w:numId w:val="0"/>
        </w:numPr>
        <w:kinsoku/>
        <w:wordWrap/>
        <w:overflowPunct/>
        <w:topLinePunct w:val="0"/>
        <w:autoSpaceDE/>
        <w:autoSpaceDN/>
        <w:bidi w:val="0"/>
        <w:adjustRightInd/>
        <w:snapToGrid/>
        <w:spacing w:line="560" w:lineRule="atLeas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3、建议以后财政部门能多组织学习培训绩效监控管理，提高单位财务及业务人员的能力水平，能尽量的工作划分到位，将绩效管理方面的知识和经验分享给其他工作人员。</w:t>
      </w:r>
    </w:p>
    <w:p w14:paraId="03467A8D">
      <w:pPr>
        <w:pageBreakBefore w:val="0"/>
        <w:kinsoku/>
        <w:wordWrap/>
        <w:overflowPunct/>
        <w:topLinePunct w:val="0"/>
        <w:autoSpaceDE/>
        <w:autoSpaceDN/>
        <w:bidi w:val="0"/>
        <w:adjustRightInd/>
        <w:snapToGrid/>
        <w:spacing w:line="560" w:lineRule="atLeast"/>
        <w:ind w:firstLine="641"/>
        <w:rPr>
          <w:rFonts w:hint="eastAsia" w:ascii="黑体" w:hAnsi="黑体" w:eastAsia="黑体" w:cs="Times New Roman"/>
          <w:sz w:val="32"/>
          <w:szCs w:val="32"/>
          <w:lang w:val="en-US" w:eastAsia="zh-CN"/>
        </w:rPr>
      </w:pPr>
      <w:r>
        <w:rPr>
          <w:rFonts w:hint="eastAsia" w:ascii="黑体" w:hAnsi="黑体" w:eastAsia="黑体" w:cs="Times New Roman"/>
          <w:sz w:val="32"/>
          <w:szCs w:val="32"/>
          <w:lang w:eastAsia="zh-CN"/>
        </w:rPr>
        <w:t>七、其他需要说明的问题</w:t>
      </w:r>
      <w:r>
        <w:rPr>
          <w:rFonts w:hint="eastAsia" w:ascii="黑体" w:hAnsi="黑体" w:eastAsia="黑体" w:cs="Times New Roman"/>
          <w:sz w:val="32"/>
          <w:szCs w:val="32"/>
          <w:lang w:val="en-US" w:eastAsia="zh-CN"/>
        </w:rPr>
        <w:t>。</w:t>
      </w:r>
    </w:p>
    <w:p w14:paraId="3E5E92F7">
      <w:pPr>
        <w:pageBreakBefore w:val="0"/>
        <w:kinsoku/>
        <w:wordWrap/>
        <w:overflowPunct/>
        <w:topLinePunct w:val="0"/>
        <w:autoSpaceDE/>
        <w:autoSpaceDN/>
        <w:bidi w:val="0"/>
        <w:adjustRightInd/>
        <w:snapToGrid/>
        <w:spacing w:line="540" w:lineRule="exact"/>
        <w:ind w:left="7360" w:hanging="7360" w:hangingChars="2300"/>
        <w:jc w:val="left"/>
        <w:rPr>
          <w:rFonts w:hint="eastAsia" w:ascii="仿宋" w:hAnsi="仿宋" w:eastAsia="仿宋" w:cs="仿宋"/>
          <w:sz w:val="32"/>
          <w:szCs w:val="32"/>
          <w:lang w:val="en-US" w:eastAsia="zh-CN"/>
        </w:rPr>
      </w:pPr>
      <w:r>
        <w:rPr>
          <w:rFonts w:hint="eastAsia" w:ascii="仿宋_GB2312" w:hAnsi="仿宋_GB2312" w:eastAsia="仿宋_GB2312" w:cs="仿宋_GB2312"/>
          <w:sz w:val="32"/>
          <w:szCs w:val="32"/>
          <w:lang w:val="en-US" w:eastAsia="zh-CN"/>
        </w:rPr>
        <w:t xml:space="preserve">无。                                                   </w:t>
      </w:r>
    </w:p>
    <w:p w14:paraId="39D3994F">
      <w:pPr>
        <w:pageBreakBefore w:val="0"/>
        <w:kinsoku/>
        <w:wordWrap/>
        <w:overflowPunct/>
        <w:topLinePunct w:val="0"/>
        <w:autoSpaceDE/>
        <w:autoSpaceDN/>
        <w:bidi w:val="0"/>
        <w:adjustRightInd/>
        <w:snapToGrid/>
        <w:spacing w:line="540" w:lineRule="exact"/>
        <w:ind w:left="0" w:firstLine="562" w:firstLineChars="200"/>
        <w:jc w:val="center"/>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 xml:space="preserve">                                                                                         </w:t>
      </w:r>
      <w:r>
        <w:rPr>
          <w:rFonts w:hint="eastAsia" w:ascii="仿宋" w:hAnsi="仿宋" w:eastAsia="仿宋" w:cs="仿宋"/>
          <w:sz w:val="32"/>
          <w:szCs w:val="32"/>
          <w:lang w:val="en-US" w:eastAsia="zh-CN"/>
        </w:rPr>
        <w:t xml:space="preserve">附件1:综合评分标准                                                                          </w:t>
      </w:r>
      <w:r>
        <w:rPr>
          <w:rFonts w:hint="eastAsia" w:ascii="仿宋" w:hAnsi="仿宋" w:eastAsia="仿宋" w:cs="仿宋"/>
          <w:b/>
          <w:bCs/>
          <w:kern w:val="0"/>
          <w:sz w:val="28"/>
          <w:szCs w:val="28"/>
          <w:lang w:val="en-US" w:eastAsia="zh-CN"/>
        </w:rPr>
        <w:t xml:space="preserve">                                                                        </w:t>
      </w:r>
      <w:r>
        <w:rPr>
          <w:rFonts w:hint="eastAsia" w:ascii="仿宋" w:hAnsi="仿宋" w:eastAsia="仿宋" w:cs="仿宋"/>
          <w:b/>
          <w:bCs/>
          <w:kern w:val="0"/>
          <w:sz w:val="28"/>
          <w:szCs w:val="28"/>
          <w:lang w:eastAsia="zh-CN"/>
        </w:rPr>
        <w:t>承压类设备检验专项经费”</w:t>
      </w:r>
      <w:r>
        <w:rPr>
          <w:rFonts w:hint="eastAsia" w:ascii="仿宋" w:hAnsi="仿宋" w:eastAsia="仿宋" w:cs="仿宋"/>
          <w:b/>
          <w:bCs/>
          <w:kern w:val="0"/>
          <w:sz w:val="28"/>
          <w:szCs w:val="28"/>
        </w:rPr>
        <w:t>绩效评价指标体系及评分标准</w:t>
      </w:r>
    </w:p>
    <w:tbl>
      <w:tblPr>
        <w:tblStyle w:val="9"/>
        <w:tblW w:w="9159" w:type="dxa"/>
        <w:jc w:val="center"/>
        <w:shd w:val="clear" w:color="auto" w:fill="auto"/>
        <w:tblLayout w:type="fixed"/>
        <w:tblCellMar>
          <w:top w:w="0" w:type="dxa"/>
          <w:left w:w="0" w:type="dxa"/>
          <w:bottom w:w="0" w:type="dxa"/>
          <w:right w:w="0" w:type="dxa"/>
        </w:tblCellMar>
      </w:tblPr>
      <w:tblGrid>
        <w:gridCol w:w="1048"/>
        <w:gridCol w:w="1260"/>
        <w:gridCol w:w="2610"/>
        <w:gridCol w:w="3376"/>
        <w:gridCol w:w="865"/>
      </w:tblGrid>
      <w:tr w14:paraId="32F6C4C0">
        <w:tblPrEx>
          <w:shd w:val="clear" w:color="auto" w:fill="auto"/>
          <w:tblCellMar>
            <w:top w:w="0" w:type="dxa"/>
            <w:left w:w="0" w:type="dxa"/>
            <w:bottom w:w="0" w:type="dxa"/>
            <w:right w:w="0" w:type="dxa"/>
          </w:tblCellMar>
        </w:tblPrEx>
        <w:trPr>
          <w:trHeight w:val="666" w:hRule="atLeast"/>
          <w:jc w:val="center"/>
        </w:trPr>
        <w:tc>
          <w:tcPr>
            <w:tcW w:w="1048"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A8C02AD">
            <w:pPr>
              <w:keepNext w:val="0"/>
              <w:keepLines w:val="0"/>
              <w:pageBreakBefore w:val="0"/>
              <w:widowControl/>
              <w:suppressLineNumbers w:val="0"/>
              <w:kinsoku/>
              <w:wordWrap/>
              <w:overflowPunct/>
              <w:topLinePunct w:val="0"/>
              <w:autoSpaceDE/>
              <w:autoSpaceDN/>
              <w:bidi w:val="0"/>
              <w:adjustRightInd/>
              <w:snapToGrid/>
              <w:spacing w:line="540" w:lineRule="exact"/>
              <w:jc w:val="both"/>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b/>
                <w:i w:val="0"/>
                <w:color w:val="000000"/>
                <w:kern w:val="0"/>
                <w:sz w:val="21"/>
                <w:szCs w:val="21"/>
                <w:u w:val="none"/>
                <w:lang w:val="en-US" w:eastAsia="zh-CN" w:bidi="ar"/>
              </w:rPr>
              <w:t>一级指标</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7A094A59">
            <w:pPr>
              <w:keepNext w:val="0"/>
              <w:keepLines w:val="0"/>
              <w:pageBreakBefore w:val="0"/>
              <w:widowControl/>
              <w:suppressLineNumbers w:val="0"/>
              <w:kinsoku/>
              <w:wordWrap/>
              <w:overflowPunct/>
              <w:topLinePunct w:val="0"/>
              <w:autoSpaceDE/>
              <w:autoSpaceDN/>
              <w:bidi w:val="0"/>
              <w:adjustRightInd/>
              <w:snapToGrid/>
              <w:spacing w:line="540" w:lineRule="exact"/>
              <w:jc w:val="both"/>
              <w:textAlignment w:val="center"/>
              <w:rPr>
                <w:rFonts w:hint="eastAsia" w:ascii="仿宋" w:hAnsi="仿宋" w:eastAsia="仿宋" w:cs="仿宋"/>
                <w:i w:val="0"/>
                <w:color w:val="000000"/>
                <w:kern w:val="0"/>
                <w:sz w:val="28"/>
                <w:szCs w:val="28"/>
                <w:u w:val="none"/>
                <w:lang w:val="en-US" w:eastAsia="zh-CN" w:bidi="ar"/>
              </w:rPr>
            </w:pPr>
            <w:r>
              <w:rPr>
                <w:rFonts w:hint="eastAsia" w:ascii="仿宋" w:hAnsi="仿宋" w:eastAsia="仿宋" w:cs="仿宋"/>
                <w:b/>
                <w:i w:val="0"/>
                <w:color w:val="000000"/>
                <w:kern w:val="0"/>
                <w:sz w:val="21"/>
                <w:szCs w:val="21"/>
                <w:u w:val="none"/>
                <w:lang w:val="en-US" w:eastAsia="zh-CN" w:bidi="ar"/>
              </w:rPr>
              <w:t>二级指标</w:t>
            </w:r>
          </w:p>
        </w:tc>
        <w:tc>
          <w:tcPr>
            <w:tcW w:w="26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479B10">
            <w:pPr>
              <w:keepNext w:val="0"/>
              <w:keepLines w:val="0"/>
              <w:pageBreakBefore w:val="0"/>
              <w:widowControl/>
              <w:suppressLineNumbers w:val="0"/>
              <w:kinsoku/>
              <w:wordWrap/>
              <w:overflowPunct/>
              <w:topLinePunct w:val="0"/>
              <w:autoSpaceDE/>
              <w:autoSpaceDN/>
              <w:bidi w:val="0"/>
              <w:adjustRightInd/>
              <w:snapToGrid/>
              <w:spacing w:line="540" w:lineRule="exact"/>
              <w:jc w:val="left"/>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b/>
                <w:i w:val="0"/>
                <w:color w:val="000000"/>
                <w:sz w:val="21"/>
                <w:szCs w:val="21"/>
                <w:u w:val="none"/>
                <w:lang w:eastAsia="zh-CN"/>
              </w:rPr>
              <w:t>内容</w:t>
            </w:r>
          </w:p>
        </w:tc>
        <w:tc>
          <w:tcPr>
            <w:tcW w:w="3376" w:type="dxa"/>
            <w:tcBorders>
              <w:top w:val="single" w:color="000000" w:sz="4" w:space="0"/>
              <w:left w:val="single" w:color="000000" w:sz="4" w:space="0"/>
              <w:right w:val="single" w:color="000000" w:sz="4" w:space="0"/>
            </w:tcBorders>
            <w:shd w:val="clear" w:color="auto" w:fill="FFFFFF"/>
            <w:tcMar>
              <w:top w:w="12" w:type="dxa"/>
              <w:left w:w="12" w:type="dxa"/>
              <w:right w:w="12" w:type="dxa"/>
            </w:tcMar>
            <w:vAlign w:val="center"/>
          </w:tcPr>
          <w:p w14:paraId="1347B347">
            <w:pPr>
              <w:keepNext w:val="0"/>
              <w:keepLines w:val="0"/>
              <w:pageBreakBefore w:val="0"/>
              <w:widowControl/>
              <w:suppressLineNumbers w:val="0"/>
              <w:kinsoku/>
              <w:wordWrap/>
              <w:overflowPunct/>
              <w:topLinePunct w:val="0"/>
              <w:autoSpaceDE/>
              <w:autoSpaceDN/>
              <w:bidi w:val="0"/>
              <w:adjustRightInd/>
              <w:snapToGrid/>
              <w:spacing w:line="540" w:lineRule="exact"/>
              <w:jc w:val="left"/>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b/>
                <w:i w:val="0"/>
                <w:color w:val="000000"/>
                <w:kern w:val="0"/>
                <w:sz w:val="21"/>
                <w:szCs w:val="21"/>
                <w:u w:val="none"/>
                <w:lang w:val="en-US" w:eastAsia="zh-CN" w:bidi="ar"/>
              </w:rPr>
              <w:t>评价标准</w:t>
            </w:r>
          </w:p>
        </w:tc>
        <w:tc>
          <w:tcPr>
            <w:tcW w:w="86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1C4A8ABA">
            <w:pPr>
              <w:keepNext w:val="0"/>
              <w:keepLines w:val="0"/>
              <w:pageBreakBefore w:val="0"/>
              <w:widowControl/>
              <w:suppressLineNumbers w:val="0"/>
              <w:kinsoku/>
              <w:wordWrap/>
              <w:overflowPunct/>
              <w:topLinePunct w:val="0"/>
              <w:autoSpaceDE/>
              <w:autoSpaceDN/>
              <w:bidi w:val="0"/>
              <w:adjustRightInd/>
              <w:snapToGrid/>
              <w:spacing w:line="540" w:lineRule="exact"/>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b/>
                <w:bCs/>
                <w:i w:val="0"/>
                <w:color w:val="000000"/>
                <w:kern w:val="0"/>
                <w:sz w:val="21"/>
                <w:szCs w:val="21"/>
                <w:u w:val="none"/>
                <w:lang w:val="en-US" w:eastAsia="zh-CN" w:bidi="ar"/>
              </w:rPr>
              <w:t>评分</w:t>
            </w:r>
          </w:p>
        </w:tc>
      </w:tr>
      <w:tr w14:paraId="7A55D614">
        <w:tblPrEx>
          <w:shd w:val="clear" w:color="auto" w:fill="auto"/>
          <w:tblCellMar>
            <w:top w:w="0" w:type="dxa"/>
            <w:left w:w="0" w:type="dxa"/>
            <w:bottom w:w="0" w:type="dxa"/>
            <w:right w:w="0" w:type="dxa"/>
          </w:tblCellMar>
        </w:tblPrEx>
        <w:trPr>
          <w:trHeight w:val="357" w:hRule="atLeast"/>
          <w:jc w:val="center"/>
        </w:trPr>
        <w:tc>
          <w:tcPr>
            <w:tcW w:w="1048" w:type="dxa"/>
            <w:vMerge w:val="restart"/>
            <w:tcBorders>
              <w:top w:val="single" w:color="000000" w:sz="4" w:space="0"/>
              <w:left w:val="single" w:color="000000" w:sz="4" w:space="0"/>
              <w:right w:val="single" w:color="000000" w:sz="4" w:space="0"/>
            </w:tcBorders>
            <w:shd w:val="clear" w:color="auto" w:fill="FFFFFF"/>
            <w:tcMar>
              <w:top w:w="12" w:type="dxa"/>
              <w:left w:w="12" w:type="dxa"/>
              <w:right w:w="12" w:type="dxa"/>
            </w:tcMar>
            <w:vAlign w:val="center"/>
          </w:tcPr>
          <w:p w14:paraId="5CFC7CEB">
            <w:pPr>
              <w:keepNext w:val="0"/>
              <w:keepLines w:val="0"/>
              <w:pageBreakBefore w:val="0"/>
              <w:kinsoku/>
              <w:wordWrap/>
              <w:overflowPunct/>
              <w:topLinePunct w:val="0"/>
              <w:autoSpaceDE/>
              <w:autoSpaceDN/>
              <w:bidi w:val="0"/>
              <w:adjustRightInd/>
              <w:snapToGrid/>
              <w:spacing w:line="240" w:lineRule="exact"/>
              <w:jc w:val="center"/>
              <w:outlineLvl w:val="9"/>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b w:val="0"/>
                <w:bCs/>
                <w:i w:val="0"/>
                <w:color w:val="000000"/>
                <w:sz w:val="21"/>
                <w:szCs w:val="21"/>
                <w:u w:val="none"/>
                <w:lang w:val="en-US" w:eastAsia="zh-CN"/>
              </w:rPr>
              <w:t>项目决策（10分）</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0761A391">
            <w:pPr>
              <w:keepNext w:val="0"/>
              <w:keepLines w:val="0"/>
              <w:pageBreakBefore w:val="0"/>
              <w:kinsoku/>
              <w:wordWrap/>
              <w:overflowPunct/>
              <w:topLinePunct w:val="0"/>
              <w:autoSpaceDE/>
              <w:autoSpaceDN/>
              <w:bidi w:val="0"/>
              <w:adjustRightInd/>
              <w:snapToGrid/>
              <w:spacing w:line="240" w:lineRule="exact"/>
              <w:jc w:val="center"/>
              <w:outlineLvl w:val="9"/>
              <w:rPr>
                <w:rFonts w:hint="eastAsia" w:ascii="仿宋" w:hAnsi="仿宋" w:eastAsia="仿宋" w:cs="仿宋"/>
                <w:i w:val="0"/>
                <w:color w:val="000000"/>
                <w:sz w:val="21"/>
                <w:szCs w:val="21"/>
                <w:u w:val="none"/>
                <w:lang w:val="en-US" w:eastAsia="zh-CN"/>
              </w:rPr>
            </w:pPr>
            <w:r>
              <w:rPr>
                <w:rFonts w:hint="eastAsia" w:ascii="仿宋" w:hAnsi="仿宋" w:eastAsia="仿宋" w:cs="仿宋"/>
                <w:b w:val="0"/>
                <w:bCs/>
                <w:i w:val="0"/>
                <w:color w:val="000000"/>
                <w:sz w:val="21"/>
                <w:szCs w:val="21"/>
                <w:u w:val="none"/>
                <w:lang w:eastAsia="zh-CN"/>
              </w:rPr>
              <w:t>项目立项</w:t>
            </w:r>
          </w:p>
        </w:tc>
        <w:tc>
          <w:tcPr>
            <w:tcW w:w="26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5390C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outlineLvl w:val="9"/>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项目立项是否合理</w:t>
            </w:r>
          </w:p>
        </w:tc>
        <w:tc>
          <w:tcPr>
            <w:tcW w:w="3376" w:type="dxa"/>
            <w:tcBorders>
              <w:top w:val="single" w:color="000000" w:sz="4" w:space="0"/>
              <w:left w:val="single" w:color="000000" w:sz="4" w:space="0"/>
              <w:right w:val="single" w:color="000000" w:sz="4" w:space="0"/>
            </w:tcBorders>
            <w:shd w:val="clear" w:color="auto" w:fill="FFFFFF"/>
            <w:tcMar>
              <w:top w:w="12" w:type="dxa"/>
              <w:left w:w="12" w:type="dxa"/>
              <w:right w:w="12" w:type="dxa"/>
            </w:tcMar>
            <w:vAlign w:val="center"/>
          </w:tcPr>
          <w:p w14:paraId="45050AB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outlineLvl w:val="9"/>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是否符合项目资金管理规定</w:t>
            </w:r>
          </w:p>
        </w:tc>
        <w:tc>
          <w:tcPr>
            <w:tcW w:w="86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1CB29E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r>
      <w:tr w14:paraId="50179303">
        <w:tblPrEx>
          <w:shd w:val="clear" w:color="auto" w:fill="auto"/>
          <w:tblCellMar>
            <w:top w:w="0" w:type="dxa"/>
            <w:left w:w="0" w:type="dxa"/>
            <w:bottom w:w="0" w:type="dxa"/>
            <w:right w:w="0" w:type="dxa"/>
          </w:tblCellMar>
        </w:tblPrEx>
        <w:trPr>
          <w:trHeight w:val="436" w:hRule="atLeast"/>
          <w:jc w:val="center"/>
        </w:trPr>
        <w:tc>
          <w:tcPr>
            <w:tcW w:w="1048" w:type="dxa"/>
            <w:vMerge w:val="continue"/>
            <w:tcBorders>
              <w:left w:val="single" w:color="000000" w:sz="4" w:space="0"/>
              <w:right w:val="single" w:color="000000" w:sz="4" w:space="0"/>
            </w:tcBorders>
            <w:shd w:val="clear" w:color="auto" w:fill="FFFFFF"/>
            <w:tcMar>
              <w:top w:w="12" w:type="dxa"/>
              <w:left w:w="12" w:type="dxa"/>
              <w:right w:w="12" w:type="dxa"/>
            </w:tcMar>
            <w:vAlign w:val="center"/>
          </w:tcPr>
          <w:p w14:paraId="0C0B7B10">
            <w:pPr>
              <w:keepNext w:val="0"/>
              <w:keepLines w:val="0"/>
              <w:pageBreakBefore w:val="0"/>
              <w:kinsoku/>
              <w:wordWrap/>
              <w:overflowPunct/>
              <w:topLinePunct w:val="0"/>
              <w:autoSpaceDE/>
              <w:autoSpaceDN/>
              <w:bidi w:val="0"/>
              <w:adjustRightInd/>
              <w:snapToGrid/>
              <w:spacing w:line="240" w:lineRule="exact"/>
              <w:jc w:val="center"/>
              <w:outlineLvl w:val="9"/>
              <w:rPr>
                <w:rFonts w:hint="eastAsia" w:ascii="仿宋" w:hAnsi="仿宋" w:eastAsia="仿宋" w:cs="仿宋"/>
                <w:i w:val="0"/>
                <w:color w:val="000000"/>
                <w:kern w:val="0"/>
                <w:sz w:val="21"/>
                <w:szCs w:val="21"/>
                <w:u w:val="none"/>
                <w:lang w:val="en-US" w:eastAsia="zh-CN" w:bidi="ar"/>
              </w:rPr>
            </w:pP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79DF7B14">
            <w:pPr>
              <w:keepNext w:val="0"/>
              <w:keepLines w:val="0"/>
              <w:pageBreakBefore w:val="0"/>
              <w:kinsoku/>
              <w:wordWrap/>
              <w:overflowPunct/>
              <w:topLinePunct w:val="0"/>
              <w:autoSpaceDE/>
              <w:autoSpaceDN/>
              <w:bidi w:val="0"/>
              <w:adjustRightInd/>
              <w:snapToGrid/>
              <w:spacing w:line="240" w:lineRule="exact"/>
              <w:jc w:val="center"/>
              <w:outlineLvl w:val="9"/>
              <w:rPr>
                <w:rFonts w:hint="eastAsia" w:ascii="仿宋" w:hAnsi="仿宋" w:eastAsia="仿宋" w:cs="仿宋"/>
                <w:i w:val="0"/>
                <w:color w:val="000000"/>
                <w:sz w:val="21"/>
                <w:szCs w:val="21"/>
                <w:u w:val="none"/>
                <w:lang w:val="en-US" w:eastAsia="zh-CN"/>
              </w:rPr>
            </w:pPr>
            <w:r>
              <w:rPr>
                <w:rFonts w:hint="eastAsia" w:ascii="仿宋" w:hAnsi="仿宋" w:eastAsia="仿宋" w:cs="仿宋"/>
                <w:b w:val="0"/>
                <w:bCs/>
                <w:i w:val="0"/>
                <w:color w:val="000000"/>
                <w:sz w:val="21"/>
                <w:szCs w:val="21"/>
                <w:u w:val="none"/>
                <w:lang w:eastAsia="zh-CN"/>
              </w:rPr>
              <w:t>绩效目标</w:t>
            </w:r>
          </w:p>
        </w:tc>
        <w:tc>
          <w:tcPr>
            <w:tcW w:w="26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833C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outlineLvl w:val="9"/>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完成定检率的同时保证质量</w:t>
            </w:r>
          </w:p>
        </w:tc>
        <w:tc>
          <w:tcPr>
            <w:tcW w:w="3376" w:type="dxa"/>
            <w:tcBorders>
              <w:top w:val="single" w:color="000000" w:sz="4" w:space="0"/>
              <w:left w:val="single" w:color="000000" w:sz="4" w:space="0"/>
              <w:right w:val="single" w:color="000000" w:sz="4" w:space="0"/>
            </w:tcBorders>
            <w:shd w:val="clear" w:color="auto" w:fill="FFFFFF"/>
            <w:tcMar>
              <w:top w:w="12" w:type="dxa"/>
              <w:left w:w="12" w:type="dxa"/>
              <w:right w:w="12" w:type="dxa"/>
            </w:tcMar>
            <w:vAlign w:val="center"/>
          </w:tcPr>
          <w:p w14:paraId="7CFD7F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outlineLvl w:val="9"/>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是否做到报检设备全部检验全覆盖</w:t>
            </w:r>
          </w:p>
        </w:tc>
        <w:tc>
          <w:tcPr>
            <w:tcW w:w="86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73D8C18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3</w:t>
            </w:r>
          </w:p>
        </w:tc>
      </w:tr>
      <w:tr w14:paraId="30437758">
        <w:tblPrEx>
          <w:shd w:val="clear" w:color="auto" w:fill="auto"/>
          <w:tblCellMar>
            <w:top w:w="0" w:type="dxa"/>
            <w:left w:w="0" w:type="dxa"/>
            <w:bottom w:w="0" w:type="dxa"/>
            <w:right w:w="0" w:type="dxa"/>
          </w:tblCellMar>
        </w:tblPrEx>
        <w:trPr>
          <w:trHeight w:val="462" w:hRule="atLeast"/>
          <w:jc w:val="center"/>
        </w:trPr>
        <w:tc>
          <w:tcPr>
            <w:tcW w:w="1048" w:type="dxa"/>
            <w:vMerge w:val="continue"/>
            <w:tcBorders>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09F0CD55">
            <w:pPr>
              <w:keepNext w:val="0"/>
              <w:keepLines w:val="0"/>
              <w:pageBreakBefore w:val="0"/>
              <w:kinsoku/>
              <w:wordWrap/>
              <w:overflowPunct/>
              <w:topLinePunct w:val="0"/>
              <w:autoSpaceDE/>
              <w:autoSpaceDN/>
              <w:bidi w:val="0"/>
              <w:adjustRightInd/>
              <w:snapToGrid/>
              <w:spacing w:line="240" w:lineRule="exact"/>
              <w:jc w:val="center"/>
              <w:outlineLvl w:val="9"/>
              <w:rPr>
                <w:rFonts w:hint="eastAsia" w:ascii="仿宋" w:hAnsi="仿宋" w:eastAsia="仿宋" w:cs="仿宋"/>
                <w:i w:val="0"/>
                <w:color w:val="000000"/>
                <w:kern w:val="0"/>
                <w:sz w:val="21"/>
                <w:szCs w:val="21"/>
                <w:u w:val="none"/>
                <w:lang w:val="en-US" w:eastAsia="zh-CN" w:bidi="ar"/>
              </w:rPr>
            </w:pP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2030ECCF">
            <w:pPr>
              <w:keepNext w:val="0"/>
              <w:keepLines w:val="0"/>
              <w:pageBreakBefore w:val="0"/>
              <w:kinsoku/>
              <w:wordWrap/>
              <w:overflowPunct/>
              <w:topLinePunct w:val="0"/>
              <w:autoSpaceDE/>
              <w:autoSpaceDN/>
              <w:bidi w:val="0"/>
              <w:adjustRightInd/>
              <w:snapToGrid/>
              <w:spacing w:line="240" w:lineRule="exact"/>
              <w:jc w:val="center"/>
              <w:outlineLvl w:val="9"/>
              <w:rPr>
                <w:rFonts w:hint="eastAsia" w:ascii="仿宋" w:hAnsi="仿宋" w:eastAsia="仿宋" w:cs="仿宋"/>
                <w:i w:val="0"/>
                <w:color w:val="000000"/>
                <w:sz w:val="21"/>
                <w:szCs w:val="21"/>
                <w:u w:val="none"/>
                <w:lang w:val="en-US" w:eastAsia="zh-CN"/>
              </w:rPr>
            </w:pPr>
            <w:r>
              <w:rPr>
                <w:rFonts w:hint="eastAsia" w:ascii="仿宋" w:hAnsi="仿宋" w:eastAsia="仿宋" w:cs="仿宋"/>
                <w:b w:val="0"/>
                <w:bCs/>
                <w:i w:val="0"/>
                <w:color w:val="000000"/>
                <w:sz w:val="21"/>
                <w:szCs w:val="21"/>
                <w:u w:val="none"/>
                <w:lang w:eastAsia="zh-CN"/>
              </w:rPr>
              <w:t>资金投入</w:t>
            </w:r>
          </w:p>
        </w:tc>
        <w:tc>
          <w:tcPr>
            <w:tcW w:w="26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CB509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outlineLvl w:val="9"/>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资金到位率及使用情况</w:t>
            </w:r>
          </w:p>
        </w:tc>
        <w:tc>
          <w:tcPr>
            <w:tcW w:w="3376" w:type="dxa"/>
            <w:tcBorders>
              <w:top w:val="single" w:color="000000" w:sz="4" w:space="0"/>
              <w:left w:val="single" w:color="000000" w:sz="4" w:space="0"/>
              <w:right w:val="single" w:color="000000" w:sz="4" w:space="0"/>
            </w:tcBorders>
            <w:shd w:val="clear" w:color="auto" w:fill="FFFFFF"/>
            <w:tcMar>
              <w:top w:w="12" w:type="dxa"/>
              <w:left w:w="12" w:type="dxa"/>
              <w:right w:w="12" w:type="dxa"/>
            </w:tcMar>
            <w:vAlign w:val="center"/>
          </w:tcPr>
          <w:p w14:paraId="3A90C9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outlineLvl w:val="9"/>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资金投入使用是否合理合法</w:t>
            </w:r>
          </w:p>
        </w:tc>
        <w:tc>
          <w:tcPr>
            <w:tcW w:w="86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044834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5</w:t>
            </w:r>
          </w:p>
        </w:tc>
      </w:tr>
      <w:tr w14:paraId="111C1900">
        <w:tblPrEx>
          <w:shd w:val="clear" w:color="auto" w:fill="auto"/>
          <w:tblCellMar>
            <w:top w:w="0" w:type="dxa"/>
            <w:left w:w="0" w:type="dxa"/>
            <w:bottom w:w="0" w:type="dxa"/>
            <w:right w:w="0" w:type="dxa"/>
          </w:tblCellMar>
        </w:tblPrEx>
        <w:trPr>
          <w:trHeight w:val="462" w:hRule="atLeast"/>
          <w:jc w:val="center"/>
        </w:trPr>
        <w:tc>
          <w:tcPr>
            <w:tcW w:w="1048" w:type="dxa"/>
            <w:vMerge w:val="restart"/>
            <w:tcBorders>
              <w:top w:val="single" w:color="000000" w:sz="4" w:space="0"/>
              <w:left w:val="single" w:color="000000" w:sz="4" w:space="0"/>
              <w:right w:val="single" w:color="000000" w:sz="4" w:space="0"/>
            </w:tcBorders>
            <w:shd w:val="clear" w:color="auto" w:fill="FFFFFF"/>
            <w:tcMar>
              <w:top w:w="12" w:type="dxa"/>
              <w:left w:w="12" w:type="dxa"/>
              <w:right w:w="12" w:type="dxa"/>
            </w:tcMar>
            <w:vAlign w:val="center"/>
          </w:tcPr>
          <w:p w14:paraId="43902518">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项目过程（10分）</w:t>
            </w: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330130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eastAsia" w:ascii="仿宋" w:hAnsi="仿宋" w:eastAsia="仿宋" w:cs="仿宋"/>
                <w:i w:val="0"/>
                <w:color w:val="000000"/>
                <w:sz w:val="21"/>
                <w:szCs w:val="21"/>
                <w:u w:val="none"/>
                <w:lang w:val="en-US" w:eastAsia="zh-CN"/>
              </w:rPr>
            </w:pPr>
            <w:r>
              <w:rPr>
                <w:rFonts w:hint="eastAsia" w:ascii="仿宋" w:hAnsi="仿宋" w:eastAsia="仿宋" w:cs="仿宋"/>
                <w:b w:val="0"/>
                <w:bCs/>
                <w:i w:val="0"/>
                <w:color w:val="000000"/>
                <w:sz w:val="21"/>
                <w:szCs w:val="21"/>
                <w:u w:val="none"/>
                <w:lang w:eastAsia="zh-CN"/>
              </w:rPr>
              <w:t>资金管理</w:t>
            </w:r>
          </w:p>
        </w:tc>
        <w:tc>
          <w:tcPr>
            <w:tcW w:w="26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AC397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outlineLvl w:val="9"/>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实际到位资金与预算资金的比率</w:t>
            </w:r>
          </w:p>
        </w:tc>
        <w:tc>
          <w:tcPr>
            <w:tcW w:w="3376" w:type="dxa"/>
            <w:tcBorders>
              <w:top w:val="single" w:color="000000" w:sz="4" w:space="0"/>
              <w:left w:val="single" w:color="000000" w:sz="4" w:space="0"/>
              <w:right w:val="single" w:color="000000" w:sz="4" w:space="0"/>
            </w:tcBorders>
            <w:shd w:val="clear" w:color="auto" w:fill="FFFFFF"/>
            <w:tcMar>
              <w:top w:w="12" w:type="dxa"/>
              <w:left w:w="12" w:type="dxa"/>
              <w:right w:w="12" w:type="dxa"/>
            </w:tcMar>
            <w:vAlign w:val="center"/>
          </w:tcPr>
          <w:p w14:paraId="62617AC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outlineLvl w:val="9"/>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实际到位资金与预算资金是否一致</w:t>
            </w:r>
          </w:p>
        </w:tc>
        <w:tc>
          <w:tcPr>
            <w:tcW w:w="86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754B265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5</w:t>
            </w:r>
          </w:p>
        </w:tc>
      </w:tr>
      <w:tr w14:paraId="2B835CD0">
        <w:tblPrEx>
          <w:tblCellMar>
            <w:top w:w="0" w:type="dxa"/>
            <w:left w:w="0" w:type="dxa"/>
            <w:bottom w:w="0" w:type="dxa"/>
            <w:right w:w="0" w:type="dxa"/>
          </w:tblCellMar>
        </w:tblPrEx>
        <w:trPr>
          <w:trHeight w:val="462" w:hRule="atLeast"/>
          <w:jc w:val="center"/>
        </w:trPr>
        <w:tc>
          <w:tcPr>
            <w:tcW w:w="1048" w:type="dxa"/>
            <w:vMerge w:val="continue"/>
            <w:tcBorders>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398E9900">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仿宋" w:hAnsi="仿宋" w:eastAsia="仿宋" w:cs="仿宋"/>
                <w:i w:val="0"/>
                <w:color w:val="000000"/>
                <w:kern w:val="0"/>
                <w:sz w:val="21"/>
                <w:szCs w:val="21"/>
                <w:u w:val="none"/>
                <w:lang w:val="en-US" w:eastAsia="zh-CN" w:bidi="ar"/>
              </w:rPr>
            </w:pP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5EF9BE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组织实施</w:t>
            </w:r>
          </w:p>
        </w:tc>
        <w:tc>
          <w:tcPr>
            <w:tcW w:w="26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8BDFE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outlineLvl w:val="9"/>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项目实施单位的财务和业务管理制度对项目顺利实施的保障情况</w:t>
            </w:r>
          </w:p>
        </w:tc>
        <w:tc>
          <w:tcPr>
            <w:tcW w:w="3376" w:type="dxa"/>
            <w:tcBorders>
              <w:top w:val="single" w:color="000000" w:sz="4" w:space="0"/>
              <w:left w:val="single" w:color="000000" w:sz="4" w:space="0"/>
              <w:right w:val="single" w:color="000000" w:sz="4" w:space="0"/>
            </w:tcBorders>
            <w:shd w:val="clear" w:color="auto" w:fill="FFFFFF"/>
            <w:tcMar>
              <w:top w:w="12" w:type="dxa"/>
              <w:left w:w="12" w:type="dxa"/>
              <w:right w:w="12" w:type="dxa"/>
            </w:tcMar>
            <w:vAlign w:val="center"/>
          </w:tcPr>
          <w:p w14:paraId="7DA96C5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outlineLvl w:val="9"/>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对于项目资金的使用是否符合单位管理制度</w:t>
            </w:r>
          </w:p>
        </w:tc>
        <w:tc>
          <w:tcPr>
            <w:tcW w:w="86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1BDBD5F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5</w:t>
            </w:r>
          </w:p>
        </w:tc>
      </w:tr>
      <w:tr w14:paraId="3C318AD2">
        <w:tblPrEx>
          <w:shd w:val="clear" w:color="auto" w:fill="auto"/>
          <w:tblCellMar>
            <w:top w:w="0" w:type="dxa"/>
            <w:left w:w="0" w:type="dxa"/>
            <w:bottom w:w="0" w:type="dxa"/>
            <w:right w:w="0" w:type="dxa"/>
          </w:tblCellMar>
        </w:tblPrEx>
        <w:trPr>
          <w:trHeight w:val="336" w:hRule="atLeast"/>
          <w:jc w:val="center"/>
        </w:trPr>
        <w:tc>
          <w:tcPr>
            <w:tcW w:w="104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71A5C1BC">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产出指标</w:t>
            </w:r>
          </w:p>
          <w:p w14:paraId="654721E2">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（30分）</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7E16E6B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eastAsia" w:ascii="仿宋" w:hAnsi="仿宋" w:eastAsia="仿宋" w:cs="仿宋"/>
                <w:i w:val="0"/>
                <w:color w:val="000000"/>
                <w:sz w:val="21"/>
                <w:szCs w:val="21"/>
                <w:u w:val="none"/>
                <w:lang w:eastAsia="zh-CN"/>
              </w:rPr>
            </w:pPr>
            <w:r>
              <w:rPr>
                <w:rFonts w:hint="eastAsia" w:ascii="仿宋" w:hAnsi="仿宋" w:eastAsia="仿宋" w:cs="仿宋"/>
                <w:i w:val="0"/>
                <w:color w:val="000000"/>
                <w:sz w:val="21"/>
                <w:szCs w:val="21"/>
                <w:u w:val="none"/>
                <w:lang w:val="en-US" w:eastAsia="zh-CN"/>
              </w:rPr>
              <w:t>数量指标</w:t>
            </w:r>
          </w:p>
        </w:tc>
        <w:tc>
          <w:tcPr>
            <w:tcW w:w="26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78F35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outlineLvl w:val="9"/>
              <w:rPr>
                <w:rFonts w:hint="default" w:ascii="仿宋" w:hAnsi="仿宋" w:eastAsia="仿宋" w:cs="仿宋"/>
                <w:i w:val="0"/>
                <w:color w:val="000000"/>
                <w:sz w:val="21"/>
                <w:szCs w:val="21"/>
                <w:u w:val="none"/>
                <w:lang w:val="en-US"/>
              </w:rPr>
            </w:pPr>
            <w:r>
              <w:rPr>
                <w:rFonts w:hint="eastAsia" w:ascii="仿宋" w:hAnsi="仿宋" w:eastAsia="仿宋" w:cs="仿宋"/>
                <w:i w:val="0"/>
                <w:color w:val="000000"/>
                <w:kern w:val="0"/>
                <w:sz w:val="21"/>
                <w:szCs w:val="21"/>
                <w:u w:val="none"/>
                <w:lang w:val="en-US" w:eastAsia="zh-CN" w:bidi="ar"/>
              </w:rPr>
              <w:t>锅炉检验数量120个</w:t>
            </w:r>
          </w:p>
        </w:tc>
        <w:tc>
          <w:tcPr>
            <w:tcW w:w="3376" w:type="dxa"/>
            <w:vMerge w:val="restart"/>
            <w:tcBorders>
              <w:top w:val="single" w:color="000000" w:sz="4" w:space="0"/>
              <w:left w:val="single" w:color="000000" w:sz="4" w:space="0"/>
              <w:right w:val="single" w:color="000000" w:sz="4" w:space="0"/>
            </w:tcBorders>
            <w:shd w:val="clear" w:color="auto" w:fill="FFFFFF"/>
            <w:tcMar>
              <w:top w:w="12" w:type="dxa"/>
              <w:left w:w="12" w:type="dxa"/>
              <w:right w:w="12" w:type="dxa"/>
            </w:tcMar>
            <w:vAlign w:val="center"/>
          </w:tcPr>
          <w:p w14:paraId="1530C45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outlineLvl w:val="9"/>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定检率：实际完成注册到期设备的检验数量</w:t>
            </w:r>
          </w:p>
        </w:tc>
        <w:tc>
          <w:tcPr>
            <w:tcW w:w="86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22B42E0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仿宋" w:hAnsi="仿宋" w:eastAsia="仿宋" w:cs="仿宋"/>
                <w:i w:val="0"/>
                <w:color w:val="000000"/>
                <w:sz w:val="21"/>
                <w:szCs w:val="21"/>
                <w:u w:val="none"/>
                <w:lang w:val="en-US"/>
              </w:rPr>
            </w:pPr>
            <w:r>
              <w:rPr>
                <w:rFonts w:hint="eastAsia" w:ascii="仿宋" w:hAnsi="仿宋" w:eastAsia="仿宋" w:cs="仿宋"/>
                <w:i w:val="0"/>
                <w:color w:val="000000"/>
                <w:kern w:val="0"/>
                <w:sz w:val="21"/>
                <w:szCs w:val="21"/>
                <w:u w:val="none"/>
                <w:lang w:val="en-US" w:eastAsia="zh-CN" w:bidi="ar"/>
              </w:rPr>
              <w:t>7.9</w:t>
            </w:r>
          </w:p>
        </w:tc>
      </w:tr>
      <w:tr w14:paraId="6C9BA914">
        <w:tblPrEx>
          <w:shd w:val="clear" w:color="auto" w:fill="auto"/>
          <w:tblCellMar>
            <w:top w:w="0" w:type="dxa"/>
            <w:left w:w="0" w:type="dxa"/>
            <w:bottom w:w="0" w:type="dxa"/>
            <w:right w:w="0" w:type="dxa"/>
          </w:tblCellMar>
        </w:tblPrEx>
        <w:trPr>
          <w:trHeight w:val="336" w:hRule="atLeast"/>
          <w:jc w:val="center"/>
        </w:trPr>
        <w:tc>
          <w:tcPr>
            <w:tcW w:w="104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9B70896">
            <w:pPr>
              <w:keepNext w:val="0"/>
              <w:keepLines w:val="0"/>
              <w:pageBreakBefore w:val="0"/>
              <w:kinsoku/>
              <w:wordWrap/>
              <w:overflowPunct/>
              <w:topLinePunct w:val="0"/>
              <w:autoSpaceDE/>
              <w:autoSpaceDN/>
              <w:bidi w:val="0"/>
              <w:adjustRightInd/>
              <w:snapToGrid/>
              <w:spacing w:before="0" w:after="0" w:line="240" w:lineRule="exact"/>
              <w:ind w:left="0" w:firstLine="420" w:firstLineChars="200"/>
              <w:jc w:val="center"/>
              <w:outlineLvl w:val="9"/>
              <w:rPr>
                <w:rFonts w:hint="eastAsia" w:ascii="仿宋" w:hAnsi="仿宋" w:eastAsia="仿宋" w:cs="仿宋"/>
                <w:i w:val="0"/>
                <w:color w:val="000000"/>
                <w:sz w:val="21"/>
                <w:szCs w:val="21"/>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73BE252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eastAsia" w:ascii="仿宋" w:hAnsi="仿宋" w:eastAsia="仿宋" w:cs="仿宋"/>
                <w:i w:val="0"/>
                <w:color w:val="000000"/>
                <w:sz w:val="21"/>
                <w:szCs w:val="21"/>
                <w:u w:val="none"/>
                <w:lang w:eastAsia="zh-CN"/>
              </w:rPr>
            </w:pPr>
          </w:p>
        </w:tc>
        <w:tc>
          <w:tcPr>
            <w:tcW w:w="2610" w:type="dxa"/>
            <w:tcBorders>
              <w:top w:val="single" w:color="000000" w:sz="4" w:space="0"/>
              <w:left w:val="single" w:color="000000" w:sz="4" w:space="0"/>
              <w:bottom w:val="single" w:color="000000" w:sz="4" w:space="0"/>
              <w:right w:val="nil"/>
            </w:tcBorders>
            <w:shd w:val="clear" w:color="auto" w:fill="auto"/>
            <w:tcMar>
              <w:top w:w="12" w:type="dxa"/>
              <w:left w:w="12" w:type="dxa"/>
              <w:right w:w="12" w:type="dxa"/>
            </w:tcMar>
            <w:vAlign w:val="center"/>
          </w:tcPr>
          <w:p w14:paraId="2C7B931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outlineLvl w:val="9"/>
              <w:rPr>
                <w:rFonts w:hint="default" w:ascii="仿宋" w:hAnsi="仿宋" w:eastAsia="仿宋" w:cs="仿宋"/>
                <w:i w:val="0"/>
                <w:color w:val="000000"/>
                <w:sz w:val="21"/>
                <w:szCs w:val="21"/>
                <w:u w:val="none"/>
                <w:lang w:val="en-US"/>
              </w:rPr>
            </w:pPr>
            <w:r>
              <w:rPr>
                <w:rFonts w:hint="eastAsia" w:ascii="仿宋" w:hAnsi="仿宋" w:eastAsia="仿宋" w:cs="仿宋"/>
                <w:i w:val="0"/>
                <w:color w:val="000000"/>
                <w:kern w:val="0"/>
                <w:sz w:val="21"/>
                <w:szCs w:val="21"/>
                <w:u w:val="none"/>
                <w:lang w:val="en-US" w:eastAsia="zh-CN" w:bidi="ar"/>
              </w:rPr>
              <w:t>安全阀检验数量700只</w:t>
            </w:r>
          </w:p>
        </w:tc>
        <w:tc>
          <w:tcPr>
            <w:tcW w:w="3376" w:type="dxa"/>
            <w:vMerge w:val="continue"/>
            <w:tcBorders>
              <w:left w:val="single" w:color="000000" w:sz="4" w:space="0"/>
              <w:right w:val="single" w:color="000000" w:sz="4" w:space="0"/>
            </w:tcBorders>
            <w:shd w:val="clear" w:color="auto" w:fill="FFFFFF"/>
            <w:tcMar>
              <w:top w:w="12" w:type="dxa"/>
              <w:left w:w="12" w:type="dxa"/>
              <w:right w:w="12" w:type="dxa"/>
            </w:tcMar>
            <w:vAlign w:val="center"/>
          </w:tcPr>
          <w:p w14:paraId="0A51ABDD">
            <w:pPr>
              <w:keepNext w:val="0"/>
              <w:keepLines w:val="0"/>
              <w:pageBreakBefore w:val="0"/>
              <w:widowControl/>
              <w:suppressLineNumbers w:val="0"/>
              <w:kinsoku/>
              <w:wordWrap/>
              <w:overflowPunct/>
              <w:topLinePunct w:val="0"/>
              <w:autoSpaceDE/>
              <w:autoSpaceDN/>
              <w:bidi w:val="0"/>
              <w:adjustRightInd/>
              <w:snapToGrid/>
              <w:spacing w:line="240" w:lineRule="exact"/>
              <w:ind w:left="0" w:firstLine="420" w:firstLineChars="200"/>
              <w:jc w:val="left"/>
              <w:textAlignment w:val="center"/>
              <w:outlineLvl w:val="9"/>
              <w:rPr>
                <w:rFonts w:hint="eastAsia" w:ascii="仿宋" w:hAnsi="仿宋" w:eastAsia="仿宋" w:cs="仿宋"/>
                <w:i w:val="0"/>
                <w:color w:val="000000"/>
                <w:sz w:val="21"/>
                <w:szCs w:val="21"/>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531D9E36">
            <w:pPr>
              <w:keepNext w:val="0"/>
              <w:keepLines w:val="0"/>
              <w:pageBreakBefore w:val="0"/>
              <w:kinsoku/>
              <w:wordWrap/>
              <w:overflowPunct/>
              <w:topLinePunct w:val="0"/>
              <w:autoSpaceDE/>
              <w:autoSpaceDN/>
              <w:bidi w:val="0"/>
              <w:adjustRightInd/>
              <w:snapToGrid/>
              <w:spacing w:before="0" w:after="0" w:line="240" w:lineRule="exact"/>
              <w:ind w:left="0" w:firstLine="420" w:firstLineChars="200"/>
              <w:jc w:val="center"/>
              <w:outlineLvl w:val="9"/>
              <w:rPr>
                <w:rFonts w:hint="eastAsia" w:ascii="仿宋" w:hAnsi="仿宋" w:eastAsia="仿宋" w:cs="仿宋"/>
                <w:i w:val="0"/>
                <w:color w:val="000000"/>
                <w:sz w:val="21"/>
                <w:szCs w:val="21"/>
                <w:u w:val="none"/>
              </w:rPr>
            </w:pPr>
          </w:p>
        </w:tc>
      </w:tr>
      <w:tr w14:paraId="7C670203">
        <w:tblPrEx>
          <w:shd w:val="clear" w:color="auto" w:fill="auto"/>
          <w:tblCellMar>
            <w:top w:w="0" w:type="dxa"/>
            <w:left w:w="0" w:type="dxa"/>
            <w:bottom w:w="0" w:type="dxa"/>
            <w:right w:w="0" w:type="dxa"/>
          </w:tblCellMar>
        </w:tblPrEx>
        <w:trPr>
          <w:trHeight w:val="313" w:hRule="atLeast"/>
          <w:jc w:val="center"/>
        </w:trPr>
        <w:tc>
          <w:tcPr>
            <w:tcW w:w="104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5635A6D7">
            <w:pPr>
              <w:keepNext w:val="0"/>
              <w:keepLines w:val="0"/>
              <w:pageBreakBefore w:val="0"/>
              <w:kinsoku/>
              <w:wordWrap/>
              <w:overflowPunct/>
              <w:topLinePunct w:val="0"/>
              <w:autoSpaceDE/>
              <w:autoSpaceDN/>
              <w:bidi w:val="0"/>
              <w:adjustRightInd/>
              <w:snapToGrid/>
              <w:spacing w:before="0" w:after="0" w:line="240" w:lineRule="exact"/>
              <w:ind w:left="0" w:firstLine="420" w:firstLineChars="200"/>
              <w:jc w:val="center"/>
              <w:outlineLvl w:val="9"/>
              <w:rPr>
                <w:rFonts w:hint="eastAsia" w:ascii="仿宋" w:hAnsi="仿宋" w:eastAsia="仿宋" w:cs="仿宋"/>
                <w:i w:val="0"/>
                <w:color w:val="000000"/>
                <w:sz w:val="21"/>
                <w:szCs w:val="21"/>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527F9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eastAsia" w:ascii="仿宋" w:hAnsi="仿宋" w:eastAsia="仿宋" w:cs="仿宋"/>
                <w:i w:val="0"/>
                <w:color w:val="000000"/>
                <w:sz w:val="21"/>
                <w:szCs w:val="21"/>
                <w:u w:val="none"/>
                <w:lang w:eastAsia="zh-CN"/>
              </w:rPr>
            </w:pPr>
          </w:p>
        </w:tc>
        <w:tc>
          <w:tcPr>
            <w:tcW w:w="26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4A0FA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outlineLvl w:val="9"/>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压力容器检验数量210个</w:t>
            </w:r>
          </w:p>
        </w:tc>
        <w:tc>
          <w:tcPr>
            <w:tcW w:w="3376" w:type="dxa"/>
            <w:vMerge w:val="continue"/>
            <w:tcBorders>
              <w:left w:val="single" w:color="000000" w:sz="4" w:space="0"/>
              <w:right w:val="single" w:color="000000" w:sz="4" w:space="0"/>
            </w:tcBorders>
            <w:shd w:val="clear" w:color="auto" w:fill="FFFFFF"/>
            <w:tcMar>
              <w:top w:w="12" w:type="dxa"/>
              <w:left w:w="12" w:type="dxa"/>
              <w:right w:w="12" w:type="dxa"/>
            </w:tcMar>
            <w:vAlign w:val="center"/>
          </w:tcPr>
          <w:p w14:paraId="696015A1">
            <w:pPr>
              <w:keepNext w:val="0"/>
              <w:keepLines w:val="0"/>
              <w:pageBreakBefore w:val="0"/>
              <w:widowControl/>
              <w:kinsoku/>
              <w:wordWrap/>
              <w:overflowPunct/>
              <w:topLinePunct w:val="0"/>
              <w:autoSpaceDE/>
              <w:autoSpaceDN/>
              <w:bidi w:val="0"/>
              <w:adjustRightInd/>
              <w:snapToGrid/>
              <w:spacing w:before="0" w:after="0" w:line="240" w:lineRule="exact"/>
              <w:ind w:left="0" w:firstLine="420" w:firstLineChars="200"/>
              <w:jc w:val="left"/>
              <w:textAlignment w:val="center"/>
              <w:outlineLvl w:val="9"/>
              <w:rPr>
                <w:rFonts w:hint="eastAsia" w:ascii="仿宋" w:hAnsi="仿宋" w:eastAsia="仿宋" w:cs="仿宋"/>
                <w:i w:val="0"/>
                <w:color w:val="000000"/>
                <w:sz w:val="21"/>
                <w:szCs w:val="21"/>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37F18BCB">
            <w:pPr>
              <w:keepNext w:val="0"/>
              <w:keepLines w:val="0"/>
              <w:pageBreakBefore w:val="0"/>
              <w:kinsoku/>
              <w:wordWrap/>
              <w:overflowPunct/>
              <w:topLinePunct w:val="0"/>
              <w:autoSpaceDE/>
              <w:autoSpaceDN/>
              <w:bidi w:val="0"/>
              <w:adjustRightInd/>
              <w:snapToGrid/>
              <w:spacing w:before="0" w:after="0" w:line="240" w:lineRule="exact"/>
              <w:ind w:left="0" w:firstLine="420" w:firstLineChars="200"/>
              <w:jc w:val="center"/>
              <w:outlineLvl w:val="9"/>
              <w:rPr>
                <w:rFonts w:hint="eastAsia" w:ascii="仿宋" w:hAnsi="仿宋" w:eastAsia="仿宋" w:cs="仿宋"/>
                <w:i w:val="0"/>
                <w:color w:val="000000"/>
                <w:sz w:val="21"/>
                <w:szCs w:val="21"/>
                <w:u w:val="none"/>
              </w:rPr>
            </w:pPr>
          </w:p>
        </w:tc>
      </w:tr>
      <w:tr w14:paraId="45897C02">
        <w:tblPrEx>
          <w:shd w:val="clear" w:color="auto" w:fill="auto"/>
          <w:tblCellMar>
            <w:top w:w="0" w:type="dxa"/>
            <w:left w:w="0" w:type="dxa"/>
            <w:bottom w:w="0" w:type="dxa"/>
            <w:right w:w="0" w:type="dxa"/>
          </w:tblCellMar>
        </w:tblPrEx>
        <w:trPr>
          <w:trHeight w:val="350" w:hRule="atLeast"/>
          <w:jc w:val="center"/>
        </w:trPr>
        <w:tc>
          <w:tcPr>
            <w:tcW w:w="104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48FEB32">
            <w:pPr>
              <w:keepNext w:val="0"/>
              <w:keepLines w:val="0"/>
              <w:pageBreakBefore w:val="0"/>
              <w:kinsoku/>
              <w:wordWrap/>
              <w:overflowPunct/>
              <w:topLinePunct w:val="0"/>
              <w:autoSpaceDE/>
              <w:autoSpaceDN/>
              <w:bidi w:val="0"/>
              <w:adjustRightInd/>
              <w:snapToGrid/>
              <w:spacing w:before="0" w:after="0" w:line="240" w:lineRule="exact"/>
              <w:ind w:left="0" w:firstLine="420" w:firstLineChars="200"/>
              <w:jc w:val="center"/>
              <w:outlineLvl w:val="9"/>
              <w:rPr>
                <w:rFonts w:hint="eastAsia" w:ascii="仿宋" w:hAnsi="仿宋" w:eastAsia="仿宋" w:cs="仿宋"/>
                <w:i w:val="0"/>
                <w:color w:val="000000"/>
                <w:sz w:val="21"/>
                <w:szCs w:val="21"/>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109264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eastAsia" w:ascii="仿宋" w:hAnsi="仿宋" w:eastAsia="仿宋" w:cs="仿宋"/>
                <w:i w:val="0"/>
                <w:color w:val="000000"/>
                <w:sz w:val="21"/>
                <w:szCs w:val="21"/>
                <w:u w:val="none"/>
                <w:lang w:eastAsia="zh-CN"/>
              </w:rPr>
            </w:pPr>
          </w:p>
        </w:tc>
        <w:tc>
          <w:tcPr>
            <w:tcW w:w="26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B1198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outlineLvl w:val="9"/>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压力管道检验数量30KM</w:t>
            </w:r>
          </w:p>
        </w:tc>
        <w:tc>
          <w:tcPr>
            <w:tcW w:w="3376" w:type="dxa"/>
            <w:vMerge w:val="continue"/>
            <w:tcBorders>
              <w:left w:val="single" w:color="000000" w:sz="4" w:space="0"/>
              <w:right w:val="single" w:color="000000" w:sz="4" w:space="0"/>
            </w:tcBorders>
            <w:shd w:val="clear" w:color="auto" w:fill="FFFFFF"/>
            <w:tcMar>
              <w:top w:w="12" w:type="dxa"/>
              <w:left w:w="12" w:type="dxa"/>
              <w:right w:w="12" w:type="dxa"/>
            </w:tcMar>
            <w:vAlign w:val="center"/>
          </w:tcPr>
          <w:p w14:paraId="61B6877E">
            <w:pPr>
              <w:keepNext w:val="0"/>
              <w:keepLines w:val="0"/>
              <w:pageBreakBefore w:val="0"/>
              <w:widowControl/>
              <w:kinsoku/>
              <w:wordWrap/>
              <w:overflowPunct/>
              <w:topLinePunct w:val="0"/>
              <w:autoSpaceDE/>
              <w:autoSpaceDN/>
              <w:bidi w:val="0"/>
              <w:adjustRightInd/>
              <w:snapToGrid/>
              <w:spacing w:before="0" w:after="0" w:line="240" w:lineRule="exact"/>
              <w:ind w:left="0" w:firstLine="420" w:firstLineChars="200"/>
              <w:jc w:val="left"/>
              <w:textAlignment w:val="center"/>
              <w:outlineLvl w:val="9"/>
              <w:rPr>
                <w:rFonts w:hint="eastAsia" w:ascii="仿宋" w:hAnsi="仿宋" w:eastAsia="仿宋" w:cs="仿宋"/>
                <w:i w:val="0"/>
                <w:color w:val="000000"/>
                <w:sz w:val="21"/>
                <w:szCs w:val="21"/>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4E8440B4">
            <w:pPr>
              <w:keepNext w:val="0"/>
              <w:keepLines w:val="0"/>
              <w:pageBreakBefore w:val="0"/>
              <w:kinsoku/>
              <w:wordWrap/>
              <w:overflowPunct/>
              <w:topLinePunct w:val="0"/>
              <w:autoSpaceDE/>
              <w:autoSpaceDN/>
              <w:bidi w:val="0"/>
              <w:adjustRightInd/>
              <w:snapToGrid/>
              <w:spacing w:before="0" w:after="0" w:line="240" w:lineRule="exact"/>
              <w:ind w:left="0" w:firstLine="420" w:firstLineChars="200"/>
              <w:jc w:val="center"/>
              <w:outlineLvl w:val="9"/>
              <w:rPr>
                <w:rFonts w:hint="eastAsia" w:ascii="仿宋" w:hAnsi="仿宋" w:eastAsia="仿宋" w:cs="仿宋"/>
                <w:i w:val="0"/>
                <w:color w:val="000000"/>
                <w:sz w:val="21"/>
                <w:szCs w:val="21"/>
                <w:u w:val="none"/>
              </w:rPr>
            </w:pPr>
          </w:p>
        </w:tc>
      </w:tr>
      <w:tr w14:paraId="49820054">
        <w:tblPrEx>
          <w:shd w:val="clear" w:color="auto" w:fill="auto"/>
          <w:tblCellMar>
            <w:top w:w="0" w:type="dxa"/>
            <w:left w:w="0" w:type="dxa"/>
            <w:bottom w:w="0" w:type="dxa"/>
            <w:right w:w="0" w:type="dxa"/>
          </w:tblCellMar>
        </w:tblPrEx>
        <w:trPr>
          <w:trHeight w:val="321" w:hRule="atLeast"/>
          <w:jc w:val="center"/>
        </w:trPr>
        <w:tc>
          <w:tcPr>
            <w:tcW w:w="104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B6DB5D4">
            <w:pPr>
              <w:keepNext w:val="0"/>
              <w:keepLines w:val="0"/>
              <w:pageBreakBefore w:val="0"/>
              <w:kinsoku/>
              <w:wordWrap/>
              <w:overflowPunct/>
              <w:topLinePunct w:val="0"/>
              <w:autoSpaceDE/>
              <w:autoSpaceDN/>
              <w:bidi w:val="0"/>
              <w:adjustRightInd/>
              <w:snapToGrid/>
              <w:spacing w:before="0" w:after="0" w:line="240" w:lineRule="exact"/>
              <w:ind w:left="0" w:firstLine="420" w:firstLineChars="200"/>
              <w:jc w:val="center"/>
              <w:outlineLvl w:val="9"/>
              <w:rPr>
                <w:rFonts w:hint="eastAsia" w:ascii="仿宋" w:hAnsi="仿宋" w:eastAsia="仿宋" w:cs="仿宋"/>
                <w:i w:val="0"/>
                <w:color w:val="000000"/>
                <w:sz w:val="21"/>
                <w:szCs w:val="21"/>
                <w:u w:val="none"/>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1628BD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eastAsia" w:ascii="仿宋" w:hAnsi="仿宋" w:eastAsia="仿宋" w:cs="仿宋"/>
                <w:i w:val="0"/>
                <w:color w:val="000000"/>
                <w:sz w:val="21"/>
                <w:szCs w:val="21"/>
                <w:u w:val="none"/>
                <w:lang w:eastAsia="zh-CN"/>
              </w:rPr>
            </w:pPr>
          </w:p>
        </w:tc>
        <w:tc>
          <w:tcPr>
            <w:tcW w:w="26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8891E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outlineLvl w:val="9"/>
              <w:rPr>
                <w:rFonts w:hint="default" w:ascii="仿宋" w:hAnsi="仿宋" w:eastAsia="仿宋" w:cs="仿宋"/>
                <w:i w:val="0"/>
                <w:color w:val="000000"/>
                <w:sz w:val="21"/>
                <w:szCs w:val="21"/>
                <w:u w:val="none"/>
                <w:lang w:val="en-US"/>
              </w:rPr>
            </w:pPr>
            <w:r>
              <w:rPr>
                <w:rFonts w:hint="eastAsia" w:ascii="仿宋" w:hAnsi="仿宋" w:eastAsia="仿宋" w:cs="仿宋"/>
                <w:i w:val="0"/>
                <w:color w:val="000000"/>
                <w:kern w:val="0"/>
                <w:sz w:val="21"/>
                <w:szCs w:val="21"/>
                <w:u w:val="none"/>
                <w:lang w:val="en-US" w:eastAsia="zh-CN" w:bidi="ar"/>
              </w:rPr>
              <w:t>培训人次8人次</w:t>
            </w:r>
          </w:p>
        </w:tc>
        <w:tc>
          <w:tcPr>
            <w:tcW w:w="3376" w:type="dxa"/>
            <w:vMerge w:val="continue"/>
            <w:tcBorders>
              <w:left w:val="single" w:color="000000" w:sz="4" w:space="0"/>
              <w:right w:val="single" w:color="000000" w:sz="4" w:space="0"/>
            </w:tcBorders>
            <w:shd w:val="clear" w:color="auto" w:fill="FFFFFF"/>
            <w:tcMar>
              <w:top w:w="12" w:type="dxa"/>
              <w:left w:w="12" w:type="dxa"/>
              <w:right w:w="12" w:type="dxa"/>
            </w:tcMar>
            <w:vAlign w:val="center"/>
          </w:tcPr>
          <w:p w14:paraId="1C162EEE">
            <w:pPr>
              <w:keepNext w:val="0"/>
              <w:keepLines w:val="0"/>
              <w:pageBreakBefore w:val="0"/>
              <w:widowControl/>
              <w:kinsoku/>
              <w:wordWrap/>
              <w:overflowPunct/>
              <w:topLinePunct w:val="0"/>
              <w:autoSpaceDE/>
              <w:autoSpaceDN/>
              <w:bidi w:val="0"/>
              <w:adjustRightInd/>
              <w:snapToGrid/>
              <w:spacing w:before="0" w:after="0" w:line="240" w:lineRule="exact"/>
              <w:ind w:left="0" w:firstLine="420" w:firstLineChars="200"/>
              <w:jc w:val="left"/>
              <w:textAlignment w:val="center"/>
              <w:outlineLvl w:val="9"/>
              <w:rPr>
                <w:rFonts w:hint="eastAsia" w:ascii="仿宋" w:hAnsi="仿宋" w:eastAsia="仿宋" w:cs="仿宋"/>
                <w:i w:val="0"/>
                <w:color w:val="000000"/>
                <w:sz w:val="21"/>
                <w:szCs w:val="21"/>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2323C73C">
            <w:pPr>
              <w:keepNext w:val="0"/>
              <w:keepLines w:val="0"/>
              <w:pageBreakBefore w:val="0"/>
              <w:kinsoku/>
              <w:wordWrap/>
              <w:overflowPunct/>
              <w:topLinePunct w:val="0"/>
              <w:autoSpaceDE/>
              <w:autoSpaceDN/>
              <w:bidi w:val="0"/>
              <w:adjustRightInd/>
              <w:snapToGrid/>
              <w:spacing w:before="0" w:after="0" w:line="240" w:lineRule="exact"/>
              <w:ind w:left="0" w:firstLine="420" w:firstLineChars="200"/>
              <w:jc w:val="center"/>
              <w:outlineLvl w:val="9"/>
              <w:rPr>
                <w:rFonts w:hint="eastAsia" w:ascii="仿宋" w:hAnsi="仿宋" w:eastAsia="仿宋" w:cs="仿宋"/>
                <w:i w:val="0"/>
                <w:color w:val="000000"/>
                <w:sz w:val="21"/>
                <w:szCs w:val="21"/>
                <w:u w:val="none"/>
              </w:rPr>
            </w:pPr>
          </w:p>
        </w:tc>
      </w:tr>
      <w:tr w14:paraId="1025F3B7">
        <w:tblPrEx>
          <w:shd w:val="clear" w:color="auto" w:fill="auto"/>
          <w:tblCellMar>
            <w:top w:w="0" w:type="dxa"/>
            <w:left w:w="0" w:type="dxa"/>
            <w:bottom w:w="0" w:type="dxa"/>
            <w:right w:w="0" w:type="dxa"/>
          </w:tblCellMar>
        </w:tblPrEx>
        <w:trPr>
          <w:trHeight w:val="342" w:hRule="atLeast"/>
          <w:jc w:val="center"/>
        </w:trPr>
        <w:tc>
          <w:tcPr>
            <w:tcW w:w="104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366BAD9A">
            <w:pPr>
              <w:keepNext w:val="0"/>
              <w:keepLines w:val="0"/>
              <w:pageBreakBefore w:val="0"/>
              <w:kinsoku/>
              <w:wordWrap/>
              <w:overflowPunct/>
              <w:topLinePunct w:val="0"/>
              <w:autoSpaceDE/>
              <w:autoSpaceDN/>
              <w:bidi w:val="0"/>
              <w:adjustRightInd/>
              <w:snapToGrid/>
              <w:spacing w:before="0" w:after="0" w:line="240" w:lineRule="exact"/>
              <w:ind w:left="0" w:firstLine="420" w:firstLineChars="200"/>
              <w:jc w:val="center"/>
              <w:outlineLvl w:val="9"/>
              <w:rPr>
                <w:rFonts w:hint="eastAsia" w:ascii="仿宋" w:hAnsi="仿宋" w:eastAsia="仿宋" w:cs="仿宋"/>
                <w:i w:val="0"/>
                <w:color w:val="000000"/>
                <w:sz w:val="21"/>
                <w:szCs w:val="21"/>
                <w:u w:val="none"/>
              </w:rPr>
            </w:pPr>
          </w:p>
        </w:tc>
        <w:tc>
          <w:tcPr>
            <w:tcW w:w="1260" w:type="dxa"/>
            <w:vMerge w:val="restart"/>
            <w:tcBorders>
              <w:top w:val="single" w:color="000000" w:sz="4" w:space="0"/>
              <w:left w:val="single" w:color="000000" w:sz="4" w:space="0"/>
              <w:right w:val="single" w:color="000000" w:sz="4" w:space="0"/>
            </w:tcBorders>
            <w:shd w:val="clear" w:color="auto" w:fill="FFFFFF"/>
            <w:tcMar>
              <w:top w:w="12" w:type="dxa"/>
              <w:left w:w="12" w:type="dxa"/>
              <w:right w:w="12" w:type="dxa"/>
            </w:tcMar>
            <w:vAlign w:val="center"/>
          </w:tcPr>
          <w:p w14:paraId="7EA2887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eastAsia" w:ascii="仿宋" w:hAnsi="仿宋" w:eastAsia="仿宋" w:cs="仿宋"/>
                <w:i w:val="0"/>
                <w:color w:val="000000"/>
                <w:sz w:val="21"/>
                <w:szCs w:val="21"/>
                <w:u w:val="none"/>
                <w:lang w:eastAsia="zh-CN"/>
              </w:rPr>
            </w:pPr>
            <w:r>
              <w:rPr>
                <w:rFonts w:hint="eastAsia" w:ascii="仿宋" w:hAnsi="仿宋" w:eastAsia="仿宋" w:cs="仿宋"/>
                <w:i w:val="0"/>
                <w:color w:val="000000"/>
                <w:sz w:val="21"/>
                <w:szCs w:val="21"/>
                <w:u w:val="none"/>
                <w:lang w:val="en-US" w:eastAsia="zh-CN"/>
              </w:rPr>
              <w:t>质量指标</w:t>
            </w:r>
          </w:p>
        </w:tc>
        <w:tc>
          <w:tcPr>
            <w:tcW w:w="26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0565A9">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eastAsia="zh-CN"/>
              </w:rPr>
              <w:t>特种设备顶尖完成旅≥</w:t>
            </w:r>
            <w:r>
              <w:rPr>
                <w:rFonts w:hint="eastAsia" w:ascii="仿宋" w:hAnsi="仿宋" w:eastAsia="仿宋" w:cs="仿宋"/>
                <w:i w:val="0"/>
                <w:color w:val="000000"/>
                <w:sz w:val="21"/>
                <w:szCs w:val="21"/>
                <w:u w:val="none"/>
                <w:lang w:val="en-US" w:eastAsia="zh-CN"/>
              </w:rPr>
              <w:t>90%</w:t>
            </w:r>
          </w:p>
        </w:tc>
        <w:tc>
          <w:tcPr>
            <w:tcW w:w="3376" w:type="dxa"/>
            <w:vMerge w:val="restart"/>
            <w:tcBorders>
              <w:top w:val="single" w:color="000000" w:sz="4" w:space="0"/>
              <w:left w:val="nil"/>
              <w:right w:val="single" w:color="000000" w:sz="4" w:space="0"/>
            </w:tcBorders>
            <w:shd w:val="clear" w:color="auto" w:fill="FFFFFF"/>
            <w:tcMar>
              <w:top w:w="12" w:type="dxa"/>
              <w:left w:w="12" w:type="dxa"/>
              <w:right w:w="12" w:type="dxa"/>
            </w:tcMar>
            <w:vAlign w:val="center"/>
          </w:tcPr>
          <w:p w14:paraId="0052423B">
            <w:pPr>
              <w:keepNext w:val="0"/>
              <w:keepLines w:val="0"/>
              <w:pageBreakBefore w:val="0"/>
              <w:widowControl/>
              <w:suppressLineNumbers w:val="0"/>
              <w:kinsoku/>
              <w:wordWrap/>
              <w:overflowPunct/>
              <w:topLinePunct w:val="0"/>
              <w:autoSpaceDE/>
              <w:autoSpaceDN/>
              <w:bidi w:val="0"/>
              <w:adjustRightInd/>
              <w:snapToGrid/>
              <w:spacing w:line="240" w:lineRule="exact"/>
              <w:ind w:firstLine="420" w:firstLineChars="200"/>
              <w:jc w:val="left"/>
              <w:textAlignment w:val="center"/>
              <w:outlineLvl w:val="9"/>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依据标准检验出现问题的设备（压力容器、压力管道），复检是否及时到位。</w:t>
            </w:r>
          </w:p>
        </w:tc>
        <w:tc>
          <w:tcPr>
            <w:tcW w:w="865" w:type="dxa"/>
            <w:vMerge w:val="restart"/>
            <w:tcBorders>
              <w:top w:val="single" w:color="000000" w:sz="4" w:space="0"/>
              <w:left w:val="single" w:color="000000" w:sz="4" w:space="0"/>
              <w:right w:val="single" w:color="000000" w:sz="4" w:space="0"/>
            </w:tcBorders>
            <w:shd w:val="clear" w:color="auto" w:fill="FFFFFF"/>
            <w:tcMar>
              <w:top w:w="12" w:type="dxa"/>
              <w:left w:w="12" w:type="dxa"/>
              <w:right w:w="12" w:type="dxa"/>
            </w:tcMar>
            <w:vAlign w:val="center"/>
          </w:tcPr>
          <w:p w14:paraId="55B020F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仿宋" w:hAnsi="仿宋" w:eastAsia="仿宋" w:cs="仿宋"/>
                <w:i w:val="0"/>
                <w:color w:val="000000"/>
                <w:sz w:val="21"/>
                <w:szCs w:val="21"/>
                <w:u w:val="none"/>
                <w:lang w:val="en-US"/>
              </w:rPr>
            </w:pPr>
            <w:r>
              <w:rPr>
                <w:rFonts w:hint="eastAsia" w:ascii="仿宋" w:hAnsi="仿宋" w:eastAsia="仿宋" w:cs="仿宋"/>
                <w:i w:val="0"/>
                <w:color w:val="000000"/>
                <w:kern w:val="0"/>
                <w:sz w:val="21"/>
                <w:szCs w:val="21"/>
                <w:u w:val="none"/>
                <w:lang w:val="en-US" w:eastAsia="zh-CN" w:bidi="ar"/>
              </w:rPr>
              <w:t>10</w:t>
            </w:r>
          </w:p>
        </w:tc>
      </w:tr>
      <w:tr w14:paraId="62DC9A65">
        <w:tblPrEx>
          <w:shd w:val="clear" w:color="auto" w:fill="auto"/>
          <w:tblCellMar>
            <w:top w:w="0" w:type="dxa"/>
            <w:left w:w="0" w:type="dxa"/>
            <w:bottom w:w="0" w:type="dxa"/>
            <w:right w:w="0" w:type="dxa"/>
          </w:tblCellMar>
        </w:tblPrEx>
        <w:trPr>
          <w:trHeight w:val="357" w:hRule="atLeast"/>
          <w:jc w:val="center"/>
        </w:trPr>
        <w:tc>
          <w:tcPr>
            <w:tcW w:w="104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74086B0D">
            <w:pPr>
              <w:keepNext w:val="0"/>
              <w:keepLines w:val="0"/>
              <w:pageBreakBefore w:val="0"/>
              <w:kinsoku/>
              <w:wordWrap/>
              <w:overflowPunct/>
              <w:topLinePunct w:val="0"/>
              <w:autoSpaceDE/>
              <w:autoSpaceDN/>
              <w:bidi w:val="0"/>
              <w:adjustRightInd/>
              <w:snapToGrid/>
              <w:spacing w:before="0" w:after="0" w:line="240" w:lineRule="exact"/>
              <w:ind w:left="0" w:firstLine="420" w:firstLineChars="200"/>
              <w:jc w:val="center"/>
              <w:outlineLvl w:val="9"/>
              <w:rPr>
                <w:rFonts w:hint="eastAsia" w:ascii="仿宋" w:hAnsi="仿宋" w:eastAsia="仿宋" w:cs="仿宋"/>
                <w:i w:val="0"/>
                <w:color w:val="000000"/>
                <w:sz w:val="21"/>
                <w:szCs w:val="21"/>
                <w:u w:val="none"/>
              </w:rPr>
            </w:pPr>
          </w:p>
        </w:tc>
        <w:tc>
          <w:tcPr>
            <w:tcW w:w="1260" w:type="dxa"/>
            <w:vMerge w:val="continue"/>
            <w:tcBorders>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2E4A1A8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eastAsia" w:ascii="仿宋" w:hAnsi="仿宋" w:eastAsia="仿宋" w:cs="仿宋"/>
                <w:i w:val="0"/>
                <w:color w:val="000000"/>
                <w:sz w:val="21"/>
                <w:szCs w:val="21"/>
                <w:u w:val="none"/>
                <w:lang w:val="en-US" w:eastAsia="zh-CN"/>
              </w:rPr>
            </w:pPr>
          </w:p>
        </w:tc>
        <w:tc>
          <w:tcPr>
            <w:tcW w:w="26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FB0ACA">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仿宋" w:hAnsi="仿宋" w:eastAsia="仿宋" w:cs="仿宋"/>
                <w:i w:val="0"/>
                <w:color w:val="000000"/>
                <w:sz w:val="21"/>
                <w:szCs w:val="21"/>
                <w:u w:val="none"/>
                <w:lang w:eastAsia="zh-CN"/>
              </w:rPr>
            </w:pPr>
            <w:r>
              <w:rPr>
                <w:rFonts w:hint="eastAsia" w:ascii="仿宋" w:hAnsi="仿宋" w:eastAsia="仿宋" w:cs="仿宋"/>
                <w:i w:val="0"/>
                <w:color w:val="000000"/>
                <w:kern w:val="0"/>
                <w:sz w:val="21"/>
                <w:szCs w:val="21"/>
                <w:u w:val="none"/>
                <w:lang w:val="en-US" w:eastAsia="zh-CN" w:bidi="ar"/>
              </w:rPr>
              <w:t>复检率≤10%</w:t>
            </w:r>
          </w:p>
        </w:tc>
        <w:tc>
          <w:tcPr>
            <w:tcW w:w="3376" w:type="dxa"/>
            <w:vMerge w:val="continue"/>
            <w:tcBorders>
              <w:left w:val="nil"/>
              <w:bottom w:val="single" w:color="000000" w:sz="4" w:space="0"/>
              <w:right w:val="single" w:color="000000" w:sz="4" w:space="0"/>
            </w:tcBorders>
            <w:shd w:val="clear" w:color="auto" w:fill="FFFFFF"/>
            <w:tcMar>
              <w:top w:w="12" w:type="dxa"/>
              <w:left w:w="12" w:type="dxa"/>
              <w:right w:w="12" w:type="dxa"/>
            </w:tcMar>
            <w:vAlign w:val="center"/>
          </w:tcPr>
          <w:p w14:paraId="5CC09578">
            <w:pPr>
              <w:keepNext w:val="0"/>
              <w:keepLines w:val="0"/>
              <w:pageBreakBefore w:val="0"/>
              <w:widowControl/>
              <w:suppressLineNumbers w:val="0"/>
              <w:kinsoku/>
              <w:wordWrap/>
              <w:overflowPunct/>
              <w:topLinePunct w:val="0"/>
              <w:autoSpaceDE/>
              <w:autoSpaceDN/>
              <w:bidi w:val="0"/>
              <w:adjustRightInd/>
              <w:snapToGrid/>
              <w:spacing w:line="240" w:lineRule="exact"/>
              <w:ind w:firstLine="420" w:firstLineChars="200"/>
              <w:jc w:val="left"/>
              <w:textAlignment w:val="center"/>
              <w:outlineLvl w:val="9"/>
              <w:rPr>
                <w:rFonts w:hint="eastAsia" w:ascii="仿宋" w:hAnsi="仿宋" w:eastAsia="仿宋" w:cs="仿宋"/>
                <w:i w:val="0"/>
                <w:color w:val="000000"/>
                <w:kern w:val="0"/>
                <w:sz w:val="21"/>
                <w:szCs w:val="21"/>
                <w:u w:val="none"/>
                <w:lang w:val="en-US" w:eastAsia="zh-CN" w:bidi="ar"/>
              </w:rPr>
            </w:pPr>
          </w:p>
        </w:tc>
        <w:tc>
          <w:tcPr>
            <w:tcW w:w="865" w:type="dxa"/>
            <w:vMerge w:val="continue"/>
            <w:tcBorders>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7C7E09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eastAsia" w:ascii="仿宋" w:hAnsi="仿宋" w:eastAsia="仿宋" w:cs="仿宋"/>
                <w:i w:val="0"/>
                <w:color w:val="000000"/>
                <w:kern w:val="0"/>
                <w:sz w:val="21"/>
                <w:szCs w:val="21"/>
                <w:u w:val="none"/>
                <w:lang w:val="en-US" w:eastAsia="zh-CN" w:bidi="ar"/>
              </w:rPr>
            </w:pPr>
          </w:p>
        </w:tc>
      </w:tr>
      <w:tr w14:paraId="0CF276EE">
        <w:tblPrEx>
          <w:tblCellMar>
            <w:top w:w="0" w:type="dxa"/>
            <w:left w:w="0" w:type="dxa"/>
            <w:bottom w:w="0" w:type="dxa"/>
            <w:right w:w="0" w:type="dxa"/>
          </w:tblCellMar>
        </w:tblPrEx>
        <w:trPr>
          <w:trHeight w:val="595" w:hRule="atLeast"/>
          <w:jc w:val="center"/>
        </w:trPr>
        <w:tc>
          <w:tcPr>
            <w:tcW w:w="104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1C6163B5">
            <w:pPr>
              <w:keepNext w:val="0"/>
              <w:keepLines w:val="0"/>
              <w:pageBreakBefore w:val="0"/>
              <w:kinsoku/>
              <w:wordWrap/>
              <w:overflowPunct/>
              <w:topLinePunct w:val="0"/>
              <w:autoSpaceDE/>
              <w:autoSpaceDN/>
              <w:bidi w:val="0"/>
              <w:adjustRightInd/>
              <w:snapToGrid/>
              <w:spacing w:before="0" w:after="0" w:line="240" w:lineRule="exact"/>
              <w:ind w:left="0" w:firstLine="420" w:firstLineChars="200"/>
              <w:jc w:val="center"/>
              <w:outlineLvl w:val="9"/>
              <w:rPr>
                <w:rFonts w:hint="eastAsia" w:ascii="仿宋" w:hAnsi="仿宋" w:eastAsia="仿宋" w:cs="仿宋"/>
                <w:i w:val="0"/>
                <w:color w:val="000000"/>
                <w:sz w:val="21"/>
                <w:szCs w:val="21"/>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2F653D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eastAsia" w:ascii="仿宋" w:hAnsi="仿宋" w:eastAsia="仿宋" w:cs="仿宋"/>
                <w:i w:val="0"/>
                <w:color w:val="000000"/>
                <w:sz w:val="21"/>
                <w:szCs w:val="21"/>
                <w:u w:val="none"/>
                <w:lang w:eastAsia="zh-CN"/>
              </w:rPr>
            </w:pPr>
            <w:r>
              <w:rPr>
                <w:rFonts w:hint="eastAsia" w:ascii="仿宋" w:hAnsi="仿宋" w:eastAsia="仿宋" w:cs="仿宋"/>
                <w:i w:val="0"/>
                <w:color w:val="000000"/>
                <w:sz w:val="21"/>
                <w:szCs w:val="21"/>
                <w:u w:val="none"/>
                <w:lang w:val="en-US" w:eastAsia="zh-CN"/>
              </w:rPr>
              <w:t>时效指标</w:t>
            </w:r>
          </w:p>
        </w:tc>
        <w:tc>
          <w:tcPr>
            <w:tcW w:w="2610"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67515783">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检验期限</w:t>
            </w:r>
          </w:p>
        </w:tc>
        <w:tc>
          <w:tcPr>
            <w:tcW w:w="337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2F98186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outlineLvl w:val="9"/>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eastAsia="zh-CN"/>
              </w:rPr>
              <w:t>企业既报检开始</w:t>
            </w:r>
            <w:r>
              <w:rPr>
                <w:rFonts w:hint="eastAsia" w:ascii="仿宋" w:hAnsi="仿宋" w:eastAsia="仿宋" w:cs="仿宋"/>
                <w:i w:val="0"/>
                <w:color w:val="000000"/>
                <w:sz w:val="21"/>
                <w:szCs w:val="21"/>
                <w:u w:val="none"/>
                <w:lang w:val="en-US" w:eastAsia="zh-CN"/>
              </w:rPr>
              <w:t>15个工作日内，予以现场检验并完成检验。</w:t>
            </w:r>
          </w:p>
        </w:tc>
        <w:tc>
          <w:tcPr>
            <w:tcW w:w="86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4093061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仿宋" w:hAnsi="仿宋" w:eastAsia="仿宋" w:cs="仿宋"/>
                <w:i w:val="0"/>
                <w:color w:val="000000"/>
                <w:sz w:val="21"/>
                <w:szCs w:val="21"/>
                <w:u w:val="none"/>
                <w:lang w:val="en-US"/>
              </w:rPr>
            </w:pPr>
            <w:r>
              <w:rPr>
                <w:rFonts w:hint="eastAsia" w:ascii="仿宋" w:hAnsi="仿宋" w:eastAsia="仿宋" w:cs="仿宋"/>
                <w:i w:val="0"/>
                <w:color w:val="000000"/>
                <w:kern w:val="0"/>
                <w:sz w:val="21"/>
                <w:szCs w:val="21"/>
                <w:u w:val="none"/>
                <w:lang w:val="en-US" w:eastAsia="zh-CN" w:bidi="ar"/>
              </w:rPr>
              <w:t>5</w:t>
            </w:r>
          </w:p>
        </w:tc>
      </w:tr>
      <w:tr w14:paraId="1827E4B9">
        <w:tblPrEx>
          <w:shd w:val="clear" w:color="auto" w:fill="auto"/>
          <w:tblCellMar>
            <w:top w:w="0" w:type="dxa"/>
            <w:left w:w="0" w:type="dxa"/>
            <w:bottom w:w="0" w:type="dxa"/>
            <w:right w:w="0" w:type="dxa"/>
          </w:tblCellMar>
        </w:tblPrEx>
        <w:trPr>
          <w:trHeight w:val="1614" w:hRule="atLeast"/>
          <w:jc w:val="center"/>
        </w:trPr>
        <w:tc>
          <w:tcPr>
            <w:tcW w:w="1048" w:type="dxa"/>
            <w:vMerge w:val="continue"/>
            <w:tcBorders>
              <w:top w:val="single" w:color="000000" w:sz="4" w:space="0"/>
              <w:left w:val="single" w:color="000000" w:sz="4" w:space="0"/>
              <w:bottom w:val="single" w:color="auto" w:sz="4" w:space="0"/>
              <w:right w:val="single" w:color="000000" w:sz="4" w:space="0"/>
            </w:tcBorders>
            <w:shd w:val="clear" w:color="auto" w:fill="FFFFFF"/>
            <w:tcMar>
              <w:top w:w="12" w:type="dxa"/>
              <w:left w:w="12" w:type="dxa"/>
              <w:right w:w="12" w:type="dxa"/>
            </w:tcMar>
            <w:vAlign w:val="center"/>
          </w:tcPr>
          <w:p w14:paraId="29C23B43">
            <w:pPr>
              <w:keepNext w:val="0"/>
              <w:keepLines w:val="0"/>
              <w:pageBreakBefore w:val="0"/>
              <w:kinsoku/>
              <w:wordWrap/>
              <w:overflowPunct/>
              <w:topLinePunct w:val="0"/>
              <w:autoSpaceDE/>
              <w:autoSpaceDN/>
              <w:bidi w:val="0"/>
              <w:adjustRightInd/>
              <w:snapToGrid/>
              <w:spacing w:before="0" w:after="0" w:line="240" w:lineRule="exact"/>
              <w:ind w:left="0" w:firstLine="420" w:firstLineChars="200"/>
              <w:jc w:val="center"/>
              <w:outlineLvl w:val="9"/>
              <w:rPr>
                <w:rFonts w:hint="eastAsia" w:ascii="仿宋" w:hAnsi="仿宋" w:eastAsia="仿宋" w:cs="仿宋"/>
                <w:i w:val="0"/>
                <w:color w:val="000000"/>
                <w:sz w:val="21"/>
                <w:szCs w:val="21"/>
                <w:u w:val="none"/>
              </w:rPr>
            </w:pPr>
          </w:p>
        </w:tc>
        <w:tc>
          <w:tcPr>
            <w:tcW w:w="1260" w:type="dxa"/>
            <w:tcBorders>
              <w:top w:val="single" w:color="000000" w:sz="4" w:space="0"/>
              <w:left w:val="single" w:color="000000" w:sz="4" w:space="0"/>
              <w:bottom w:val="single" w:color="auto" w:sz="4" w:space="0"/>
              <w:right w:val="single" w:color="000000" w:sz="4" w:space="0"/>
            </w:tcBorders>
            <w:shd w:val="clear" w:color="auto" w:fill="FFFFFF"/>
            <w:tcMar>
              <w:top w:w="12" w:type="dxa"/>
              <w:left w:w="12" w:type="dxa"/>
              <w:right w:w="12" w:type="dxa"/>
            </w:tcMar>
            <w:vAlign w:val="center"/>
          </w:tcPr>
          <w:p w14:paraId="4CC737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eastAsia" w:ascii="仿宋" w:hAnsi="仿宋" w:eastAsia="仿宋" w:cs="仿宋"/>
                <w:i w:val="0"/>
                <w:color w:val="000000"/>
                <w:sz w:val="21"/>
                <w:szCs w:val="21"/>
                <w:u w:val="none"/>
                <w:lang w:eastAsia="zh-CN"/>
              </w:rPr>
            </w:pPr>
            <w:r>
              <w:rPr>
                <w:rFonts w:hint="eastAsia" w:ascii="仿宋" w:hAnsi="仿宋" w:eastAsia="仿宋" w:cs="仿宋"/>
                <w:i w:val="0"/>
                <w:color w:val="000000"/>
                <w:sz w:val="21"/>
                <w:szCs w:val="21"/>
                <w:u w:val="none"/>
                <w:lang w:val="en-US" w:eastAsia="zh-CN"/>
              </w:rPr>
              <w:t>成本指标</w:t>
            </w:r>
          </w:p>
        </w:tc>
        <w:tc>
          <w:tcPr>
            <w:tcW w:w="2610"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1D8807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outlineLvl w:val="9"/>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专项检验费用</w:t>
            </w:r>
          </w:p>
        </w:tc>
        <w:tc>
          <w:tcPr>
            <w:tcW w:w="3376" w:type="dxa"/>
            <w:tcBorders>
              <w:top w:val="single" w:color="000000" w:sz="4" w:space="0"/>
              <w:left w:val="single" w:color="000000" w:sz="4" w:space="0"/>
              <w:bottom w:val="single" w:color="auto" w:sz="4" w:space="0"/>
              <w:right w:val="single" w:color="000000" w:sz="4" w:space="0"/>
            </w:tcBorders>
            <w:shd w:val="clear" w:color="auto" w:fill="FFFFFF"/>
            <w:tcMar>
              <w:top w:w="12" w:type="dxa"/>
              <w:left w:w="12" w:type="dxa"/>
              <w:right w:w="12" w:type="dxa"/>
            </w:tcMar>
            <w:vAlign w:val="center"/>
          </w:tcPr>
          <w:p w14:paraId="4A96BAE7">
            <w:pPr>
              <w:keepNext w:val="0"/>
              <w:keepLines w:val="0"/>
              <w:pageBreakBefore w:val="0"/>
              <w:widowControl/>
              <w:suppressLineNumbers w:val="0"/>
              <w:kinsoku/>
              <w:wordWrap/>
              <w:overflowPunct/>
              <w:topLinePunct w:val="0"/>
              <w:autoSpaceDE/>
              <w:autoSpaceDN/>
              <w:bidi w:val="0"/>
              <w:adjustRightInd/>
              <w:snapToGrid/>
              <w:spacing w:line="240" w:lineRule="exact"/>
              <w:ind w:left="0" w:firstLine="420" w:firstLineChars="200"/>
              <w:jc w:val="left"/>
              <w:textAlignment w:val="center"/>
              <w:outlineLvl w:val="9"/>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成本节约率=[（计划成本-实际成本）/计划成本]×100%。</w:t>
            </w:r>
          </w:p>
          <w:p w14:paraId="210D44AD">
            <w:pPr>
              <w:keepNext w:val="0"/>
              <w:keepLines w:val="0"/>
              <w:pageBreakBefore w:val="0"/>
              <w:widowControl/>
              <w:suppressLineNumbers w:val="0"/>
              <w:kinsoku/>
              <w:wordWrap/>
              <w:overflowPunct/>
              <w:topLinePunct w:val="0"/>
              <w:autoSpaceDE/>
              <w:autoSpaceDN/>
              <w:bidi w:val="0"/>
              <w:adjustRightInd/>
              <w:snapToGrid/>
              <w:spacing w:line="240" w:lineRule="exact"/>
              <w:ind w:left="0" w:firstLine="420" w:firstLineChars="200"/>
              <w:jc w:val="left"/>
              <w:textAlignment w:val="center"/>
              <w:outlineLvl w:val="9"/>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实际成本：项目实施单位如期、保质、保量完成既定工作目标</w:t>
            </w:r>
            <w:bookmarkStart w:id="1" w:name="_GoBack"/>
            <w:bookmarkEnd w:id="1"/>
            <w:r>
              <w:rPr>
                <w:rFonts w:hint="eastAsia" w:ascii="仿宋" w:hAnsi="仿宋" w:eastAsia="仿宋" w:cs="仿宋"/>
                <w:i w:val="0"/>
                <w:color w:val="000000"/>
                <w:kern w:val="0"/>
                <w:sz w:val="21"/>
                <w:szCs w:val="21"/>
                <w:u w:val="none"/>
                <w:lang w:val="en-US" w:eastAsia="zh-CN" w:bidi="ar"/>
              </w:rPr>
              <w:t>及人员培训学习实际所耗费的支出。</w:t>
            </w:r>
          </w:p>
          <w:p w14:paraId="25C460E1">
            <w:pPr>
              <w:keepNext w:val="0"/>
              <w:keepLines w:val="0"/>
              <w:pageBreakBefore w:val="0"/>
              <w:widowControl/>
              <w:suppressLineNumbers w:val="0"/>
              <w:kinsoku/>
              <w:wordWrap/>
              <w:overflowPunct/>
              <w:topLinePunct w:val="0"/>
              <w:autoSpaceDE/>
              <w:autoSpaceDN/>
              <w:bidi w:val="0"/>
              <w:adjustRightInd/>
              <w:snapToGrid/>
              <w:spacing w:line="240" w:lineRule="exact"/>
              <w:ind w:left="0" w:firstLine="420" w:firstLineChars="200"/>
              <w:jc w:val="left"/>
              <w:textAlignment w:val="center"/>
              <w:outlineLvl w:val="9"/>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计划成本：项目实施单位为完成工作目标计划安排的支出，一般以项目预算为参考。</w:t>
            </w:r>
          </w:p>
        </w:tc>
        <w:tc>
          <w:tcPr>
            <w:tcW w:w="865" w:type="dxa"/>
            <w:tcBorders>
              <w:top w:val="single" w:color="000000" w:sz="4" w:space="0"/>
              <w:left w:val="single" w:color="000000" w:sz="4" w:space="0"/>
              <w:bottom w:val="single" w:color="auto" w:sz="4" w:space="0"/>
              <w:right w:val="single" w:color="000000" w:sz="4" w:space="0"/>
            </w:tcBorders>
            <w:shd w:val="clear" w:color="auto" w:fill="FFFFFF"/>
            <w:tcMar>
              <w:top w:w="12" w:type="dxa"/>
              <w:left w:w="12" w:type="dxa"/>
              <w:right w:w="12" w:type="dxa"/>
            </w:tcMar>
            <w:vAlign w:val="center"/>
          </w:tcPr>
          <w:p w14:paraId="61B8620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仿宋" w:hAnsi="仿宋" w:eastAsia="仿宋" w:cs="仿宋"/>
                <w:i w:val="0"/>
                <w:color w:val="000000"/>
                <w:sz w:val="21"/>
                <w:szCs w:val="21"/>
                <w:u w:val="none"/>
                <w:lang w:val="en-US"/>
              </w:rPr>
            </w:pPr>
            <w:r>
              <w:rPr>
                <w:rFonts w:hint="eastAsia" w:ascii="仿宋" w:hAnsi="仿宋" w:eastAsia="仿宋" w:cs="仿宋"/>
                <w:i w:val="0"/>
                <w:color w:val="000000"/>
                <w:kern w:val="0"/>
                <w:sz w:val="21"/>
                <w:szCs w:val="21"/>
                <w:u w:val="none"/>
                <w:lang w:val="en-US" w:eastAsia="zh-CN" w:bidi="ar"/>
              </w:rPr>
              <w:t>5</w:t>
            </w:r>
          </w:p>
        </w:tc>
      </w:tr>
      <w:tr w14:paraId="69D89735">
        <w:tblPrEx>
          <w:shd w:val="clear" w:color="auto" w:fill="auto"/>
          <w:tblCellMar>
            <w:top w:w="0" w:type="dxa"/>
            <w:left w:w="0" w:type="dxa"/>
            <w:bottom w:w="0" w:type="dxa"/>
            <w:right w:w="0" w:type="dxa"/>
          </w:tblCellMar>
        </w:tblPrEx>
        <w:trPr>
          <w:trHeight w:val="842" w:hRule="atLeast"/>
          <w:jc w:val="center"/>
        </w:trPr>
        <w:tc>
          <w:tcPr>
            <w:tcW w:w="1048" w:type="dxa"/>
            <w:vMerge w:val="restart"/>
            <w:tcBorders>
              <w:top w:val="single" w:color="auto" w:sz="4" w:space="0"/>
              <w:left w:val="single" w:color="auto" w:sz="4" w:space="0"/>
              <w:bottom w:val="single" w:color="000000" w:sz="4" w:space="0"/>
              <w:right w:val="single" w:color="000000" w:sz="4" w:space="0"/>
            </w:tcBorders>
            <w:shd w:val="clear" w:color="auto" w:fill="FFFFFF"/>
            <w:tcMar>
              <w:top w:w="12" w:type="dxa"/>
              <w:left w:w="12" w:type="dxa"/>
              <w:right w:w="12" w:type="dxa"/>
            </w:tcMar>
            <w:vAlign w:val="center"/>
          </w:tcPr>
          <w:p w14:paraId="572041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效益指标（50分）</w:t>
            </w:r>
          </w:p>
        </w:tc>
        <w:tc>
          <w:tcPr>
            <w:tcW w:w="1260" w:type="dxa"/>
            <w:tcBorders>
              <w:top w:val="single" w:color="auto" w:sz="4" w:space="0"/>
              <w:left w:val="single" w:color="000000" w:sz="4" w:space="0"/>
              <w:bottom w:val="single" w:color="auto" w:sz="4" w:space="0"/>
              <w:right w:val="single" w:color="000000" w:sz="4" w:space="0"/>
            </w:tcBorders>
            <w:shd w:val="clear" w:color="auto" w:fill="FFFFFF"/>
            <w:tcMar>
              <w:top w:w="12" w:type="dxa"/>
              <w:left w:w="12" w:type="dxa"/>
              <w:right w:w="12" w:type="dxa"/>
            </w:tcMar>
            <w:vAlign w:val="center"/>
          </w:tcPr>
          <w:p w14:paraId="75B8EA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eastAsia" w:ascii="仿宋" w:hAnsi="仿宋" w:eastAsia="仿宋" w:cs="仿宋"/>
                <w:i w:val="0"/>
                <w:color w:val="000000"/>
                <w:sz w:val="21"/>
                <w:szCs w:val="21"/>
                <w:u w:val="none"/>
                <w:lang w:eastAsia="zh-CN"/>
              </w:rPr>
            </w:pPr>
            <w:r>
              <w:rPr>
                <w:rFonts w:hint="eastAsia" w:ascii="仿宋" w:hAnsi="仿宋" w:eastAsia="仿宋" w:cs="仿宋"/>
                <w:i w:val="0"/>
                <w:color w:val="000000"/>
                <w:sz w:val="21"/>
                <w:szCs w:val="21"/>
                <w:u w:val="none"/>
                <w:lang w:eastAsia="zh-CN"/>
              </w:rPr>
              <w:t>经济效益</w:t>
            </w:r>
          </w:p>
          <w:p w14:paraId="475A5F2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eastAsia" w:ascii="仿宋" w:hAnsi="仿宋" w:eastAsia="仿宋" w:cs="仿宋"/>
                <w:i w:val="0"/>
                <w:color w:val="000000"/>
                <w:sz w:val="21"/>
                <w:szCs w:val="21"/>
                <w:u w:val="none"/>
                <w:lang w:eastAsia="zh-CN"/>
              </w:rPr>
            </w:pPr>
            <w:r>
              <w:rPr>
                <w:rFonts w:hint="eastAsia" w:ascii="仿宋" w:hAnsi="仿宋" w:eastAsia="仿宋" w:cs="仿宋"/>
                <w:i w:val="0"/>
                <w:color w:val="000000"/>
                <w:sz w:val="21"/>
                <w:szCs w:val="21"/>
                <w:u w:val="none"/>
                <w:lang w:eastAsia="zh-CN"/>
              </w:rPr>
              <w:t>指标</w:t>
            </w:r>
          </w:p>
        </w:tc>
        <w:tc>
          <w:tcPr>
            <w:tcW w:w="2610" w:type="dxa"/>
            <w:tcBorders>
              <w:top w:val="single" w:color="auto" w:sz="4" w:space="0"/>
              <w:left w:val="single" w:color="000000" w:sz="4" w:space="0"/>
              <w:bottom w:val="single" w:color="auto" w:sz="4" w:space="0"/>
              <w:right w:val="single" w:color="000000" w:sz="4" w:space="0"/>
            </w:tcBorders>
            <w:shd w:val="clear" w:color="auto" w:fill="FFFFFF"/>
            <w:tcMar>
              <w:top w:w="12" w:type="dxa"/>
              <w:left w:w="12" w:type="dxa"/>
              <w:right w:w="12" w:type="dxa"/>
            </w:tcMar>
            <w:vAlign w:val="center"/>
          </w:tcPr>
          <w:p w14:paraId="3CE4B777">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承压类特种设备检验收费</w:t>
            </w:r>
          </w:p>
        </w:tc>
        <w:tc>
          <w:tcPr>
            <w:tcW w:w="3376" w:type="dxa"/>
            <w:tcBorders>
              <w:top w:val="single" w:color="auto"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46A7F64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outlineLvl w:val="9"/>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项目实施所产生的经济效益。可根据项目实际情况有选择地设置和细化。</w:t>
            </w:r>
          </w:p>
        </w:tc>
        <w:tc>
          <w:tcPr>
            <w:tcW w:w="865" w:type="dxa"/>
            <w:tcBorders>
              <w:top w:val="single" w:color="auto" w:sz="4" w:space="0"/>
              <w:left w:val="single" w:color="000000" w:sz="4" w:space="0"/>
              <w:bottom w:val="single" w:color="000000" w:sz="4" w:space="0"/>
              <w:right w:val="single" w:color="auto" w:sz="4" w:space="0"/>
            </w:tcBorders>
            <w:shd w:val="clear" w:color="auto" w:fill="FFFFFF"/>
            <w:tcMar>
              <w:top w:w="12" w:type="dxa"/>
              <w:left w:w="12" w:type="dxa"/>
              <w:right w:w="12" w:type="dxa"/>
            </w:tcMar>
            <w:vAlign w:val="center"/>
          </w:tcPr>
          <w:p w14:paraId="51DA27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仿宋" w:hAnsi="仿宋" w:eastAsia="仿宋" w:cs="仿宋"/>
                <w:i w:val="0"/>
                <w:color w:val="000000"/>
                <w:sz w:val="21"/>
                <w:szCs w:val="21"/>
                <w:u w:val="none"/>
                <w:lang w:val="en-US"/>
              </w:rPr>
            </w:pPr>
            <w:r>
              <w:rPr>
                <w:rFonts w:hint="eastAsia" w:ascii="仿宋" w:hAnsi="仿宋" w:eastAsia="仿宋" w:cs="仿宋"/>
                <w:i w:val="0"/>
                <w:color w:val="000000"/>
                <w:kern w:val="0"/>
                <w:sz w:val="21"/>
                <w:szCs w:val="21"/>
                <w:u w:val="none"/>
                <w:lang w:val="en-US" w:eastAsia="zh-CN" w:bidi="ar"/>
              </w:rPr>
              <w:t>14.42</w:t>
            </w:r>
          </w:p>
        </w:tc>
      </w:tr>
      <w:tr w14:paraId="131402E3">
        <w:tblPrEx>
          <w:shd w:val="clear" w:color="auto" w:fill="auto"/>
          <w:tblCellMar>
            <w:top w:w="0" w:type="dxa"/>
            <w:left w:w="0" w:type="dxa"/>
            <w:bottom w:w="0" w:type="dxa"/>
            <w:right w:w="0" w:type="dxa"/>
          </w:tblCellMar>
        </w:tblPrEx>
        <w:trPr>
          <w:trHeight w:val="659" w:hRule="atLeast"/>
          <w:jc w:val="center"/>
        </w:trPr>
        <w:tc>
          <w:tcPr>
            <w:tcW w:w="1048" w:type="dxa"/>
            <w:vMerge w:val="continue"/>
            <w:tcBorders>
              <w:left w:val="single" w:color="auto" w:sz="4" w:space="0"/>
              <w:right w:val="single" w:color="auto" w:sz="4" w:space="0"/>
            </w:tcBorders>
            <w:shd w:val="clear" w:color="auto" w:fill="FFFFFF"/>
            <w:tcMar>
              <w:top w:w="12" w:type="dxa"/>
              <w:left w:w="12" w:type="dxa"/>
              <w:right w:w="12" w:type="dxa"/>
            </w:tcMar>
            <w:vAlign w:val="center"/>
          </w:tcPr>
          <w:p w14:paraId="594C011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eastAsia" w:ascii="仿宋" w:hAnsi="仿宋" w:eastAsia="仿宋" w:cs="仿宋"/>
                <w:i w:val="0"/>
                <w:color w:val="000000"/>
                <w:kern w:val="0"/>
                <w:sz w:val="21"/>
                <w:szCs w:val="21"/>
                <w:u w:val="none"/>
                <w:lang w:val="en-US" w:eastAsia="zh-CN" w:bidi="ar"/>
              </w:rPr>
            </w:pPr>
          </w:p>
        </w:tc>
        <w:tc>
          <w:tcPr>
            <w:tcW w:w="1260" w:type="dxa"/>
            <w:tcBorders>
              <w:top w:val="single" w:color="auto" w:sz="4" w:space="0"/>
              <w:left w:val="single" w:color="auto" w:sz="4" w:space="0"/>
              <w:bottom w:val="single" w:color="auto" w:sz="4" w:space="0"/>
              <w:right w:val="single" w:color="000000" w:sz="4" w:space="0"/>
            </w:tcBorders>
            <w:shd w:val="clear" w:color="auto" w:fill="FFFFFF"/>
            <w:tcMar>
              <w:top w:w="12" w:type="dxa"/>
              <w:left w:w="12" w:type="dxa"/>
              <w:right w:w="12" w:type="dxa"/>
            </w:tcMar>
            <w:vAlign w:val="center"/>
          </w:tcPr>
          <w:p w14:paraId="23BCC6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社会效益</w:t>
            </w:r>
          </w:p>
          <w:p w14:paraId="64DC7F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指标</w:t>
            </w:r>
          </w:p>
        </w:tc>
        <w:tc>
          <w:tcPr>
            <w:tcW w:w="2610" w:type="dxa"/>
            <w:tcBorders>
              <w:top w:val="single" w:color="auto" w:sz="4" w:space="0"/>
              <w:left w:val="single" w:color="000000" w:sz="4" w:space="0"/>
              <w:bottom w:val="single" w:color="auto" w:sz="4" w:space="0"/>
              <w:right w:val="single" w:color="auto" w:sz="4" w:space="0"/>
            </w:tcBorders>
            <w:shd w:val="clear" w:color="auto" w:fill="FFFFFF"/>
            <w:tcMar>
              <w:top w:w="12" w:type="dxa"/>
              <w:left w:w="12" w:type="dxa"/>
              <w:right w:w="12" w:type="dxa"/>
            </w:tcMar>
            <w:vAlign w:val="center"/>
          </w:tcPr>
          <w:p w14:paraId="594BD5FD">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安全生产事故率</w:t>
            </w:r>
          </w:p>
        </w:tc>
        <w:tc>
          <w:tcPr>
            <w:tcW w:w="3376" w:type="dxa"/>
            <w:tcBorders>
              <w:top w:val="single" w:color="000000" w:sz="4" w:space="0"/>
              <w:left w:val="single" w:color="auto" w:sz="4" w:space="0"/>
              <w:bottom w:val="single" w:color="000000" w:sz="4" w:space="0"/>
              <w:right w:val="single" w:color="000000" w:sz="4" w:space="0"/>
            </w:tcBorders>
            <w:shd w:val="clear" w:color="auto" w:fill="FFFFFF"/>
            <w:tcMar>
              <w:top w:w="12" w:type="dxa"/>
              <w:left w:w="12" w:type="dxa"/>
              <w:right w:w="12" w:type="dxa"/>
            </w:tcMar>
            <w:vAlign w:val="center"/>
          </w:tcPr>
          <w:p w14:paraId="0A805906">
            <w:pPr>
              <w:keepNext w:val="0"/>
              <w:keepLines w:val="0"/>
              <w:pageBreakBefore w:val="0"/>
              <w:widowControl/>
              <w:suppressLineNumbers w:val="0"/>
              <w:kinsoku/>
              <w:wordWrap/>
              <w:overflowPunct/>
              <w:topLinePunct w:val="0"/>
              <w:autoSpaceDE/>
              <w:autoSpaceDN/>
              <w:bidi w:val="0"/>
              <w:adjustRightInd/>
              <w:snapToGrid/>
              <w:spacing w:line="240" w:lineRule="exact"/>
              <w:ind w:left="0" w:firstLine="420" w:firstLineChars="200"/>
              <w:jc w:val="left"/>
              <w:textAlignment w:val="center"/>
              <w:outlineLvl w:val="9"/>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项目实施所产生的社会效益可根据项目实际情况有选择地设置和细化。</w:t>
            </w:r>
          </w:p>
        </w:tc>
        <w:tc>
          <w:tcPr>
            <w:tcW w:w="865" w:type="dxa"/>
            <w:tcBorders>
              <w:top w:val="single" w:color="000000" w:sz="4" w:space="0"/>
              <w:left w:val="single" w:color="000000" w:sz="4" w:space="0"/>
              <w:bottom w:val="single" w:color="000000" w:sz="4" w:space="0"/>
              <w:right w:val="single" w:color="auto" w:sz="4" w:space="0"/>
            </w:tcBorders>
            <w:shd w:val="clear" w:color="auto" w:fill="FFFFFF"/>
            <w:tcMar>
              <w:top w:w="12" w:type="dxa"/>
              <w:left w:w="12" w:type="dxa"/>
              <w:right w:w="12" w:type="dxa"/>
            </w:tcMar>
            <w:vAlign w:val="center"/>
          </w:tcPr>
          <w:p w14:paraId="20D302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20</w:t>
            </w:r>
          </w:p>
        </w:tc>
      </w:tr>
      <w:tr w14:paraId="2CB38519">
        <w:tblPrEx>
          <w:tblCellMar>
            <w:top w:w="0" w:type="dxa"/>
            <w:left w:w="0" w:type="dxa"/>
            <w:bottom w:w="0" w:type="dxa"/>
            <w:right w:w="0" w:type="dxa"/>
          </w:tblCellMar>
        </w:tblPrEx>
        <w:trPr>
          <w:trHeight w:val="755" w:hRule="atLeast"/>
          <w:jc w:val="center"/>
        </w:trPr>
        <w:tc>
          <w:tcPr>
            <w:tcW w:w="1048" w:type="dxa"/>
            <w:vMerge w:val="continue"/>
            <w:tcBorders>
              <w:left w:val="single" w:color="auto" w:sz="4" w:space="0"/>
              <w:bottom w:val="single" w:color="auto" w:sz="4" w:space="0"/>
              <w:right w:val="single" w:color="000000" w:sz="4" w:space="0"/>
            </w:tcBorders>
            <w:shd w:val="clear" w:color="auto" w:fill="FFFFFF"/>
            <w:tcMar>
              <w:top w:w="12" w:type="dxa"/>
              <w:left w:w="12" w:type="dxa"/>
              <w:right w:w="12" w:type="dxa"/>
            </w:tcMar>
            <w:vAlign w:val="center"/>
          </w:tcPr>
          <w:p w14:paraId="154328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eastAsia" w:ascii="仿宋" w:hAnsi="仿宋" w:eastAsia="仿宋" w:cs="仿宋"/>
                <w:i w:val="0"/>
                <w:color w:val="000000"/>
                <w:kern w:val="0"/>
                <w:sz w:val="21"/>
                <w:szCs w:val="21"/>
                <w:u w:val="none"/>
                <w:lang w:val="en-US" w:eastAsia="zh-CN" w:bidi="ar"/>
              </w:rPr>
            </w:pPr>
          </w:p>
        </w:tc>
        <w:tc>
          <w:tcPr>
            <w:tcW w:w="1260" w:type="dxa"/>
            <w:tcBorders>
              <w:top w:val="single" w:color="auto" w:sz="4" w:space="0"/>
              <w:left w:val="single" w:color="000000" w:sz="4" w:space="0"/>
              <w:bottom w:val="single" w:color="auto" w:sz="4" w:space="0"/>
              <w:right w:val="single" w:color="000000" w:sz="4" w:space="0"/>
            </w:tcBorders>
            <w:shd w:val="clear" w:color="auto" w:fill="FFFFFF"/>
            <w:tcMar>
              <w:top w:w="12" w:type="dxa"/>
              <w:left w:w="12" w:type="dxa"/>
              <w:right w:w="12" w:type="dxa"/>
            </w:tcMar>
            <w:vAlign w:val="center"/>
          </w:tcPr>
          <w:p w14:paraId="284454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可持续影响指标</w:t>
            </w:r>
          </w:p>
        </w:tc>
        <w:tc>
          <w:tcPr>
            <w:tcW w:w="2610" w:type="dxa"/>
            <w:tcBorders>
              <w:top w:val="single" w:color="auto" w:sz="4" w:space="0"/>
              <w:left w:val="single" w:color="000000" w:sz="4" w:space="0"/>
              <w:bottom w:val="single" w:color="auto" w:sz="4" w:space="0"/>
              <w:right w:val="single" w:color="000000" w:sz="4" w:space="0"/>
            </w:tcBorders>
            <w:shd w:val="clear" w:color="auto" w:fill="FFFFFF"/>
            <w:tcMar>
              <w:top w:w="12" w:type="dxa"/>
              <w:left w:w="12" w:type="dxa"/>
              <w:right w:w="12" w:type="dxa"/>
            </w:tcMar>
            <w:vAlign w:val="center"/>
          </w:tcPr>
          <w:p w14:paraId="1B5D6EBC">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outlineLvl w:val="9"/>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促进全区特种设备安全运行</w:t>
            </w:r>
          </w:p>
        </w:tc>
        <w:tc>
          <w:tcPr>
            <w:tcW w:w="3376" w:type="dxa"/>
            <w:tcBorders>
              <w:top w:val="single" w:color="000000" w:sz="4" w:space="0"/>
              <w:left w:val="single" w:color="000000" w:sz="4" w:space="0"/>
              <w:bottom w:val="single" w:color="auto" w:sz="4" w:space="0"/>
              <w:right w:val="single" w:color="000000" w:sz="4" w:space="0"/>
            </w:tcBorders>
            <w:shd w:val="clear" w:color="auto" w:fill="FFFFFF"/>
            <w:tcMar>
              <w:top w:w="12" w:type="dxa"/>
              <w:left w:w="12" w:type="dxa"/>
              <w:right w:w="12" w:type="dxa"/>
            </w:tcMar>
            <w:vAlign w:val="center"/>
          </w:tcPr>
          <w:p w14:paraId="0CF4425B">
            <w:pPr>
              <w:keepNext w:val="0"/>
              <w:keepLines w:val="0"/>
              <w:pageBreakBefore w:val="0"/>
              <w:widowControl/>
              <w:suppressLineNumbers w:val="0"/>
              <w:kinsoku/>
              <w:wordWrap/>
              <w:overflowPunct/>
              <w:topLinePunct w:val="0"/>
              <w:autoSpaceDE/>
              <w:autoSpaceDN/>
              <w:bidi w:val="0"/>
              <w:adjustRightInd/>
              <w:snapToGrid/>
              <w:spacing w:line="240" w:lineRule="exact"/>
              <w:ind w:left="0" w:firstLine="420" w:firstLineChars="200"/>
              <w:jc w:val="left"/>
              <w:textAlignment w:val="center"/>
              <w:outlineLvl w:val="9"/>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项目实施所产生的可持续影响等。可根据项目实际情况有选择地设置和细化。</w:t>
            </w:r>
          </w:p>
        </w:tc>
        <w:tc>
          <w:tcPr>
            <w:tcW w:w="865" w:type="dxa"/>
            <w:tcBorders>
              <w:top w:val="single" w:color="000000" w:sz="4" w:space="0"/>
              <w:left w:val="single" w:color="000000" w:sz="4" w:space="0"/>
              <w:bottom w:val="single" w:color="auto" w:sz="4" w:space="0"/>
              <w:right w:val="single" w:color="auto" w:sz="4" w:space="0"/>
            </w:tcBorders>
            <w:shd w:val="clear" w:color="auto" w:fill="FFFFFF"/>
            <w:tcMar>
              <w:top w:w="12" w:type="dxa"/>
              <w:left w:w="12" w:type="dxa"/>
              <w:right w:w="12" w:type="dxa"/>
            </w:tcMar>
            <w:vAlign w:val="center"/>
          </w:tcPr>
          <w:p w14:paraId="049147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10</w:t>
            </w:r>
          </w:p>
        </w:tc>
      </w:tr>
      <w:tr w14:paraId="42171ED4">
        <w:tblPrEx>
          <w:shd w:val="clear" w:color="auto" w:fill="auto"/>
          <w:tblCellMar>
            <w:top w:w="0" w:type="dxa"/>
            <w:left w:w="0" w:type="dxa"/>
            <w:bottom w:w="0" w:type="dxa"/>
            <w:right w:w="0" w:type="dxa"/>
          </w:tblCellMar>
        </w:tblPrEx>
        <w:trPr>
          <w:trHeight w:val="780" w:hRule="atLeast"/>
          <w:jc w:val="center"/>
        </w:trPr>
        <w:tc>
          <w:tcPr>
            <w:tcW w:w="8294" w:type="dxa"/>
            <w:gridSpan w:val="4"/>
            <w:tcBorders>
              <w:top w:val="single" w:color="auto" w:sz="4" w:space="0"/>
              <w:left w:val="single" w:color="auto" w:sz="4" w:space="0"/>
              <w:bottom w:val="single" w:color="000000" w:sz="4" w:space="0"/>
              <w:right w:val="single" w:color="000000" w:sz="4" w:space="0"/>
            </w:tcBorders>
            <w:shd w:val="clear" w:color="auto" w:fill="FFFFFF"/>
            <w:tcMar>
              <w:top w:w="12" w:type="dxa"/>
              <w:left w:w="12" w:type="dxa"/>
              <w:right w:w="12" w:type="dxa"/>
            </w:tcMar>
            <w:vAlign w:val="center"/>
          </w:tcPr>
          <w:p w14:paraId="26050243">
            <w:pPr>
              <w:keepNext w:val="0"/>
              <w:keepLines w:val="0"/>
              <w:pageBreakBefore w:val="0"/>
              <w:widowControl/>
              <w:suppressLineNumbers w:val="0"/>
              <w:tabs>
                <w:tab w:val="left" w:pos="4538"/>
              </w:tabs>
              <w:kinsoku/>
              <w:wordWrap/>
              <w:overflowPunct/>
              <w:topLinePunct w:val="0"/>
              <w:autoSpaceDE/>
              <w:autoSpaceDN/>
              <w:bidi w:val="0"/>
              <w:adjustRightInd/>
              <w:snapToGrid/>
              <w:spacing w:line="240" w:lineRule="exact"/>
              <w:ind w:left="0" w:leftChars="0" w:firstLine="420" w:firstLineChars="200"/>
              <w:jc w:val="left"/>
              <w:textAlignment w:val="center"/>
              <w:outlineLvl w:val="9"/>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ab/>
            </w:r>
            <w:r>
              <w:rPr>
                <w:rFonts w:hint="eastAsia" w:ascii="仿宋" w:hAnsi="仿宋" w:eastAsia="仿宋" w:cs="仿宋"/>
                <w:i w:val="0"/>
                <w:color w:val="000000"/>
                <w:kern w:val="0"/>
                <w:sz w:val="21"/>
                <w:szCs w:val="21"/>
                <w:u w:val="none"/>
                <w:lang w:val="en-US" w:eastAsia="zh-CN" w:bidi="ar"/>
              </w:rPr>
              <w:t>合计</w:t>
            </w:r>
          </w:p>
        </w:tc>
        <w:tc>
          <w:tcPr>
            <w:tcW w:w="865" w:type="dxa"/>
            <w:tcBorders>
              <w:top w:val="single" w:color="auto"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14:paraId="244E4F4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outlineLvl w:val="9"/>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92.32</w:t>
            </w:r>
          </w:p>
        </w:tc>
      </w:tr>
    </w:tbl>
    <w:p w14:paraId="1DB69364">
      <w:pPr>
        <w:pageBreakBefore w:val="0"/>
        <w:kinsoku/>
        <w:wordWrap/>
        <w:overflowPunct/>
        <w:topLinePunct w:val="0"/>
        <w:autoSpaceDE/>
        <w:autoSpaceDN/>
        <w:bidi w:val="0"/>
        <w:adjustRightInd/>
        <w:snapToGrid/>
        <w:spacing w:line="540" w:lineRule="exact"/>
        <w:jc w:val="left"/>
        <w:rPr>
          <w:rFonts w:hint="eastAsia" w:ascii="仿宋" w:hAnsi="仿宋" w:eastAsia="仿宋" w:cs="仿宋"/>
          <w:sz w:val="28"/>
          <w:szCs w:val="28"/>
          <w:lang w:val="en-US" w:eastAsia="zh-CN"/>
        </w:rPr>
        <w:sectPr>
          <w:footerReference r:id="rId3" w:type="default"/>
          <w:footerReference r:id="rId4" w:type="even"/>
          <w:pgSz w:w="11906" w:h="16838"/>
          <w:pgMar w:top="2098" w:right="1531" w:bottom="1985" w:left="1531" w:header="851" w:footer="992" w:gutter="0"/>
          <w:pgNumType w:fmt="numberInDash"/>
          <w:cols w:space="720" w:num="1"/>
          <w:docGrid w:type="lines" w:linePitch="579" w:charSpace="-1675"/>
        </w:sectPr>
      </w:pPr>
    </w:p>
    <w:p w14:paraId="6D96146B">
      <w:pPr>
        <w:pageBreakBefore w:val="0"/>
        <w:numPr>
          <w:ilvl w:val="0"/>
          <w:numId w:val="0"/>
        </w:numPr>
        <w:kinsoku/>
        <w:wordWrap/>
        <w:overflowPunct/>
        <w:topLinePunct w:val="0"/>
        <w:autoSpaceDE/>
        <w:autoSpaceDN/>
        <w:bidi w:val="0"/>
        <w:adjustRightInd/>
        <w:snapToGrid/>
        <w:spacing w:line="560" w:lineRule="atLeast"/>
        <w:ind w:firstLine="640" w:firstLineChars="200"/>
        <w:rPr>
          <w:rFonts w:hint="default" w:ascii="仿宋_GB2312" w:hAnsi="仿宋_GB2312" w:eastAsia="仿宋_GB2312" w:cs="仿宋_GB2312"/>
          <w:sz w:val="32"/>
          <w:szCs w:val="32"/>
          <w:lang w:val="en-US" w:eastAsia="zh-CN"/>
        </w:rPr>
      </w:pPr>
    </w:p>
    <w:p w14:paraId="1B3C277E">
      <w:pPr>
        <w:pageBreakBefore w:val="0"/>
        <w:kinsoku/>
        <w:wordWrap/>
        <w:overflowPunct/>
        <w:topLinePunct w:val="0"/>
        <w:autoSpaceDE/>
        <w:autoSpaceDN/>
        <w:bidi w:val="0"/>
        <w:adjustRightInd/>
        <w:snapToGrid/>
        <w:spacing w:line="560" w:lineRule="atLeas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附件2</w:t>
      </w:r>
    </w:p>
    <w:p w14:paraId="01D261F0">
      <w:pPr>
        <w:pStyle w:val="2"/>
        <w:rPr>
          <w:rFonts w:hint="eastAsia" w:ascii="仿宋_GB2312" w:hAnsi="仿宋_GB2312" w:eastAsia="仿宋_GB2312" w:cs="仿宋_GB2312"/>
          <w:sz w:val="32"/>
          <w:szCs w:val="32"/>
          <w:lang w:val="en-US" w:eastAsia="zh-CN"/>
        </w:rPr>
      </w:pPr>
    </w:p>
    <w:tbl>
      <w:tblPr>
        <w:tblStyle w:val="9"/>
        <w:tblW w:w="9377" w:type="dxa"/>
        <w:tblInd w:w="96" w:type="dxa"/>
        <w:shd w:val="clear" w:color="auto" w:fill="auto"/>
        <w:tblLayout w:type="fixed"/>
        <w:tblCellMar>
          <w:top w:w="0" w:type="dxa"/>
          <w:left w:w="108" w:type="dxa"/>
          <w:bottom w:w="0" w:type="dxa"/>
          <w:right w:w="108" w:type="dxa"/>
        </w:tblCellMar>
      </w:tblPr>
      <w:tblGrid>
        <w:gridCol w:w="887"/>
        <w:gridCol w:w="1140"/>
        <w:gridCol w:w="139"/>
        <w:gridCol w:w="240"/>
        <w:gridCol w:w="671"/>
        <w:gridCol w:w="630"/>
        <w:gridCol w:w="480"/>
        <w:gridCol w:w="1185"/>
        <w:gridCol w:w="780"/>
        <w:gridCol w:w="480"/>
        <w:gridCol w:w="2745"/>
      </w:tblGrid>
      <w:tr w14:paraId="102ED84A">
        <w:tblPrEx>
          <w:shd w:val="clear" w:color="auto" w:fill="auto"/>
          <w:tblCellMar>
            <w:top w:w="0" w:type="dxa"/>
            <w:left w:w="108" w:type="dxa"/>
            <w:bottom w:w="0" w:type="dxa"/>
            <w:right w:w="108" w:type="dxa"/>
          </w:tblCellMar>
        </w:tblPrEx>
        <w:trPr>
          <w:trHeight w:val="408" w:hRule="atLeast"/>
        </w:trPr>
        <w:tc>
          <w:tcPr>
            <w:tcW w:w="9377" w:type="dxa"/>
            <w:gridSpan w:val="11"/>
            <w:tcBorders>
              <w:top w:val="nil"/>
              <w:left w:val="nil"/>
              <w:bottom w:val="nil"/>
              <w:right w:val="nil"/>
            </w:tcBorders>
            <w:shd w:val="clear" w:color="auto" w:fill="auto"/>
            <w:vAlign w:val="center"/>
          </w:tcPr>
          <w:p w14:paraId="231ECF9C">
            <w:pPr>
              <w:keepNext w:val="0"/>
              <w:keepLines w:val="0"/>
              <w:widowControl/>
              <w:suppressLineNumbers w:val="0"/>
              <w:jc w:val="center"/>
              <w:textAlignment w:val="center"/>
              <w:rPr>
                <w:rFonts w:hint="eastAsia" w:ascii="方正小标宋简体" w:hAnsi="方正小标宋简体" w:eastAsia="方正小标宋简体" w:cs="方正小标宋简体"/>
                <w:b/>
                <w:bCs/>
                <w:i w:val="0"/>
                <w:iCs w:val="0"/>
                <w:color w:val="000000"/>
                <w:sz w:val="32"/>
                <w:szCs w:val="32"/>
                <w:u w:val="none"/>
              </w:rPr>
            </w:pPr>
            <w:r>
              <w:rPr>
                <w:rFonts w:hint="eastAsia" w:ascii="仿宋_GB2312" w:hAnsi="仿宋_GB2312" w:eastAsia="仿宋_GB2312" w:cs="仿宋_GB2312"/>
                <w:b/>
                <w:i w:val="0"/>
                <w:color w:val="000000"/>
                <w:kern w:val="0"/>
                <w:sz w:val="44"/>
                <w:szCs w:val="44"/>
                <w:u w:val="none"/>
                <w:lang w:val="en-US" w:eastAsia="zh-CN" w:bidi="ar"/>
              </w:rPr>
              <w:t>项目支出绩效自评表</w:t>
            </w:r>
          </w:p>
        </w:tc>
      </w:tr>
      <w:tr w14:paraId="61786F25">
        <w:tblPrEx>
          <w:shd w:val="clear" w:color="auto" w:fill="auto"/>
          <w:tblCellMar>
            <w:top w:w="0" w:type="dxa"/>
            <w:left w:w="108" w:type="dxa"/>
            <w:bottom w:w="0" w:type="dxa"/>
            <w:right w:w="108" w:type="dxa"/>
          </w:tblCellMar>
        </w:tblPrEx>
        <w:trPr>
          <w:trHeight w:val="438" w:hRule="atLeast"/>
        </w:trPr>
        <w:tc>
          <w:tcPr>
            <w:tcW w:w="9377" w:type="dxa"/>
            <w:gridSpan w:val="11"/>
            <w:tcBorders>
              <w:top w:val="nil"/>
              <w:left w:val="nil"/>
              <w:bottom w:val="nil"/>
              <w:right w:val="nil"/>
            </w:tcBorders>
            <w:shd w:val="clear" w:color="auto" w:fill="auto"/>
            <w:vAlign w:val="center"/>
          </w:tcPr>
          <w:p w14:paraId="232974CD">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14:paraId="60F08214">
        <w:tblPrEx>
          <w:shd w:val="clear" w:color="auto" w:fill="auto"/>
          <w:tblCellMar>
            <w:top w:w="0" w:type="dxa"/>
            <w:left w:w="108" w:type="dxa"/>
            <w:bottom w:w="0" w:type="dxa"/>
            <w:right w:w="108" w:type="dxa"/>
          </w:tblCellMar>
        </w:tblPrEx>
        <w:trPr>
          <w:trHeight w:val="318" w:hRule="atLeast"/>
        </w:trPr>
        <w:tc>
          <w:tcPr>
            <w:tcW w:w="9377" w:type="dxa"/>
            <w:gridSpan w:val="11"/>
            <w:tcBorders>
              <w:top w:val="nil"/>
              <w:left w:val="nil"/>
              <w:bottom w:val="single" w:color="auto" w:sz="4" w:space="0"/>
              <w:right w:val="nil"/>
            </w:tcBorders>
            <w:shd w:val="clear" w:color="auto" w:fill="auto"/>
            <w:vAlign w:val="center"/>
          </w:tcPr>
          <w:p w14:paraId="70DE6F34">
            <w:pPr>
              <w:jc w:val="center"/>
              <w:rPr>
                <w:rFonts w:hint="eastAsia" w:ascii="宋体" w:hAnsi="宋体" w:eastAsia="宋体" w:cs="宋体"/>
                <w:i w:val="0"/>
                <w:iCs w:val="0"/>
                <w:color w:val="000000"/>
                <w:sz w:val="18"/>
                <w:szCs w:val="18"/>
                <w:u w:val="none"/>
              </w:rPr>
            </w:pPr>
          </w:p>
        </w:tc>
      </w:tr>
      <w:tr w14:paraId="262C7F76">
        <w:tblPrEx>
          <w:shd w:val="clear" w:color="auto" w:fill="auto"/>
          <w:tblCellMar>
            <w:top w:w="0" w:type="dxa"/>
            <w:left w:w="108" w:type="dxa"/>
            <w:bottom w:w="0" w:type="dxa"/>
            <w:right w:w="108" w:type="dxa"/>
          </w:tblCellMar>
        </w:tblPrEx>
        <w:trPr>
          <w:trHeight w:val="679" w:hRule="atLeast"/>
        </w:trPr>
        <w:tc>
          <w:tcPr>
            <w:tcW w:w="887" w:type="dxa"/>
            <w:tcBorders>
              <w:top w:val="single" w:color="auto" w:sz="4" w:space="0"/>
              <w:left w:val="single" w:color="000000" w:sz="4" w:space="0"/>
              <w:bottom w:val="single" w:color="000000" w:sz="4" w:space="0"/>
              <w:right w:val="single" w:color="000000" w:sz="4" w:space="0"/>
            </w:tcBorders>
            <w:shd w:val="clear" w:color="auto" w:fill="auto"/>
            <w:vAlign w:val="center"/>
          </w:tcPr>
          <w:p w14:paraId="75DA3A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8490" w:type="dxa"/>
            <w:gridSpan w:val="10"/>
            <w:tcBorders>
              <w:top w:val="single" w:color="auto" w:sz="4" w:space="0"/>
              <w:left w:val="single" w:color="000000" w:sz="4" w:space="0"/>
              <w:bottom w:val="single" w:color="000000" w:sz="4" w:space="0"/>
              <w:right w:val="single" w:color="000000" w:sz="4" w:space="0"/>
            </w:tcBorders>
            <w:shd w:val="clear" w:color="auto" w:fill="auto"/>
            <w:vAlign w:val="center"/>
          </w:tcPr>
          <w:p w14:paraId="73568B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承压类特种设备检验专项业务费</w:t>
            </w:r>
          </w:p>
        </w:tc>
      </w:tr>
      <w:tr w14:paraId="7165F6B8">
        <w:tblPrEx>
          <w:shd w:val="clear" w:color="auto" w:fill="auto"/>
          <w:tblCellMar>
            <w:top w:w="0" w:type="dxa"/>
            <w:left w:w="108" w:type="dxa"/>
            <w:bottom w:w="0" w:type="dxa"/>
            <w:right w:w="108" w:type="dxa"/>
          </w:tblCellMar>
        </w:tblPrEx>
        <w:trPr>
          <w:trHeight w:val="90" w:hRule="atLeast"/>
        </w:trPr>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E10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448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D2A3C1A">
            <w:pPr>
              <w:jc w:val="center"/>
              <w:rPr>
                <w:rFonts w:hint="eastAsia" w:ascii="宋体" w:hAnsi="宋体" w:eastAsia="宋体" w:cs="宋体"/>
                <w:i w:val="0"/>
                <w:iCs w:val="0"/>
                <w:color w:val="000000"/>
                <w:sz w:val="18"/>
                <w:szCs w:val="18"/>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D0E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32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E168E0">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新疆塔城地区特种设备检验检测所</w:t>
            </w:r>
          </w:p>
        </w:tc>
      </w:tr>
      <w:tr w14:paraId="61C6AD44">
        <w:tblPrEx>
          <w:tblCellMar>
            <w:top w:w="0" w:type="dxa"/>
            <w:left w:w="108" w:type="dxa"/>
            <w:bottom w:w="0" w:type="dxa"/>
            <w:right w:w="108" w:type="dxa"/>
          </w:tblCellMar>
        </w:tblPrEx>
        <w:trPr>
          <w:trHeight w:val="617" w:hRule="atLeast"/>
        </w:trPr>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779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1279" w:type="dxa"/>
            <w:gridSpan w:val="2"/>
            <w:tcBorders>
              <w:top w:val="single" w:color="000000" w:sz="4" w:space="0"/>
              <w:left w:val="single" w:color="000000" w:sz="4" w:space="0"/>
              <w:bottom w:val="single" w:color="000000" w:sz="4" w:space="0"/>
              <w:right w:val="nil"/>
            </w:tcBorders>
            <w:shd w:val="clear" w:color="auto" w:fill="auto"/>
            <w:vAlign w:val="bottom"/>
          </w:tcPr>
          <w:p w14:paraId="2F840AB9">
            <w:pPr>
              <w:rPr>
                <w:rFonts w:hint="eastAsia" w:ascii="宋体" w:hAnsi="宋体" w:eastAsia="宋体" w:cs="宋体"/>
                <w:i w:val="0"/>
                <w:iCs w:val="0"/>
                <w:color w:val="000000"/>
                <w:sz w:val="18"/>
                <w:szCs w:val="18"/>
                <w:u w:val="none"/>
              </w:rPr>
            </w:pPr>
          </w:p>
        </w:tc>
        <w:tc>
          <w:tcPr>
            <w:tcW w:w="240" w:type="dxa"/>
            <w:tcBorders>
              <w:top w:val="single" w:color="000000" w:sz="4" w:space="0"/>
              <w:left w:val="nil"/>
              <w:bottom w:val="single" w:color="000000" w:sz="4" w:space="0"/>
              <w:right w:val="single" w:color="000000" w:sz="4" w:space="0"/>
            </w:tcBorders>
            <w:shd w:val="clear" w:color="auto" w:fill="auto"/>
            <w:vAlign w:val="bottom"/>
          </w:tcPr>
          <w:p w14:paraId="74BFD354"/>
        </w:tc>
        <w:tc>
          <w:tcPr>
            <w:tcW w:w="13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E1DAFA">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年初预算数</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44D1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F84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32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16F467">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执行率</w:t>
            </w:r>
          </w:p>
        </w:tc>
      </w:tr>
      <w:tr w14:paraId="4AE60328">
        <w:tblPrEx>
          <w:shd w:val="clear" w:color="auto" w:fill="auto"/>
          <w:tblCellMar>
            <w:top w:w="0" w:type="dxa"/>
            <w:left w:w="108" w:type="dxa"/>
            <w:bottom w:w="0" w:type="dxa"/>
            <w:right w:w="108" w:type="dxa"/>
          </w:tblCellMar>
        </w:tblPrEx>
        <w:trPr>
          <w:trHeight w:val="318" w:hRule="atLeast"/>
        </w:trPr>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56E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15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37D7F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13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4CB99A">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76.18</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5927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76.18</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6A6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50.38</w:t>
            </w:r>
          </w:p>
        </w:tc>
        <w:tc>
          <w:tcPr>
            <w:tcW w:w="32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5BE0F4">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66.13%</w:t>
            </w:r>
          </w:p>
        </w:tc>
      </w:tr>
      <w:tr w14:paraId="613BEACC">
        <w:tblPrEx>
          <w:tblCellMar>
            <w:top w:w="0" w:type="dxa"/>
            <w:left w:w="108" w:type="dxa"/>
            <w:bottom w:w="0" w:type="dxa"/>
            <w:right w:w="108" w:type="dxa"/>
          </w:tblCellMar>
        </w:tblPrEx>
        <w:trPr>
          <w:trHeight w:val="318" w:hRule="atLeast"/>
        </w:trPr>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65B72">
            <w:pPr>
              <w:jc w:val="center"/>
              <w:rPr>
                <w:rFonts w:hint="eastAsia" w:ascii="宋体" w:hAnsi="宋体" w:eastAsia="宋体" w:cs="宋体"/>
                <w:i w:val="0"/>
                <w:iCs w:val="0"/>
                <w:color w:val="000000"/>
                <w:sz w:val="18"/>
                <w:szCs w:val="18"/>
                <w:u w:val="none"/>
              </w:rPr>
            </w:pPr>
          </w:p>
        </w:tc>
        <w:tc>
          <w:tcPr>
            <w:tcW w:w="15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BFA08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13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993516">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76.18</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5EA7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76.18</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3A6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50.38</w:t>
            </w:r>
          </w:p>
        </w:tc>
        <w:tc>
          <w:tcPr>
            <w:tcW w:w="32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4CF662">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r>
      <w:tr w14:paraId="4AD2E404">
        <w:tblPrEx>
          <w:shd w:val="clear" w:color="auto" w:fill="auto"/>
          <w:tblCellMar>
            <w:top w:w="0" w:type="dxa"/>
            <w:left w:w="108" w:type="dxa"/>
            <w:bottom w:w="0" w:type="dxa"/>
            <w:right w:w="108" w:type="dxa"/>
          </w:tblCellMar>
        </w:tblPrEx>
        <w:trPr>
          <w:trHeight w:val="318" w:hRule="atLeast"/>
        </w:trPr>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A19DB">
            <w:pPr>
              <w:jc w:val="center"/>
              <w:rPr>
                <w:rFonts w:hint="eastAsia" w:ascii="宋体" w:hAnsi="宋体" w:eastAsia="宋体" w:cs="宋体"/>
                <w:i w:val="0"/>
                <w:iCs w:val="0"/>
                <w:color w:val="000000"/>
                <w:sz w:val="18"/>
                <w:szCs w:val="18"/>
                <w:u w:val="none"/>
              </w:rPr>
            </w:pPr>
          </w:p>
        </w:tc>
        <w:tc>
          <w:tcPr>
            <w:tcW w:w="15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A8D66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13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F79CA7">
            <w:pPr>
              <w:jc w:val="cente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D3A7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400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32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F59F00">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r>
      <w:tr w14:paraId="38C4BE8F">
        <w:tblPrEx>
          <w:tblCellMar>
            <w:top w:w="0" w:type="dxa"/>
            <w:left w:w="108" w:type="dxa"/>
            <w:bottom w:w="0" w:type="dxa"/>
            <w:right w:w="108" w:type="dxa"/>
          </w:tblCellMar>
        </w:tblPrEx>
        <w:trPr>
          <w:trHeight w:val="462" w:hRule="atLeast"/>
        </w:trPr>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0E241">
            <w:pPr>
              <w:jc w:val="center"/>
              <w:rPr>
                <w:rFonts w:hint="eastAsia" w:ascii="宋体" w:hAnsi="宋体" w:eastAsia="宋体" w:cs="宋体"/>
                <w:i w:val="0"/>
                <w:iCs w:val="0"/>
                <w:color w:val="000000"/>
                <w:sz w:val="18"/>
                <w:szCs w:val="18"/>
                <w:u w:val="none"/>
              </w:rPr>
            </w:pPr>
          </w:p>
        </w:tc>
        <w:tc>
          <w:tcPr>
            <w:tcW w:w="15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431F6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13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95425F">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97F6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90615">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32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5CB5A7">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r>
      <w:tr w14:paraId="7E349785">
        <w:tblPrEx>
          <w:tblCellMar>
            <w:top w:w="0" w:type="dxa"/>
            <w:left w:w="108" w:type="dxa"/>
            <w:bottom w:w="0" w:type="dxa"/>
            <w:right w:w="108" w:type="dxa"/>
          </w:tblCellMar>
        </w:tblPrEx>
        <w:trPr>
          <w:trHeight w:val="620" w:hRule="atLeast"/>
        </w:trPr>
        <w:tc>
          <w:tcPr>
            <w:tcW w:w="8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4377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448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06F39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40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CDC1B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14:paraId="5538282D">
        <w:tblPrEx>
          <w:tblCellMar>
            <w:top w:w="0" w:type="dxa"/>
            <w:left w:w="108" w:type="dxa"/>
            <w:bottom w:w="0" w:type="dxa"/>
            <w:right w:w="108" w:type="dxa"/>
          </w:tblCellMar>
        </w:tblPrEx>
        <w:trPr>
          <w:trHeight w:val="480" w:hRule="atLeast"/>
        </w:trPr>
        <w:tc>
          <w:tcPr>
            <w:tcW w:w="8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F89EB3">
            <w:pPr>
              <w:jc w:val="center"/>
              <w:rPr>
                <w:rFonts w:hint="eastAsia" w:ascii="宋体" w:hAnsi="宋体" w:eastAsia="宋体" w:cs="宋体"/>
                <w:i w:val="0"/>
                <w:iCs w:val="0"/>
                <w:color w:val="000000"/>
                <w:sz w:val="18"/>
                <w:szCs w:val="18"/>
                <w:u w:val="none"/>
              </w:rPr>
            </w:pPr>
          </w:p>
        </w:tc>
        <w:tc>
          <w:tcPr>
            <w:tcW w:w="448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FF47C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该项目预期完成塔城地区注册到期的锅炉、安全阀定期检验，监督验收任务。锅炉 120台、安全阀700台。从元月开始各县市陆续到期设备不断增加，我科室根据使用单位报检情况和设备到期预警合理安排全年检验工作。该项目随机性大属于企业报检，特种设备检验关乎人民群众生命财产安全，通过检验能够提高设备安全同时加强企业设备维护巡检力度，保障安全生产。</w:t>
            </w:r>
          </w:p>
        </w:tc>
        <w:tc>
          <w:tcPr>
            <w:tcW w:w="40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5DB7F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该项目预期完成塔城地区注册到期的锅炉、安全阀定期检验，监督验收任务。锅炉 120台、安全阀700台。从元月开始各县市陆续到期设备不断增加，我科室根据使用单位报检情况和设备到期预警合理安排全年检验工作。该项目随机性大属于企业报检，特种设备检验关乎人民群众生命财产安全，通过检验能够提高设备安全同时加强企业设备维护巡检力度，保障安全生产。</w:t>
            </w:r>
          </w:p>
        </w:tc>
      </w:tr>
      <w:tr w14:paraId="3A9F6347">
        <w:tblPrEx>
          <w:shd w:val="clear" w:color="auto" w:fill="auto"/>
          <w:tblCellMar>
            <w:top w:w="0" w:type="dxa"/>
            <w:left w:w="108" w:type="dxa"/>
            <w:bottom w:w="0" w:type="dxa"/>
            <w:right w:w="108" w:type="dxa"/>
          </w:tblCellMar>
        </w:tblPrEx>
        <w:trPr>
          <w:trHeight w:val="721" w:hRule="atLeast"/>
        </w:trPr>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116B8">
            <w:pPr>
              <w:jc w:val="center"/>
              <w:rPr>
                <w:rFonts w:hint="eastAsia" w:ascii="宋体" w:hAnsi="宋体" w:eastAsia="宋体" w:cs="宋体"/>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B3C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0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10F1A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64C6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20E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E3636D">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实际完成值</w:t>
            </w:r>
          </w:p>
        </w:tc>
        <w:tc>
          <w:tcPr>
            <w:tcW w:w="27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6063F">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偏差原因分析及改进措施</w:t>
            </w:r>
          </w:p>
        </w:tc>
      </w:tr>
      <w:tr w14:paraId="42725258">
        <w:tblPrEx>
          <w:tblCellMar>
            <w:top w:w="0" w:type="dxa"/>
            <w:left w:w="108" w:type="dxa"/>
            <w:bottom w:w="0" w:type="dxa"/>
            <w:right w:w="108" w:type="dxa"/>
          </w:tblCellMar>
        </w:tblPrEx>
        <w:trPr>
          <w:trHeight w:val="284" w:hRule="atLeast"/>
        </w:trPr>
        <w:tc>
          <w:tcPr>
            <w:tcW w:w="8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E00E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7616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05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9280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9401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锅炉检验数量</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16C84">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color w:val="000000"/>
                <w:kern w:val="0"/>
                <w:sz w:val="18"/>
                <w:szCs w:val="18"/>
                <w:u w:val="none"/>
                <w:lang w:val="en-US" w:eastAsia="zh-CN" w:bidi="ar"/>
              </w:rPr>
              <w:t>=120台</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D6F2F8">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166台</w:t>
            </w:r>
          </w:p>
        </w:tc>
        <w:tc>
          <w:tcPr>
            <w:tcW w:w="27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F8171">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在普查登记过程中以前未注册设备在本年注册，致使检验量增加</w:t>
            </w:r>
          </w:p>
        </w:tc>
      </w:tr>
      <w:tr w14:paraId="2B82D316">
        <w:tblPrEx>
          <w:tblCellMar>
            <w:top w:w="0" w:type="dxa"/>
            <w:left w:w="108" w:type="dxa"/>
            <w:bottom w:w="0" w:type="dxa"/>
            <w:right w:w="108" w:type="dxa"/>
          </w:tblCellMar>
        </w:tblPrEx>
        <w:trPr>
          <w:trHeight w:val="318" w:hRule="atLeast"/>
        </w:trPr>
        <w:tc>
          <w:tcPr>
            <w:tcW w:w="8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946893">
            <w:pPr>
              <w:jc w:val="center"/>
              <w:rPr>
                <w:rFonts w:hint="eastAsia" w:ascii="宋体" w:hAnsi="宋体" w:eastAsia="宋体" w:cs="宋体"/>
                <w:i w:val="0"/>
                <w:iCs w:val="0"/>
                <w:color w:val="000000"/>
                <w:sz w:val="18"/>
                <w:szCs w:val="18"/>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51F826">
            <w:pPr>
              <w:jc w:val="center"/>
              <w:rPr>
                <w:rFonts w:hint="eastAsia" w:ascii="宋体" w:hAnsi="宋体" w:eastAsia="宋体" w:cs="宋体"/>
                <w:i w:val="0"/>
                <w:iCs w:val="0"/>
                <w:color w:val="000000"/>
                <w:sz w:val="18"/>
                <w:szCs w:val="18"/>
                <w:u w:val="none"/>
              </w:rPr>
            </w:pPr>
          </w:p>
        </w:tc>
        <w:tc>
          <w:tcPr>
            <w:tcW w:w="105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012EBE">
            <w:pPr>
              <w:jc w:val="center"/>
              <w:rPr>
                <w:rFonts w:hint="eastAsia" w:ascii="宋体" w:hAnsi="宋体" w:eastAsia="宋体" w:cs="宋体"/>
                <w:i w:val="0"/>
                <w:iCs w:val="0"/>
                <w:color w:val="000000"/>
                <w:sz w:val="18"/>
                <w:szCs w:val="18"/>
                <w:u w:val="none"/>
              </w:rPr>
            </w:pP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DBE6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安全阀校验数量</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A85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=700只</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13E352">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639只</w:t>
            </w:r>
          </w:p>
        </w:tc>
        <w:tc>
          <w:tcPr>
            <w:tcW w:w="27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FFD55">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送检数量没有预期的多</w:t>
            </w:r>
          </w:p>
        </w:tc>
      </w:tr>
      <w:tr w14:paraId="33F70FED">
        <w:tblPrEx>
          <w:shd w:val="clear" w:color="auto" w:fill="auto"/>
          <w:tblCellMar>
            <w:top w:w="0" w:type="dxa"/>
            <w:left w:w="108" w:type="dxa"/>
            <w:bottom w:w="0" w:type="dxa"/>
            <w:right w:w="108" w:type="dxa"/>
          </w:tblCellMar>
        </w:tblPrEx>
        <w:trPr>
          <w:trHeight w:val="318" w:hRule="atLeast"/>
        </w:trPr>
        <w:tc>
          <w:tcPr>
            <w:tcW w:w="8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5C4556">
            <w:pPr>
              <w:jc w:val="center"/>
              <w:rPr>
                <w:rFonts w:hint="eastAsia" w:ascii="宋体" w:hAnsi="宋体" w:eastAsia="宋体" w:cs="宋体"/>
                <w:i w:val="0"/>
                <w:iCs w:val="0"/>
                <w:color w:val="000000"/>
                <w:sz w:val="18"/>
                <w:szCs w:val="18"/>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F092E3">
            <w:pPr>
              <w:jc w:val="center"/>
              <w:rPr>
                <w:rFonts w:hint="eastAsia" w:ascii="宋体" w:hAnsi="宋体" w:eastAsia="宋体" w:cs="宋体"/>
                <w:i w:val="0"/>
                <w:iCs w:val="0"/>
                <w:color w:val="000000"/>
                <w:sz w:val="18"/>
                <w:szCs w:val="18"/>
                <w:u w:val="none"/>
              </w:rPr>
            </w:pPr>
          </w:p>
        </w:tc>
        <w:tc>
          <w:tcPr>
            <w:tcW w:w="105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CCD294">
            <w:pPr>
              <w:jc w:val="center"/>
              <w:rPr>
                <w:rFonts w:hint="eastAsia" w:ascii="宋体" w:hAnsi="宋体" w:eastAsia="宋体" w:cs="宋体"/>
                <w:i w:val="0"/>
                <w:iCs w:val="0"/>
                <w:color w:val="000000"/>
                <w:sz w:val="18"/>
                <w:szCs w:val="18"/>
                <w:u w:val="none"/>
              </w:rPr>
            </w:pP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D27F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压力容器检验数量</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E20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=210台</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ED0288">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392台</w:t>
            </w:r>
          </w:p>
        </w:tc>
        <w:tc>
          <w:tcPr>
            <w:tcW w:w="27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209C0">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在普查登记过程中以前未注册设备在本年注册，致使检验量增加</w:t>
            </w:r>
          </w:p>
        </w:tc>
      </w:tr>
      <w:tr w14:paraId="6BA271C0">
        <w:tblPrEx>
          <w:shd w:val="clear" w:color="auto" w:fill="auto"/>
          <w:tblCellMar>
            <w:top w:w="0" w:type="dxa"/>
            <w:left w:w="108" w:type="dxa"/>
            <w:bottom w:w="0" w:type="dxa"/>
            <w:right w:w="108" w:type="dxa"/>
          </w:tblCellMar>
        </w:tblPrEx>
        <w:trPr>
          <w:trHeight w:val="420" w:hRule="atLeast"/>
        </w:trPr>
        <w:tc>
          <w:tcPr>
            <w:tcW w:w="8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55B243">
            <w:pPr>
              <w:jc w:val="center"/>
              <w:rPr>
                <w:rFonts w:hint="eastAsia" w:ascii="宋体" w:hAnsi="宋体" w:eastAsia="宋体" w:cs="宋体"/>
                <w:i w:val="0"/>
                <w:iCs w:val="0"/>
                <w:color w:val="000000"/>
                <w:sz w:val="18"/>
                <w:szCs w:val="18"/>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3B848F">
            <w:pPr>
              <w:jc w:val="center"/>
              <w:rPr>
                <w:rFonts w:hint="eastAsia" w:ascii="宋体" w:hAnsi="宋体" w:eastAsia="宋体" w:cs="宋体"/>
                <w:i w:val="0"/>
                <w:iCs w:val="0"/>
                <w:color w:val="000000"/>
                <w:sz w:val="18"/>
                <w:szCs w:val="18"/>
                <w:u w:val="none"/>
              </w:rPr>
            </w:pPr>
          </w:p>
        </w:tc>
        <w:tc>
          <w:tcPr>
            <w:tcW w:w="105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C7D25A">
            <w:pPr>
              <w:jc w:val="center"/>
              <w:rPr>
                <w:rFonts w:hint="eastAsia" w:ascii="宋体" w:hAnsi="宋体" w:eastAsia="宋体" w:cs="宋体"/>
                <w:i w:val="0"/>
                <w:iCs w:val="0"/>
                <w:color w:val="000000"/>
                <w:sz w:val="18"/>
                <w:szCs w:val="18"/>
                <w:u w:val="none"/>
              </w:rPr>
            </w:pP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01DB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压力管道检验数量</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F2A71">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color w:val="000000"/>
                <w:kern w:val="0"/>
                <w:sz w:val="18"/>
                <w:szCs w:val="18"/>
                <w:u w:val="none"/>
                <w:lang w:val="en-US" w:eastAsia="zh-CN" w:bidi="ar"/>
              </w:rPr>
              <w:t>=30km</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002CE5">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29km</w:t>
            </w:r>
          </w:p>
        </w:tc>
        <w:tc>
          <w:tcPr>
            <w:tcW w:w="27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0BB3B">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实际报检量比预期少</w:t>
            </w:r>
          </w:p>
        </w:tc>
      </w:tr>
      <w:tr w14:paraId="22A2755D">
        <w:tblPrEx>
          <w:tblCellMar>
            <w:top w:w="0" w:type="dxa"/>
            <w:left w:w="108" w:type="dxa"/>
            <w:bottom w:w="0" w:type="dxa"/>
            <w:right w:w="108" w:type="dxa"/>
          </w:tblCellMar>
        </w:tblPrEx>
        <w:trPr>
          <w:trHeight w:val="318" w:hRule="atLeast"/>
        </w:trPr>
        <w:tc>
          <w:tcPr>
            <w:tcW w:w="8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1B948C">
            <w:pPr>
              <w:jc w:val="center"/>
              <w:rPr>
                <w:rFonts w:hint="eastAsia" w:ascii="宋体" w:hAnsi="宋体" w:eastAsia="宋体" w:cs="宋体"/>
                <w:i w:val="0"/>
                <w:iCs w:val="0"/>
                <w:color w:val="000000"/>
                <w:sz w:val="18"/>
                <w:szCs w:val="18"/>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CB6C99">
            <w:pPr>
              <w:jc w:val="center"/>
              <w:rPr>
                <w:rFonts w:hint="eastAsia" w:ascii="宋体" w:hAnsi="宋体" w:eastAsia="宋体" w:cs="宋体"/>
                <w:i w:val="0"/>
                <w:iCs w:val="0"/>
                <w:color w:val="000000"/>
                <w:sz w:val="18"/>
                <w:szCs w:val="18"/>
                <w:u w:val="none"/>
              </w:rPr>
            </w:pPr>
          </w:p>
        </w:tc>
        <w:tc>
          <w:tcPr>
            <w:tcW w:w="105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6640DC">
            <w:pPr>
              <w:jc w:val="center"/>
              <w:rPr>
                <w:rFonts w:hint="eastAsia" w:ascii="宋体" w:hAnsi="宋体" w:eastAsia="宋体" w:cs="宋体"/>
                <w:i w:val="0"/>
                <w:iCs w:val="0"/>
                <w:color w:val="000000"/>
                <w:sz w:val="18"/>
                <w:szCs w:val="18"/>
                <w:u w:val="none"/>
              </w:rPr>
            </w:pP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87E4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培训人次</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B81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≥8人次</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2ECC43">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5人次</w:t>
            </w:r>
          </w:p>
        </w:tc>
        <w:tc>
          <w:tcPr>
            <w:tcW w:w="27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02795">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受疫情影响，赴内地的培训均未参加</w:t>
            </w:r>
          </w:p>
        </w:tc>
      </w:tr>
      <w:tr w14:paraId="5CA49BE9">
        <w:tblPrEx>
          <w:tblCellMar>
            <w:top w:w="0" w:type="dxa"/>
            <w:left w:w="108" w:type="dxa"/>
            <w:bottom w:w="0" w:type="dxa"/>
            <w:right w:w="108" w:type="dxa"/>
          </w:tblCellMar>
        </w:tblPrEx>
        <w:trPr>
          <w:trHeight w:val="1547" w:hRule="atLeast"/>
        </w:trPr>
        <w:tc>
          <w:tcPr>
            <w:tcW w:w="8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0E0918">
            <w:pPr>
              <w:jc w:val="center"/>
              <w:rPr>
                <w:rFonts w:hint="eastAsia" w:ascii="宋体" w:hAnsi="宋体" w:eastAsia="宋体" w:cs="宋体"/>
                <w:i w:val="0"/>
                <w:iCs w:val="0"/>
                <w:color w:val="000000"/>
                <w:sz w:val="18"/>
                <w:szCs w:val="18"/>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D21EE0">
            <w:pPr>
              <w:jc w:val="center"/>
              <w:rPr>
                <w:rFonts w:hint="eastAsia" w:ascii="宋体" w:hAnsi="宋体" w:eastAsia="宋体" w:cs="宋体"/>
                <w:i w:val="0"/>
                <w:iCs w:val="0"/>
                <w:color w:val="000000"/>
                <w:sz w:val="18"/>
                <w:szCs w:val="18"/>
                <w:u w:val="none"/>
              </w:rPr>
            </w:pPr>
          </w:p>
        </w:tc>
        <w:tc>
          <w:tcPr>
            <w:tcW w:w="105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AE59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06DB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特种设备定检完成率</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B1B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2A6FC4">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95%</w:t>
            </w:r>
          </w:p>
        </w:tc>
        <w:tc>
          <w:tcPr>
            <w:tcW w:w="27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A4E2C">
            <w:pPr>
              <w:jc w:val="center"/>
            </w:pPr>
          </w:p>
        </w:tc>
      </w:tr>
      <w:tr w14:paraId="7D1D92F6">
        <w:tblPrEx>
          <w:shd w:val="clear" w:color="auto" w:fill="auto"/>
          <w:tblCellMar>
            <w:top w:w="0" w:type="dxa"/>
            <w:left w:w="108" w:type="dxa"/>
            <w:bottom w:w="0" w:type="dxa"/>
            <w:right w:w="108" w:type="dxa"/>
          </w:tblCellMar>
        </w:tblPrEx>
        <w:trPr>
          <w:trHeight w:val="462" w:hRule="atLeast"/>
        </w:trPr>
        <w:tc>
          <w:tcPr>
            <w:tcW w:w="8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7B4AEF">
            <w:pPr>
              <w:jc w:val="center"/>
              <w:rPr>
                <w:rFonts w:hint="eastAsia" w:ascii="宋体" w:hAnsi="宋体" w:eastAsia="宋体" w:cs="宋体"/>
                <w:i w:val="0"/>
                <w:iCs w:val="0"/>
                <w:color w:val="000000"/>
                <w:sz w:val="18"/>
                <w:szCs w:val="18"/>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8C0BA7">
            <w:pPr>
              <w:jc w:val="center"/>
              <w:rPr>
                <w:rFonts w:hint="eastAsia" w:ascii="宋体" w:hAnsi="宋体" w:eastAsia="宋体" w:cs="宋体"/>
                <w:i w:val="0"/>
                <w:iCs w:val="0"/>
                <w:color w:val="000000"/>
                <w:sz w:val="18"/>
                <w:szCs w:val="18"/>
                <w:u w:val="none"/>
              </w:rPr>
            </w:pPr>
          </w:p>
        </w:tc>
        <w:tc>
          <w:tcPr>
            <w:tcW w:w="105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E2B3A0">
            <w:pPr>
              <w:jc w:val="center"/>
              <w:rPr>
                <w:rFonts w:hint="eastAsia" w:ascii="宋体" w:hAnsi="宋体" w:eastAsia="宋体" w:cs="宋体"/>
                <w:i w:val="0"/>
                <w:iCs w:val="0"/>
                <w:color w:val="000000"/>
                <w:sz w:val="18"/>
                <w:szCs w:val="18"/>
                <w:u w:val="none"/>
              </w:rPr>
            </w:pP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2400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复检率</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436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0ECB36">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27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E7F82">
            <w:pPr>
              <w:jc w:val="center"/>
            </w:pPr>
          </w:p>
        </w:tc>
      </w:tr>
      <w:tr w14:paraId="30AF7FC8">
        <w:tblPrEx>
          <w:shd w:val="clear" w:color="auto" w:fill="auto"/>
          <w:tblCellMar>
            <w:top w:w="0" w:type="dxa"/>
            <w:left w:w="108" w:type="dxa"/>
            <w:bottom w:w="0" w:type="dxa"/>
            <w:right w:w="108" w:type="dxa"/>
          </w:tblCellMar>
        </w:tblPrEx>
        <w:trPr>
          <w:trHeight w:val="462" w:hRule="atLeast"/>
        </w:trPr>
        <w:tc>
          <w:tcPr>
            <w:tcW w:w="8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4871E5">
            <w:pPr>
              <w:jc w:val="center"/>
              <w:rPr>
                <w:rFonts w:hint="eastAsia" w:ascii="宋体" w:hAnsi="宋体" w:eastAsia="宋体" w:cs="宋体"/>
                <w:i w:val="0"/>
                <w:iCs w:val="0"/>
                <w:color w:val="000000"/>
                <w:sz w:val="18"/>
                <w:szCs w:val="18"/>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AAD779">
            <w:pPr>
              <w:jc w:val="center"/>
              <w:rPr>
                <w:rFonts w:hint="eastAsia" w:ascii="宋体" w:hAnsi="宋体" w:eastAsia="宋体" w:cs="宋体"/>
                <w:i w:val="0"/>
                <w:iCs w:val="0"/>
                <w:color w:val="000000"/>
                <w:sz w:val="18"/>
                <w:szCs w:val="18"/>
                <w:u w:val="none"/>
              </w:rPr>
            </w:pPr>
          </w:p>
        </w:tc>
        <w:tc>
          <w:tcPr>
            <w:tcW w:w="10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F0E39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5F75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按期检验完成时限</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750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≤15工作日</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1716B5">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10工作日</w:t>
            </w:r>
          </w:p>
        </w:tc>
        <w:tc>
          <w:tcPr>
            <w:tcW w:w="27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DA333">
            <w:pPr>
              <w:jc w:val="center"/>
            </w:pPr>
          </w:p>
        </w:tc>
      </w:tr>
      <w:tr w14:paraId="78AB9017">
        <w:tblPrEx>
          <w:shd w:val="clear" w:color="auto" w:fill="auto"/>
          <w:tblCellMar>
            <w:top w:w="0" w:type="dxa"/>
            <w:left w:w="108" w:type="dxa"/>
            <w:bottom w:w="0" w:type="dxa"/>
            <w:right w:w="108" w:type="dxa"/>
          </w:tblCellMar>
        </w:tblPrEx>
        <w:trPr>
          <w:trHeight w:val="442" w:hRule="atLeast"/>
        </w:trPr>
        <w:tc>
          <w:tcPr>
            <w:tcW w:w="8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4124E0">
            <w:pPr>
              <w:jc w:val="center"/>
              <w:rPr>
                <w:rFonts w:hint="eastAsia" w:ascii="宋体" w:hAnsi="宋体" w:eastAsia="宋体" w:cs="宋体"/>
                <w:i w:val="0"/>
                <w:iCs w:val="0"/>
                <w:color w:val="000000"/>
                <w:sz w:val="18"/>
                <w:szCs w:val="18"/>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0399F5">
            <w:pPr>
              <w:jc w:val="center"/>
              <w:rPr>
                <w:rFonts w:hint="eastAsia" w:ascii="宋体" w:hAnsi="宋体" w:eastAsia="宋体" w:cs="宋体"/>
                <w:i w:val="0"/>
                <w:iCs w:val="0"/>
                <w:color w:val="000000"/>
                <w:sz w:val="18"/>
                <w:szCs w:val="18"/>
                <w:u w:val="none"/>
              </w:rPr>
            </w:pPr>
          </w:p>
        </w:tc>
        <w:tc>
          <w:tcPr>
            <w:tcW w:w="10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82F6E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29EC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检验专项业务成本</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1C476">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color w:val="000000"/>
                <w:kern w:val="0"/>
                <w:sz w:val="18"/>
                <w:szCs w:val="18"/>
                <w:u w:val="none"/>
                <w:lang w:val="en-US" w:eastAsia="zh-CN" w:bidi="ar"/>
              </w:rPr>
              <w:t>≤76.17万元</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25CD2D">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50.38万元</w:t>
            </w:r>
          </w:p>
        </w:tc>
        <w:tc>
          <w:tcPr>
            <w:tcW w:w="27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4D998">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由于疫情原因，与参加内地的检验师培训取消，致使成本降低</w:t>
            </w:r>
          </w:p>
        </w:tc>
      </w:tr>
      <w:tr w14:paraId="209A7194">
        <w:tblPrEx>
          <w:shd w:val="clear" w:color="auto" w:fill="auto"/>
          <w:tblCellMar>
            <w:top w:w="0" w:type="dxa"/>
            <w:left w:w="108" w:type="dxa"/>
            <w:bottom w:w="0" w:type="dxa"/>
            <w:right w:w="108" w:type="dxa"/>
          </w:tblCellMar>
        </w:tblPrEx>
        <w:trPr>
          <w:trHeight w:val="462" w:hRule="atLeast"/>
        </w:trPr>
        <w:tc>
          <w:tcPr>
            <w:tcW w:w="8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EF38B2">
            <w:pPr>
              <w:jc w:val="center"/>
              <w:rPr>
                <w:rFonts w:hint="eastAsia" w:ascii="宋体" w:hAnsi="宋体" w:eastAsia="宋体" w:cs="宋体"/>
                <w:i w:val="0"/>
                <w:iCs w:val="0"/>
                <w:color w:val="000000"/>
                <w:sz w:val="18"/>
                <w:szCs w:val="18"/>
                <w:u w:val="none"/>
              </w:rPr>
            </w:pPr>
          </w:p>
        </w:tc>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26FA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10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19022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B61F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承压类设备检验收费</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2F3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≥260万元</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DD5559">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187.47万元</w:t>
            </w:r>
          </w:p>
        </w:tc>
        <w:tc>
          <w:tcPr>
            <w:tcW w:w="27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16934">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受疫情影响，保荐数量减少，检验收费减少</w:t>
            </w:r>
          </w:p>
        </w:tc>
      </w:tr>
      <w:tr w14:paraId="6A338B43">
        <w:tblPrEx>
          <w:shd w:val="clear" w:color="auto" w:fill="auto"/>
          <w:tblCellMar>
            <w:top w:w="0" w:type="dxa"/>
            <w:left w:w="108" w:type="dxa"/>
            <w:bottom w:w="0" w:type="dxa"/>
            <w:right w:w="108" w:type="dxa"/>
          </w:tblCellMar>
        </w:tblPrEx>
        <w:trPr>
          <w:trHeight w:val="414" w:hRule="atLeast"/>
        </w:trPr>
        <w:tc>
          <w:tcPr>
            <w:tcW w:w="8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5F4930">
            <w:pPr>
              <w:jc w:val="center"/>
              <w:rPr>
                <w:rFonts w:hint="eastAsia" w:ascii="宋体" w:hAnsi="宋体" w:eastAsia="宋体" w:cs="宋体"/>
                <w:i w:val="0"/>
                <w:iCs w:val="0"/>
                <w:color w:val="000000"/>
                <w:sz w:val="18"/>
                <w:szCs w:val="18"/>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6A7305">
            <w:pPr>
              <w:jc w:val="center"/>
              <w:rPr>
                <w:rFonts w:hint="eastAsia" w:ascii="宋体" w:hAnsi="宋体" w:eastAsia="宋体" w:cs="宋体"/>
                <w:i w:val="0"/>
                <w:iCs w:val="0"/>
                <w:color w:val="000000"/>
                <w:sz w:val="18"/>
                <w:szCs w:val="18"/>
                <w:u w:val="none"/>
              </w:rPr>
            </w:pPr>
          </w:p>
        </w:tc>
        <w:tc>
          <w:tcPr>
            <w:tcW w:w="10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23E4EB8">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color w:val="000000"/>
                <w:kern w:val="0"/>
                <w:sz w:val="18"/>
                <w:szCs w:val="18"/>
                <w:u w:val="none"/>
                <w:lang w:val="en-US" w:eastAsia="zh-CN" w:bidi="ar"/>
              </w:rPr>
              <w:t>社会效益指标</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CE4152">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color w:val="000000"/>
                <w:kern w:val="0"/>
                <w:sz w:val="18"/>
                <w:szCs w:val="18"/>
                <w:u w:val="none"/>
                <w:lang w:val="en-US" w:eastAsia="zh-CN" w:bidi="ar"/>
              </w:rPr>
              <w:t>安全生产事故率</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49F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=0次</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B95E48">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0次</w:t>
            </w:r>
          </w:p>
        </w:tc>
        <w:tc>
          <w:tcPr>
            <w:tcW w:w="27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1C657">
            <w:pPr>
              <w:jc w:val="center"/>
            </w:pPr>
          </w:p>
        </w:tc>
      </w:tr>
      <w:tr w14:paraId="72D03254">
        <w:tblPrEx>
          <w:shd w:val="clear" w:color="auto" w:fill="auto"/>
          <w:tblCellMar>
            <w:top w:w="0" w:type="dxa"/>
            <w:left w:w="108" w:type="dxa"/>
            <w:bottom w:w="0" w:type="dxa"/>
            <w:right w:w="108" w:type="dxa"/>
          </w:tblCellMar>
        </w:tblPrEx>
        <w:trPr>
          <w:trHeight w:val="1251" w:hRule="atLeast"/>
        </w:trPr>
        <w:tc>
          <w:tcPr>
            <w:tcW w:w="8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2D29FB">
            <w:pPr>
              <w:jc w:val="center"/>
              <w:rPr>
                <w:rFonts w:hint="eastAsia" w:ascii="宋体" w:hAnsi="宋体" w:eastAsia="宋体" w:cs="宋体"/>
                <w:i w:val="0"/>
                <w:iCs w:val="0"/>
                <w:color w:val="000000"/>
                <w:sz w:val="18"/>
                <w:szCs w:val="18"/>
                <w:u w:val="none"/>
              </w:rPr>
            </w:pPr>
          </w:p>
        </w:tc>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84B4EE">
            <w:pPr>
              <w:jc w:val="center"/>
              <w:rPr>
                <w:rFonts w:hint="eastAsia" w:ascii="宋体" w:hAnsi="宋体" w:eastAsia="宋体" w:cs="宋体"/>
                <w:i w:val="0"/>
                <w:iCs w:val="0"/>
                <w:color w:val="000000"/>
                <w:sz w:val="18"/>
                <w:szCs w:val="18"/>
                <w:u w:val="none"/>
              </w:rPr>
            </w:pPr>
          </w:p>
        </w:tc>
        <w:tc>
          <w:tcPr>
            <w:tcW w:w="10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927989E">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color w:val="000000"/>
                <w:kern w:val="0"/>
                <w:sz w:val="18"/>
                <w:szCs w:val="18"/>
                <w:u w:val="none"/>
                <w:lang w:val="en-US" w:eastAsia="zh-CN" w:bidi="ar"/>
              </w:rPr>
              <w:t>可持续影响指标</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DF982E">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color w:val="000000"/>
                <w:kern w:val="0"/>
                <w:sz w:val="18"/>
                <w:szCs w:val="18"/>
                <w:u w:val="none"/>
                <w:lang w:val="en-US" w:eastAsia="zh-CN" w:bidi="ar"/>
              </w:rPr>
              <w:t>促进全特种设备安全运行</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BB5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中长期</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9100D5">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中长期</w:t>
            </w:r>
          </w:p>
        </w:tc>
        <w:tc>
          <w:tcPr>
            <w:tcW w:w="27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6C79F">
            <w:pPr>
              <w:jc w:val="center"/>
            </w:pPr>
          </w:p>
        </w:tc>
      </w:tr>
      <w:tr w14:paraId="3B1871A4">
        <w:tblPrEx>
          <w:shd w:val="clear" w:color="auto" w:fill="auto"/>
          <w:tblCellMar>
            <w:top w:w="0" w:type="dxa"/>
            <w:left w:w="108" w:type="dxa"/>
            <w:bottom w:w="0" w:type="dxa"/>
            <w:right w:w="108" w:type="dxa"/>
          </w:tblCellMar>
        </w:tblPrEx>
        <w:trPr>
          <w:trHeight w:val="1251" w:hRule="atLeast"/>
        </w:trPr>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D9E45">
            <w:pPr>
              <w:jc w:val="center"/>
              <w:rPr>
                <w:rFonts w:hint="eastAsia" w:ascii="宋体" w:hAnsi="宋体" w:eastAsia="宋体" w:cs="宋体"/>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8C48B">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满意度指标</w:t>
            </w:r>
          </w:p>
        </w:tc>
        <w:tc>
          <w:tcPr>
            <w:tcW w:w="10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15ECF11">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服务对象满意度指标</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A28CE0">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受检单位投诉率</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C36B7">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=0次</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853707">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0次</w:t>
            </w:r>
          </w:p>
        </w:tc>
        <w:tc>
          <w:tcPr>
            <w:tcW w:w="27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E026C">
            <w:pPr>
              <w:jc w:val="center"/>
            </w:pPr>
          </w:p>
        </w:tc>
      </w:tr>
    </w:tbl>
    <w:p w14:paraId="411B8C51">
      <w:pPr>
        <w:rPr>
          <w:rFonts w:hint="eastAsia" w:ascii="仿宋_GB2312" w:hAnsi="仿宋_GB2312" w:eastAsia="仿宋_GB2312" w:cs="仿宋_GB2312"/>
          <w:sz w:val="32"/>
          <w:szCs w:val="32"/>
          <w:lang w:val="en-US" w:eastAsia="zh-CN"/>
        </w:rPr>
      </w:pPr>
    </w:p>
    <w:p w14:paraId="4CF1A310">
      <w:pPr>
        <w:pStyle w:val="2"/>
        <w:rPr>
          <w:rFonts w:hint="eastAsia" w:ascii="仿宋_GB2312" w:hAnsi="仿宋_GB2312" w:eastAsia="仿宋_GB2312" w:cs="仿宋_GB2312"/>
          <w:sz w:val="32"/>
          <w:szCs w:val="32"/>
          <w:lang w:val="en-US" w:eastAsia="zh-CN"/>
        </w:rPr>
      </w:pPr>
    </w:p>
    <w:p w14:paraId="4A4DEF23">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br w:type="page"/>
      </w:r>
    </w:p>
    <w:p w14:paraId="720D0C1A">
      <w:pPr>
        <w:rPr>
          <w:rFonts w:hint="eastAsia"/>
          <w:lang w:val="en-US" w:eastAsia="zh-CN"/>
        </w:rPr>
      </w:pPr>
    </w:p>
    <w:sectPr>
      <w:footerReference r:id="rId5" w:type="default"/>
      <w:footerReference r:id="rId6" w:type="even"/>
      <w:pgSz w:w="11906" w:h="16838"/>
      <w:pgMar w:top="1701" w:right="1531" w:bottom="1531" w:left="1531" w:header="851" w:footer="992" w:gutter="0"/>
      <w:pgNumType w:fmt="numberInDash"/>
      <w:cols w:space="0" w:num="1"/>
      <w:docGrid w:type="lines" w:linePitch="5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BD7A031-AE0D-4311-AB09-42B47F38539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embedRegular r:id="rId2" w:fontKey="{4C231915-622B-4641-9D24-6A6B9A4EC4F3}"/>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方正小标宋简体">
    <w:panose1 w:val="02000000000000000000"/>
    <w:charset w:val="86"/>
    <w:family w:val="auto"/>
    <w:pitch w:val="default"/>
    <w:sig w:usb0="00000001" w:usb1="08000000" w:usb2="00000000" w:usb3="00000000" w:csb0="00040000" w:csb1="00000000"/>
    <w:embedRegular r:id="rId3" w:fontKey="{E112C0B7-60D2-46BA-99A0-98D4F2391ACE}"/>
  </w:font>
  <w:font w:name="仿宋_GB2312">
    <w:altName w:val="仿宋"/>
    <w:panose1 w:val="02010609030101010101"/>
    <w:charset w:val="86"/>
    <w:family w:val="modern"/>
    <w:pitch w:val="default"/>
    <w:sig w:usb0="00000000" w:usb1="00000000" w:usb2="00000000" w:usb3="00000000" w:csb0="00040000" w:csb1="00000000"/>
    <w:embedRegular r:id="rId4" w:fontKey="{33052EC5-06A3-4C3E-A016-40658F8C2194}"/>
  </w:font>
  <w:font w:name="楷体_GB2312">
    <w:altName w:val="楷体"/>
    <w:panose1 w:val="02010609030101010101"/>
    <w:charset w:val="86"/>
    <w:family w:val="auto"/>
    <w:pitch w:val="default"/>
    <w:sig w:usb0="00000000" w:usb1="00000000" w:usb2="00000000" w:usb3="00000000" w:csb0="00040000" w:csb1="00000000"/>
    <w:embedRegular r:id="rId5" w:fontKey="{DADC3479-5148-44C2-8E6F-50AE3967A65E}"/>
  </w:font>
  <w:font w:name="楷体">
    <w:panose1 w:val="02010609060101010101"/>
    <w:charset w:val="86"/>
    <w:family w:val="auto"/>
    <w:pitch w:val="default"/>
    <w:sig w:usb0="800002BF" w:usb1="38CF7CFA" w:usb2="00000016" w:usb3="00000000" w:csb0="00040001" w:csb1="00000000"/>
    <w:embedRegular r:id="rId6" w:fontKey="{C405DE9A-1FB2-46C4-9378-B0F44FF7BB57}"/>
  </w:font>
  <w:font w:name="仿宋">
    <w:panose1 w:val="02010609060101010101"/>
    <w:charset w:val="86"/>
    <w:family w:val="auto"/>
    <w:pitch w:val="default"/>
    <w:sig w:usb0="800002BF" w:usb1="38CF7CFA" w:usb2="00000016" w:usb3="00000000" w:csb0="00040001" w:csb1="00000000"/>
    <w:embedRegular r:id="rId7" w:fontKey="{2E719579-9381-4DB9-A561-1F7CA4829AA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ED0F63">
    <w:pPr>
      <w:pStyle w:val="6"/>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988CBE">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4988CBE">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A10F3">
    <w:pPr>
      <w:pStyle w:val="6"/>
      <w:ind w:right="360"/>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B7D51F">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- 2 -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AB7D51F">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- 2 -</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4E752B">
    <w:pPr>
      <w:pStyle w:val="6"/>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474851">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E474851">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481B4">
    <w:pPr>
      <w:pStyle w:val="6"/>
      <w:ind w:right="360"/>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D40026">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- 2 -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FD40026">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- 2 -</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EE5C6BF8"/>
    <w:multiLevelType w:val="singleLevel"/>
    <w:tmpl w:val="EE5C6BF8"/>
    <w:lvl w:ilvl="0" w:tentative="0">
      <w:start w:val="2"/>
      <w:numFmt w:val="decimal"/>
      <w:suff w:val="nothing"/>
      <w:lvlText w:val="%1、"/>
      <w:lvlJc w:val="left"/>
    </w:lvl>
  </w:abstractNum>
  <w:abstractNum w:abstractNumId="2">
    <w:nsid w:val="FF4BB6DE"/>
    <w:multiLevelType w:val="singleLevel"/>
    <w:tmpl w:val="FF4BB6DE"/>
    <w:lvl w:ilvl="0" w:tentative="0">
      <w:start w:val="1"/>
      <w:numFmt w:val="decimal"/>
      <w:suff w:val="nothing"/>
      <w:lvlText w:val="%1、"/>
      <w:lvlJc w:val="left"/>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58"/>
  <w:drawingGridVerticalSpacing w:val="57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0058"/>
    <w:rsid w:val="000F4112"/>
    <w:rsid w:val="002A77DA"/>
    <w:rsid w:val="003F29C1"/>
    <w:rsid w:val="006C323A"/>
    <w:rsid w:val="006D0058"/>
    <w:rsid w:val="006D391A"/>
    <w:rsid w:val="00714386"/>
    <w:rsid w:val="00725034"/>
    <w:rsid w:val="008C1578"/>
    <w:rsid w:val="008F6E3C"/>
    <w:rsid w:val="00913A39"/>
    <w:rsid w:val="00B27295"/>
    <w:rsid w:val="0428569A"/>
    <w:rsid w:val="0659701D"/>
    <w:rsid w:val="08394CB9"/>
    <w:rsid w:val="0A714F19"/>
    <w:rsid w:val="0C4E0D4D"/>
    <w:rsid w:val="10DE717A"/>
    <w:rsid w:val="132D5012"/>
    <w:rsid w:val="13C246E1"/>
    <w:rsid w:val="178B7AA0"/>
    <w:rsid w:val="1C5C70AA"/>
    <w:rsid w:val="1E9225FA"/>
    <w:rsid w:val="1EDD5CD9"/>
    <w:rsid w:val="1F764211"/>
    <w:rsid w:val="207769BF"/>
    <w:rsid w:val="23A95271"/>
    <w:rsid w:val="25BA1C87"/>
    <w:rsid w:val="261B4975"/>
    <w:rsid w:val="268279BA"/>
    <w:rsid w:val="27F46D4A"/>
    <w:rsid w:val="28CC417D"/>
    <w:rsid w:val="2A430966"/>
    <w:rsid w:val="2BF5665A"/>
    <w:rsid w:val="2C3542E0"/>
    <w:rsid w:val="2CA57C96"/>
    <w:rsid w:val="2CBE39AA"/>
    <w:rsid w:val="2DAE4604"/>
    <w:rsid w:val="300065C3"/>
    <w:rsid w:val="316B64D9"/>
    <w:rsid w:val="326A2055"/>
    <w:rsid w:val="33A51C74"/>
    <w:rsid w:val="36F4064B"/>
    <w:rsid w:val="396458D5"/>
    <w:rsid w:val="39867A77"/>
    <w:rsid w:val="3A9F36BB"/>
    <w:rsid w:val="441332C0"/>
    <w:rsid w:val="45686493"/>
    <w:rsid w:val="467168EB"/>
    <w:rsid w:val="48613F50"/>
    <w:rsid w:val="524123AA"/>
    <w:rsid w:val="57C60764"/>
    <w:rsid w:val="58BA72A1"/>
    <w:rsid w:val="5C036407"/>
    <w:rsid w:val="5D4C74CC"/>
    <w:rsid w:val="5E8B251C"/>
    <w:rsid w:val="5FE13B42"/>
    <w:rsid w:val="62516B2D"/>
    <w:rsid w:val="62D462F7"/>
    <w:rsid w:val="63901E50"/>
    <w:rsid w:val="68CF2173"/>
    <w:rsid w:val="6B48093D"/>
    <w:rsid w:val="6EA20A38"/>
    <w:rsid w:val="6FF9272F"/>
    <w:rsid w:val="71FA0F1B"/>
    <w:rsid w:val="7264505D"/>
    <w:rsid w:val="732E0190"/>
    <w:rsid w:val="76BE2D5E"/>
    <w:rsid w:val="7AE405E3"/>
    <w:rsid w:val="7C906E6C"/>
    <w:rsid w:val="7F876B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annotation text"/>
    <w:basedOn w:val="1"/>
    <w:qFormat/>
    <w:uiPriority w:val="0"/>
    <w:pPr>
      <w:jc w:val="left"/>
    </w:pPr>
  </w:style>
  <w:style w:type="paragraph" w:styleId="6">
    <w:name w:val="footer"/>
    <w:basedOn w:val="1"/>
    <w:link w:val="13"/>
    <w:qFormat/>
    <w:uiPriority w:val="99"/>
    <w:pPr>
      <w:tabs>
        <w:tab w:val="center" w:pos="4153"/>
        <w:tab w:val="right" w:pos="8306"/>
      </w:tabs>
      <w:snapToGrid w:val="0"/>
      <w:jc w:val="left"/>
    </w:pPr>
    <w:rPr>
      <w:rFonts w:eastAsia="黑体" w:asciiTheme="minorHAnsi" w:hAnsiTheme="minorHAnsi" w:cstheme="minorBidi"/>
      <w:sz w:val="18"/>
      <w:szCs w:val="18"/>
    </w:rPr>
  </w:style>
  <w:style w:type="paragraph" w:styleId="7">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semiHidden/>
    <w:unhideWhenUsed/>
    <w:qFormat/>
    <w:uiPriority w:val="99"/>
    <w:rPr>
      <w:sz w:val="24"/>
    </w:rPr>
  </w:style>
  <w:style w:type="character" w:styleId="11">
    <w:name w:val="Strong"/>
    <w:basedOn w:val="10"/>
    <w:qFormat/>
    <w:uiPriority w:val="0"/>
    <w:rPr>
      <w:b/>
      <w:bCs/>
    </w:rPr>
  </w:style>
  <w:style w:type="character" w:customStyle="1" w:styleId="12">
    <w:name w:val="页脚 Char"/>
    <w:link w:val="6"/>
    <w:qFormat/>
    <w:uiPriority w:val="99"/>
    <w:rPr>
      <w:rFonts w:eastAsia="黑体"/>
      <w:sz w:val="18"/>
      <w:szCs w:val="18"/>
    </w:rPr>
  </w:style>
  <w:style w:type="character" w:customStyle="1" w:styleId="13">
    <w:name w:val="页脚 Char1"/>
    <w:basedOn w:val="10"/>
    <w:link w:val="6"/>
    <w:semiHidden/>
    <w:qFormat/>
    <w:uiPriority w:val="99"/>
    <w:rPr>
      <w:rFonts w:ascii="Calibri" w:hAnsi="Calibri" w:eastAsia="宋体" w:cs="Times New Roman"/>
      <w:sz w:val="18"/>
      <w:szCs w:val="18"/>
    </w:rPr>
  </w:style>
  <w:style w:type="paragraph" w:customStyle="1" w:styleId="14">
    <w:name w:val="p0"/>
    <w:basedOn w:val="1"/>
    <w:qFormat/>
    <w:uiPriority w:val="0"/>
    <w:pPr>
      <w:widowControl/>
      <w:jc w:val="left"/>
    </w:pPr>
    <w:rPr>
      <w:rFonts w:ascii="宋体" w:hAnsi="宋体" w:eastAsia="宋体" w:cs="宋体"/>
      <w:kern w:val="0"/>
      <w:sz w:val="24"/>
    </w:rPr>
  </w:style>
  <w:style w:type="paragraph" w:styleId="1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20</Pages>
  <Words>7431</Words>
  <Characters>7956</Characters>
  <Lines>2</Lines>
  <Paragraphs>1</Paragraphs>
  <TotalTime>2</TotalTime>
  <ScaleCrop>false</ScaleCrop>
  <LinksUpToDate>false</LinksUpToDate>
  <CharactersWithSpaces>8260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2020-03-25T11:26:00Z</dcterms:created>
  <dc:creator>颜娜</dc:creator>
  <cp:lastModifiedBy>周而</cp:lastModifiedBy>
  <cp:lastPrinted>2020-04-13T10:09:00Z</cp:lastPrinted>
  <dcterms:modified xsi:type="dcterms:W3CDTF">2025-03-31T10:39:55Z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SaveFontToCloudKey">
    <vt:lpwstr>390855185_btnclosed</vt:lpwstr>
  </property>
  <property fmtid="{D5CDD505-2E9C-101B-9397-08002B2CF9AE}" pid="4" name="ICV">
    <vt:lpwstr>018607AA335D430FABDD3DA717416C3C</vt:lpwstr>
  </property>
  <property fmtid="{D5CDD505-2E9C-101B-9397-08002B2CF9AE}" pid="5" name="KSOTemplateDocerSaveRecord">
    <vt:lpwstr>eyJoZGlkIjoiN2VjMGM4YTNmZTY1NDFjMWFjNmVmZmU0NDA2ZTk0ZmMiLCJ1c2VySWQiOiI4NjI1NDMxNDkifQ==</vt:lpwstr>
  </property>
</Properties>
</file>