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52"/>
          <w:szCs w:val="52"/>
          <w:highlight w:val="none"/>
        </w:rPr>
      </w:pPr>
    </w:p>
    <w:p>
      <w:pPr>
        <w:pageBreakBefore w:val="0"/>
        <w:kinsoku/>
        <w:wordWrap/>
        <w:overflowPunct/>
        <w:topLinePunct w:val="0"/>
        <w:autoSpaceDE/>
        <w:autoSpaceDN/>
        <w:bidi w:val="0"/>
        <w:adjustRightInd/>
        <w:spacing w:line="560" w:lineRule="exact"/>
        <w:jc w:val="center"/>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rPr>
        <w:t>新疆农业广播电视学校塔城地区分校</w:t>
      </w:r>
    </w:p>
    <w:p>
      <w:pPr>
        <w:pageBreakBefore w:val="0"/>
        <w:kinsoku/>
        <w:wordWrap/>
        <w:overflowPunct/>
        <w:topLinePunct w:val="0"/>
        <w:autoSpaceDE/>
        <w:autoSpaceDN/>
        <w:bidi w:val="0"/>
        <w:adjustRightInd/>
        <w:spacing w:line="560" w:lineRule="exact"/>
        <w:jc w:val="center"/>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rPr>
        <w:t>资金项目支出绩效评价报告</w:t>
      </w:r>
    </w:p>
    <w:p>
      <w:pPr>
        <w:pageBreakBefore w:val="0"/>
        <w:kinsoku/>
        <w:wordWrap/>
        <w:overflowPunct/>
        <w:topLinePunct w:val="0"/>
        <w:autoSpaceDE/>
        <w:autoSpaceDN/>
        <w:bidi w:val="0"/>
        <w:adjustRightInd/>
        <w:spacing w:line="560" w:lineRule="exact"/>
        <w:jc w:val="center"/>
        <w:rPr>
          <w:rFonts w:ascii="华文中宋" w:hAnsi="华文中宋" w:eastAsia="华文中宋" w:cs="宋体"/>
          <w:b/>
          <w:color w:val="auto"/>
          <w:kern w:val="0"/>
          <w:sz w:val="44"/>
          <w:szCs w:val="44"/>
          <w:highlight w:val="none"/>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6"/>
          <w:szCs w:val="36"/>
          <w:highlight w:val="none"/>
        </w:rPr>
      </w:pPr>
      <w:r>
        <w:rPr>
          <w:rFonts w:hint="eastAsia" w:hAnsi="宋体" w:eastAsia="仿宋_GB2312" w:cs="宋体"/>
          <w:color w:val="auto"/>
          <w:kern w:val="0"/>
          <w:sz w:val="36"/>
          <w:szCs w:val="36"/>
          <w:highlight w:val="none"/>
        </w:rPr>
        <w:t>（ 2020年度）</w:t>
      </w: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highlight w:val="none"/>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highlight w:val="none"/>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highlight w:val="none"/>
        </w:rPr>
      </w:pPr>
    </w:p>
    <w:p>
      <w:pPr>
        <w:pageBreakBefore w:val="0"/>
        <w:kinsoku/>
        <w:wordWrap/>
        <w:overflowPunct/>
        <w:topLinePunct w:val="0"/>
        <w:autoSpaceDE/>
        <w:autoSpaceDN/>
        <w:bidi w:val="0"/>
        <w:adjustRightInd/>
        <w:spacing w:line="560" w:lineRule="exact"/>
        <w:jc w:val="center"/>
        <w:rPr>
          <w:rFonts w:hAnsi="宋体" w:eastAsia="仿宋_GB2312" w:cs="宋体"/>
          <w:color w:val="auto"/>
          <w:kern w:val="0"/>
          <w:sz w:val="30"/>
          <w:szCs w:val="30"/>
          <w:highlight w:val="none"/>
        </w:rPr>
      </w:pPr>
    </w:p>
    <w:p>
      <w:pPr>
        <w:pageBreakBefore w:val="0"/>
        <w:kinsoku/>
        <w:wordWrap/>
        <w:overflowPunct/>
        <w:topLinePunct w:val="0"/>
        <w:autoSpaceDE/>
        <w:autoSpaceDN/>
        <w:bidi w:val="0"/>
        <w:adjustRightInd/>
        <w:spacing w:line="560" w:lineRule="exact"/>
        <w:rPr>
          <w:rFonts w:hAnsi="宋体" w:eastAsia="仿宋_GB2312" w:cs="宋体"/>
          <w:color w:val="auto"/>
          <w:kern w:val="0"/>
          <w:sz w:val="30"/>
          <w:szCs w:val="30"/>
          <w:highlight w:val="none"/>
        </w:rPr>
      </w:pPr>
    </w:p>
    <w:p>
      <w:pPr>
        <w:pageBreakBefore w:val="0"/>
        <w:kinsoku/>
        <w:wordWrap/>
        <w:overflowPunct/>
        <w:topLinePunct w:val="0"/>
        <w:autoSpaceDE/>
        <w:autoSpaceDN/>
        <w:bidi w:val="0"/>
        <w:adjustRightInd/>
        <w:spacing w:line="560" w:lineRule="exact"/>
        <w:ind w:firstLine="640" w:firstLineChars="200"/>
        <w:jc w:val="left"/>
        <w:rPr>
          <w:rFonts w:hint="eastAsia"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项目名称：免学费补助资金项目</w:t>
      </w:r>
    </w:p>
    <w:p>
      <w:pPr>
        <w:pageBreakBefore w:val="0"/>
        <w:kinsoku/>
        <w:wordWrap/>
        <w:overflowPunct/>
        <w:topLinePunct w:val="0"/>
        <w:autoSpaceDE/>
        <w:autoSpaceDN/>
        <w:bidi w:val="0"/>
        <w:adjustRightInd/>
        <w:spacing w:line="560" w:lineRule="exact"/>
        <w:ind w:firstLine="640" w:firstLineChars="200"/>
        <w:jc w:val="left"/>
        <w:rPr>
          <w:rFonts w:hint="eastAsia"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实施单位（公章）：新疆农业广播电视学校</w:t>
      </w:r>
    </w:p>
    <w:p>
      <w:pPr>
        <w:pageBreakBefore w:val="0"/>
        <w:kinsoku/>
        <w:wordWrap/>
        <w:overflowPunct/>
        <w:topLinePunct w:val="0"/>
        <w:autoSpaceDE/>
        <w:autoSpaceDN/>
        <w:bidi w:val="0"/>
        <w:adjustRightInd/>
        <w:spacing w:line="560" w:lineRule="exact"/>
        <w:ind w:firstLine="640" w:firstLineChars="200"/>
        <w:jc w:val="left"/>
        <w:rPr>
          <w:rFonts w:hint="eastAsia"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塔城地区分校</w:t>
      </w:r>
    </w:p>
    <w:p>
      <w:pPr>
        <w:pageBreakBefore w:val="0"/>
        <w:kinsoku/>
        <w:wordWrap/>
        <w:overflowPunct/>
        <w:topLinePunct w:val="0"/>
        <w:autoSpaceDE/>
        <w:autoSpaceDN/>
        <w:bidi w:val="0"/>
        <w:adjustRightInd/>
        <w:spacing w:line="560" w:lineRule="exact"/>
        <w:ind w:firstLine="640" w:firstLineChars="200"/>
        <w:jc w:val="left"/>
        <w:rPr>
          <w:rFonts w:hint="eastAsia"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主管部门（公章）：伊犁哈萨克自治州</w:t>
      </w:r>
    </w:p>
    <w:p>
      <w:pPr>
        <w:pageBreakBefore w:val="0"/>
        <w:kinsoku/>
        <w:wordWrap/>
        <w:overflowPunct/>
        <w:topLinePunct w:val="0"/>
        <w:autoSpaceDE/>
        <w:autoSpaceDN/>
        <w:bidi w:val="0"/>
        <w:adjustRightInd/>
        <w:spacing w:line="560" w:lineRule="exact"/>
        <w:ind w:firstLine="640" w:firstLineChars="200"/>
        <w:jc w:val="left"/>
        <w:rPr>
          <w:rFonts w:hint="eastAsia"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塔城地区农业农村局</w:t>
      </w:r>
    </w:p>
    <w:p>
      <w:pPr>
        <w:pageBreakBefore w:val="0"/>
        <w:kinsoku/>
        <w:wordWrap/>
        <w:overflowPunct/>
        <w:topLinePunct w:val="0"/>
        <w:autoSpaceDE/>
        <w:autoSpaceDN/>
        <w:bidi w:val="0"/>
        <w:adjustRightInd/>
        <w:spacing w:line="560" w:lineRule="exact"/>
        <w:ind w:firstLine="640" w:firstLineChars="200"/>
        <w:jc w:val="left"/>
        <w:rPr>
          <w:rFonts w:ascii="方正小标宋_GBK" w:hAnsi="宋体" w:eastAsia="方正小标宋_GBK" w:cs="Arial"/>
          <w:color w:val="auto"/>
          <w:sz w:val="32"/>
          <w:szCs w:val="32"/>
          <w:highlight w:val="none"/>
        </w:rPr>
      </w:pPr>
      <w:r>
        <w:rPr>
          <w:rFonts w:hint="eastAsia" w:hAnsi="宋体" w:eastAsia="仿宋_GB2312" w:cs="宋体"/>
          <w:color w:val="auto"/>
          <w:kern w:val="0"/>
          <w:sz w:val="32"/>
          <w:szCs w:val="32"/>
          <w:highlight w:val="none"/>
        </w:rPr>
        <w:t>项目负责人（签章）：杨丽萍</w:t>
      </w:r>
    </w:p>
    <w:p>
      <w:pPr>
        <w:pageBreakBefore w:val="0"/>
        <w:kinsoku/>
        <w:wordWrap/>
        <w:overflowPunct/>
        <w:topLinePunct w:val="0"/>
        <w:autoSpaceDE/>
        <w:autoSpaceDN/>
        <w:bidi w:val="0"/>
        <w:adjustRightInd/>
        <w:spacing w:line="560" w:lineRule="exact"/>
        <w:ind w:firstLine="640" w:firstLineChars="200"/>
        <w:jc w:val="left"/>
        <w:rPr>
          <w:rFonts w:hAnsi="宋体" w:eastAsia="仿宋_GB2312" w:cs="宋体"/>
          <w:color w:val="auto"/>
          <w:kern w:val="0"/>
          <w:sz w:val="32"/>
          <w:szCs w:val="32"/>
          <w:highlight w:val="none"/>
        </w:rPr>
      </w:pPr>
      <w:r>
        <w:rPr>
          <w:rFonts w:hint="eastAsia" w:hAnsi="宋体" w:eastAsia="仿宋_GB2312" w:cs="宋体"/>
          <w:color w:val="auto"/>
          <w:kern w:val="0"/>
          <w:sz w:val="32"/>
          <w:szCs w:val="32"/>
          <w:highlight w:val="none"/>
        </w:rPr>
        <w:t>填报时间：2021年4月19日</w:t>
      </w:r>
    </w:p>
    <w:p>
      <w:pPr>
        <w:pageBreakBefore w:val="0"/>
        <w:kinsoku/>
        <w:wordWrap/>
        <w:overflowPunct/>
        <w:topLinePunct w:val="0"/>
        <w:autoSpaceDE/>
        <w:autoSpaceDN/>
        <w:bidi w:val="0"/>
        <w:adjustRightInd/>
        <w:spacing w:line="560" w:lineRule="exact"/>
        <w:rPr>
          <w:rFonts w:ascii="黑体" w:hAnsi="黑体" w:eastAsia="黑体" w:cs="黑体"/>
          <w:bCs/>
          <w:color w:val="auto"/>
          <w:sz w:val="32"/>
          <w:szCs w:val="32"/>
          <w:highlight w:val="none"/>
        </w:rPr>
      </w:pPr>
    </w:p>
    <w:p>
      <w:pPr>
        <w:pStyle w:val="2"/>
        <w:rPr>
          <w:rFonts w:ascii="黑体" w:hAnsi="黑体" w:eastAsia="黑体" w:cs="黑体"/>
          <w:bCs/>
          <w:color w:val="auto"/>
          <w:sz w:val="32"/>
          <w:szCs w:val="32"/>
          <w:highlight w:val="none"/>
        </w:rPr>
      </w:pPr>
    </w:p>
    <w:p>
      <w:pPr>
        <w:rPr>
          <w:highlight w:val="none"/>
        </w:rPr>
      </w:pPr>
    </w:p>
    <w:p>
      <w:pPr>
        <w:pageBreakBefore w:val="0"/>
        <w:kinsoku/>
        <w:wordWrap/>
        <w:overflowPunct/>
        <w:topLinePunct w:val="0"/>
        <w:autoSpaceDE/>
        <w:autoSpaceDN/>
        <w:bidi w:val="0"/>
        <w:adjustRightInd/>
        <w:spacing w:line="560" w:lineRule="exact"/>
        <w:ind w:firstLine="640" w:firstLineChars="20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一、基本情况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（一）项目概况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1、项目背景</w:t>
      </w:r>
    </w:p>
    <w:p>
      <w:pPr>
        <w:pageBreakBefore w:val="0"/>
        <w:kinsoku/>
        <w:wordWrap/>
        <w:overflowPunct/>
        <w:topLinePunct w:val="0"/>
        <w:autoSpaceDE/>
        <w:autoSpaceDN/>
        <w:bidi w:val="0"/>
        <w:adjustRightInd/>
        <w:spacing w:line="560" w:lineRule="exact"/>
        <w:ind w:firstLine="640" w:firstLineChars="200"/>
        <w:rPr>
          <w:color w:val="auto"/>
          <w:highlight w:val="none"/>
        </w:rPr>
      </w:pPr>
      <w:r>
        <w:rPr>
          <w:rFonts w:hint="eastAsia" w:ascii="仿宋_GB2312" w:hAnsi="仿宋_GB2312" w:eastAsia="仿宋_GB2312" w:cs="仿宋_GB2312"/>
          <w:color w:val="auto"/>
          <w:kern w:val="0"/>
          <w:sz w:val="32"/>
          <w:szCs w:val="32"/>
          <w:highlight w:val="none"/>
        </w:rPr>
        <w:t>新疆农业广播电视大学塔城地区分校，隶属塔城地区农业农村局管理，开展农业中等职业教育和农牧民科技教育培训工作。</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为了规范中等职业学校，根据《财政部  教育部 人力资源社会保障部关于印发&lt;中等职业免学费补助资金管理办法&gt;的通知》等有关财政财务管理规定，为弥补学校运转出现等经费缺口，</w:t>
      </w:r>
      <w:r>
        <w:rPr>
          <w:rFonts w:hint="eastAsia" w:ascii="仿宋_GB2312" w:hAnsi="仿宋_GB2312" w:eastAsia="仿宋_GB2312" w:cs="仿宋_GB2312"/>
          <w:color w:val="auto"/>
          <w:sz w:val="32"/>
          <w:szCs w:val="32"/>
          <w:highlight w:val="none"/>
        </w:rPr>
        <w:t>自治区分解下达</w:t>
      </w:r>
      <w:r>
        <w:rPr>
          <w:rFonts w:hint="eastAsia" w:ascii="仿宋_GB2312" w:hAnsi="仿宋_GB2312" w:eastAsia="仿宋_GB2312" w:cs="仿宋_GB2312"/>
          <w:color w:val="auto"/>
          <w:kern w:val="0"/>
          <w:sz w:val="32"/>
          <w:szCs w:val="32"/>
          <w:highlight w:val="none"/>
        </w:rPr>
        <w:t>“免学费补助资金”项目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拨付“免学费补助资金”。</w:t>
      </w:r>
    </w:p>
    <w:p>
      <w:pPr>
        <w:pageBreakBefore w:val="0"/>
        <w:numPr>
          <w:ilvl w:val="0"/>
          <w:numId w:val="1"/>
        </w:numPr>
        <w:kinsoku/>
        <w:wordWrap/>
        <w:overflowPunct/>
        <w:topLinePunct w:val="0"/>
        <w:autoSpaceDE/>
        <w:autoSpaceDN/>
        <w:bidi w:val="0"/>
        <w:adjustRightInd/>
        <w:spacing w:line="560" w:lineRule="exact"/>
        <w:ind w:firstLine="641"/>
        <w:rPr>
          <w:rFonts w:hint="eastAsia"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项目主要内容及实施情况</w:t>
      </w:r>
    </w:p>
    <w:p>
      <w:pPr>
        <w:pStyle w:val="18"/>
        <w:pageBreakBefore w:val="0"/>
        <w:kinsoku/>
        <w:wordWrap/>
        <w:overflowPunct/>
        <w:topLinePunct w:val="0"/>
        <w:autoSpaceDE/>
        <w:autoSpaceDN/>
        <w:bidi w:val="0"/>
        <w:adjustRightInd/>
        <w:spacing w:line="560" w:lineRule="exact"/>
        <w:ind w:firstLine="643" w:firstLineChars="200"/>
        <w:jc w:val="left"/>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项目主要内容：</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（1）做好高素质农民培育工作。</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（2）加强学籍管理，办理部分2016级学员毕业证书。 </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（3）按上级要求，开展农业科技人员远程教育培训工作。</w:t>
      </w:r>
    </w:p>
    <w:p>
      <w:pPr>
        <w:pageBreakBefore w:val="0"/>
        <w:kinsoku/>
        <w:wordWrap/>
        <w:overflowPunct/>
        <w:topLinePunct w:val="0"/>
        <w:autoSpaceDE/>
        <w:autoSpaceDN/>
        <w:bidi w:val="0"/>
        <w:adjustRightInd/>
        <w:spacing w:line="560" w:lineRule="exact"/>
        <w:ind w:firstLine="643" w:firstLineChars="200"/>
        <w:rPr>
          <w:color w:val="auto"/>
          <w:highlight w:val="none"/>
        </w:rPr>
      </w:pPr>
      <w:r>
        <w:rPr>
          <w:rFonts w:hint="eastAsia" w:ascii="仿宋_GB2312" w:hAnsi="仿宋_GB2312" w:eastAsia="仿宋_GB2312" w:cs="仿宋_GB2312"/>
          <w:b/>
          <w:bCs/>
          <w:color w:val="auto"/>
          <w:sz w:val="32"/>
          <w:szCs w:val="32"/>
          <w:highlight w:val="none"/>
        </w:rPr>
        <w:t>项目实施情况：</w:t>
      </w:r>
      <w:r>
        <w:rPr>
          <w:rFonts w:hint="eastAsia" w:ascii="仿宋_GB2312" w:hAnsi="仿宋_GB2312" w:eastAsia="仿宋_GB2312" w:cs="仿宋_GB2312"/>
          <w:color w:val="auto"/>
          <w:sz w:val="32"/>
          <w:szCs w:val="32"/>
          <w:highlight w:val="none"/>
        </w:rPr>
        <w:t>“免学费补助资金”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exact"/>
        <w:ind w:firstLine="579" w:firstLineChars="18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本项目总投资63.48万元，其中：财政本级资金63.48万元。项目实际支出</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万元，支出率为22.05%。</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3、资金投入和使用情况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（1）资金安排</w:t>
      </w:r>
    </w:p>
    <w:p>
      <w:pPr>
        <w:pageBreakBefore w:val="0"/>
        <w:kinsoku/>
        <w:wordWrap/>
        <w:overflowPunct/>
        <w:topLinePunct w:val="0"/>
        <w:autoSpaceDE/>
        <w:autoSpaceDN/>
        <w:bidi w:val="0"/>
        <w:adjustRightInd/>
        <w:spacing w:line="560" w:lineRule="exact"/>
        <w:ind w:firstLine="579" w:firstLineChars="18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免学费补助资金”项目总投资63.48万元，按照《新疆维吾尔自治区中等职业教育学生住宿费和教材补助管理暂行办法》及单位财务制度等相关规定，资金支出符合专项“免学费补助资金项目”资金费用范围，做到了专款专用。在项目资金拨付和使用过程中，为确保项目资金的安全性，提高项目资金使用效率，严格遵循资“免学费补助资金项目”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（2）预算资金来源及使用情况</w:t>
      </w:r>
      <w:bookmarkStart w:id="0" w:name="page10"/>
      <w:bookmarkEnd w:id="0"/>
    </w:p>
    <w:p>
      <w:pPr>
        <w:pageBreakBefore w:val="0"/>
        <w:kinsoku/>
        <w:wordWrap/>
        <w:overflowPunct/>
        <w:topLinePunct w:val="0"/>
        <w:autoSpaceDE/>
        <w:autoSpaceDN/>
        <w:bidi w:val="0"/>
        <w:adjustRightInd/>
        <w:spacing w:line="560" w:lineRule="exact"/>
        <w:ind w:firstLine="64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项目资金到位63.48万元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实际支出1</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万元，支出率为22.05%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用于支付“免学费补助资金项目”项目实施进程中的办公设备的采购及补充办学资金不足的日常公用经费支出。</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（二）项目绩效目标</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1、总体目标</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（1）做好高素质农民培育工作。                                                                                    </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（2）加强学籍管理，办理部分2016级学员毕业证书。                                                                                    </w:t>
      </w:r>
    </w:p>
    <w:p>
      <w:pPr>
        <w:pageBreakBefore w:val="0"/>
        <w:kinsoku/>
        <w:wordWrap/>
        <w:overflowPunct/>
        <w:topLinePunct w:val="0"/>
        <w:autoSpaceDE/>
        <w:autoSpaceDN/>
        <w:bidi w:val="0"/>
        <w:adjustRightInd/>
        <w:spacing w:line="560" w:lineRule="exact"/>
        <w:ind w:firstLine="64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（3）按上级要求，开展农业科技人员远程教育培训工作。</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2、阶段性目标</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（1）前期准备：根据《新疆维吾尔自治区中等职业教育学生住宿费和教材补助管理暂行办法》，通过制定项目实施方案，经项目负责人审核通过后，有序开展后续工程。</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组织实施：“免学费补助资金项目”资金一到位，立即根据项目要求实施项目。按照《新疆维吾尔自治区中等职业教育学生住宿费和教材补助管理暂行办法》要求逐一进行项目部署安排，提高“免学费补助资金项目”项目质量及效率性。</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二、绩效评价工作开展情况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（一）绩效评价目的、对象和范围</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1、绩效评价的目的</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支出绩效评价运用科学、规范的绩效评价方法，制定统一的评价标准，使财政资金得到事前、事中和事后多方面的控制。本次绩效评价遵循财政部《关于印发&lt;项目支出绩效评价管理办法&gt;的通知》，《关于印发&lt;塔城地区全面实施财政支出绩效管理的工作方案&gt;的通知》文件精神，对我所2020年执行“免学费补助资金项目”进行绩效评价。从提高检测质量的效率和效益，提出有针对性的建议，提高对“免学费补助资金项目”的有效利用度，财政支出绩效评价贯穿于财政支出安排和实施的全过程，是对“免学费补助资金项目”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“免学费补助资金项目”项目在实施前向财政提供支出绩效方面的资金管理信息，为促进项目支出能够严格按照资金管理规定进行。</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（2）“免学费补助资金项目”项目绩效管理为财政支出运行提供及时、有效的信息。</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综合来看，通过开展有效的财政支出绩效评价管理，达到改进预算管理、控制节约成本，提高预算资金使用效益的目的。</w:t>
      </w:r>
    </w:p>
    <w:p>
      <w:pPr>
        <w:pageBreakBefore w:val="0"/>
        <w:numPr>
          <w:ilvl w:val="0"/>
          <w:numId w:val="0"/>
        </w:numPr>
        <w:kinsoku/>
        <w:wordWrap/>
        <w:overflowPunct/>
        <w:topLinePunct w:val="0"/>
        <w:autoSpaceDE/>
        <w:autoSpaceDN/>
        <w:bidi w:val="0"/>
        <w:adjustRightInd/>
        <w:spacing w:line="560" w:lineRule="exact"/>
        <w:ind w:left="641" w:leftChars="0"/>
        <w:rPr>
          <w:rFonts w:hint="eastAsia"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lang w:val="en-US" w:eastAsia="zh-CN"/>
        </w:rPr>
        <w:t>2、</w:t>
      </w:r>
      <w:r>
        <w:rPr>
          <w:rFonts w:hint="eastAsia" w:ascii="楷体_GB2312" w:hAnsi="楷体_GB2312" w:eastAsia="楷体_GB2312" w:cs="楷体_GB2312"/>
          <w:b/>
          <w:bCs/>
          <w:color w:val="auto"/>
          <w:kern w:val="28"/>
          <w:sz w:val="32"/>
          <w:szCs w:val="32"/>
          <w:highlight w:val="none"/>
        </w:rPr>
        <w:t>绩效评价的对象</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根据工作需要，我单位</w:t>
      </w:r>
      <w:r>
        <w:rPr>
          <w:rFonts w:hint="eastAsia" w:ascii="仿宋_GB2312" w:hAnsi="仿宋_GB2312" w:eastAsia="仿宋_GB2312" w:cs="仿宋_GB2312"/>
          <w:color w:val="auto"/>
          <w:sz w:val="32"/>
          <w:szCs w:val="32"/>
          <w:highlight w:val="none"/>
          <w:lang w:eastAsia="zh-CN"/>
        </w:rPr>
        <w:t>对</w:t>
      </w:r>
      <w:r>
        <w:rPr>
          <w:rFonts w:hint="eastAsia" w:ascii="仿宋_GB2312" w:hAnsi="仿宋_GB2312" w:eastAsia="仿宋_GB2312" w:cs="仿宋_GB2312"/>
          <w:color w:val="auto"/>
          <w:sz w:val="32"/>
          <w:szCs w:val="32"/>
          <w:highlight w:val="none"/>
        </w:rPr>
        <w:t>“免学费补助资金项目”项目开展绩效评价。</w:t>
      </w:r>
    </w:p>
    <w:p>
      <w:pPr>
        <w:pageBreakBefore w:val="0"/>
        <w:numPr>
          <w:ilvl w:val="0"/>
          <w:numId w:val="1"/>
        </w:numPr>
        <w:kinsoku/>
        <w:wordWrap/>
        <w:overflowPunct/>
        <w:topLinePunct w:val="0"/>
        <w:autoSpaceDE/>
        <w:autoSpaceDN/>
        <w:bidi w:val="0"/>
        <w:adjustRightInd/>
        <w:spacing w:line="560" w:lineRule="exact"/>
        <w:ind w:left="0" w:leftChars="0" w:firstLine="641" w:firstLineChars="0"/>
        <w:rPr>
          <w:rFonts w:hint="eastAsia"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绩效评价的范围</w:t>
      </w:r>
    </w:p>
    <w:p>
      <w:pPr>
        <w:pageBreakBefore w:val="0"/>
        <w:numPr>
          <w:ilvl w:val="0"/>
          <w:numId w:val="0"/>
        </w:numPr>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i w:val="0"/>
          <w:iCs w:val="0"/>
          <w:color w:val="auto"/>
          <w:kern w:val="0"/>
          <w:sz w:val="32"/>
          <w:szCs w:val="32"/>
          <w:highlight w:val="none"/>
          <w:lang w:val="en-US" w:eastAsia="zh-CN" w:bidi="ar-SA"/>
        </w:rPr>
      </w:pPr>
      <w:r>
        <w:rPr>
          <w:rFonts w:hint="eastAsia" w:ascii="仿宋_GB2312" w:hAnsi="仿宋_GB2312" w:eastAsia="仿宋_GB2312" w:cs="仿宋_GB2312"/>
          <w:b w:val="0"/>
          <w:bCs w:val="0"/>
          <w:i w:val="0"/>
          <w:iCs w:val="0"/>
          <w:color w:val="auto"/>
          <w:kern w:val="0"/>
          <w:sz w:val="32"/>
          <w:szCs w:val="32"/>
          <w:highlight w:val="none"/>
          <w:lang w:val="en-US" w:eastAsia="zh-CN" w:bidi="ar-SA"/>
        </w:rPr>
        <w:t>本次评价从项目决策（包括绩效目标、决策过程）、项目管理（包括项目资金、项目实施）、项目产出（包括项目产出数量、产出质量、产出时效和产出成本）项目效益四个维度进行评价。</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（二）绩效评价原则、评价指标体系（详情见表1）、评价方法、评价标准。</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1、绩效评价原则</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本次项目绩效评价遵循以下基本原则：</w:t>
      </w:r>
    </w:p>
    <w:p>
      <w:pPr>
        <w:pStyle w:val="2"/>
        <w:pageBreakBefore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（1）科学公正。绩效评价应当运用科学合理的方法，按照规范的程序，对“免学费补助资金项目”项目绩效进行客观、公正的反映。</w:t>
      </w:r>
    </w:p>
    <w:p>
      <w:pPr>
        <w:pStyle w:val="2"/>
        <w:pageBreakBefore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（4）公开透明。绩效评价结果应依法依规公开，并自觉接受社会监督。</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color w:val="auto"/>
          <w:kern w:val="28"/>
          <w:sz w:val="32"/>
          <w:szCs w:val="32"/>
          <w:highlight w:val="none"/>
        </w:rPr>
      </w:pPr>
      <w:r>
        <w:rPr>
          <w:rFonts w:hint="eastAsia" w:ascii="楷体_GB2312" w:hAnsi="楷体_GB2312" w:eastAsia="楷体_GB2312" w:cs="楷体_GB2312"/>
          <w:b/>
          <w:bCs/>
          <w:color w:val="auto"/>
          <w:kern w:val="28"/>
          <w:sz w:val="32"/>
          <w:szCs w:val="32"/>
          <w:highlight w:val="none"/>
        </w:rPr>
        <w:t>2、评价指标体系</w:t>
      </w:r>
    </w:p>
    <w:p>
      <w:pPr>
        <w:pageBreakBefore w:val="0"/>
        <w:kinsoku/>
        <w:wordWrap/>
        <w:overflowPunct/>
        <w:topLinePunct w:val="0"/>
        <w:autoSpaceDE/>
        <w:autoSpaceDN/>
        <w:bidi w:val="0"/>
        <w:adjustRightInd/>
        <w:spacing w:line="560" w:lineRule="exact"/>
        <w:ind w:firstLine="641"/>
        <w:rPr>
          <w:rFonts w:ascii="宋体" w:hAnsi="宋体" w:cs="宋体"/>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val="0"/>
          <w:bCs w:val="0"/>
          <w:color w:val="auto"/>
          <w:kern w:val="28"/>
          <w:sz w:val="32"/>
          <w:szCs w:val="32"/>
          <w:highlight w:val="none"/>
        </w:rPr>
      </w:pPr>
      <w:r>
        <w:rPr>
          <w:rFonts w:hint="eastAsia" w:ascii="仿宋_GB2312" w:hAnsi="仿宋_GB2312" w:eastAsia="仿宋_GB2312" w:cs="仿宋_GB2312"/>
          <w:b w:val="0"/>
          <w:bCs w:val="0"/>
          <w:color w:val="auto"/>
          <w:kern w:val="28"/>
          <w:sz w:val="32"/>
          <w:szCs w:val="32"/>
          <w:highlight w:val="none"/>
        </w:rPr>
        <w:t>（1）确定评价指标</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w:t>
      </w:r>
      <w:r>
        <w:rPr>
          <w:rFonts w:hint="eastAsia" w:ascii="仿宋_GB2312" w:hAnsi="仿宋_GB2312" w:eastAsia="仿宋_GB2312" w:cs="仿宋_GB2312"/>
          <w:color w:val="auto"/>
          <w:spacing w:val="17"/>
          <w:sz w:val="32"/>
          <w:szCs w:val="32"/>
          <w:highlight w:val="none"/>
          <w:lang w:val="en-US" w:eastAsia="zh-CN"/>
        </w:rPr>
        <w:t>决策</w:t>
      </w:r>
      <w:r>
        <w:rPr>
          <w:rFonts w:hint="eastAsia" w:ascii="仿宋_GB2312" w:hAnsi="仿宋_GB2312" w:eastAsia="仿宋_GB2312" w:cs="仿宋_GB2312"/>
          <w:color w:val="auto"/>
          <w:spacing w:val="17"/>
          <w:sz w:val="32"/>
          <w:szCs w:val="32"/>
          <w:highlight w:val="none"/>
        </w:rPr>
        <w:t>指标、项目产出指标、项目效益指标、项目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指标四个维度，最终形成一个由多个相互联系的指标组成的多层次指标体系。</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val="0"/>
          <w:bCs w:val="0"/>
          <w:color w:val="auto"/>
          <w:kern w:val="28"/>
          <w:sz w:val="32"/>
          <w:szCs w:val="32"/>
          <w:highlight w:val="none"/>
        </w:rPr>
      </w:pPr>
      <w:r>
        <w:rPr>
          <w:rFonts w:hint="eastAsia" w:ascii="仿宋_GB2312" w:hAnsi="仿宋_GB2312" w:eastAsia="仿宋_GB2312" w:cs="仿宋_GB2312"/>
          <w:b w:val="0"/>
          <w:bCs w:val="0"/>
          <w:color w:val="auto"/>
          <w:kern w:val="28"/>
          <w:sz w:val="32"/>
          <w:szCs w:val="32"/>
          <w:highlight w:val="none"/>
        </w:rPr>
        <w:t>（2）确定权重</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w:t>
      </w:r>
      <w:r>
        <w:rPr>
          <w:rFonts w:hint="eastAsia" w:ascii="仿宋_GB2312" w:hAnsi="仿宋_GB2312" w:eastAsia="仿宋_GB2312" w:cs="仿宋_GB2312"/>
          <w:color w:val="auto"/>
          <w:spacing w:val="17"/>
          <w:sz w:val="32"/>
          <w:szCs w:val="32"/>
          <w:highlight w:val="none"/>
          <w:lang w:val="en-US" w:eastAsia="zh-CN"/>
        </w:rPr>
        <w:t>决策</w:t>
      </w:r>
      <w:r>
        <w:rPr>
          <w:rFonts w:hint="eastAsia" w:ascii="仿宋_GB2312" w:hAnsi="仿宋_GB2312" w:eastAsia="仿宋_GB2312" w:cs="仿宋_GB2312"/>
          <w:color w:val="auto"/>
          <w:spacing w:val="17"/>
          <w:sz w:val="32"/>
          <w:szCs w:val="32"/>
          <w:highlight w:val="none"/>
        </w:rPr>
        <w:t>权重为</w:t>
      </w:r>
      <w:r>
        <w:rPr>
          <w:rFonts w:hint="eastAsia" w:ascii="仿宋_GB2312" w:hAnsi="仿宋_GB2312" w:eastAsia="仿宋_GB2312" w:cs="仿宋_GB2312"/>
          <w:color w:val="auto"/>
          <w:spacing w:val="17"/>
          <w:sz w:val="32"/>
          <w:szCs w:val="32"/>
          <w:highlight w:val="none"/>
          <w:lang w:val="en-US" w:eastAsia="zh-CN"/>
        </w:rPr>
        <w:t>5</w:t>
      </w:r>
      <w:r>
        <w:rPr>
          <w:rFonts w:hint="eastAsia" w:ascii="仿宋_GB2312" w:hAnsi="仿宋_GB2312" w:eastAsia="仿宋_GB2312" w:cs="仿宋_GB2312"/>
          <w:color w:val="auto"/>
          <w:spacing w:val="17"/>
          <w:sz w:val="32"/>
          <w:szCs w:val="32"/>
          <w:highlight w:val="none"/>
        </w:rPr>
        <w:t>分，项目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权重占</w:t>
      </w:r>
      <w:r>
        <w:rPr>
          <w:rFonts w:hint="eastAsia" w:ascii="仿宋_GB2312" w:hAnsi="仿宋_GB2312" w:eastAsia="仿宋_GB2312" w:cs="仿宋_GB2312"/>
          <w:color w:val="auto"/>
          <w:spacing w:val="17"/>
          <w:sz w:val="32"/>
          <w:szCs w:val="32"/>
          <w:highlight w:val="none"/>
          <w:lang w:val="en-US" w:eastAsia="zh-CN"/>
        </w:rPr>
        <w:t>5</w:t>
      </w:r>
      <w:r>
        <w:rPr>
          <w:rFonts w:hint="eastAsia" w:ascii="仿宋_GB2312" w:hAnsi="仿宋_GB2312" w:eastAsia="仿宋_GB2312" w:cs="仿宋_GB2312"/>
          <w:color w:val="auto"/>
          <w:spacing w:val="17"/>
          <w:sz w:val="32"/>
          <w:szCs w:val="32"/>
          <w:highlight w:val="none"/>
        </w:rPr>
        <w:t>分</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项目产出权重值占50分，项目效益权重值占</w:t>
      </w:r>
      <w:r>
        <w:rPr>
          <w:rFonts w:hint="eastAsia" w:ascii="仿宋_GB2312" w:hAnsi="仿宋_GB2312" w:eastAsia="仿宋_GB2312" w:cs="仿宋_GB2312"/>
          <w:color w:val="auto"/>
          <w:spacing w:val="17"/>
          <w:sz w:val="32"/>
          <w:szCs w:val="32"/>
          <w:highlight w:val="none"/>
          <w:lang w:val="en-US" w:eastAsia="zh-CN"/>
        </w:rPr>
        <w:t>4</w:t>
      </w:r>
      <w:r>
        <w:rPr>
          <w:rFonts w:hint="eastAsia" w:ascii="仿宋_GB2312" w:hAnsi="仿宋_GB2312" w:eastAsia="仿宋_GB2312" w:cs="仿宋_GB2312"/>
          <w:color w:val="auto"/>
          <w:spacing w:val="17"/>
          <w:sz w:val="32"/>
          <w:szCs w:val="32"/>
          <w:highlight w:val="none"/>
        </w:rPr>
        <w:t>0分。</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val="0"/>
          <w:bCs w:val="0"/>
          <w:color w:val="auto"/>
          <w:kern w:val="28"/>
          <w:sz w:val="32"/>
          <w:szCs w:val="32"/>
          <w:highlight w:val="none"/>
        </w:rPr>
      </w:pPr>
      <w:r>
        <w:rPr>
          <w:rFonts w:hint="eastAsia" w:ascii="仿宋_GB2312" w:hAnsi="仿宋_GB2312" w:eastAsia="仿宋_GB2312" w:cs="仿宋_GB2312"/>
          <w:b w:val="0"/>
          <w:bCs w:val="0"/>
          <w:color w:val="auto"/>
          <w:kern w:val="28"/>
          <w:sz w:val="32"/>
          <w:szCs w:val="32"/>
          <w:highlight w:val="none"/>
        </w:rPr>
        <w:t>（3）确定指标标准值</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pacing w:before="0" w:after="0" w:line="560" w:lineRule="exact"/>
        <w:ind w:firstLine="708" w:firstLineChars="200"/>
        <w:jc w:val="both"/>
        <w:rPr>
          <w:rFonts w:hint="eastAsia" w:ascii="仿宋_GB2312" w:hAnsi="仿宋_GB2312" w:eastAsia="仿宋_GB2312" w:cs="仿宋_GB2312"/>
          <w:b w:val="0"/>
          <w:bCs w:val="0"/>
          <w:color w:val="auto"/>
          <w:spacing w:val="17"/>
          <w:kern w:val="2"/>
          <w:highlight w:val="none"/>
        </w:rPr>
      </w:pPr>
      <w:r>
        <w:rPr>
          <w:rFonts w:hint="eastAsia" w:ascii="仿宋_GB2312" w:hAnsi="仿宋_GB2312" w:eastAsia="仿宋_GB2312" w:cs="仿宋_GB2312"/>
          <w:b w:val="0"/>
          <w:bCs w:val="0"/>
          <w:color w:val="auto"/>
          <w:spacing w:val="17"/>
          <w:kern w:val="2"/>
          <w:highlight w:val="none"/>
        </w:rPr>
        <w:t>绩效评价总分值</w:t>
      </w:r>
      <w:r>
        <w:rPr>
          <w:rFonts w:hint="eastAsia" w:ascii="仿宋_GB2312" w:hAnsi="仿宋_GB2312" w:eastAsia="仿宋_GB2312" w:cs="仿宋_GB2312"/>
          <w:b w:val="0"/>
          <w:bCs w:val="0"/>
          <w:color w:val="auto"/>
          <w:spacing w:val="17"/>
          <w:kern w:val="2"/>
          <w:highlight w:val="none"/>
          <w:lang w:val="en-US" w:eastAsia="zh-CN"/>
        </w:rPr>
        <w:t>100</w:t>
      </w:r>
      <w:r>
        <w:rPr>
          <w:rFonts w:hint="eastAsia" w:ascii="仿宋_GB2312" w:hAnsi="仿宋_GB2312" w:eastAsia="仿宋_GB2312" w:cs="仿宋_GB2312"/>
          <w:b w:val="0"/>
          <w:bCs w:val="0"/>
          <w:color w:val="auto"/>
          <w:spacing w:val="17"/>
          <w:kern w:val="2"/>
          <w:highlight w:val="none"/>
        </w:rPr>
        <w:t>分，根据综合评分结果，评价计分90分-100分（含90分）对应的评分结果级别为优，80-90分（含80分）对应的评分结果级别为良，70-80分（含60分）对应的评分结果级别为中，60分以下对应的评分结果级别为差。</w:t>
      </w:r>
    </w:p>
    <w:p>
      <w:pPr>
        <w:pStyle w:val="2"/>
        <w:pageBreakBefore w:val="0"/>
        <w:widowControl w:val="0"/>
        <w:kinsoku/>
        <w:wordWrap/>
        <w:overflowPunct/>
        <w:topLinePunct w:val="0"/>
        <w:autoSpaceDE/>
        <w:autoSpaceDN/>
        <w:bidi w:val="0"/>
        <w:adjustRightInd/>
        <w:spacing w:before="0" w:after="0" w:line="560" w:lineRule="exact"/>
        <w:ind w:firstLine="3186" w:firstLineChars="900"/>
        <w:jc w:val="both"/>
        <w:outlineLvl w:val="9"/>
        <w:rPr>
          <w:rFonts w:hint="eastAsia" w:ascii="仿宋_GB2312" w:hAnsi="仿宋_GB2312" w:eastAsia="仿宋_GB2312" w:cs="仿宋_GB2312"/>
          <w:b w:val="0"/>
          <w:bCs w:val="0"/>
          <w:color w:val="auto"/>
          <w:spacing w:val="17"/>
          <w:sz w:val="32"/>
          <w:szCs w:val="32"/>
          <w:highlight w:val="none"/>
        </w:rPr>
      </w:pPr>
      <w:r>
        <w:rPr>
          <w:rFonts w:hint="eastAsia" w:ascii="仿宋_GB2312" w:hAnsi="仿宋_GB2312" w:eastAsia="仿宋_GB2312" w:cs="仿宋_GB2312"/>
          <w:b w:val="0"/>
          <w:bCs w:val="0"/>
          <w:color w:val="auto"/>
          <w:spacing w:val="17"/>
          <w:sz w:val="32"/>
          <w:szCs w:val="32"/>
          <w:highlight w:val="none"/>
        </w:rPr>
        <w:t>评价指标体系</w:t>
      </w:r>
    </w:p>
    <w:tbl>
      <w:tblPr>
        <w:tblStyle w:val="21"/>
        <w:tblW w:w="9200" w:type="dxa"/>
        <w:tblInd w:w="0" w:type="dxa"/>
        <w:tblLayout w:type="fixed"/>
        <w:tblCellMar>
          <w:top w:w="0" w:type="dxa"/>
          <w:left w:w="0" w:type="dxa"/>
          <w:bottom w:w="0" w:type="dxa"/>
          <w:right w:w="0" w:type="dxa"/>
        </w:tblCellMar>
      </w:tblPr>
      <w:tblGrid>
        <w:gridCol w:w="1523"/>
        <w:gridCol w:w="2637"/>
        <w:gridCol w:w="3475"/>
        <w:gridCol w:w="1565"/>
      </w:tblGrid>
      <w:tr>
        <w:tblPrEx>
          <w:tblCellMar>
            <w:top w:w="0" w:type="dxa"/>
            <w:left w:w="0" w:type="dxa"/>
            <w:bottom w:w="0" w:type="dxa"/>
            <w:right w:w="0" w:type="dxa"/>
          </w:tblCellMar>
        </w:tblPrEx>
        <w:trPr>
          <w:trHeight w:val="715" w:hRule="atLeast"/>
        </w:trPr>
        <w:tc>
          <w:tcPr>
            <w:tcW w:w="152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both"/>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一级指标</w:t>
            </w:r>
          </w:p>
        </w:tc>
        <w:tc>
          <w:tcPr>
            <w:tcW w:w="263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二级指标</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三级指标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分值</w:t>
            </w:r>
          </w:p>
        </w:tc>
      </w:tr>
      <w:tr>
        <w:tblPrEx>
          <w:tblCellMar>
            <w:top w:w="0" w:type="dxa"/>
            <w:left w:w="0" w:type="dxa"/>
            <w:bottom w:w="0" w:type="dxa"/>
            <w:right w:w="0" w:type="dxa"/>
          </w:tblCellMar>
        </w:tblPrEx>
        <w:trPr>
          <w:trHeight w:val="577" w:hRule="atLeast"/>
        </w:trPr>
        <w:tc>
          <w:tcPr>
            <w:tcW w:w="15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决策（5分）</w:t>
            </w: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项目立项（1分）　</w:t>
            </w:r>
          </w:p>
        </w:tc>
        <w:tc>
          <w:tcPr>
            <w:tcW w:w="3475"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立项依据充分性</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0.5</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立项程序</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0.5</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绩效目标　（2分）　</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绩效目标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369"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绩效指标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资金投入（2分）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预算编制</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资金分配合理性</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过程</w:t>
            </w:r>
          </w:p>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（5分）</w:t>
            </w: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kern w:val="0"/>
                <w:sz w:val="32"/>
                <w:szCs w:val="32"/>
                <w:highlight w:val="none"/>
              </w:rPr>
            </w:pP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kern w:val="0"/>
                <w:sz w:val="32"/>
                <w:szCs w:val="32"/>
                <w:highlight w:val="none"/>
              </w:rPr>
            </w:pP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资金管理（3分）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资金到位率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预算执行率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lang w:val="en-US" w:eastAsia="zh-CN"/>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资金使用合规性</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组织实施（2分）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管理制度健全性</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制度执行</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w:t>
            </w:r>
          </w:p>
        </w:tc>
      </w:tr>
      <w:tr>
        <w:tblPrEx>
          <w:tblCellMar>
            <w:top w:w="0" w:type="dxa"/>
            <w:left w:w="0" w:type="dxa"/>
            <w:bottom w:w="0" w:type="dxa"/>
            <w:right w:w="0" w:type="dxa"/>
          </w:tblCellMar>
        </w:tblPrEx>
        <w:trPr>
          <w:trHeight w:val="632" w:hRule="atLeast"/>
        </w:trPr>
        <w:tc>
          <w:tcPr>
            <w:tcW w:w="15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w:t>
            </w:r>
          </w:p>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（50分）</w:t>
            </w: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kern w:val="0"/>
                <w:sz w:val="32"/>
                <w:szCs w:val="32"/>
                <w:highlight w:val="none"/>
              </w:rPr>
            </w:pP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kern w:val="0"/>
                <w:sz w:val="32"/>
                <w:szCs w:val="32"/>
                <w:highlight w:val="none"/>
              </w:rPr>
            </w:pPr>
          </w:p>
        </w:tc>
        <w:tc>
          <w:tcPr>
            <w:tcW w:w="263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产出数量（15分）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实际完成率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15</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产出质量（10分）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质量达标率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10</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产出时效（15分）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完成及时性</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15</w:t>
            </w:r>
          </w:p>
        </w:tc>
      </w:tr>
      <w:tr>
        <w:tblPrEx>
          <w:tblCellMar>
            <w:top w:w="0" w:type="dxa"/>
            <w:left w:w="0" w:type="dxa"/>
            <w:bottom w:w="0" w:type="dxa"/>
            <w:right w:w="0" w:type="dxa"/>
          </w:tblCellMar>
        </w:tblPrEx>
        <w:trPr>
          <w:trHeight w:val="577"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产出成本（10分）</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成本节约率</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10</w:t>
            </w:r>
          </w:p>
        </w:tc>
      </w:tr>
      <w:tr>
        <w:tblPrEx>
          <w:tblCellMar>
            <w:top w:w="0" w:type="dxa"/>
            <w:left w:w="0" w:type="dxa"/>
            <w:bottom w:w="0" w:type="dxa"/>
            <w:right w:w="0" w:type="dxa"/>
          </w:tblCellMar>
        </w:tblPrEx>
        <w:trPr>
          <w:trHeight w:val="577" w:hRule="atLeast"/>
        </w:trPr>
        <w:tc>
          <w:tcPr>
            <w:tcW w:w="1523"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效益</w:t>
            </w:r>
          </w:p>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（40分）</w:t>
            </w:r>
          </w:p>
          <w:p>
            <w:pPr>
              <w:pStyle w:val="18"/>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color w:val="auto"/>
                <w:sz w:val="32"/>
                <w:szCs w:val="32"/>
                <w:highlight w:val="none"/>
              </w:rPr>
            </w:pPr>
          </w:p>
        </w:tc>
        <w:tc>
          <w:tcPr>
            <w:tcW w:w="2637"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项目效益（40分）　</w:t>
            </w: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实施效益</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30</w:t>
            </w:r>
          </w:p>
        </w:tc>
      </w:tr>
      <w:tr>
        <w:tblPrEx>
          <w:tblCellMar>
            <w:top w:w="0" w:type="dxa"/>
            <w:left w:w="0" w:type="dxa"/>
            <w:bottom w:w="0" w:type="dxa"/>
            <w:right w:w="0" w:type="dxa"/>
          </w:tblCellMar>
        </w:tblPrEx>
        <w:trPr>
          <w:trHeight w:val="618" w:hRule="atLeast"/>
        </w:trPr>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2637"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exact"/>
              <w:ind w:firstLine="640" w:firstLineChars="200"/>
              <w:jc w:val="center"/>
              <w:rPr>
                <w:rFonts w:hint="eastAsia" w:ascii="仿宋_GB2312" w:hAnsi="仿宋_GB2312" w:eastAsia="仿宋_GB2312" w:cs="仿宋_GB2312"/>
                <w:bCs/>
                <w:color w:val="auto"/>
                <w:sz w:val="32"/>
                <w:szCs w:val="32"/>
                <w:highlight w:val="none"/>
              </w:rPr>
            </w:pPr>
          </w:p>
        </w:tc>
        <w:tc>
          <w:tcPr>
            <w:tcW w:w="347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满意度</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kern w:val="0"/>
                <w:sz w:val="32"/>
                <w:szCs w:val="32"/>
                <w:highlight w:val="none"/>
              </w:rPr>
              <w:t>10</w:t>
            </w:r>
          </w:p>
        </w:tc>
      </w:tr>
      <w:tr>
        <w:tblPrEx>
          <w:tblCellMar>
            <w:top w:w="0" w:type="dxa"/>
            <w:left w:w="0" w:type="dxa"/>
            <w:bottom w:w="0" w:type="dxa"/>
            <w:right w:w="0" w:type="dxa"/>
          </w:tblCellMar>
        </w:tblPrEx>
        <w:trPr>
          <w:trHeight w:val="587" w:hRule="atLeast"/>
        </w:trPr>
        <w:tc>
          <w:tcPr>
            <w:tcW w:w="763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640" w:firstLineChars="200"/>
              <w:jc w:val="center"/>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kern w:val="0"/>
                <w:sz w:val="32"/>
                <w:szCs w:val="32"/>
                <w:highlight w:val="none"/>
              </w:rPr>
              <w:t>合计</w:t>
            </w:r>
          </w:p>
        </w:tc>
        <w:tc>
          <w:tcPr>
            <w:tcW w:w="15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100</w:t>
            </w:r>
          </w:p>
        </w:tc>
      </w:tr>
    </w:tbl>
    <w:p>
      <w:pPr>
        <w:pageBreakBefore w:val="0"/>
        <w:kinsoku/>
        <w:wordWrap/>
        <w:overflowPunct/>
        <w:topLinePunct w:val="0"/>
        <w:autoSpaceDE/>
        <w:autoSpaceDN/>
        <w:bidi w:val="0"/>
        <w:adjustRightInd/>
        <w:spacing w:line="560" w:lineRule="exact"/>
        <w:rPr>
          <w:color w:val="auto"/>
          <w:highlight w:val="none"/>
        </w:rPr>
      </w:pP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bCs/>
          <w:color w:val="auto"/>
          <w:kern w:val="28"/>
          <w:sz w:val="32"/>
          <w:szCs w:val="32"/>
          <w:highlight w:val="none"/>
        </w:rPr>
      </w:pPr>
      <w:r>
        <w:rPr>
          <w:rFonts w:hint="eastAsia" w:ascii="仿宋_GB2312" w:hAnsi="仿宋_GB2312" w:eastAsia="仿宋_GB2312" w:cs="仿宋_GB2312"/>
          <w:b/>
          <w:bCs/>
          <w:color w:val="auto"/>
          <w:kern w:val="28"/>
          <w:sz w:val="32"/>
          <w:szCs w:val="32"/>
          <w:highlight w:val="none"/>
        </w:rPr>
        <w:t>3、绩效评价方法</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val="0"/>
          <w:bCs w:val="0"/>
          <w:color w:val="auto"/>
          <w:kern w:val="28"/>
          <w:sz w:val="32"/>
          <w:szCs w:val="32"/>
          <w:highlight w:val="none"/>
        </w:rPr>
      </w:pPr>
      <w:r>
        <w:rPr>
          <w:rFonts w:hint="eastAsia" w:ascii="仿宋_GB2312" w:hAnsi="仿宋_GB2312" w:eastAsia="仿宋_GB2312" w:cs="仿宋_GB2312"/>
          <w:b w:val="0"/>
          <w:bCs w:val="0"/>
          <w:color w:val="auto"/>
          <w:kern w:val="28"/>
          <w:sz w:val="32"/>
          <w:szCs w:val="32"/>
          <w:highlight w:val="none"/>
        </w:rPr>
        <w:t>（1）比较法</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val="0"/>
          <w:bCs w:val="0"/>
          <w:color w:val="auto"/>
          <w:kern w:val="28"/>
          <w:sz w:val="32"/>
          <w:szCs w:val="32"/>
          <w:highlight w:val="none"/>
        </w:rPr>
      </w:pPr>
      <w:r>
        <w:rPr>
          <w:rFonts w:hint="eastAsia" w:ascii="仿宋_GB2312" w:hAnsi="仿宋_GB2312" w:eastAsia="仿宋_GB2312" w:cs="仿宋_GB2312"/>
          <w:b w:val="0"/>
          <w:bCs w:val="0"/>
          <w:color w:val="auto"/>
          <w:kern w:val="28"/>
          <w:sz w:val="32"/>
          <w:szCs w:val="32"/>
          <w:highlight w:val="none"/>
        </w:rPr>
        <w:t>（2）因素分析法</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bCs/>
          <w:color w:val="auto"/>
          <w:kern w:val="28"/>
          <w:sz w:val="32"/>
          <w:szCs w:val="32"/>
          <w:highlight w:val="none"/>
          <w:lang w:val="en-US" w:eastAsia="zh-CN"/>
        </w:rPr>
      </w:pPr>
      <w:r>
        <w:rPr>
          <w:rFonts w:hint="eastAsia" w:ascii="仿宋_GB2312" w:hAnsi="仿宋_GB2312" w:eastAsia="仿宋_GB2312" w:cs="仿宋_GB2312"/>
          <w:b/>
          <w:bCs/>
          <w:color w:val="auto"/>
          <w:kern w:val="28"/>
          <w:sz w:val="32"/>
          <w:szCs w:val="32"/>
          <w:highlight w:val="none"/>
          <w:lang w:val="en-US" w:eastAsia="zh-CN"/>
        </w:rPr>
        <w:t>4、评价标准</w:t>
      </w:r>
    </w:p>
    <w:p>
      <w:pPr>
        <w:pageBreakBefore w:val="0"/>
        <w:kinsoku/>
        <w:wordWrap/>
        <w:overflowPunct/>
        <w:topLinePunct w:val="0"/>
        <w:autoSpaceDE/>
        <w:autoSpaceDN/>
        <w:bidi w:val="0"/>
        <w:adjustRightInd/>
        <w:spacing w:line="560" w:lineRule="exact"/>
        <w:ind w:firstLine="641"/>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0"/>
        </w:numPr>
        <w:kinsoku/>
        <w:wordWrap/>
        <w:overflowPunct/>
        <w:topLinePunct w:val="0"/>
        <w:autoSpaceDE/>
        <w:autoSpaceDN/>
        <w:bidi w:val="0"/>
        <w:adjustRightInd/>
        <w:spacing w:before="0" w:after="0" w:line="560" w:lineRule="exact"/>
        <w:ind w:firstLine="643" w:firstLineChars="200"/>
        <w:jc w:val="both"/>
        <w:rPr>
          <w:rFonts w:hint="eastAsia" w:ascii="楷体_GB2312" w:hAnsi="楷体_GB2312" w:eastAsia="楷体_GB2312" w:cs="楷体_GB2312"/>
          <w:b/>
          <w:bCs/>
          <w:color w:val="auto"/>
          <w:kern w:val="28"/>
          <w:sz w:val="32"/>
          <w:szCs w:val="32"/>
          <w:highlight w:val="none"/>
          <w:lang w:val="en-US" w:eastAsia="zh-CN" w:bidi="ar-SA"/>
        </w:rPr>
      </w:pPr>
      <w:r>
        <w:rPr>
          <w:rFonts w:hint="eastAsia" w:ascii="楷体_GB2312" w:hAnsi="楷体_GB2312" w:eastAsia="楷体_GB2312" w:cs="楷体_GB2312"/>
          <w:b/>
          <w:bCs/>
          <w:color w:val="auto"/>
          <w:kern w:val="28"/>
          <w:sz w:val="32"/>
          <w:szCs w:val="32"/>
          <w:highlight w:val="none"/>
          <w:lang w:val="en-US" w:eastAsia="zh-CN" w:bidi="ar-SA"/>
        </w:rPr>
        <w:t>（三）绩效评价工作过程</w:t>
      </w:r>
    </w:p>
    <w:p>
      <w:pPr>
        <w:pageBreakBefore w:val="0"/>
        <w:kinsoku/>
        <w:wordWrap/>
        <w:overflowPunct/>
        <w:topLinePunct w:val="0"/>
        <w:autoSpaceDE/>
        <w:autoSpaceDN/>
        <w:bidi w:val="0"/>
        <w:adjustRightInd/>
        <w:spacing w:line="560" w:lineRule="exact"/>
        <w:ind w:firstLine="641"/>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pacing w:line="560" w:lineRule="exact"/>
        <w:ind w:firstLine="641"/>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exact"/>
        <w:ind w:firstLine="641"/>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pacing w:line="560" w:lineRule="exact"/>
        <w:ind w:firstLine="320" w:firstLineChars="100"/>
        <w:rPr>
          <w:rFonts w:hint="eastAsia" w:ascii="黑体" w:hAnsi="黑体" w:eastAsia="黑体" w:cs="黑体"/>
          <w:b w:val="0"/>
          <w:bCs w:val="0"/>
          <w:color w:val="auto"/>
          <w:kern w:val="28"/>
          <w:sz w:val="32"/>
          <w:szCs w:val="32"/>
          <w:highlight w:val="none"/>
        </w:rPr>
      </w:pPr>
      <w:r>
        <w:rPr>
          <w:rFonts w:hint="eastAsia" w:ascii="黑体" w:hAnsi="黑体" w:eastAsia="黑体" w:cs="黑体"/>
          <w:b w:val="0"/>
          <w:bCs w:val="0"/>
          <w:color w:val="auto"/>
          <w:kern w:val="28"/>
          <w:sz w:val="32"/>
          <w:szCs w:val="32"/>
          <w:highlight w:val="none"/>
        </w:rPr>
        <w:t>三、综合评价情况及评价结论（附相关评分表）</w:t>
      </w:r>
    </w:p>
    <w:p>
      <w:pPr>
        <w:pageBreakBefore w:val="0"/>
        <w:kinsoku/>
        <w:wordWrap/>
        <w:overflowPunct/>
        <w:topLinePunct w:val="0"/>
        <w:autoSpaceDE/>
        <w:autoSpaceDN/>
        <w:bidi w:val="0"/>
        <w:adjustRightInd/>
        <w:spacing w:line="560" w:lineRule="exact"/>
        <w:ind w:firstLine="708" w:firstLineChars="200"/>
        <w:jc w:val="left"/>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对“免学费补助资金项目”项目进行客观评价，最终评分结果：总得分为</w:t>
      </w:r>
      <w:r>
        <w:rPr>
          <w:rFonts w:hint="eastAsia" w:ascii="仿宋_GB2312" w:hAnsi="仿宋_GB2312" w:eastAsia="仿宋_GB2312" w:cs="仿宋_GB2312"/>
          <w:color w:val="auto"/>
          <w:spacing w:val="17"/>
          <w:sz w:val="32"/>
          <w:szCs w:val="32"/>
          <w:highlight w:val="none"/>
          <w:lang w:val="en-US" w:eastAsia="zh-CN"/>
        </w:rPr>
        <w:t>95.32</w:t>
      </w:r>
      <w:r>
        <w:rPr>
          <w:rFonts w:hint="eastAsia" w:ascii="仿宋_GB2312" w:hAnsi="仿宋_GB2312" w:eastAsia="仿宋_GB2312" w:cs="仿宋_GB2312"/>
          <w:color w:val="auto"/>
          <w:spacing w:val="17"/>
          <w:sz w:val="32"/>
          <w:szCs w:val="32"/>
          <w:highlight w:val="none"/>
        </w:rPr>
        <w:t xml:space="preserve">分，属于“良好”。其中，项目决策类指标权重为5分，得分为 5分，得分率为 100%。项目过程类指标权重为5分，得分为4.22分，得分率为 </w:t>
      </w:r>
      <w:r>
        <w:rPr>
          <w:rFonts w:hint="eastAsia" w:ascii="仿宋_GB2312" w:hAnsi="仿宋_GB2312" w:eastAsia="仿宋_GB2312" w:cs="仿宋_GB2312"/>
          <w:color w:val="auto"/>
          <w:spacing w:val="17"/>
          <w:sz w:val="32"/>
          <w:szCs w:val="32"/>
          <w:highlight w:val="none"/>
          <w:lang w:val="en-US" w:eastAsia="zh-CN"/>
        </w:rPr>
        <w:t>92</w:t>
      </w:r>
      <w:r>
        <w:rPr>
          <w:rFonts w:hint="eastAsia" w:ascii="仿宋_GB2312" w:hAnsi="仿宋_GB2312" w:eastAsia="仿宋_GB2312" w:cs="仿宋_GB2312"/>
          <w:color w:val="auto"/>
          <w:spacing w:val="17"/>
          <w:sz w:val="32"/>
          <w:szCs w:val="32"/>
          <w:highlight w:val="none"/>
        </w:rPr>
        <w:t xml:space="preserve"> %。项目产出类指标权重为50分，得分为</w:t>
      </w:r>
      <w:r>
        <w:rPr>
          <w:rFonts w:hint="eastAsia" w:ascii="仿宋_GB2312" w:hAnsi="仿宋_GB2312" w:eastAsia="仿宋_GB2312" w:cs="仿宋_GB2312"/>
          <w:color w:val="auto"/>
          <w:spacing w:val="17"/>
          <w:sz w:val="32"/>
          <w:szCs w:val="32"/>
          <w:highlight w:val="none"/>
          <w:lang w:val="en-US" w:eastAsia="zh-CN"/>
        </w:rPr>
        <w:t>46.1</w:t>
      </w:r>
      <w:r>
        <w:rPr>
          <w:rFonts w:hint="eastAsia" w:ascii="仿宋_GB2312" w:hAnsi="仿宋_GB2312" w:eastAsia="仿宋_GB2312" w:cs="仿宋_GB2312"/>
          <w:color w:val="auto"/>
          <w:spacing w:val="17"/>
          <w:sz w:val="32"/>
          <w:szCs w:val="32"/>
          <w:highlight w:val="none"/>
        </w:rPr>
        <w:t>分，得分率为 8</w:t>
      </w:r>
      <w:r>
        <w:rPr>
          <w:rFonts w:hint="eastAsia" w:ascii="仿宋_GB2312" w:hAnsi="仿宋_GB2312" w:eastAsia="仿宋_GB2312" w:cs="仿宋_GB2312"/>
          <w:color w:val="auto"/>
          <w:spacing w:val="17"/>
          <w:sz w:val="32"/>
          <w:szCs w:val="32"/>
          <w:highlight w:val="none"/>
          <w:lang w:val="en-US" w:eastAsia="zh-CN"/>
        </w:rPr>
        <w:t>0</w:t>
      </w:r>
      <w:r>
        <w:rPr>
          <w:rFonts w:hint="eastAsia" w:ascii="仿宋_GB2312" w:hAnsi="仿宋_GB2312" w:eastAsia="仿宋_GB2312" w:cs="仿宋_GB2312"/>
          <w:color w:val="auto"/>
          <w:spacing w:val="17"/>
          <w:sz w:val="32"/>
          <w:szCs w:val="32"/>
          <w:highlight w:val="none"/>
        </w:rPr>
        <w:t>%。项目效益类指标权重为40分，得分为</w:t>
      </w:r>
      <w:r>
        <w:rPr>
          <w:rFonts w:hint="eastAsia" w:ascii="仿宋_GB2312" w:hAnsi="仿宋_GB2312" w:eastAsia="仿宋_GB2312" w:cs="仿宋_GB2312"/>
          <w:color w:val="auto"/>
          <w:spacing w:val="17"/>
          <w:sz w:val="32"/>
          <w:szCs w:val="32"/>
          <w:highlight w:val="none"/>
          <w:lang w:val="en-US" w:eastAsia="zh-CN"/>
        </w:rPr>
        <w:t>40</w:t>
      </w:r>
      <w:r>
        <w:rPr>
          <w:rFonts w:hint="eastAsia" w:ascii="仿宋_GB2312" w:hAnsi="仿宋_GB2312" w:eastAsia="仿宋_GB2312" w:cs="仿宋_GB2312"/>
          <w:color w:val="auto"/>
          <w:spacing w:val="17"/>
          <w:sz w:val="32"/>
          <w:szCs w:val="32"/>
          <w:highlight w:val="none"/>
        </w:rPr>
        <w:t>分，得分率为</w:t>
      </w:r>
      <w:r>
        <w:rPr>
          <w:rFonts w:hint="eastAsia" w:ascii="仿宋_GB2312" w:hAnsi="仿宋_GB2312" w:eastAsia="仿宋_GB2312" w:cs="仿宋_GB2312"/>
          <w:color w:val="auto"/>
          <w:spacing w:val="17"/>
          <w:sz w:val="32"/>
          <w:szCs w:val="32"/>
          <w:highlight w:val="none"/>
          <w:lang w:val="en-US" w:eastAsia="zh-CN"/>
        </w:rPr>
        <w:t>100</w:t>
      </w:r>
      <w:r>
        <w:rPr>
          <w:rFonts w:hint="eastAsia" w:ascii="仿宋_GB2312" w:hAnsi="仿宋_GB2312" w:eastAsia="仿宋_GB2312" w:cs="仿宋_GB2312"/>
          <w:color w:val="auto"/>
          <w:spacing w:val="17"/>
          <w:sz w:val="32"/>
          <w:szCs w:val="32"/>
          <w:highlight w:val="none"/>
        </w:rPr>
        <w:t>%。</w:t>
      </w:r>
    </w:p>
    <w:p>
      <w:pPr>
        <w:pStyle w:val="2"/>
        <w:pageBreakBefore w:val="0"/>
        <w:kinsoku/>
        <w:wordWrap/>
        <w:overflowPunct/>
        <w:topLinePunct w:val="0"/>
        <w:autoSpaceDE/>
        <w:autoSpaceDN/>
        <w:bidi w:val="0"/>
        <w:adjustRightInd/>
        <w:spacing w:before="0" w:after="0" w:line="560" w:lineRule="exact"/>
        <w:jc w:val="both"/>
        <w:rPr>
          <w:rFonts w:hint="eastAsia" w:ascii="仿宋_GB2312" w:hAnsi="仿宋_GB2312" w:eastAsia="仿宋_GB2312" w:cs="仿宋_GB2312"/>
          <w:color w:val="auto"/>
          <w:sz w:val="30"/>
          <w:szCs w:val="30"/>
          <w:highlight w:val="none"/>
        </w:rPr>
      </w:pPr>
    </w:p>
    <w:p>
      <w:pPr>
        <w:pStyle w:val="2"/>
        <w:pageBreakBefore w:val="0"/>
        <w:kinsoku/>
        <w:wordWrap/>
        <w:overflowPunct/>
        <w:topLinePunct w:val="0"/>
        <w:autoSpaceDE/>
        <w:autoSpaceDN/>
        <w:bidi w:val="0"/>
        <w:adjustRightInd/>
        <w:spacing w:before="0" w:after="0" w:line="560" w:lineRule="exact"/>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表1综合评分表</w:t>
      </w:r>
    </w:p>
    <w:tbl>
      <w:tblPr>
        <w:tblStyle w:val="21"/>
        <w:tblpPr w:leftFromText="180" w:rightFromText="180" w:vertAnchor="text" w:horzAnchor="page" w:tblpX="1029" w:tblpY="61"/>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exac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决策　</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立项依据</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立项程序</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绩效指标</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预算编制</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资金分配</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过程</w:t>
            </w:r>
          </w:p>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22.05%</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0.22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资金使用</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管理制度</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制度执行</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r>
              <w:rPr>
                <w:rFonts w:hint="eastAsia" w:ascii="宋体" w:hAnsi="宋体" w:cs="宋体"/>
                <w:color w:val="auto"/>
                <w:kern w:val="0"/>
                <w:sz w:val="22"/>
                <w:szCs w:val="22"/>
                <w:highlight w:val="none"/>
              </w:rPr>
              <w:t>%</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r>
              <w:rPr>
                <w:rFonts w:hint="eastAsia" w:ascii="宋体" w:hAnsi="宋体" w:cs="宋体"/>
                <w:color w:val="auto"/>
                <w:kern w:val="0"/>
                <w:sz w:val="22"/>
                <w:szCs w:val="22"/>
                <w:highlight w:val="none"/>
              </w:rPr>
              <w:t>%</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22%</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实施效益</w:t>
            </w:r>
          </w:p>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有所提升</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有所提升</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有所提升</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有所提升</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r>
    </w:tbl>
    <w:p>
      <w:pPr>
        <w:pageBreakBefore w:val="0"/>
        <w:kinsoku/>
        <w:wordWrap/>
        <w:overflowPunct/>
        <w:topLinePunct w:val="0"/>
        <w:autoSpaceDE/>
        <w:autoSpaceDN/>
        <w:bidi w:val="0"/>
        <w:adjustRightInd/>
        <w:spacing w:line="560" w:lineRule="exact"/>
        <w:ind w:firstLine="320" w:firstLineChars="100"/>
        <w:rPr>
          <w:rFonts w:hint="eastAsia" w:ascii="黑体" w:hAnsi="黑体" w:eastAsia="黑体" w:cs="黑体"/>
          <w:b w:val="0"/>
          <w:bCs w:val="0"/>
          <w:color w:val="auto"/>
          <w:kern w:val="28"/>
          <w:sz w:val="32"/>
          <w:szCs w:val="32"/>
          <w:highlight w:val="none"/>
        </w:rPr>
      </w:pPr>
      <w:r>
        <w:rPr>
          <w:rFonts w:hint="eastAsia" w:ascii="黑体" w:hAnsi="黑体" w:eastAsia="黑体" w:cs="黑体"/>
          <w:b w:val="0"/>
          <w:bCs w:val="0"/>
          <w:color w:val="auto"/>
          <w:kern w:val="28"/>
          <w:sz w:val="32"/>
          <w:szCs w:val="32"/>
          <w:highlight w:val="none"/>
        </w:rPr>
        <w:t>四、绩效评价指标分析</w:t>
      </w:r>
    </w:p>
    <w:p>
      <w:pPr>
        <w:pStyle w:val="2"/>
        <w:pageBreakBefore w:val="0"/>
        <w:kinsoku/>
        <w:wordWrap/>
        <w:overflowPunct/>
        <w:topLinePunct w:val="0"/>
        <w:autoSpaceDE/>
        <w:autoSpaceDN/>
        <w:bidi w:val="0"/>
        <w:adjustRightInd/>
        <w:spacing w:before="0" w:after="0" w:line="560" w:lineRule="exact"/>
        <w:ind w:firstLine="321" w:firstLineChars="100"/>
        <w:jc w:val="both"/>
        <w:rPr>
          <w:rFonts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（一）项目决策情况</w:t>
      </w:r>
    </w:p>
    <w:p>
      <w:pPr>
        <w:pageBreakBefore w:val="0"/>
        <w:kinsoku/>
        <w:wordWrap/>
        <w:overflowPunct/>
        <w:topLinePunct w:val="0"/>
        <w:autoSpaceDE/>
        <w:autoSpaceDN/>
        <w:bidi w:val="0"/>
        <w:adjustRightInd/>
        <w:spacing w:line="560" w:lineRule="exact"/>
        <w:ind w:firstLine="640" w:firstLineChars="200"/>
        <w:rPr>
          <w:rStyle w:val="52"/>
          <w:rFonts w:hint="eastAsia"/>
          <w:color w:val="auto"/>
          <w:highlight w:val="none"/>
        </w:rPr>
      </w:pPr>
      <w:r>
        <w:rPr>
          <w:rStyle w:val="52"/>
          <w:rFonts w:hint="eastAsia"/>
          <w:color w:val="auto"/>
          <w:highlight w:val="none"/>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pageBreakBefore w:val="0"/>
        <w:kinsoku/>
        <w:wordWrap/>
        <w:overflowPunct/>
        <w:topLinePunct w:val="0"/>
        <w:autoSpaceDE/>
        <w:autoSpaceDN/>
        <w:bidi w:val="0"/>
        <w:adjustRightInd/>
        <w:spacing w:line="560" w:lineRule="exact"/>
        <w:ind w:firstLine="2580" w:firstLineChars="803"/>
        <w:rPr>
          <w:rStyle w:val="52"/>
          <w:b/>
          <w:bCs/>
          <w:color w:val="auto"/>
          <w:highlight w:val="none"/>
        </w:rPr>
      </w:pPr>
      <w:r>
        <w:rPr>
          <w:rStyle w:val="52"/>
          <w:rFonts w:hint="eastAsia"/>
          <w:b/>
          <w:bCs/>
          <w:color w:val="auto"/>
          <w:highlight w:val="none"/>
        </w:rPr>
        <w:t>项目决策指标得分情况</w:t>
      </w:r>
    </w:p>
    <w:tbl>
      <w:tblPr>
        <w:tblStyle w:val="21"/>
        <w:tblpPr w:leftFromText="180" w:rightFromText="180" w:vertAnchor="text" w:horzAnchor="page" w:tblpX="1790" w:tblpY="553"/>
        <w:tblOverlap w:val="never"/>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504"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5</w:t>
            </w:r>
          </w:p>
        </w:tc>
      </w:tr>
    </w:tbl>
    <w:p>
      <w:pPr>
        <w:pStyle w:val="2"/>
        <w:pageBreakBefore w:val="0"/>
        <w:kinsoku/>
        <w:wordWrap/>
        <w:overflowPunct/>
        <w:topLinePunct w:val="0"/>
        <w:autoSpaceDE/>
        <w:autoSpaceDN/>
        <w:bidi w:val="0"/>
        <w:adjustRightInd/>
        <w:spacing w:before="0" w:after="0" w:line="560" w:lineRule="exact"/>
        <w:ind w:firstLine="624" w:firstLineChars="200"/>
        <w:jc w:val="both"/>
        <w:rPr>
          <w:color w:val="auto"/>
          <w:highlight w:val="none"/>
        </w:rPr>
      </w:pPr>
      <w:r>
        <w:rPr>
          <w:rStyle w:val="23"/>
          <w:rFonts w:hint="eastAsia" w:ascii="仿宋" w:hAnsi="仿宋" w:eastAsia="仿宋" w:cs="仿宋"/>
          <w:b w:val="0"/>
          <w:bCs/>
          <w:color w:val="auto"/>
          <w:spacing w:val="-4"/>
          <w:kern w:val="2"/>
          <w:highlight w:val="none"/>
        </w:rPr>
        <w:t>对于项目决策指标分值5分，实际得分5分，该指标得分率100%，说明立项依据充分性、立项程序、绩效目标、绩效指标、预算编制、资金分配合理性。</w:t>
      </w:r>
    </w:p>
    <w:p>
      <w:pPr>
        <w:pStyle w:val="2"/>
        <w:pageBreakBefore w:val="0"/>
        <w:kinsoku/>
        <w:wordWrap/>
        <w:overflowPunct/>
        <w:topLinePunct w:val="0"/>
        <w:autoSpaceDE/>
        <w:autoSpaceDN/>
        <w:bidi w:val="0"/>
        <w:adjustRightInd/>
        <w:spacing w:before="0" w:after="0" w:line="560" w:lineRule="exact"/>
        <w:ind w:firstLine="321" w:firstLineChars="100"/>
        <w:jc w:val="both"/>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二</w:t>
      </w: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rPr>
        <w:t>项目过程情况</w:t>
      </w:r>
    </w:p>
    <w:p>
      <w:pPr>
        <w:pageBreakBefore w:val="0"/>
        <w:kinsoku/>
        <w:wordWrap/>
        <w:overflowPunct/>
        <w:topLinePunct w:val="0"/>
        <w:autoSpaceDE/>
        <w:autoSpaceDN/>
        <w:bidi w:val="0"/>
        <w:adjustRightInd/>
        <w:spacing w:line="560" w:lineRule="exact"/>
        <w:ind w:firstLine="640"/>
        <w:rPr>
          <w:rStyle w:val="52"/>
          <w:color w:val="auto"/>
          <w:highlight w:val="none"/>
        </w:rPr>
      </w:pPr>
      <w:r>
        <w:rPr>
          <w:rStyle w:val="52"/>
          <w:rFonts w:hint="eastAsia"/>
          <w:color w:val="auto"/>
          <w:highlight w:val="none"/>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0.22分，得分率22.05%，资金使用合规性分值1分，实际得分1分，得分率100%，管理制度健全性分值1分，实际得分1分，得分率100%，、制度执行分值1分，实际得分1分，得分率100%。项目决策指标得分情况如表所示。</w:t>
      </w:r>
    </w:p>
    <w:p>
      <w:pPr>
        <w:pageBreakBefore w:val="0"/>
        <w:kinsoku/>
        <w:wordWrap/>
        <w:overflowPunct/>
        <w:topLinePunct w:val="0"/>
        <w:autoSpaceDE/>
        <w:autoSpaceDN/>
        <w:bidi w:val="0"/>
        <w:adjustRightInd/>
        <w:spacing w:line="560" w:lineRule="exact"/>
        <w:ind w:firstLine="2570" w:firstLineChars="800"/>
        <w:rPr>
          <w:rStyle w:val="52"/>
          <w:b/>
          <w:bCs/>
          <w:color w:val="auto"/>
          <w:highlight w:val="none"/>
        </w:rPr>
      </w:pPr>
      <w:r>
        <w:rPr>
          <w:rStyle w:val="52"/>
          <w:rFonts w:hint="eastAsia"/>
          <w:b/>
          <w:bCs/>
          <w:color w:val="auto"/>
          <w:highlight w:val="none"/>
        </w:rPr>
        <w:t>项目</w:t>
      </w:r>
      <w:r>
        <w:rPr>
          <w:rStyle w:val="52"/>
          <w:rFonts w:hint="eastAsia" w:eastAsia="仿宋_GB2312"/>
          <w:b/>
          <w:bCs/>
          <w:color w:val="auto"/>
          <w:highlight w:val="none"/>
          <w:lang w:eastAsia="zh-CN"/>
        </w:rPr>
        <w:t>过程</w:t>
      </w:r>
      <w:r>
        <w:rPr>
          <w:rStyle w:val="52"/>
          <w:rFonts w:hint="eastAsia"/>
          <w:b/>
          <w:bCs/>
          <w:color w:val="auto"/>
          <w:highlight w:val="none"/>
        </w:rPr>
        <w:t>指标得分情况</w:t>
      </w:r>
    </w:p>
    <w:tbl>
      <w:tblPr>
        <w:tblStyle w:val="21"/>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2" w:firstLineChars="200"/>
              <w:jc w:val="center"/>
              <w:textAlignment w:val="center"/>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2" w:firstLineChars="200"/>
              <w:jc w:val="left"/>
              <w:textAlignment w:val="center"/>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2" w:firstLineChars="200"/>
              <w:jc w:val="left"/>
              <w:textAlignment w:val="center"/>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2" w:firstLineChars="200"/>
              <w:jc w:val="left"/>
              <w:textAlignment w:val="center"/>
              <w:rPr>
                <w:rFonts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22.05%</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0.22</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ind w:firstLine="560" w:firstLineChars="200"/>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84.41%</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4.22</w:t>
            </w:r>
          </w:p>
        </w:tc>
      </w:tr>
    </w:tbl>
    <w:p>
      <w:pPr>
        <w:pageBreakBefore w:val="0"/>
        <w:kinsoku/>
        <w:wordWrap/>
        <w:overflowPunct/>
        <w:topLinePunct w:val="0"/>
        <w:autoSpaceDE/>
        <w:autoSpaceDN/>
        <w:bidi w:val="0"/>
        <w:adjustRightInd/>
        <w:spacing w:line="560" w:lineRule="exact"/>
        <w:ind w:firstLine="640"/>
        <w:rPr>
          <w:color w:val="auto"/>
          <w:highlight w:val="none"/>
        </w:rPr>
      </w:pPr>
      <w:r>
        <w:rPr>
          <w:rStyle w:val="52"/>
          <w:rFonts w:hint="eastAsia"/>
          <w:color w:val="auto"/>
          <w:highlight w:val="none"/>
        </w:rPr>
        <w:t>对于“过程控制”，</w:t>
      </w:r>
      <w:r>
        <w:rPr>
          <w:rFonts w:hint="eastAsia" w:ascii="仿宋_GB2312" w:hAnsi="仿宋_GB2312" w:eastAsia="仿宋_GB2312" w:cs="仿宋_GB2312"/>
          <w:color w:val="auto"/>
          <w:sz w:val="32"/>
          <w:szCs w:val="32"/>
          <w:highlight w:val="none"/>
        </w:rPr>
        <w:t>“免学费补助资金项目”</w:t>
      </w:r>
      <w:r>
        <w:rPr>
          <w:rStyle w:val="52"/>
          <w:rFonts w:hint="eastAsia"/>
          <w:color w:val="auto"/>
          <w:highlight w:val="none"/>
        </w:rPr>
        <w:t>执行符合业务管理的规定；项目管理、实施人员均落实到位，能按照方案和计划执行；项目无调整，资料齐全；资金使用依据合格，无虚列套取项目支出，无超标准开支，按评分标准，该指标实际得分率84.41%。</w:t>
      </w:r>
    </w:p>
    <w:p>
      <w:pPr>
        <w:pageBreakBefore w:val="0"/>
        <w:kinsoku/>
        <w:wordWrap/>
        <w:overflowPunct/>
        <w:topLinePunct w:val="0"/>
        <w:autoSpaceDE/>
        <w:autoSpaceDN/>
        <w:bidi w:val="0"/>
        <w:adjustRightInd/>
        <w:spacing w:line="560" w:lineRule="exact"/>
        <w:ind w:firstLine="627" w:firstLineChars="20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(三 )项目产出</w:t>
      </w:r>
    </w:p>
    <w:p>
      <w:pPr>
        <w:pageBreakBefore w:val="0"/>
        <w:kinsoku/>
        <w:wordWrap/>
        <w:overflowPunct/>
        <w:topLinePunct w:val="0"/>
        <w:autoSpaceDE/>
        <w:autoSpaceDN/>
        <w:bidi w:val="0"/>
        <w:adjustRightInd/>
        <w:spacing w:line="560" w:lineRule="exact"/>
        <w:ind w:firstLine="640" w:firstLineChars="200"/>
        <w:jc w:val="left"/>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项目产出主要从产出数量、产出质量、产出时效、成本情况4个方面对项目的绩效情况进行评价。项目产出类指标分值50分，实际得分40分，得分率为80%。项目绩效指标得分情况如表所示。</w:t>
      </w:r>
    </w:p>
    <w:p>
      <w:pPr>
        <w:pStyle w:val="20"/>
        <w:pageBreakBefore w:val="0"/>
        <w:kinsoku/>
        <w:wordWrap/>
        <w:overflowPunct/>
        <w:topLinePunct w:val="0"/>
        <w:autoSpaceDE/>
        <w:autoSpaceDN/>
        <w:bidi w:val="0"/>
        <w:adjustRightInd/>
        <w:spacing w:after="0" w:line="560" w:lineRule="exact"/>
        <w:ind w:firstLine="2891" w:firstLineChars="900"/>
        <w:rPr>
          <w:rFonts w:hint="eastAsia" w:ascii="仿宋_GB2312" w:hAnsi="仿宋" w:eastAsia="仿宋_GB2312" w:cs="宋体"/>
          <w:b/>
          <w:bCs/>
          <w:color w:val="auto"/>
          <w:kern w:val="2"/>
          <w:sz w:val="32"/>
          <w:szCs w:val="32"/>
          <w:highlight w:val="none"/>
          <w:lang w:val="en-US" w:eastAsia="zh-CN" w:bidi="ar-SA"/>
        </w:rPr>
      </w:pPr>
      <w:r>
        <w:rPr>
          <w:rFonts w:hint="eastAsia" w:ascii="仿宋_GB2312" w:hAnsi="仿宋" w:eastAsia="仿宋_GB2312" w:cs="宋体"/>
          <w:b/>
          <w:bCs/>
          <w:color w:val="auto"/>
          <w:kern w:val="2"/>
          <w:sz w:val="32"/>
          <w:szCs w:val="32"/>
          <w:highlight w:val="none"/>
          <w:lang w:val="en-US" w:eastAsia="zh-CN" w:bidi="ar-SA"/>
        </w:rPr>
        <w:t>项目产出指标得分情况</w:t>
      </w:r>
    </w:p>
    <w:tbl>
      <w:tblPr>
        <w:tblStyle w:val="21"/>
        <w:tblW w:w="8238" w:type="dxa"/>
        <w:tblInd w:w="0" w:type="dxa"/>
        <w:tblLayout w:type="fixed"/>
        <w:tblCellMar>
          <w:top w:w="0" w:type="dxa"/>
          <w:left w:w="108" w:type="dxa"/>
          <w:bottom w:w="0" w:type="dxa"/>
          <w:right w:w="108" w:type="dxa"/>
        </w:tblCellMar>
      </w:tblPr>
      <w:tblGrid>
        <w:gridCol w:w="2916"/>
        <w:gridCol w:w="1774"/>
        <w:gridCol w:w="1773"/>
        <w:gridCol w:w="1775"/>
      </w:tblGrid>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3" w:firstLineChars="200"/>
              <w:jc w:val="both"/>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3" w:firstLineChars="200"/>
              <w:jc w:val="both"/>
              <w:rPr>
                <w:rFonts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权重</w:t>
            </w:r>
          </w:p>
        </w:tc>
        <w:tc>
          <w:tcPr>
            <w:tcW w:w="1773" w:type="dxa"/>
            <w:tcBorders>
              <w:top w:val="single" w:color="auto" w:sz="4" w:space="0"/>
              <w:left w:val="nil"/>
              <w:bottom w:val="single" w:color="auto" w:sz="4" w:space="0"/>
              <w:right w:val="single" w:color="auto" w:sz="4" w:space="0"/>
            </w:tcBorders>
            <w:shd w:val="clear" w:color="auto" w:fill="auto"/>
            <w:noWrap/>
            <w:vAlign w:val="center"/>
          </w:tcPr>
          <w:p>
            <w:pPr>
              <w:spacing w:line="560" w:lineRule="exact"/>
              <w:jc w:val="center"/>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775" w:type="dxa"/>
            <w:tcBorders>
              <w:top w:val="single" w:color="auto" w:sz="4" w:space="0"/>
              <w:left w:val="nil"/>
              <w:bottom w:val="single" w:color="auto" w:sz="4" w:space="0"/>
              <w:right w:val="single" w:color="auto" w:sz="4" w:space="0"/>
            </w:tcBorders>
            <w:shd w:val="clear" w:color="auto" w:fill="auto"/>
            <w:noWrap/>
            <w:vAlign w:val="center"/>
          </w:tcPr>
          <w:p>
            <w:pPr>
              <w:spacing w:line="560" w:lineRule="exact"/>
              <w:jc w:val="both"/>
              <w:rPr>
                <w:rFonts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得分dedefdn</w:t>
            </w:r>
            <w:r>
              <w:rPr>
                <w:rFonts w:hint="eastAsia" w:ascii="仿宋_GB2312" w:hAnsi="仿宋_GB2312" w:eastAsia="仿宋_GB2312" w:cs="仿宋_GB2312"/>
                <w:b/>
                <w:bCs/>
                <w:color w:val="auto"/>
                <w:sz w:val="32"/>
                <w:szCs w:val="32"/>
                <w:highlight w:val="none"/>
              </w:rPr>
              <w:t>得分</w:t>
            </w:r>
          </w:p>
        </w:tc>
      </w:tr>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产出数量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w:t>
            </w:r>
            <w:r>
              <w:rPr>
                <w:rFonts w:hint="eastAsia" w:ascii="仿宋_GB2312" w:hAnsi="仿宋_GB2312" w:eastAsia="仿宋_GB2312" w:cs="仿宋_GB2312"/>
                <w:color w:val="auto"/>
                <w:sz w:val="32"/>
                <w:szCs w:val="32"/>
                <w:highlight w:val="none"/>
                <w:lang w:val="en-US" w:eastAsia="zh-CN"/>
              </w:rPr>
              <w:t>5</w:t>
            </w:r>
          </w:p>
        </w:tc>
        <w:tc>
          <w:tcPr>
            <w:tcW w:w="1773"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w:t>
            </w:r>
            <w:r>
              <w:rPr>
                <w:rFonts w:hint="eastAsia" w:ascii="仿宋_GB2312" w:hAnsi="仿宋_GB2312" w:eastAsia="仿宋_GB2312" w:cs="仿宋_GB2312"/>
                <w:color w:val="auto"/>
                <w:sz w:val="32"/>
                <w:szCs w:val="32"/>
                <w:highlight w:val="none"/>
                <w:lang w:val="en-US" w:eastAsia="zh-CN"/>
              </w:rPr>
              <w:t>5</w:t>
            </w:r>
          </w:p>
        </w:tc>
      </w:tr>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产出质量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10</w:t>
            </w:r>
          </w:p>
        </w:tc>
        <w:tc>
          <w:tcPr>
            <w:tcW w:w="1773"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10</w:t>
            </w:r>
          </w:p>
        </w:tc>
      </w:tr>
      <w:tr>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产出时效</w:t>
            </w:r>
          </w:p>
        </w:tc>
        <w:tc>
          <w:tcPr>
            <w:tcW w:w="1774"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20</w:t>
            </w:r>
          </w:p>
        </w:tc>
        <w:tc>
          <w:tcPr>
            <w:tcW w:w="1773"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w:t>
            </w:r>
          </w:p>
        </w:tc>
      </w:tr>
      <w:tr>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产出成本</w:t>
            </w:r>
          </w:p>
        </w:tc>
        <w:tc>
          <w:tcPr>
            <w:tcW w:w="1774"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p>
        </w:tc>
        <w:tc>
          <w:tcPr>
            <w:tcW w:w="1773"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1</w:t>
            </w:r>
            <w:r>
              <w:rPr>
                <w:rFonts w:hint="eastAsia" w:ascii="仿宋_GB2312" w:hAnsi="仿宋_GB2312" w:eastAsia="仿宋_GB2312" w:cs="仿宋_GB2312"/>
                <w:color w:val="auto"/>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50</w:t>
            </w:r>
          </w:p>
        </w:tc>
        <w:tc>
          <w:tcPr>
            <w:tcW w:w="1773"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92.2</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46.1</w:t>
            </w:r>
          </w:p>
        </w:tc>
      </w:tr>
    </w:tbl>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对于“产出数量”，</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指标1：采购电脑，年度指标值5台，实际完成值5台，指标完成率100%；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指标2：采购档案柜、保密柜、碎纸机，年度指标值8个，实际完成值8个，指标完成率100%；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指标3：采购打印机和复印机，年度指标值2台，实际完成值2台，指标完成率100%；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对于“产出质量”，办公设备采购合格率，年度指标值100%，实际完成值100%，指标完成率100%；</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sz w:val="32"/>
          <w:szCs w:val="32"/>
          <w:highlight w:val="none"/>
        </w:rPr>
        <w:t>对于“产出时效”，</w:t>
      </w:r>
      <w:r>
        <w:rPr>
          <w:rFonts w:hint="eastAsia" w:ascii="仿宋_GB2312" w:hAnsi="仿宋_GB2312" w:eastAsia="仿宋_GB2312" w:cs="仿宋_GB2312"/>
          <w:b w:val="0"/>
          <w:bCs w:val="0"/>
          <w:color w:val="auto"/>
          <w:sz w:val="32"/>
          <w:szCs w:val="32"/>
          <w:highlight w:val="none"/>
          <w:lang w:eastAsia="zh-CN"/>
        </w:rPr>
        <w:t>完成项目时间，</w:t>
      </w:r>
      <w:r>
        <w:rPr>
          <w:rFonts w:hint="eastAsia" w:ascii="仿宋_GB2312" w:hAnsi="仿宋_GB2312" w:eastAsia="仿宋_GB2312" w:cs="仿宋_GB2312"/>
          <w:b w:val="0"/>
          <w:bCs w:val="0"/>
          <w:color w:val="auto"/>
          <w:highlight w:val="none"/>
          <w:lang w:val="en-US" w:eastAsia="zh-CN"/>
        </w:rPr>
        <w:t>年度指标值2020年12月，实际完成值2020年12月，指标完成率100%；</w:t>
      </w:r>
    </w:p>
    <w:p>
      <w:pPr>
        <w:pStyle w:val="20"/>
        <w:pageBreakBefore w:val="0"/>
        <w:kinsoku/>
        <w:wordWrap/>
        <w:overflowPunct/>
        <w:topLinePunct w:val="0"/>
        <w:autoSpaceDE/>
        <w:autoSpaceDN/>
        <w:bidi w:val="0"/>
        <w:adjustRightInd/>
        <w:spacing w:after="0" w:line="560" w:lineRule="exact"/>
        <w:ind w:firstLine="64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对于“成本情况”，</w:t>
      </w:r>
      <w:r>
        <w:rPr>
          <w:rFonts w:hint="eastAsia" w:ascii="仿宋_GB2312" w:hAnsi="仿宋_GB2312" w:eastAsia="仿宋_GB2312" w:cs="仿宋_GB2312"/>
          <w:b w:val="0"/>
          <w:bCs w:val="0"/>
          <w:color w:val="auto"/>
          <w:sz w:val="32"/>
          <w:szCs w:val="32"/>
          <w:highlight w:val="none"/>
          <w:lang w:eastAsia="zh-CN"/>
        </w:rPr>
        <w:t>项目资金投入费用，</w:t>
      </w:r>
      <w:r>
        <w:rPr>
          <w:rFonts w:hint="eastAsia" w:ascii="仿宋_GB2312" w:hAnsi="仿宋_GB2312" w:eastAsia="仿宋_GB2312" w:cs="仿宋_GB2312"/>
          <w:b w:val="0"/>
          <w:bCs w:val="0"/>
          <w:color w:val="auto"/>
          <w:sz w:val="32"/>
          <w:szCs w:val="32"/>
          <w:highlight w:val="none"/>
          <w:lang w:val="en-US" w:eastAsia="zh-CN"/>
        </w:rPr>
        <w:t>年度指标值</w:t>
      </w:r>
      <w:r>
        <w:rPr>
          <w:rFonts w:hint="eastAsia" w:ascii="仿宋_GB2312" w:hAnsi="仿宋_GB2312" w:eastAsia="仿宋_GB2312" w:cs="仿宋_GB2312"/>
          <w:b w:val="0"/>
          <w:bCs w:val="0"/>
          <w:color w:val="auto"/>
          <w:sz w:val="32"/>
          <w:szCs w:val="32"/>
          <w:highlight w:val="none"/>
          <w:lang w:eastAsia="zh-CN"/>
        </w:rPr>
        <w:t>≤634784.61元，实际完成值139,950.68元，</w:t>
      </w:r>
      <w:r>
        <w:rPr>
          <w:rFonts w:hint="eastAsia" w:ascii="仿宋_GB2312" w:hAnsi="仿宋_GB2312" w:eastAsia="仿宋_GB2312" w:cs="仿宋_GB2312"/>
          <w:b w:val="0"/>
          <w:bCs w:val="0"/>
          <w:color w:val="auto"/>
          <w:sz w:val="32"/>
          <w:szCs w:val="32"/>
          <w:highlight w:val="none"/>
          <w:lang w:val="en-US" w:eastAsia="zh-CN"/>
        </w:rPr>
        <w:t>指标完成率22%；</w:t>
      </w:r>
    </w:p>
    <w:p>
      <w:pPr>
        <w:pStyle w:val="2"/>
        <w:pageBreakBefore w:val="0"/>
        <w:kinsoku/>
        <w:wordWrap/>
        <w:overflowPunct/>
        <w:topLinePunct w:val="0"/>
        <w:autoSpaceDE/>
        <w:autoSpaceDN/>
        <w:bidi w:val="0"/>
        <w:adjustRightInd/>
        <w:spacing w:before="0" w:after="0" w:line="560" w:lineRule="exact"/>
        <w:ind w:firstLine="321" w:firstLineChars="100"/>
        <w:jc w:val="both"/>
        <w:rPr>
          <w:rFonts w:hint="eastAsia" w:ascii="楷体_GB2312" w:hAnsi="楷体_GB2312" w:eastAsia="楷体_GB2312" w:cs="楷体_GB2312"/>
          <w:color w:val="auto"/>
          <w:highlight w:val="none"/>
          <w:lang w:eastAsia="zh-CN"/>
        </w:rPr>
      </w:pP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四</w:t>
      </w:r>
      <w:r>
        <w:rPr>
          <w:rFonts w:hint="eastAsia" w:ascii="楷体_GB2312" w:hAnsi="楷体_GB2312" w:eastAsia="楷体_GB2312" w:cs="楷体_GB2312"/>
          <w:color w:val="auto"/>
          <w:highlight w:val="none"/>
          <w:lang w:eastAsia="zh-CN"/>
        </w:rPr>
        <w:t>）效益情况</w:t>
      </w:r>
    </w:p>
    <w:p>
      <w:pPr>
        <w:spacing w:line="560" w:lineRule="exact"/>
        <w:jc w:val="center"/>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项目效益指标得分情况</w:t>
      </w:r>
    </w:p>
    <w:tbl>
      <w:tblPr>
        <w:tblStyle w:val="21"/>
        <w:tblW w:w="8238" w:type="dxa"/>
        <w:tblInd w:w="0" w:type="dxa"/>
        <w:tblLayout w:type="fixed"/>
        <w:tblCellMar>
          <w:top w:w="0" w:type="dxa"/>
          <w:left w:w="108" w:type="dxa"/>
          <w:bottom w:w="0" w:type="dxa"/>
          <w:right w:w="108" w:type="dxa"/>
        </w:tblCellMar>
      </w:tblPr>
      <w:tblGrid>
        <w:gridCol w:w="2916"/>
        <w:gridCol w:w="1774"/>
        <w:gridCol w:w="1797"/>
        <w:gridCol w:w="1751"/>
      </w:tblGrid>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3"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3"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rPr>
              <w:t>权重</w:t>
            </w:r>
          </w:p>
        </w:tc>
        <w:tc>
          <w:tcPr>
            <w:tcW w:w="1797" w:type="dxa"/>
            <w:tcBorders>
              <w:top w:val="single" w:color="auto" w:sz="4" w:space="0"/>
              <w:left w:val="nil"/>
              <w:bottom w:val="single" w:color="auto" w:sz="4" w:space="0"/>
              <w:right w:val="single" w:color="auto" w:sz="4" w:space="0"/>
            </w:tcBorders>
            <w:shd w:val="clear" w:color="auto" w:fill="auto"/>
            <w:noWrap/>
            <w:vAlign w:val="center"/>
          </w:tcPr>
          <w:p>
            <w:pPr>
              <w:spacing w:line="560" w:lineRule="exact"/>
              <w:jc w:val="center"/>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751" w:type="dxa"/>
            <w:tcBorders>
              <w:top w:val="single" w:color="auto" w:sz="4" w:space="0"/>
              <w:left w:val="nil"/>
              <w:bottom w:val="single" w:color="auto" w:sz="4" w:space="0"/>
              <w:right w:val="single" w:color="auto" w:sz="4" w:space="0"/>
            </w:tcBorders>
            <w:shd w:val="clear" w:color="auto" w:fill="auto"/>
            <w:noWrap/>
            <w:vAlign w:val="center"/>
          </w:tcPr>
          <w:p>
            <w:pPr>
              <w:spacing w:line="560" w:lineRule="exact"/>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得分dedefdn</w:t>
            </w:r>
            <w:r>
              <w:rPr>
                <w:rFonts w:hint="eastAsia" w:ascii="仿宋_GB2312" w:hAnsi="仿宋_GB2312" w:eastAsia="仿宋_GB2312" w:cs="仿宋_GB2312"/>
                <w:b/>
                <w:bCs/>
                <w:color w:val="auto"/>
                <w:sz w:val="32"/>
                <w:szCs w:val="32"/>
                <w:highlight w:val="none"/>
              </w:rPr>
              <w:t>得分</w:t>
            </w:r>
          </w:p>
        </w:tc>
      </w:tr>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社会</w:t>
            </w:r>
            <w:r>
              <w:rPr>
                <w:rFonts w:hint="eastAsia" w:ascii="仿宋_GB2312" w:hAnsi="仿宋_GB2312" w:eastAsia="仿宋_GB2312" w:cs="仿宋_GB2312"/>
                <w:color w:val="auto"/>
                <w:sz w:val="32"/>
                <w:szCs w:val="32"/>
                <w:highlight w:val="none"/>
              </w:rPr>
              <w:t>效益</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w:t>
            </w:r>
          </w:p>
        </w:tc>
        <w:tc>
          <w:tcPr>
            <w:tcW w:w="1797"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51"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w:t>
            </w:r>
          </w:p>
        </w:tc>
      </w:tr>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 w:eastAsia="仿宋_GB2312" w:cs="宋体"/>
                <w:color w:val="auto"/>
                <w:sz w:val="32"/>
                <w:szCs w:val="32"/>
                <w:highlight w:val="none"/>
              </w:rPr>
              <w:t>可持续影响</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w:t>
            </w:r>
          </w:p>
        </w:tc>
        <w:tc>
          <w:tcPr>
            <w:tcW w:w="1797"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100%</w:t>
            </w:r>
          </w:p>
        </w:tc>
        <w:tc>
          <w:tcPr>
            <w:tcW w:w="1751"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15</w:t>
            </w:r>
          </w:p>
        </w:tc>
      </w:tr>
      <w:tr>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满意度</w:t>
            </w:r>
          </w:p>
        </w:tc>
        <w:tc>
          <w:tcPr>
            <w:tcW w:w="1774"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10</w:t>
            </w:r>
          </w:p>
        </w:tc>
        <w:tc>
          <w:tcPr>
            <w:tcW w:w="1797"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51" w:type="dxa"/>
            <w:tcBorders>
              <w:top w:val="single" w:color="auto" w:sz="4" w:space="0"/>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w:t>
            </w:r>
          </w:p>
        </w:tc>
      </w:tr>
      <w:tr>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40</w:t>
            </w:r>
          </w:p>
        </w:tc>
        <w:tc>
          <w:tcPr>
            <w:tcW w:w="1797"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51" w:type="dxa"/>
            <w:tcBorders>
              <w:top w:val="nil"/>
              <w:left w:val="nil"/>
              <w:bottom w:val="single" w:color="auto" w:sz="4" w:space="0"/>
              <w:right w:val="single" w:color="auto" w:sz="4" w:space="0"/>
            </w:tcBorders>
            <w:shd w:val="clear" w:color="auto" w:fill="auto"/>
            <w:noWrap/>
            <w:vAlign w:val="center"/>
          </w:tcPr>
          <w:p>
            <w:pPr>
              <w:widowControl/>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40</w:t>
            </w:r>
          </w:p>
        </w:tc>
      </w:tr>
    </w:tbl>
    <w:p>
      <w:pPr>
        <w:pageBreakBefore w:val="0"/>
        <w:kinsoku/>
        <w:wordWrap/>
        <w:overflowPunct/>
        <w:topLinePunct w:val="0"/>
        <w:autoSpaceDE/>
        <w:autoSpaceDN/>
        <w:bidi w:val="0"/>
        <w:adjustRightInd/>
        <w:spacing w:line="560" w:lineRule="exact"/>
        <w:ind w:firstLine="640" w:firstLineChars="200"/>
        <w:jc w:val="left"/>
        <w:rPr>
          <w:rFonts w:ascii="仿宋_GB2312" w:hAnsi="仿宋" w:eastAsia="仿宋_GB2312" w:cs="宋体"/>
          <w:color w:val="auto"/>
          <w:sz w:val="32"/>
          <w:szCs w:val="32"/>
          <w:highlight w:val="none"/>
        </w:rPr>
      </w:pPr>
      <w:r>
        <w:rPr>
          <w:rFonts w:hint="eastAsia" w:ascii="仿宋_GB2312" w:hAnsi="仿宋_GB2312" w:eastAsia="仿宋_GB2312" w:cs="仿宋_GB2312"/>
          <w:color w:val="auto"/>
          <w:sz w:val="32"/>
          <w:szCs w:val="32"/>
          <w:highlight w:val="none"/>
        </w:rPr>
        <w:t>“免学费补助资金项目”</w:t>
      </w:r>
      <w:r>
        <w:rPr>
          <w:rFonts w:hint="eastAsia" w:ascii="仿宋_GB2312" w:hAnsi="仿宋" w:eastAsia="仿宋_GB2312" w:cs="宋体"/>
          <w:color w:val="auto"/>
          <w:sz w:val="32"/>
          <w:szCs w:val="32"/>
          <w:highlight w:val="none"/>
        </w:rPr>
        <w:t>项目效益情况从社会效益、可持续影响以及服务对象满意度3个方面对项目的绩效情况进行评价。项目绩效类指标分值40分，实际得分</w:t>
      </w:r>
      <w:r>
        <w:rPr>
          <w:rFonts w:hint="eastAsia" w:ascii="仿宋_GB2312" w:hAnsi="仿宋" w:eastAsia="仿宋_GB2312" w:cs="宋体"/>
          <w:color w:val="auto"/>
          <w:sz w:val="32"/>
          <w:szCs w:val="32"/>
          <w:highlight w:val="none"/>
          <w:lang w:val="en-US" w:eastAsia="zh-CN"/>
        </w:rPr>
        <w:t>40</w:t>
      </w:r>
      <w:r>
        <w:rPr>
          <w:rFonts w:hint="eastAsia" w:ascii="仿宋_GB2312" w:hAnsi="仿宋" w:eastAsia="仿宋_GB2312" w:cs="宋体"/>
          <w:color w:val="auto"/>
          <w:sz w:val="32"/>
          <w:szCs w:val="32"/>
          <w:highlight w:val="none"/>
        </w:rPr>
        <w:t>分，得分率为</w:t>
      </w:r>
      <w:r>
        <w:rPr>
          <w:rFonts w:hint="eastAsia" w:ascii="仿宋_GB2312" w:hAnsi="仿宋" w:eastAsia="仿宋_GB2312" w:cs="宋体"/>
          <w:color w:val="auto"/>
          <w:sz w:val="32"/>
          <w:szCs w:val="32"/>
          <w:highlight w:val="none"/>
          <w:lang w:val="en-US" w:eastAsia="zh-CN"/>
        </w:rPr>
        <w:t>100</w:t>
      </w:r>
      <w:r>
        <w:rPr>
          <w:rFonts w:hint="eastAsia" w:ascii="仿宋_GB2312" w:hAnsi="仿宋" w:eastAsia="仿宋_GB2312" w:cs="宋体"/>
          <w:color w:val="auto"/>
          <w:sz w:val="32"/>
          <w:szCs w:val="32"/>
          <w:highlight w:val="none"/>
        </w:rPr>
        <w:t>%。</w:t>
      </w:r>
    </w:p>
    <w:p>
      <w:pPr>
        <w:pageBreakBefore w:val="0"/>
        <w:kinsoku/>
        <w:wordWrap/>
        <w:overflowPunct/>
        <w:topLinePunct w:val="0"/>
        <w:autoSpaceDE/>
        <w:autoSpaceDN/>
        <w:bidi w:val="0"/>
        <w:adjustRightInd/>
        <w:spacing w:line="560" w:lineRule="exact"/>
        <w:ind w:firstLine="640" w:firstLineChars="200"/>
        <w:rPr>
          <w:rFonts w:hint="eastAsia" w:ascii="仿宋_GB2312" w:hAnsi="仿宋" w:eastAsia="仿宋_GB2312" w:cs="宋体"/>
          <w:color w:val="auto"/>
          <w:sz w:val="32"/>
          <w:szCs w:val="32"/>
          <w:highlight w:val="none"/>
          <w:lang w:eastAsia="zh-CN"/>
        </w:rPr>
      </w:pPr>
      <w:r>
        <w:rPr>
          <w:rFonts w:hint="eastAsia" w:ascii="仿宋_GB2312" w:hAnsi="仿宋" w:eastAsia="仿宋_GB2312" w:cs="宋体"/>
          <w:color w:val="auto"/>
          <w:sz w:val="32"/>
          <w:szCs w:val="32"/>
          <w:highlight w:val="none"/>
        </w:rPr>
        <w:t>对于“</w:t>
      </w:r>
      <w:r>
        <w:rPr>
          <w:rFonts w:hint="eastAsia" w:ascii="仿宋_GB2312" w:hAnsi="仿宋" w:eastAsia="仿宋_GB2312" w:cs="宋体"/>
          <w:color w:val="auto"/>
          <w:sz w:val="32"/>
          <w:szCs w:val="32"/>
          <w:highlight w:val="none"/>
          <w:lang w:eastAsia="zh-CN"/>
        </w:rPr>
        <w:t>社会</w:t>
      </w:r>
      <w:r>
        <w:rPr>
          <w:rFonts w:hint="eastAsia" w:ascii="仿宋_GB2312" w:hAnsi="仿宋" w:eastAsia="仿宋_GB2312" w:cs="宋体"/>
          <w:color w:val="auto"/>
          <w:sz w:val="32"/>
          <w:szCs w:val="32"/>
          <w:highlight w:val="none"/>
        </w:rPr>
        <w:t>效益”，</w:t>
      </w:r>
      <w:r>
        <w:rPr>
          <w:rFonts w:hint="eastAsia" w:ascii="仿宋_GB2312" w:hAnsi="仿宋" w:eastAsia="仿宋_GB2312" w:cs="宋体"/>
          <w:color w:val="auto"/>
          <w:sz w:val="32"/>
          <w:szCs w:val="32"/>
          <w:highlight w:val="none"/>
          <w:lang w:eastAsia="zh-CN"/>
        </w:rPr>
        <w:t>提升办学条件，年度</w:t>
      </w:r>
      <w:r>
        <w:rPr>
          <w:rFonts w:hint="eastAsia" w:ascii="仿宋_GB2312" w:hAnsi="仿宋_GB2312" w:eastAsia="仿宋_GB2312" w:cs="仿宋_GB2312"/>
          <w:color w:val="auto"/>
          <w:kern w:val="1"/>
          <w:sz w:val="32"/>
          <w:szCs w:val="32"/>
          <w:highlight w:val="none"/>
        </w:rPr>
        <w:t>指标值有所提升，</w:t>
      </w:r>
      <w:r>
        <w:rPr>
          <w:rFonts w:hint="eastAsia" w:ascii="仿宋_GB2312" w:hAnsi="仿宋_GB2312" w:eastAsia="仿宋_GB2312" w:cs="仿宋_GB2312"/>
          <w:color w:val="auto"/>
          <w:kern w:val="1"/>
          <w:sz w:val="32"/>
          <w:szCs w:val="32"/>
          <w:highlight w:val="none"/>
          <w:lang w:eastAsia="zh-CN"/>
        </w:rPr>
        <w:t>实际完成值有所提升，</w:t>
      </w:r>
      <w:r>
        <w:rPr>
          <w:rFonts w:hint="eastAsia" w:ascii="仿宋_GB2312" w:hAnsi="仿宋_GB2312" w:eastAsia="仿宋_GB2312" w:cs="仿宋_GB2312"/>
          <w:color w:val="auto"/>
          <w:kern w:val="1"/>
          <w:sz w:val="32"/>
          <w:szCs w:val="32"/>
          <w:highlight w:val="none"/>
        </w:rPr>
        <w:t>指标完成率100%</w:t>
      </w:r>
      <w:r>
        <w:rPr>
          <w:rFonts w:hint="eastAsia" w:ascii="仿宋_GB2312" w:hAnsi="仿宋_GB2312" w:eastAsia="仿宋_GB2312" w:cs="仿宋_GB2312"/>
          <w:color w:val="auto"/>
          <w:kern w:val="1"/>
          <w:sz w:val="32"/>
          <w:szCs w:val="32"/>
          <w:highlight w:val="none"/>
          <w:lang w:eastAsia="zh-CN"/>
        </w:rPr>
        <w:t>；</w:t>
      </w:r>
    </w:p>
    <w:p>
      <w:pPr>
        <w:pageBreakBefore w:val="0"/>
        <w:kinsoku/>
        <w:wordWrap/>
        <w:overflowPunct/>
        <w:topLinePunct w:val="0"/>
        <w:autoSpaceDE/>
        <w:autoSpaceDN/>
        <w:bidi w:val="0"/>
        <w:adjustRightInd/>
        <w:spacing w:line="560" w:lineRule="exact"/>
        <w:ind w:firstLine="640" w:firstLineChars="200"/>
        <w:rPr>
          <w:rFonts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对于“</w:t>
      </w:r>
      <w:r>
        <w:rPr>
          <w:rFonts w:hint="eastAsia" w:ascii="仿宋_GB2312" w:hAnsi="仿宋" w:eastAsia="仿宋_GB2312" w:cs="宋体"/>
          <w:color w:val="auto"/>
          <w:sz w:val="32"/>
          <w:szCs w:val="32"/>
          <w:highlight w:val="none"/>
          <w:lang w:eastAsia="zh-CN"/>
        </w:rPr>
        <w:t>可持续影响</w:t>
      </w:r>
      <w:r>
        <w:rPr>
          <w:rFonts w:hint="eastAsia" w:ascii="仿宋_GB2312" w:hAnsi="仿宋" w:eastAsia="仿宋_GB2312" w:cs="宋体"/>
          <w:color w:val="auto"/>
          <w:sz w:val="32"/>
          <w:szCs w:val="32"/>
          <w:highlight w:val="none"/>
        </w:rPr>
        <w:t>”，</w:t>
      </w:r>
      <w:r>
        <w:rPr>
          <w:rFonts w:hint="eastAsia" w:ascii="仿宋_GB2312" w:hAnsi="仿宋_GB2312" w:eastAsia="仿宋_GB2312" w:cs="仿宋_GB2312"/>
          <w:color w:val="auto"/>
          <w:kern w:val="1"/>
          <w:sz w:val="32"/>
          <w:szCs w:val="32"/>
          <w:highlight w:val="none"/>
        </w:rPr>
        <w:t>办学环境得到有效改善，</w:t>
      </w:r>
      <w:r>
        <w:rPr>
          <w:rFonts w:hint="eastAsia" w:ascii="仿宋_GB2312" w:hAnsi="仿宋" w:eastAsia="仿宋_GB2312" w:cs="宋体"/>
          <w:color w:val="auto"/>
          <w:sz w:val="32"/>
          <w:szCs w:val="32"/>
          <w:highlight w:val="none"/>
          <w:lang w:eastAsia="zh-CN"/>
        </w:rPr>
        <w:t>年度</w:t>
      </w:r>
      <w:r>
        <w:rPr>
          <w:rFonts w:hint="eastAsia" w:ascii="仿宋_GB2312" w:hAnsi="仿宋_GB2312" w:eastAsia="仿宋_GB2312" w:cs="仿宋_GB2312"/>
          <w:color w:val="auto"/>
          <w:kern w:val="1"/>
          <w:sz w:val="32"/>
          <w:szCs w:val="32"/>
          <w:highlight w:val="none"/>
        </w:rPr>
        <w:t>指标值有所改善</w:t>
      </w:r>
      <w:r>
        <w:rPr>
          <w:rFonts w:hint="eastAsia" w:ascii="仿宋_GB2312" w:hAnsi="仿宋_GB2312" w:eastAsia="仿宋_GB2312" w:cs="仿宋_GB2312"/>
          <w:color w:val="auto"/>
          <w:kern w:val="1"/>
          <w:sz w:val="32"/>
          <w:szCs w:val="32"/>
          <w:highlight w:val="none"/>
          <w:lang w:eastAsia="zh-CN"/>
        </w:rPr>
        <w:t>，实际完成值</w:t>
      </w:r>
      <w:r>
        <w:rPr>
          <w:rFonts w:hint="eastAsia" w:ascii="仿宋_GB2312" w:hAnsi="仿宋_GB2312" w:eastAsia="仿宋_GB2312" w:cs="仿宋_GB2312"/>
          <w:color w:val="auto"/>
          <w:kern w:val="1"/>
          <w:sz w:val="32"/>
          <w:szCs w:val="32"/>
          <w:highlight w:val="none"/>
        </w:rPr>
        <w:t>有所提升，指标完成率100%</w:t>
      </w:r>
      <w:r>
        <w:rPr>
          <w:rFonts w:hint="eastAsia" w:ascii="仿宋_GB2312" w:hAnsi="仿宋_GB2312" w:eastAsia="仿宋_GB2312" w:cs="仿宋_GB2312"/>
          <w:color w:val="auto"/>
          <w:kern w:val="1"/>
          <w:sz w:val="32"/>
          <w:szCs w:val="32"/>
          <w:highlight w:val="none"/>
          <w:lang w:eastAsia="zh-CN"/>
        </w:rPr>
        <w:t>；</w:t>
      </w:r>
    </w:p>
    <w:p>
      <w:pPr>
        <w:pageBreakBefore w:val="0"/>
        <w:kinsoku/>
        <w:wordWrap/>
        <w:overflowPunct/>
        <w:topLinePunct w:val="0"/>
        <w:autoSpaceDE/>
        <w:autoSpaceDN/>
        <w:bidi w:val="0"/>
        <w:adjustRightInd/>
        <w:spacing w:line="560" w:lineRule="exact"/>
        <w:ind w:firstLine="640"/>
        <w:rPr>
          <w:rFonts w:ascii="楷体_GB2312" w:hAnsi="楷体_GB2312" w:eastAsia="楷体_GB2312" w:cs="楷体_GB2312"/>
          <w:b/>
          <w:bCs/>
          <w:color w:val="auto"/>
          <w:sz w:val="32"/>
          <w:szCs w:val="32"/>
          <w:highlight w:val="none"/>
        </w:rPr>
      </w:pPr>
      <w:r>
        <w:rPr>
          <w:rFonts w:hint="eastAsia" w:ascii="仿宋_GB2312" w:hAnsi="仿宋" w:eastAsia="仿宋_GB2312" w:cs="宋体"/>
          <w:color w:val="auto"/>
          <w:sz w:val="32"/>
          <w:szCs w:val="32"/>
          <w:highlight w:val="none"/>
        </w:rPr>
        <w:t>对于“服务对象满意度”，发放的调查问卷，</w:t>
      </w:r>
      <w:r>
        <w:rPr>
          <w:rStyle w:val="52"/>
          <w:rFonts w:hint="eastAsia"/>
          <w:color w:val="auto"/>
          <w:highlight w:val="none"/>
        </w:rPr>
        <w:t>对满意度指标分为三档，即“满意”、“基本满意”、“不满意”；满分为10分，各档次对应的分值为10分、9分、0分，通过加权计算得出各项指标的满意度平均得分。综合问卷调查结果，教职工</w:t>
      </w:r>
      <w:r>
        <w:rPr>
          <w:rStyle w:val="52"/>
          <w:rFonts w:hint="eastAsia" w:eastAsia="仿宋_GB2312"/>
          <w:color w:val="auto"/>
          <w:highlight w:val="none"/>
          <w:lang w:eastAsia="zh-CN"/>
        </w:rPr>
        <w:t>、服务对象</w:t>
      </w:r>
      <w:r>
        <w:rPr>
          <w:rStyle w:val="52"/>
          <w:rFonts w:hint="eastAsia"/>
          <w:color w:val="auto"/>
          <w:highlight w:val="none"/>
        </w:rPr>
        <w:t>的满意度分析结果为10分。根据指标评分标准，该指标实际得分率为100%，</w:t>
      </w:r>
    </w:p>
    <w:p>
      <w:pPr>
        <w:pageBreakBefore w:val="0"/>
        <w:kinsoku/>
        <w:wordWrap/>
        <w:overflowPunct/>
        <w:topLinePunct w:val="0"/>
        <w:autoSpaceDE/>
        <w:autoSpaceDN/>
        <w:bidi w:val="0"/>
        <w:adjustRightInd/>
        <w:spacing w:line="560" w:lineRule="exact"/>
        <w:ind w:firstLine="627" w:firstLineChars="200"/>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五、主要经验及做法、存在的问题及原因分析</w:t>
      </w:r>
    </w:p>
    <w:p>
      <w:pPr>
        <w:pageBreakBefore w:val="0"/>
        <w:kinsoku/>
        <w:wordWrap/>
        <w:overflowPunct/>
        <w:topLinePunct w:val="0"/>
        <w:autoSpaceDE/>
        <w:autoSpaceDN/>
        <w:bidi w:val="0"/>
        <w:adjustRightInd/>
        <w:spacing w:line="560" w:lineRule="exact"/>
        <w:ind w:firstLine="567" w:firstLineChars="181"/>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（一）主要经验及做法</w:t>
      </w:r>
    </w:p>
    <w:p>
      <w:pPr>
        <w:pageBreakBefore w:val="0"/>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为确保</w:t>
      </w:r>
      <w:r>
        <w:rPr>
          <w:rFonts w:hint="eastAsia" w:ascii="仿宋_GB2312" w:hAnsi="仿宋_GB2312" w:eastAsia="仿宋_GB2312" w:cs="仿宋_GB2312"/>
          <w:color w:val="auto"/>
          <w:spacing w:val="17"/>
          <w:sz w:val="32"/>
          <w:szCs w:val="32"/>
          <w:highlight w:val="none"/>
        </w:rPr>
        <w:t>“免学费补助资金”</w:t>
      </w:r>
      <w:r>
        <w:rPr>
          <w:rFonts w:hint="eastAsia" w:ascii="仿宋_GB2312" w:hAnsi="仿宋_GB2312" w:eastAsia="仿宋_GB2312" w:cs="仿宋_GB2312"/>
          <w:color w:val="auto"/>
          <w:sz w:val="32"/>
          <w:szCs w:val="32"/>
          <w:highlight w:val="none"/>
        </w:rPr>
        <w:t>项目顺利进行，提前做好项目规划，将所列计划再三审核。在</w:t>
      </w:r>
      <w:r>
        <w:rPr>
          <w:rFonts w:hint="eastAsia" w:ascii="仿宋_GB2312" w:hAnsi="仿宋_GB2312" w:eastAsia="仿宋_GB2312" w:cs="仿宋_GB2312"/>
          <w:color w:val="auto"/>
          <w:spacing w:val="17"/>
          <w:sz w:val="32"/>
          <w:szCs w:val="32"/>
          <w:highlight w:val="none"/>
        </w:rPr>
        <w:t>“免学费补助资金”</w:t>
      </w:r>
      <w:r>
        <w:rPr>
          <w:rFonts w:hint="eastAsia" w:ascii="仿宋_GB2312" w:hAnsi="仿宋_GB2312" w:eastAsia="仿宋_GB2312" w:cs="仿宋_GB2312"/>
          <w:color w:val="auto"/>
          <w:sz w:val="32"/>
          <w:szCs w:val="32"/>
          <w:highlight w:val="none"/>
        </w:rPr>
        <w:t>项目实施过程中做好定期监督检查，严格按照项目管理规范进行，在</w:t>
      </w:r>
      <w:r>
        <w:rPr>
          <w:rFonts w:hint="eastAsia" w:ascii="仿宋_GB2312" w:hAnsi="仿宋_GB2312" w:eastAsia="仿宋_GB2312" w:cs="仿宋_GB2312"/>
          <w:color w:val="auto"/>
          <w:spacing w:val="17"/>
          <w:sz w:val="32"/>
          <w:szCs w:val="32"/>
          <w:highlight w:val="none"/>
        </w:rPr>
        <w:t>“免学费补助资金”</w:t>
      </w:r>
      <w:r>
        <w:rPr>
          <w:rFonts w:hint="eastAsia" w:ascii="仿宋_GB2312" w:hAnsi="仿宋_GB2312" w:eastAsia="仿宋_GB2312" w:cs="仿宋_GB2312"/>
          <w:color w:val="auto"/>
          <w:sz w:val="32"/>
          <w:szCs w:val="32"/>
          <w:highlight w:val="none"/>
        </w:rPr>
        <w:t>项目资金使用过程中，严格落实把关，按照项目资金使用范围做好审核工作，让</w:t>
      </w:r>
      <w:r>
        <w:rPr>
          <w:rFonts w:hint="eastAsia" w:ascii="仿宋_GB2312" w:hAnsi="仿宋_GB2312" w:eastAsia="仿宋_GB2312" w:cs="仿宋_GB2312"/>
          <w:color w:val="auto"/>
          <w:spacing w:val="17"/>
          <w:sz w:val="32"/>
          <w:szCs w:val="32"/>
          <w:highlight w:val="none"/>
        </w:rPr>
        <w:t>“免学费补助资金”</w:t>
      </w:r>
      <w:r>
        <w:rPr>
          <w:rFonts w:hint="eastAsia" w:ascii="仿宋_GB2312" w:hAnsi="仿宋_GB2312" w:eastAsia="仿宋_GB2312" w:cs="仿宋_GB2312"/>
          <w:color w:val="auto"/>
          <w:sz w:val="32"/>
          <w:szCs w:val="32"/>
          <w:highlight w:val="none"/>
        </w:rPr>
        <w:t>项目资金落于实处。在</w:t>
      </w:r>
      <w:r>
        <w:rPr>
          <w:rFonts w:hint="eastAsia" w:ascii="仿宋_GB2312" w:hAnsi="仿宋_GB2312" w:eastAsia="仿宋_GB2312" w:cs="仿宋_GB2312"/>
          <w:color w:val="auto"/>
          <w:spacing w:val="17"/>
          <w:sz w:val="32"/>
          <w:szCs w:val="32"/>
          <w:highlight w:val="none"/>
        </w:rPr>
        <w:t>“免学费补助资金”</w:t>
      </w:r>
      <w:r>
        <w:rPr>
          <w:rFonts w:hint="eastAsia" w:ascii="仿宋_GB2312" w:hAnsi="仿宋_GB2312" w:eastAsia="仿宋_GB2312" w:cs="仿宋_GB2312"/>
          <w:color w:val="auto"/>
          <w:sz w:val="32"/>
          <w:szCs w:val="32"/>
          <w:highlight w:val="none"/>
        </w:rPr>
        <w:t>项目完成后，做好受益群众民意调查及项目防范工作。</w:t>
      </w:r>
    </w:p>
    <w:p>
      <w:pPr>
        <w:pStyle w:val="2"/>
        <w:pageBreakBefore w:val="0"/>
        <w:kinsoku/>
        <w:wordWrap/>
        <w:overflowPunct/>
        <w:topLinePunct w:val="0"/>
        <w:autoSpaceDE/>
        <w:autoSpaceDN/>
        <w:bidi w:val="0"/>
        <w:adjustRightInd/>
        <w:spacing w:before="0" w:after="0" w:line="560" w:lineRule="exact"/>
        <w:ind w:firstLine="640" w:firstLineChars="200"/>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2"/>
        </w:numPr>
        <w:kinsoku/>
        <w:wordWrap/>
        <w:overflowPunct/>
        <w:topLinePunct w:val="0"/>
        <w:autoSpaceDE/>
        <w:autoSpaceDN/>
        <w:bidi w:val="0"/>
        <w:adjustRightInd/>
        <w:spacing w:line="560" w:lineRule="exact"/>
        <w:ind w:firstLine="641"/>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存在的问题及原因分析</w:t>
      </w:r>
    </w:p>
    <w:p>
      <w:pPr>
        <w:pStyle w:val="2"/>
        <w:pageBreakBefore w:val="0"/>
        <w:numPr>
          <w:ilvl w:val="0"/>
          <w:numId w:val="3"/>
        </w:numPr>
        <w:kinsoku/>
        <w:wordWrap/>
        <w:overflowPunct/>
        <w:topLinePunct w:val="0"/>
        <w:autoSpaceDE/>
        <w:autoSpaceDN/>
        <w:bidi w:val="0"/>
        <w:adjustRightInd/>
        <w:spacing w:before="0" w:after="0" w:line="560" w:lineRule="exact"/>
        <w:ind w:firstLine="640" w:firstLineChars="200"/>
        <w:jc w:val="both"/>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存在的问题</w:t>
      </w:r>
    </w:p>
    <w:p>
      <w:pPr>
        <w:pStyle w:val="37"/>
        <w:pageBreakBefore w:val="0"/>
        <w:kinsoku/>
        <w:wordWrap/>
        <w:overflowPunct/>
        <w:topLinePunct w:val="0"/>
        <w:autoSpaceDE/>
        <w:autoSpaceDN/>
        <w:bidi w:val="0"/>
        <w:adjustRightInd/>
        <w:spacing w:line="560" w:lineRule="exact"/>
        <w:ind w:left="0" w:firstLine="640" w:firstLineChars="200"/>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部分绩效指标及目标有待进一步细化和量化。</w:t>
      </w:r>
    </w:p>
    <w:p>
      <w:pPr>
        <w:pageBreakBefore w:val="0"/>
        <w:numPr>
          <w:ilvl w:val="0"/>
          <w:numId w:val="3"/>
        </w:numPr>
        <w:kinsoku/>
        <w:wordWrap/>
        <w:overflowPunct/>
        <w:topLinePunct w:val="0"/>
        <w:autoSpaceDE/>
        <w:autoSpaceDN/>
        <w:bidi w:val="0"/>
        <w:adjustRightInd/>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原因分析</w:t>
      </w:r>
    </w:p>
    <w:p>
      <w:pPr>
        <w:pStyle w:val="37"/>
        <w:pageBreakBefore w:val="0"/>
        <w:kinsoku/>
        <w:wordWrap/>
        <w:overflowPunct/>
        <w:topLinePunct w:val="0"/>
        <w:autoSpaceDE/>
        <w:autoSpaceDN/>
        <w:bidi w:val="0"/>
        <w:adjustRightInd/>
        <w:spacing w:line="560" w:lineRule="exact"/>
        <w:ind w:left="0" w:firstLine="640" w:firstLineChars="200"/>
        <w:rPr>
          <w:color w:val="auto"/>
          <w:highlight w:val="none"/>
          <w:lang w:eastAsia="zh-CN"/>
        </w:rPr>
      </w:pPr>
      <w:r>
        <w:rPr>
          <w:rFonts w:hint="eastAsia" w:ascii="仿宋_GB2312" w:hAnsi="仿宋_GB2312" w:eastAsia="仿宋_GB2312" w:cs="仿宋_GB2312"/>
          <w:color w:val="auto"/>
          <w:kern w:val="2"/>
          <w:sz w:val="32"/>
          <w:szCs w:val="32"/>
          <w:highlight w:val="none"/>
          <w:lang w:eastAsia="zh-CN" w:bidi="ar-SA"/>
        </w:rPr>
        <w:t>由于绩效自评是一项开展不久的工作任务，项目支出运行实践经验还欠缺。</w:t>
      </w:r>
    </w:p>
    <w:p>
      <w:pPr>
        <w:pageBreakBefore w:val="0"/>
        <w:numPr>
          <w:ilvl w:val="0"/>
          <w:numId w:val="4"/>
        </w:numPr>
        <w:kinsoku/>
        <w:wordWrap/>
        <w:overflowPunct/>
        <w:topLinePunct w:val="0"/>
        <w:autoSpaceDE/>
        <w:autoSpaceDN/>
        <w:bidi w:val="0"/>
        <w:adjustRightInd/>
        <w:spacing w:line="560" w:lineRule="exact"/>
        <w:ind w:firstLine="641"/>
        <w:rPr>
          <w:rFonts w:ascii="黑体" w:hAnsi="黑体" w:eastAsia="黑体"/>
          <w:color w:val="auto"/>
          <w:sz w:val="32"/>
          <w:szCs w:val="32"/>
          <w:highlight w:val="none"/>
        </w:rPr>
      </w:pPr>
      <w:r>
        <w:rPr>
          <w:rFonts w:hint="eastAsia" w:ascii="黑体" w:hAnsi="黑体" w:eastAsia="黑体"/>
          <w:color w:val="auto"/>
          <w:sz w:val="32"/>
          <w:szCs w:val="32"/>
          <w:highlight w:val="none"/>
        </w:rPr>
        <w:t>有关建议</w:t>
      </w:r>
    </w:p>
    <w:p>
      <w:pPr>
        <w:pageBreakBefore w:val="0"/>
        <w:numPr>
          <w:ilvl w:val="0"/>
          <w:numId w:val="5"/>
        </w:numPr>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5"/>
        </w:numPr>
        <w:kinsoku/>
        <w:wordWrap/>
        <w:overflowPunct/>
        <w:topLinePunct w:val="0"/>
        <w:autoSpaceDE/>
        <w:autoSpaceDN/>
        <w:bidi w:val="0"/>
        <w:adjustRightInd/>
        <w:spacing w:line="560" w:lineRule="exact"/>
        <w:ind w:firstLine="641"/>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财政和项目实施单位严格实行“三专”管理，即设专户、建专</w:t>
      </w:r>
      <w:r>
        <w:rPr>
          <w:rFonts w:hint="eastAsia" w:ascii="仿宋_GB2312" w:hAnsi="仿宋_GB2312" w:eastAsia="仿宋_GB2312" w:cs="仿宋_GB2312"/>
          <w:color w:val="auto"/>
          <w:sz w:val="32"/>
          <w:szCs w:val="32"/>
          <w:highlight w:val="none"/>
          <w:lang w:val="en-US" w:eastAsia="zh-CN"/>
        </w:rPr>
        <w:t>账</w:t>
      </w:r>
      <w:r>
        <w:rPr>
          <w:rFonts w:hint="eastAsia" w:ascii="仿宋_GB2312" w:hAnsi="仿宋_GB2312" w:eastAsia="仿宋_GB2312" w:cs="仿宋_GB2312"/>
          <w:color w:val="auto"/>
          <w:sz w:val="32"/>
          <w:szCs w:val="32"/>
          <w:highlight w:val="none"/>
        </w:rPr>
        <w:t>、定专人。同时，资金拨付除坚持按项目计划、工程进度和质量分阶段验收拨款外，还坚持部门联审制，项目单位先做事、后报</w:t>
      </w:r>
      <w:r>
        <w:rPr>
          <w:rFonts w:hint="eastAsia" w:ascii="仿宋_GB2312" w:hAnsi="仿宋_GB2312" w:eastAsia="仿宋_GB2312" w:cs="仿宋_GB2312"/>
          <w:color w:val="auto"/>
          <w:sz w:val="32"/>
          <w:szCs w:val="32"/>
          <w:highlight w:val="none"/>
          <w:lang w:val="en-US" w:eastAsia="zh-CN"/>
        </w:rPr>
        <w:t>账</w:t>
      </w:r>
      <w:r>
        <w:rPr>
          <w:rFonts w:hint="eastAsia" w:ascii="仿宋_GB2312" w:hAnsi="仿宋_GB2312" w:eastAsia="仿宋_GB2312" w:cs="仿宋_GB2312"/>
          <w:color w:val="auto"/>
          <w:sz w:val="32"/>
          <w:szCs w:val="32"/>
          <w:highlight w:val="none"/>
        </w:rPr>
        <w:t>，从而确保专项资金专款专用，有效地防止了截留、挤占和挪用。</w:t>
      </w:r>
    </w:p>
    <w:p>
      <w:pPr>
        <w:pageBreakBefore w:val="0"/>
        <w:numPr>
          <w:ilvl w:val="0"/>
          <w:numId w:val="4"/>
        </w:numPr>
        <w:kinsoku/>
        <w:wordWrap/>
        <w:overflowPunct/>
        <w:topLinePunct w:val="0"/>
        <w:autoSpaceDE/>
        <w:autoSpaceDN/>
        <w:bidi w:val="0"/>
        <w:adjustRightInd/>
        <w:spacing w:line="560" w:lineRule="exact"/>
        <w:ind w:firstLine="641"/>
        <w:rPr>
          <w:rFonts w:ascii="黑体" w:hAnsi="黑体" w:eastAsia="黑体"/>
          <w:color w:val="auto"/>
          <w:sz w:val="32"/>
          <w:szCs w:val="32"/>
          <w:highlight w:val="none"/>
        </w:rPr>
      </w:pPr>
      <w:r>
        <w:rPr>
          <w:rFonts w:hint="eastAsia" w:ascii="黑体" w:hAnsi="黑体" w:eastAsia="黑体"/>
          <w:color w:val="auto"/>
          <w:sz w:val="32"/>
          <w:szCs w:val="32"/>
          <w:highlight w:val="none"/>
        </w:rPr>
        <w:t>其他需要说</w:t>
      </w:r>
      <w:bookmarkStart w:id="1" w:name="page8"/>
      <w:bookmarkEnd w:id="1"/>
      <w:r>
        <w:rPr>
          <w:rFonts w:hint="eastAsia" w:ascii="黑体" w:hAnsi="黑体" w:eastAsia="黑体"/>
          <w:color w:val="auto"/>
          <w:sz w:val="32"/>
          <w:szCs w:val="32"/>
          <w:highlight w:val="none"/>
        </w:rPr>
        <w:t>明的问题</w:t>
      </w:r>
    </w:p>
    <w:p>
      <w:pPr>
        <w:pStyle w:val="37"/>
        <w:pageBreakBefore w:val="0"/>
        <w:kinsoku/>
        <w:wordWrap/>
        <w:overflowPunct/>
        <w:topLinePunct w:val="0"/>
        <w:autoSpaceDE/>
        <w:autoSpaceDN/>
        <w:bidi w:val="0"/>
        <w:adjustRightInd/>
        <w:spacing w:line="560" w:lineRule="exact"/>
        <w:ind w:left="0" w:firstLine="640" w:firstLineChars="200"/>
        <w:rPr>
          <w:rFonts w:hint="eastAsia"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color w:val="auto"/>
          <w:kern w:val="2"/>
          <w:sz w:val="32"/>
          <w:szCs w:val="32"/>
          <w:highlight w:val="none"/>
          <w:lang w:eastAsia="zh-CN" w:bidi="ar-SA"/>
        </w:rPr>
        <w:t>无。</w:t>
      </w:r>
    </w:p>
    <w:p>
      <w:pPr>
        <w:pageBreakBefore w:val="0"/>
        <w:kinsoku/>
        <w:wordWrap/>
        <w:overflowPunct/>
        <w:topLinePunct w:val="0"/>
        <w:autoSpaceDE/>
        <w:autoSpaceDN/>
        <w:bidi w:val="0"/>
        <w:adjustRightInd/>
        <w:spacing w:line="560" w:lineRule="exact"/>
        <w:rPr>
          <w:rFonts w:ascii="黑体" w:hAnsi="黑体" w:eastAsia="黑体"/>
          <w:color w:val="auto"/>
          <w:sz w:val="32"/>
          <w:szCs w:val="32"/>
          <w:highlight w:val="none"/>
        </w:rPr>
      </w:pPr>
    </w:p>
    <w:p>
      <w:pPr>
        <w:pStyle w:val="2"/>
        <w:pageBreakBefore w:val="0"/>
        <w:kinsoku/>
        <w:wordWrap/>
        <w:overflowPunct/>
        <w:topLinePunct w:val="0"/>
        <w:autoSpaceDE/>
        <w:autoSpaceDN/>
        <w:bidi w:val="0"/>
        <w:adjustRightInd/>
        <w:spacing w:before="0" w:after="0" w:line="560" w:lineRule="exact"/>
        <w:rPr>
          <w:rFonts w:ascii="黑体" w:hAnsi="黑体" w:eastAsia="黑体"/>
          <w:color w:val="auto"/>
          <w:highlight w:val="none"/>
        </w:rPr>
      </w:pPr>
    </w:p>
    <w:p>
      <w:pPr>
        <w:pageBreakBefore w:val="0"/>
        <w:kinsoku/>
        <w:wordWrap/>
        <w:overflowPunct/>
        <w:topLinePunct w:val="0"/>
        <w:autoSpaceDE/>
        <w:autoSpaceDN/>
        <w:bidi w:val="0"/>
        <w:adjustRightInd/>
        <w:spacing w:line="560" w:lineRule="exact"/>
        <w:rPr>
          <w:color w:val="auto"/>
          <w:highlight w:val="none"/>
        </w:rPr>
      </w:pPr>
    </w:p>
    <w:p>
      <w:pPr>
        <w:pStyle w:val="2"/>
        <w:pageBreakBefore w:val="0"/>
        <w:kinsoku/>
        <w:wordWrap/>
        <w:overflowPunct/>
        <w:topLinePunct w:val="0"/>
        <w:autoSpaceDE/>
        <w:autoSpaceDN/>
        <w:bidi w:val="0"/>
        <w:adjustRightInd/>
        <w:spacing w:before="0" w:after="0" w:line="560" w:lineRule="exact"/>
        <w:rPr>
          <w:rFonts w:ascii="黑体" w:hAnsi="黑体" w:eastAsia="黑体"/>
          <w:color w:val="auto"/>
          <w:highlight w:val="none"/>
        </w:rPr>
      </w:pPr>
    </w:p>
    <w:p>
      <w:pPr>
        <w:pStyle w:val="2"/>
        <w:pageBreakBefore w:val="0"/>
        <w:kinsoku/>
        <w:wordWrap/>
        <w:overflowPunct/>
        <w:topLinePunct w:val="0"/>
        <w:autoSpaceDE/>
        <w:autoSpaceDN/>
        <w:bidi w:val="0"/>
        <w:adjustRightInd/>
        <w:spacing w:before="0" w:after="0" w:line="560" w:lineRule="exact"/>
        <w:jc w:val="both"/>
        <w:rPr>
          <w:color w:val="auto"/>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21"/>
        <w:tblW w:w="9300"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680"/>
        <w:gridCol w:w="1740"/>
      </w:tblGrid>
      <w:tr>
        <w:tblPrEx>
          <w:shd w:val="clear" w:color="auto" w:fill="auto"/>
          <w:tblCellMar>
            <w:top w:w="0" w:type="dxa"/>
            <w:left w:w="0" w:type="dxa"/>
            <w:bottom w:w="0" w:type="dxa"/>
            <w:right w:w="0" w:type="dxa"/>
          </w:tblCellMar>
        </w:tblPrEx>
        <w:trPr>
          <w:trHeight w:val="460" w:hRule="atLeast"/>
        </w:trPr>
        <w:tc>
          <w:tcPr>
            <w:tcW w:w="93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60" w:hRule="atLeast"/>
        </w:trPr>
        <w:tc>
          <w:tcPr>
            <w:tcW w:w="93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highlight w:val="none"/>
                <w:u w:val="none"/>
              </w:rPr>
            </w:pPr>
            <w:r>
              <w:rPr>
                <w:rFonts w:hint="eastAsia" w:ascii="宋体" w:hAnsi="宋体" w:eastAsia="宋体" w:cs="宋体"/>
                <w:i w:val="0"/>
                <w:color w:val="000000"/>
                <w:kern w:val="0"/>
                <w:sz w:val="32"/>
                <w:szCs w:val="32"/>
                <w:highlight w:val="none"/>
                <w:u w:val="none"/>
                <w:lang w:val="en-US" w:eastAsia="zh-CN" w:bidi="ar"/>
              </w:rPr>
              <w:t>（   2020 年度）</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62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免学费补助资金项目</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新疆农业广播电视学校塔城地区分校</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全年执行数</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执行率</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63.48</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63.48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22.05%</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63.48</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63.48</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14.00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6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预期目标</w:t>
            </w:r>
          </w:p>
        </w:tc>
        <w:tc>
          <w:tcPr>
            <w:tcW w:w="3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实际完成情况</w:t>
            </w:r>
          </w:p>
        </w:tc>
      </w:tr>
      <w:tr>
        <w:tblPrEx>
          <w:shd w:val="clear" w:color="auto" w:fill="auto"/>
          <w:tblCellMar>
            <w:top w:w="0" w:type="dxa"/>
            <w:left w:w="0" w:type="dxa"/>
            <w:bottom w:w="0" w:type="dxa"/>
            <w:right w:w="0" w:type="dxa"/>
          </w:tblCellMar>
        </w:tblPrEx>
        <w:trPr>
          <w:trHeight w:val="7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免学费补助资金</w:t>
            </w:r>
            <w:r>
              <w:rPr>
                <w:rFonts w:hint="eastAsia" w:ascii="宋体" w:hAnsi="宋体" w:cs="宋体"/>
                <w:i w:val="0"/>
                <w:color w:val="000000"/>
                <w:kern w:val="0"/>
                <w:sz w:val="18"/>
                <w:szCs w:val="18"/>
                <w:highlight w:val="none"/>
                <w:u w:val="none"/>
                <w:lang w:val="en-US" w:eastAsia="zh-CN" w:bidi="ar"/>
              </w:rPr>
              <w:t>，</w:t>
            </w:r>
            <w:r>
              <w:rPr>
                <w:rFonts w:hint="eastAsia" w:ascii="宋体" w:hAnsi="宋体" w:eastAsia="宋体" w:cs="宋体"/>
                <w:i w:val="0"/>
                <w:color w:val="000000"/>
                <w:kern w:val="0"/>
                <w:sz w:val="18"/>
                <w:szCs w:val="18"/>
                <w:highlight w:val="none"/>
                <w:u w:val="none"/>
                <w:lang w:val="en-US" w:eastAsia="zh-CN" w:bidi="ar"/>
              </w:rPr>
              <w:t>能够有效提升办学条件，办学环境得到改善。</w:t>
            </w:r>
          </w:p>
        </w:tc>
        <w:tc>
          <w:tcPr>
            <w:tcW w:w="34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免学费补助资金</w:t>
            </w:r>
            <w:r>
              <w:rPr>
                <w:rFonts w:hint="eastAsia" w:ascii="宋体" w:hAnsi="宋体" w:cs="宋体"/>
                <w:i w:val="0"/>
                <w:color w:val="000000"/>
                <w:kern w:val="0"/>
                <w:sz w:val="18"/>
                <w:szCs w:val="18"/>
                <w:highlight w:val="none"/>
                <w:u w:val="none"/>
                <w:lang w:val="en-US" w:eastAsia="zh-CN" w:bidi="ar"/>
              </w:rPr>
              <w:t>，</w:t>
            </w:r>
            <w:r>
              <w:rPr>
                <w:rFonts w:hint="eastAsia" w:ascii="宋体" w:hAnsi="宋体" w:eastAsia="宋体" w:cs="宋体"/>
                <w:i w:val="0"/>
                <w:color w:val="000000"/>
                <w:kern w:val="0"/>
                <w:sz w:val="18"/>
                <w:szCs w:val="18"/>
                <w:highlight w:val="none"/>
                <w:u w:val="none"/>
                <w:lang w:val="en-US" w:eastAsia="zh-CN" w:bidi="ar"/>
              </w:rPr>
              <w:t>能够有效提升办学条件，办学环境得到改善。</w:t>
            </w:r>
          </w:p>
        </w:tc>
      </w:tr>
      <w:tr>
        <w:tblPrEx>
          <w:shd w:val="clear" w:color="auto" w:fill="auto"/>
          <w:tblCellMar>
            <w:top w:w="0" w:type="dxa"/>
            <w:left w:w="0" w:type="dxa"/>
            <w:bottom w:w="0" w:type="dxa"/>
            <w:right w:w="0" w:type="dxa"/>
          </w:tblCellMar>
        </w:tblPrEx>
        <w:trPr>
          <w:trHeight w:val="46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实际完成值</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采购电脑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5台</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采购档案柜、保密柜、碎纸机</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=8个</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8个</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bookmarkStart w:id="2" w:name="_GoBack"/>
            <w:bookmarkEnd w:id="2"/>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采购打印机和复印机</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2台</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办公设备采购合格率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完成项目时间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2020年12月</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2020年12月</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12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项目资金投入费用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≤634784.61元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139,950.68元</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根据合同要求，先支付项目资金80%，扣留20%项目资金。2021年项目验收后支付。</w:t>
            </w: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提升办学条件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办学环境得到有效改善</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有所改善</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有所提升</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教职工的满意度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tblCellMar>
            <w:top w:w="0" w:type="dxa"/>
            <w:left w:w="0" w:type="dxa"/>
            <w:bottom w:w="0" w:type="dxa"/>
            <w:right w:w="0" w:type="dxa"/>
          </w:tblCellMar>
        </w:tblPrEx>
        <w:trPr>
          <w:trHeight w:val="4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服务对象的满意度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≥90%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7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bl>
    <w:p>
      <w:pPr>
        <w:pageBreakBefore w:val="0"/>
        <w:kinsoku/>
        <w:wordWrap/>
        <w:overflowPunct/>
        <w:topLinePunct w:val="0"/>
        <w:autoSpaceDE/>
        <w:autoSpaceDN/>
        <w:bidi w:val="0"/>
        <w:adjustRightInd/>
        <w:spacing w:line="560" w:lineRule="exact"/>
        <w:rPr>
          <w:rStyle w:val="23"/>
          <w:rFonts w:ascii="仿宋" w:hAnsi="仿宋" w:eastAsia="仿宋"/>
          <w:b w:val="0"/>
          <w:color w:val="auto"/>
          <w:spacing w:val="-4"/>
          <w:sz w:val="32"/>
          <w:szCs w:val="32"/>
          <w:highlight w:val="none"/>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11</w:t>
        </w:r>
        <w:r>
          <w:rPr>
            <w:lang w:val="zh-CN"/>
          </w:rP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067D6B5"/>
    <w:multiLevelType w:val="singleLevel"/>
    <w:tmpl w:val="B067D6B5"/>
    <w:lvl w:ilvl="0" w:tentative="0">
      <w:start w:val="1"/>
      <w:numFmt w:val="decimal"/>
      <w:suff w:val="nothing"/>
      <w:lvlText w:val="%1、"/>
      <w:lvlJc w:val="left"/>
    </w:lvl>
  </w:abstractNum>
  <w:abstractNum w:abstractNumId="2">
    <w:nsid w:val="E7CC950C"/>
    <w:multiLevelType w:val="singleLevel"/>
    <w:tmpl w:val="E7CC950C"/>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7C0D"/>
    <w:rsid w:val="00056465"/>
    <w:rsid w:val="000E50F0"/>
    <w:rsid w:val="000E586C"/>
    <w:rsid w:val="00121AE4"/>
    <w:rsid w:val="0012519A"/>
    <w:rsid w:val="00146AAD"/>
    <w:rsid w:val="001B3A40"/>
    <w:rsid w:val="001D6164"/>
    <w:rsid w:val="001D6509"/>
    <w:rsid w:val="001F786F"/>
    <w:rsid w:val="002243B6"/>
    <w:rsid w:val="00297FF8"/>
    <w:rsid w:val="002F07E0"/>
    <w:rsid w:val="0038441F"/>
    <w:rsid w:val="003C18BC"/>
    <w:rsid w:val="004366A8"/>
    <w:rsid w:val="00464900"/>
    <w:rsid w:val="004B4470"/>
    <w:rsid w:val="00502BA7"/>
    <w:rsid w:val="005162F1"/>
    <w:rsid w:val="00535153"/>
    <w:rsid w:val="00554F82"/>
    <w:rsid w:val="0056390D"/>
    <w:rsid w:val="005719B0"/>
    <w:rsid w:val="005D10D6"/>
    <w:rsid w:val="007806A5"/>
    <w:rsid w:val="00855E3A"/>
    <w:rsid w:val="009036FD"/>
    <w:rsid w:val="00916E82"/>
    <w:rsid w:val="00922CB9"/>
    <w:rsid w:val="009E5CD9"/>
    <w:rsid w:val="00A26421"/>
    <w:rsid w:val="00A4293B"/>
    <w:rsid w:val="00A67D50"/>
    <w:rsid w:val="00A77E58"/>
    <w:rsid w:val="00A8691A"/>
    <w:rsid w:val="00AC1946"/>
    <w:rsid w:val="00AE5929"/>
    <w:rsid w:val="00B40063"/>
    <w:rsid w:val="00B41F61"/>
    <w:rsid w:val="00B65833"/>
    <w:rsid w:val="00BA46E6"/>
    <w:rsid w:val="00C56C72"/>
    <w:rsid w:val="00CA6457"/>
    <w:rsid w:val="00CB5D4A"/>
    <w:rsid w:val="00CD7E1D"/>
    <w:rsid w:val="00CE5884"/>
    <w:rsid w:val="00CF34A1"/>
    <w:rsid w:val="00D17F2E"/>
    <w:rsid w:val="00D30354"/>
    <w:rsid w:val="00DB2974"/>
    <w:rsid w:val="00DB43A5"/>
    <w:rsid w:val="00DF42A0"/>
    <w:rsid w:val="00DF7C45"/>
    <w:rsid w:val="00E31565"/>
    <w:rsid w:val="00E46C51"/>
    <w:rsid w:val="00E769FE"/>
    <w:rsid w:val="00EA2508"/>
    <w:rsid w:val="00EA2CBE"/>
    <w:rsid w:val="00F32FEE"/>
    <w:rsid w:val="00F71278"/>
    <w:rsid w:val="00FB10BB"/>
    <w:rsid w:val="00FC1B0B"/>
    <w:rsid w:val="01F521F4"/>
    <w:rsid w:val="02BF0E59"/>
    <w:rsid w:val="02ED4C81"/>
    <w:rsid w:val="03585A97"/>
    <w:rsid w:val="03AF11F3"/>
    <w:rsid w:val="051A56F5"/>
    <w:rsid w:val="066D6EAA"/>
    <w:rsid w:val="07F22687"/>
    <w:rsid w:val="08C662D4"/>
    <w:rsid w:val="09744451"/>
    <w:rsid w:val="09BD4D95"/>
    <w:rsid w:val="0D120BEC"/>
    <w:rsid w:val="0F8D41CB"/>
    <w:rsid w:val="11C75270"/>
    <w:rsid w:val="12637CC3"/>
    <w:rsid w:val="12E657C5"/>
    <w:rsid w:val="16126E74"/>
    <w:rsid w:val="167C7687"/>
    <w:rsid w:val="168B3546"/>
    <w:rsid w:val="1A2374E0"/>
    <w:rsid w:val="1B7F1122"/>
    <w:rsid w:val="1B884AF7"/>
    <w:rsid w:val="1C317CE2"/>
    <w:rsid w:val="1DD45808"/>
    <w:rsid w:val="1DED42AC"/>
    <w:rsid w:val="1E265DEF"/>
    <w:rsid w:val="20005763"/>
    <w:rsid w:val="20FB313D"/>
    <w:rsid w:val="21913B23"/>
    <w:rsid w:val="220B4804"/>
    <w:rsid w:val="282475E3"/>
    <w:rsid w:val="2C6100C1"/>
    <w:rsid w:val="2F461620"/>
    <w:rsid w:val="302F00FB"/>
    <w:rsid w:val="313729CD"/>
    <w:rsid w:val="31413A26"/>
    <w:rsid w:val="32433F53"/>
    <w:rsid w:val="3264220D"/>
    <w:rsid w:val="330E7A54"/>
    <w:rsid w:val="34E03B65"/>
    <w:rsid w:val="38F82A5B"/>
    <w:rsid w:val="3963178C"/>
    <w:rsid w:val="3C402CEA"/>
    <w:rsid w:val="3CCD6460"/>
    <w:rsid w:val="3D371E4C"/>
    <w:rsid w:val="41CC2676"/>
    <w:rsid w:val="46B21672"/>
    <w:rsid w:val="478F33DC"/>
    <w:rsid w:val="48343F68"/>
    <w:rsid w:val="4B040CC4"/>
    <w:rsid w:val="4B890214"/>
    <w:rsid w:val="4F552460"/>
    <w:rsid w:val="4FCC6863"/>
    <w:rsid w:val="500A214A"/>
    <w:rsid w:val="522D604D"/>
    <w:rsid w:val="5297585E"/>
    <w:rsid w:val="52AD7D6F"/>
    <w:rsid w:val="5549519D"/>
    <w:rsid w:val="5557596B"/>
    <w:rsid w:val="571476AA"/>
    <w:rsid w:val="574622EF"/>
    <w:rsid w:val="5799437A"/>
    <w:rsid w:val="5B596DFC"/>
    <w:rsid w:val="5DF03945"/>
    <w:rsid w:val="608361F8"/>
    <w:rsid w:val="616209AA"/>
    <w:rsid w:val="620A7C81"/>
    <w:rsid w:val="637C2815"/>
    <w:rsid w:val="65102E17"/>
    <w:rsid w:val="681E65CB"/>
    <w:rsid w:val="6A604DD9"/>
    <w:rsid w:val="6C9F5019"/>
    <w:rsid w:val="6CB17A56"/>
    <w:rsid w:val="6D902EA8"/>
    <w:rsid w:val="71AF2F95"/>
    <w:rsid w:val="725F7EB3"/>
    <w:rsid w:val="73C16257"/>
    <w:rsid w:val="74014B1C"/>
    <w:rsid w:val="755148C8"/>
    <w:rsid w:val="78BF7AB7"/>
    <w:rsid w:val="78EE0C74"/>
    <w:rsid w:val="7A353D0B"/>
    <w:rsid w:val="7D3A5E2F"/>
    <w:rsid w:val="7E0C251C"/>
    <w:rsid w:val="7E6E4A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Normal (Web)"/>
    <w:basedOn w:val="1"/>
    <w:qFormat/>
    <w:uiPriority w:val="99"/>
    <w:pPr>
      <w:spacing w:before="100" w:beforeAutospacing="1" w:after="100" w:afterAutospacing="1"/>
      <w:jc w:val="left"/>
    </w:pPr>
    <w:rPr>
      <w:sz w:val="24"/>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Char"/>
    <w:basedOn w:val="22"/>
    <w:link w:val="3"/>
    <w:qFormat/>
    <w:uiPriority w:val="9"/>
    <w:rPr>
      <w:rFonts w:asciiTheme="majorHAnsi" w:hAnsiTheme="majorHAnsi" w:eastAsiaTheme="majorEastAsia"/>
      <w:b/>
      <w:bCs/>
      <w:kern w:val="32"/>
      <w:sz w:val="32"/>
      <w:szCs w:val="32"/>
    </w:rPr>
  </w:style>
  <w:style w:type="character" w:customStyle="1" w:styleId="26">
    <w:name w:val="标题 2 Char"/>
    <w:basedOn w:val="22"/>
    <w:link w:val="4"/>
    <w:semiHidden/>
    <w:qFormat/>
    <w:uiPriority w:val="9"/>
    <w:rPr>
      <w:rFonts w:asciiTheme="majorHAnsi" w:hAnsiTheme="majorHAnsi" w:eastAsiaTheme="majorEastAsia"/>
      <w:b/>
      <w:bCs/>
      <w:i/>
      <w:iCs/>
      <w:sz w:val="28"/>
      <w:szCs w:val="28"/>
    </w:rPr>
  </w:style>
  <w:style w:type="character" w:customStyle="1" w:styleId="27">
    <w:name w:val="标题 3 Char"/>
    <w:basedOn w:val="22"/>
    <w:link w:val="5"/>
    <w:semiHidden/>
    <w:qFormat/>
    <w:uiPriority w:val="9"/>
    <w:rPr>
      <w:rFonts w:asciiTheme="majorHAnsi" w:hAnsiTheme="majorHAnsi" w:eastAsiaTheme="majorEastAsia"/>
      <w:b/>
      <w:bCs/>
      <w:sz w:val="26"/>
      <w:szCs w:val="26"/>
    </w:rPr>
  </w:style>
  <w:style w:type="character" w:customStyle="1" w:styleId="28">
    <w:name w:val="标题 4 Char"/>
    <w:basedOn w:val="22"/>
    <w:link w:val="6"/>
    <w:semiHidden/>
    <w:qFormat/>
    <w:uiPriority w:val="9"/>
    <w:rPr>
      <w:b/>
      <w:bCs/>
      <w:sz w:val="28"/>
      <w:szCs w:val="28"/>
    </w:rPr>
  </w:style>
  <w:style w:type="character" w:customStyle="1" w:styleId="29">
    <w:name w:val="标题 5 Char"/>
    <w:basedOn w:val="22"/>
    <w:link w:val="7"/>
    <w:semiHidden/>
    <w:qFormat/>
    <w:uiPriority w:val="9"/>
    <w:rPr>
      <w:b/>
      <w:bCs/>
      <w:i/>
      <w:iCs/>
      <w:sz w:val="26"/>
      <w:szCs w:val="26"/>
    </w:rPr>
  </w:style>
  <w:style w:type="character" w:customStyle="1" w:styleId="30">
    <w:name w:val="标题 6 Char"/>
    <w:basedOn w:val="22"/>
    <w:link w:val="8"/>
    <w:semiHidden/>
    <w:qFormat/>
    <w:uiPriority w:val="9"/>
    <w:rPr>
      <w:b/>
      <w:bCs/>
    </w:rPr>
  </w:style>
  <w:style w:type="character" w:customStyle="1" w:styleId="31">
    <w:name w:val="标题 7 Char"/>
    <w:basedOn w:val="22"/>
    <w:link w:val="9"/>
    <w:semiHidden/>
    <w:qFormat/>
    <w:uiPriority w:val="9"/>
    <w:rPr>
      <w:sz w:val="24"/>
      <w:szCs w:val="24"/>
    </w:rPr>
  </w:style>
  <w:style w:type="character" w:customStyle="1" w:styleId="32">
    <w:name w:val="标题 8 Char"/>
    <w:basedOn w:val="22"/>
    <w:link w:val="10"/>
    <w:semiHidden/>
    <w:qFormat/>
    <w:uiPriority w:val="9"/>
    <w:rPr>
      <w:i/>
      <w:iCs/>
      <w:sz w:val="24"/>
      <w:szCs w:val="24"/>
    </w:rPr>
  </w:style>
  <w:style w:type="character" w:customStyle="1" w:styleId="33">
    <w:name w:val="标题 9 Char"/>
    <w:basedOn w:val="22"/>
    <w:link w:val="11"/>
    <w:semiHidden/>
    <w:qFormat/>
    <w:uiPriority w:val="9"/>
    <w:rPr>
      <w:rFonts w:asciiTheme="majorHAnsi" w:hAnsiTheme="majorHAnsi" w:eastAsiaTheme="majorEastAsia"/>
    </w:rPr>
  </w:style>
  <w:style w:type="character" w:customStyle="1" w:styleId="34">
    <w:name w:val="标题 Char"/>
    <w:basedOn w:val="22"/>
    <w:link w:val="2"/>
    <w:qFormat/>
    <w:uiPriority w:val="10"/>
    <w:rPr>
      <w:rFonts w:asciiTheme="majorHAnsi" w:hAnsiTheme="majorHAnsi" w:eastAsiaTheme="majorEastAsia"/>
      <w:b/>
      <w:bCs/>
      <w:kern w:val="28"/>
      <w:sz w:val="32"/>
      <w:szCs w:val="32"/>
    </w:rPr>
  </w:style>
  <w:style w:type="character" w:customStyle="1" w:styleId="35">
    <w:name w:val="副标题 Char"/>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Char"/>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Char"/>
    <w:basedOn w:val="22"/>
    <w:link w:val="40"/>
    <w:qFormat/>
    <w:uiPriority w:val="30"/>
    <w:rPr>
      <w:b/>
      <w:i/>
      <w:sz w:val="24"/>
    </w:rPr>
  </w:style>
  <w:style w:type="character" w:customStyle="1" w:styleId="42">
    <w:name w:val="不明显强调1"/>
    <w:qFormat/>
    <w:uiPriority w:val="19"/>
    <w:rPr>
      <w:i/>
      <w:color w:val="585858" w:themeColor="text1" w:themeTint="A6"/>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Char"/>
    <w:basedOn w:val="22"/>
    <w:link w:val="16"/>
    <w:qFormat/>
    <w:uiPriority w:val="99"/>
    <w:rPr>
      <w:rFonts w:ascii="Calibri" w:hAnsi="Calibri" w:eastAsia="宋体"/>
      <w:kern w:val="2"/>
      <w:sz w:val="18"/>
      <w:szCs w:val="18"/>
    </w:rPr>
  </w:style>
  <w:style w:type="character" w:customStyle="1" w:styleId="49">
    <w:name w:val="页脚 Char"/>
    <w:basedOn w:val="22"/>
    <w:link w:val="15"/>
    <w:qFormat/>
    <w:uiPriority w:val="99"/>
    <w:rPr>
      <w:rFonts w:ascii="Calibri" w:hAnsi="Calibri" w:eastAsia="宋体"/>
      <w:kern w:val="2"/>
      <w:sz w:val="18"/>
      <w:szCs w:val="18"/>
    </w:rPr>
  </w:style>
  <w:style w:type="character" w:customStyle="1" w:styleId="50">
    <w:name w:val="批注框文本 Char"/>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paragraph" w:customStyle="1" w:styleId="53">
    <w:name w:val="闻政-正文段落文字"/>
    <w:basedOn w:val="1"/>
    <w:qFormat/>
    <w:uiPriority w:val="3"/>
    <w:pPr>
      <w:spacing w:line="500" w:lineRule="exact"/>
      <w:ind w:firstLine="200"/>
    </w:pPr>
    <w:rPr>
      <w:kern w:val="0"/>
      <w:szCs w:val="28"/>
    </w:rPr>
  </w:style>
  <w:style w:type="paragraph" w:customStyle="1" w:styleId="54">
    <w:name w:val="WPSOffice手动目录 1"/>
    <w:qFormat/>
    <w:uiPriority w:val="0"/>
    <w:rPr>
      <w:rFonts w:asciiTheme="minorHAnsi" w:hAnsiTheme="minorHAnsi" w:eastAsiaTheme="minorEastAsia" w:cstheme="minorBidi"/>
      <w:lang w:val="en-US" w:eastAsia="zh-CN" w:bidi="ar-SA"/>
    </w:rPr>
  </w:style>
  <w:style w:type="paragraph" w:customStyle="1" w:styleId="5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56">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23</Pages>
  <Words>7308</Words>
  <Characters>3321</Characters>
  <Lines>27</Lines>
  <Paragraphs>21</Paragraphs>
  <TotalTime>12</TotalTime>
  <ScaleCrop>false</ScaleCrop>
  <LinksUpToDate>false</LinksUpToDate>
  <CharactersWithSpaces>10608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2021-04-19T15:12:00Z</cp:lastPrinted>
  <dcterms:modified xsi:type="dcterms:W3CDTF">2025-09-05T08:01:34Z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1D600E34DE0A4F5A8A79D5C6C61B58EB</vt:lpwstr>
  </property>
  <property fmtid="{D5CDD505-2E9C-101B-9397-08002B2CF9AE}" pid="4" name="KSOSaveFontToCloudKey">
    <vt:lpwstr>390855185_btnclosed</vt:lpwstr>
  </property>
</Properties>
</file>