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塔城地区种子管理站</w:t>
      </w:r>
    </w:p>
    <w:p>
      <w:pPr>
        <w:spacing w:line="540" w:lineRule="exact"/>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资金项目支出绩效评价报告</w:t>
      </w:r>
    </w:p>
    <w:p>
      <w:pPr>
        <w:spacing w:line="540" w:lineRule="exact"/>
        <w:jc w:val="center"/>
        <w:rPr>
          <w:rFonts w:hint="eastAsia" w:ascii="方正小标宋简体" w:hAnsi="方正小标宋简体" w:eastAsia="方正小标宋简体" w:cs="方正小标宋简体"/>
          <w:b/>
          <w:kern w:val="0"/>
          <w:sz w:val="44"/>
          <w:szCs w:val="44"/>
        </w:rPr>
      </w:pPr>
    </w:p>
    <w:p>
      <w:pPr>
        <w:pageBreakBefore w:val="0"/>
        <w:kinsoku/>
        <w:wordWrap/>
        <w:overflowPunct/>
        <w:topLinePunct w:val="0"/>
        <w:autoSpaceDE/>
        <w:autoSpaceDN/>
        <w:bidi w:val="0"/>
        <w:adjustRightInd/>
        <w:spacing w:line="560" w:lineRule="atLeas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2020年度）</w:t>
      </w:r>
    </w:p>
    <w:p>
      <w:pPr>
        <w:pageBreakBefore w:val="0"/>
        <w:kinsoku/>
        <w:wordWrap/>
        <w:overflowPunct/>
        <w:topLinePunct w:val="0"/>
        <w:autoSpaceDE/>
        <w:autoSpaceDN/>
        <w:bidi w:val="0"/>
        <w:adjustRightInd/>
        <w:spacing w:line="560" w:lineRule="atLeas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项目名称：农产品质量安全监管补助金经费</w:t>
      </w:r>
    </w:p>
    <w:p>
      <w:pPr>
        <w:pageBreakBefore w:val="0"/>
        <w:kinsoku/>
        <w:wordWrap/>
        <w:overflowPunct/>
        <w:topLinePunct w:val="0"/>
        <w:autoSpaceDE/>
        <w:autoSpaceDN/>
        <w:bidi w:val="0"/>
        <w:adjustRightInd/>
        <w:spacing w:line="560" w:lineRule="atLeas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实施单位（公章）：塔城地区种子管理站</w:t>
      </w:r>
    </w:p>
    <w:p>
      <w:pPr>
        <w:pageBreakBefore w:val="0"/>
        <w:kinsoku/>
        <w:wordWrap/>
        <w:overflowPunct/>
        <w:topLinePunct w:val="0"/>
        <w:autoSpaceDE/>
        <w:autoSpaceDN/>
        <w:bidi w:val="0"/>
        <w:adjustRightInd/>
        <w:spacing w:line="560" w:lineRule="atLeas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主管部门（公章）：塔城地区业农村局</w:t>
      </w:r>
    </w:p>
    <w:p>
      <w:pPr>
        <w:pageBreakBefore w:val="0"/>
        <w:kinsoku/>
        <w:wordWrap/>
        <w:overflowPunct/>
        <w:topLinePunct w:val="0"/>
        <w:autoSpaceDE/>
        <w:autoSpaceDN/>
        <w:bidi w:val="0"/>
        <w:adjustRightInd/>
        <w:spacing w:line="560" w:lineRule="atLeas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项目负责人（签章）：卢新春</w:t>
      </w:r>
    </w:p>
    <w:p>
      <w:pPr>
        <w:pageBreakBefore w:val="0"/>
        <w:kinsoku/>
        <w:wordWrap/>
        <w:overflowPunct/>
        <w:topLinePunct w:val="0"/>
        <w:autoSpaceDE/>
        <w:autoSpaceDN/>
        <w:bidi w:val="0"/>
        <w:adjustRightInd/>
        <w:spacing w:line="560" w:lineRule="atLeas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填报时间：2021年4月6日</w:t>
      </w:r>
    </w:p>
    <w:p>
      <w:pPr>
        <w:pageBreakBefore w:val="0"/>
        <w:kinsoku/>
        <w:wordWrap/>
        <w:overflowPunct/>
        <w:topLinePunct w:val="0"/>
        <w:autoSpaceDE/>
        <w:autoSpaceDN/>
        <w:bidi w:val="0"/>
        <w:adjustRightInd/>
        <w:spacing w:line="560" w:lineRule="atLeast"/>
        <w:jc w:val="center"/>
        <w:rPr>
          <w:rFonts w:hAnsi="宋体" w:eastAsia="仿宋_GB2312" w:cs="宋体"/>
          <w:kern w:val="0"/>
          <w:sz w:val="30"/>
          <w:szCs w:val="30"/>
        </w:rPr>
      </w:pPr>
    </w:p>
    <w:p>
      <w:pPr>
        <w:pageBreakBefore w:val="0"/>
        <w:kinsoku/>
        <w:wordWrap/>
        <w:overflowPunct/>
        <w:topLinePunct w:val="0"/>
        <w:autoSpaceDE/>
        <w:autoSpaceDN/>
        <w:bidi w:val="0"/>
        <w:adjustRightInd/>
        <w:spacing w:line="560" w:lineRule="atLeast"/>
        <w:rPr>
          <w:rStyle w:val="22"/>
          <w:rFonts w:ascii="黑体" w:hAnsi="黑体" w:eastAsia="黑体"/>
          <w:b w:val="0"/>
          <w:spacing w:val="-4"/>
          <w:sz w:val="32"/>
          <w:szCs w:val="32"/>
        </w:rPr>
      </w:pPr>
    </w:p>
    <w:p>
      <w:pPr>
        <w:pageBreakBefore w:val="0"/>
        <w:kinsoku/>
        <w:wordWrap/>
        <w:overflowPunct/>
        <w:topLinePunct w:val="0"/>
        <w:autoSpaceDE/>
        <w:autoSpaceDN/>
        <w:bidi w:val="0"/>
        <w:adjustRightInd/>
        <w:spacing w:line="560" w:lineRule="atLeast"/>
        <w:ind w:firstLine="640"/>
        <w:rPr>
          <w:rStyle w:val="22"/>
          <w:rFonts w:ascii="黑体" w:hAnsi="黑体" w:eastAsia="黑体"/>
          <w:b w:val="0"/>
          <w:spacing w:val="-4"/>
          <w:sz w:val="32"/>
          <w:szCs w:val="32"/>
        </w:rPr>
      </w:pPr>
    </w:p>
    <w:p>
      <w:pPr>
        <w:pageBreakBefore w:val="0"/>
        <w:kinsoku/>
        <w:wordWrap/>
        <w:overflowPunct/>
        <w:topLinePunct w:val="0"/>
        <w:autoSpaceDE/>
        <w:autoSpaceDN/>
        <w:bidi w:val="0"/>
        <w:adjustRightInd/>
        <w:spacing w:line="560" w:lineRule="atLeast"/>
        <w:rPr>
          <w:rStyle w:val="22"/>
          <w:rFonts w:ascii="黑体" w:hAnsi="黑体" w:eastAsia="黑体"/>
          <w:b w:val="0"/>
          <w:spacing w:val="-4"/>
          <w:sz w:val="32"/>
          <w:szCs w:val="32"/>
        </w:rPr>
      </w:pPr>
    </w:p>
    <w:p>
      <w:pPr>
        <w:pageBreakBefore w:val="0"/>
        <w:kinsoku/>
        <w:wordWrap/>
        <w:overflowPunct/>
        <w:topLinePunct w:val="0"/>
        <w:autoSpaceDE/>
        <w:autoSpaceDN/>
        <w:bidi w:val="0"/>
        <w:adjustRightInd/>
        <w:spacing w:line="560" w:lineRule="atLeast"/>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pacing w:line="560" w:lineRule="atLeast"/>
        <w:ind w:firstLine="641"/>
        <w:rPr>
          <w:rFonts w:hint="eastAsia" w:ascii="仿宋_GB2312" w:hAnsi="仿宋_GB2312" w:eastAsia="仿宋_GB2312" w:cs="仿宋_GB2312"/>
          <w:b/>
          <w:bCs w:val="0"/>
          <w:kern w:val="1"/>
          <w:sz w:val="32"/>
          <w:szCs w:val="32"/>
          <w:lang w:val="en-US" w:eastAsia="zh-CN" w:bidi="ar-SA"/>
        </w:rPr>
      </w:pPr>
      <w:r>
        <w:rPr>
          <w:rFonts w:hint="eastAsia" w:ascii="仿宋_GB2312" w:hAnsi="仿宋_GB2312" w:eastAsia="仿宋_GB2312" w:cs="仿宋_GB2312"/>
          <w:b/>
          <w:bCs w:val="0"/>
          <w:kern w:val="1"/>
          <w:sz w:val="32"/>
          <w:szCs w:val="32"/>
          <w:lang w:val="en-US" w:eastAsia="zh-CN" w:bidi="ar-SA"/>
        </w:rPr>
        <w:t>1、项目背景</w:t>
      </w:r>
    </w:p>
    <w:p>
      <w:pPr>
        <w:pStyle w:val="2"/>
        <w:pageBreakBefore w:val="0"/>
        <w:kinsoku/>
        <w:wordWrap/>
        <w:overflowPunct/>
        <w:topLinePunct w:val="0"/>
        <w:autoSpaceDE/>
        <w:autoSpaceDN/>
        <w:bidi w:val="0"/>
        <w:adjustRightInd/>
        <w:spacing w:before="0" w:after="0" w:line="560" w:lineRule="atLeast"/>
        <w:ind w:firstLine="640" w:firstLineChars="200"/>
        <w:jc w:val="both"/>
        <w:rPr>
          <w:rStyle w:val="22"/>
          <w:rFonts w:hint="eastAsia" w:ascii="黑体" w:hAnsi="黑体" w:eastAsia="仿宋_GB2312"/>
          <w:b/>
          <w:bCs w:val="0"/>
          <w:spacing w:val="-4"/>
          <w:sz w:val="32"/>
          <w:szCs w:val="32"/>
          <w:lang w:eastAsia="zh-CN"/>
        </w:rPr>
      </w:pPr>
      <w:r>
        <w:rPr>
          <w:rFonts w:hint="eastAsia" w:ascii="仿宋_GB2312" w:hAnsi="仿宋_GB2312" w:eastAsia="仿宋_GB2312" w:cs="仿宋_GB2312"/>
          <w:b w:val="0"/>
          <w:bCs/>
          <w:kern w:val="1"/>
          <w:sz w:val="32"/>
          <w:szCs w:val="32"/>
          <w:lang w:val="en-US" w:eastAsia="zh-CN" w:bidi="ar-SA"/>
        </w:rPr>
        <w:t>为贯彻落实《种子法》《农业转基因生物安全管理条例》等相关法律法规，严厉打击非法生产经营转基因种子行为，继续保持遏制非法转基因玉米制种的良好势头，进一步提高种子管理部门及种子经销商对农作物种子安全管理工作的认识，地区种子管理站积极申请项目，通过项目支持开展培训宣传、抽样检测、转基因排查等工作。从而净化种子市场，</w:t>
      </w:r>
      <w:r>
        <w:rPr>
          <w:rFonts w:hint="eastAsia" w:ascii="仿宋_GB2312" w:eastAsia="仿宋_GB2312"/>
          <w:b w:val="0"/>
          <w:bCs w:val="0"/>
          <w:color w:val="000000"/>
          <w:sz w:val="32"/>
          <w:szCs w:val="32"/>
        </w:rPr>
        <w:t>促进我区农业转基因生物安全健康发展</w:t>
      </w:r>
      <w:r>
        <w:rPr>
          <w:rFonts w:hint="eastAsia" w:ascii="仿宋_GB2312" w:eastAsia="仿宋_GB2312"/>
          <w:b w:val="0"/>
          <w:bCs w:val="0"/>
          <w:color w:val="000000"/>
          <w:sz w:val="32"/>
          <w:szCs w:val="32"/>
          <w:lang w:eastAsia="zh-CN"/>
        </w:rPr>
        <w:t>。</w:t>
      </w: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r>
        <w:rPr>
          <w:rFonts w:hint="eastAsia" w:ascii="仿宋_GB2312" w:hAnsi="仿宋_GB2312" w:eastAsia="仿宋_GB2312" w:cs="仿宋_GB2312"/>
          <w:b/>
          <w:kern w:val="1"/>
          <w:sz w:val="32"/>
          <w:szCs w:val="32"/>
          <w:lang w:val="en-US" w:eastAsia="zh-CN"/>
        </w:rPr>
        <w:t>2、</w:t>
      </w:r>
      <w:r>
        <w:rPr>
          <w:rFonts w:hint="eastAsia" w:ascii="仿宋_GB2312" w:hAnsi="仿宋_GB2312" w:eastAsia="仿宋_GB2312" w:cs="仿宋_GB2312"/>
          <w:b/>
          <w:kern w:val="1"/>
          <w:sz w:val="32"/>
          <w:szCs w:val="32"/>
        </w:rPr>
        <w:t>项目主要内容及实施情况</w:t>
      </w:r>
    </w:p>
    <w:p>
      <w:pPr>
        <w:pStyle w:val="2"/>
        <w:pageBreakBefore w:val="0"/>
        <w:kinsoku/>
        <w:wordWrap/>
        <w:overflowPunct/>
        <w:topLinePunct w:val="0"/>
        <w:autoSpaceDE/>
        <w:autoSpaceDN/>
        <w:bidi w:val="0"/>
        <w:adjustRightInd/>
        <w:spacing w:before="0" w:after="0" w:line="560" w:lineRule="atLeast"/>
        <w:ind w:firstLine="640" w:firstLineChars="200"/>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项目主要内容：开展培训宣传工作，开展种子企业、种子市场抽样检测工作。开展种子田间检验及玉米制种田转基因检测排查工作。保障农业生产用种安全，提升农业生产用种水平。</w:t>
      </w:r>
    </w:p>
    <w:p>
      <w:pPr>
        <w:pageBreakBefore w:val="0"/>
        <w:kinsoku/>
        <w:wordWrap/>
        <w:overflowPunct/>
        <w:topLinePunct w:val="0"/>
        <w:autoSpaceDE/>
        <w:autoSpaceDN/>
        <w:bidi w:val="0"/>
        <w:adjustRightInd/>
        <w:spacing w:line="560" w:lineRule="atLeast"/>
        <w:ind w:firstLine="640" w:firstLineChars="200"/>
      </w:pPr>
      <w:r>
        <w:rPr>
          <w:rFonts w:hint="eastAsia" w:ascii="仿宋_GB2312" w:hAnsi="仿宋_GB2312" w:eastAsia="仿宋_GB2312" w:cs="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kinsoku/>
        <w:wordWrap/>
        <w:overflowPunct/>
        <w:topLinePunct w:val="0"/>
        <w:autoSpaceDE/>
        <w:autoSpaceDN/>
        <w:bidi w:val="0"/>
        <w:adjustRightInd/>
        <w:spacing w:line="560" w:lineRule="atLeast"/>
        <w:ind w:firstLine="579" w:firstLineChars="18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本项目总投资4万元，其中：</w:t>
      </w:r>
      <w:r>
        <w:rPr>
          <w:rFonts w:hint="eastAsia" w:ascii="仿宋_GB2312" w:hAnsi="仿宋_GB2312" w:eastAsia="仿宋_GB2312" w:cs="仿宋_GB2312"/>
          <w:sz w:val="32"/>
          <w:szCs w:val="32"/>
          <w:lang w:val="en-US" w:eastAsia="zh-CN"/>
        </w:rPr>
        <w:t>2020年</w:t>
      </w:r>
      <w:r>
        <w:rPr>
          <w:rFonts w:hint="eastAsia" w:ascii="仿宋_GB2312" w:hAnsi="仿宋_GB2312" w:eastAsia="仿宋_GB2312" w:cs="仿宋_GB2312"/>
          <w:sz w:val="32"/>
          <w:szCs w:val="32"/>
          <w:lang w:eastAsia="zh-CN"/>
        </w:rPr>
        <w:t>收到中央转移支付</w:t>
      </w:r>
      <w:r>
        <w:rPr>
          <w:rFonts w:hint="eastAsia" w:ascii="仿宋_GB2312" w:hAnsi="仿宋_GB2312" w:eastAsia="仿宋_GB2312" w:cs="仿宋_GB2312"/>
          <w:sz w:val="32"/>
          <w:szCs w:val="32"/>
        </w:rPr>
        <w:t>资金</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.34万元。项目实际支出1.76万元，支出率为</w:t>
      </w:r>
      <w:r>
        <w:rPr>
          <w:rFonts w:hint="eastAsia" w:ascii="仿宋_GB2312" w:hAnsi="仿宋_GB2312" w:eastAsia="仿宋_GB2312" w:cs="仿宋_GB2312"/>
          <w:sz w:val="32"/>
          <w:szCs w:val="32"/>
          <w:lang w:val="en-US" w:eastAsia="zh-CN"/>
        </w:rPr>
        <w:t>75.21</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r>
        <w:rPr>
          <w:rFonts w:hint="eastAsia" w:ascii="仿宋_GB2312" w:hAnsi="仿宋_GB2312" w:eastAsia="仿宋_GB2312" w:cs="仿宋_GB2312"/>
          <w:b/>
          <w:kern w:val="1"/>
          <w:sz w:val="32"/>
          <w:szCs w:val="32"/>
        </w:rPr>
        <w:t>3、资金投入和使用情况</w:t>
      </w: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r>
        <w:rPr>
          <w:rFonts w:hint="eastAsia" w:ascii="仿宋_GB2312" w:hAnsi="仿宋_GB2312" w:eastAsia="仿宋_GB2312" w:cs="仿宋_GB2312"/>
          <w:b/>
          <w:kern w:val="1"/>
          <w:sz w:val="32"/>
          <w:szCs w:val="32"/>
        </w:rPr>
        <w:t>（1）资金安排</w:t>
      </w:r>
    </w:p>
    <w:p>
      <w:pPr>
        <w:pageBreakBefore w:val="0"/>
        <w:kinsoku/>
        <w:wordWrap/>
        <w:overflowPunct/>
        <w:topLinePunct w:val="0"/>
        <w:autoSpaceDE/>
        <w:autoSpaceDN/>
        <w:bidi w:val="0"/>
        <w:adjustRightInd/>
        <w:spacing w:line="560" w:lineRule="atLeast"/>
        <w:ind w:firstLine="579" w:firstLineChars="181"/>
        <w:rPr>
          <w:rFonts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2.34</w:t>
      </w:r>
      <w:r>
        <w:rPr>
          <w:rFonts w:hint="eastAsia" w:ascii="仿宋_GB2312" w:hAnsi="仿宋_GB2312" w:eastAsia="仿宋_GB2312" w:cs="仿宋_GB2312"/>
          <w:sz w:val="32"/>
          <w:szCs w:val="32"/>
        </w:rPr>
        <w:t>万元，按照单位财务制度等相关规定，资金支出符合“农产品质量安全监管补助金经费”专项资金费用范围，做到了专款专用。在项目资金拨付和使用过程中，为确保项目资金的安全性，提高项目资金使用效率，严格遵循“</w:t>
      </w:r>
      <w:r>
        <w:rPr>
          <w:rFonts w:hint="eastAsia" w:ascii="仿宋_GB2312"/>
          <w:kern w:val="0"/>
          <w:sz w:val="32"/>
          <w:szCs w:val="32"/>
          <w:lang w:bidi="en-US"/>
        </w:rPr>
        <w:t>农产品质量安全监管补助金经费”</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pacing w:line="560" w:lineRule="atLeast"/>
        <w:ind w:firstLine="579" w:firstLineChars="18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项目预算资金来源于塔地财预（2020）5文件中批复的资金，项目资金到位2.34万元，实际支出1.76万元，用于支付项目实施进程中的各项费用。</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r>
        <w:rPr>
          <w:rFonts w:hint="eastAsia" w:ascii="仿宋_GB2312" w:hAnsi="仿宋_GB2312" w:eastAsia="仿宋_GB2312" w:cs="仿宋_GB2312"/>
          <w:b/>
          <w:kern w:val="1"/>
          <w:sz w:val="32"/>
          <w:szCs w:val="32"/>
        </w:rPr>
        <w:t>1、总体目标</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开展培训宣传工作，开展种子企业、种子市场抽样检测工作。开展种子田间检验及玉米制种田转基因检测排查工作。保障农业生产用种安全，提升农业生产用种水平。</w:t>
      </w:r>
    </w:p>
    <w:p>
      <w:pPr>
        <w:pageBreakBefore w:val="0"/>
        <w:kinsoku/>
        <w:wordWrap/>
        <w:overflowPunct/>
        <w:topLinePunct w:val="0"/>
        <w:autoSpaceDE/>
        <w:autoSpaceDN/>
        <w:bidi w:val="0"/>
        <w:adjustRightInd/>
        <w:spacing w:line="560" w:lineRule="atLeast"/>
        <w:ind w:firstLine="643" w:firstLineChars="200"/>
        <w:rPr>
          <w:rFonts w:hint="eastAsia" w:ascii="仿宋_GB2312" w:hAnsi="仿宋_GB2312" w:eastAsia="仿宋_GB2312" w:cs="仿宋_GB2312"/>
          <w:b/>
          <w:kern w:val="1"/>
          <w:sz w:val="32"/>
          <w:szCs w:val="32"/>
        </w:rPr>
      </w:pPr>
      <w:r>
        <w:rPr>
          <w:rFonts w:hint="eastAsia" w:ascii="仿宋_GB2312" w:hAnsi="仿宋_GB2312" w:eastAsia="仿宋_GB2312" w:cs="仿宋_GB2312"/>
          <w:b/>
          <w:kern w:val="1"/>
          <w:sz w:val="32"/>
          <w:szCs w:val="32"/>
        </w:rPr>
        <w:t>2、阶段性目标</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（1）前期准备：根据年初结转的“农产品质量安全监管补助经费”项目资金2.34万元，塔城地区种子管理站按专项资金的用途专款专用。</w:t>
      </w:r>
    </w:p>
    <w:p>
      <w:pPr>
        <w:pStyle w:val="2"/>
        <w:keepNext w:val="0"/>
        <w:keepLines w:val="0"/>
        <w:pageBreakBefore w:val="0"/>
        <w:widowControl/>
        <w:kinsoku/>
        <w:wordWrap/>
        <w:overflowPunct/>
        <w:topLinePunct w:val="0"/>
        <w:autoSpaceDE/>
        <w:autoSpaceDN/>
        <w:bidi w:val="0"/>
        <w:adjustRightInd/>
        <w:snapToGrid/>
        <w:spacing w:before="0" w:after="0" w:line="560" w:lineRule="atLeas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组织实施：2020年以内控体系建设为抓手,进一步完善财务制度,规范收支流程,严格审批制度。严格执行各项财经制度和管理规定,对预算资金严格控制,规范使用,强化执行，年初下达预算需达到执行率100%。加强种子站整体资金的管理和核算，种子站整体资金严格按照项目实施方案执行。接受各项财务检查中未发现重大管理漏洞和问题, 并通过检查推进财务规范化管理。</w:t>
      </w:r>
    </w:p>
    <w:p>
      <w:pPr>
        <w:pageBreakBefore w:val="0"/>
        <w:kinsoku/>
        <w:wordWrap/>
        <w:overflowPunct/>
        <w:topLinePunct w:val="0"/>
        <w:autoSpaceDE/>
        <w:autoSpaceDN/>
        <w:bidi w:val="0"/>
        <w:adjustRightInd/>
        <w:spacing w:line="560" w:lineRule="atLeast"/>
        <w:ind w:firstLine="641"/>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1、绩效评价的目的</w:t>
      </w:r>
    </w:p>
    <w:p>
      <w:pPr>
        <w:pageBreakBefore w:val="0"/>
        <w:widowControl/>
        <w:kinsoku/>
        <w:wordWrap/>
        <w:overflowPunct/>
        <w:topLinePunct w:val="0"/>
        <w:autoSpaceDE/>
        <w:autoSpaceDN/>
        <w:bidi w:val="0"/>
        <w:adjustRightInd/>
        <w:spacing w:line="560" w:lineRule="atLeast"/>
        <w:ind w:firstLine="640" w:firstLineChars="200"/>
        <w:jc w:val="left"/>
        <w:rPr>
          <w:rFonts w:hint="eastAsia"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财政支出绩效评价运用科学、规范的绩效评价方法，制定统一的评价标准，使财政资金得到事前、事中和事后多方面的控制。本次绩效评价遵循财政部《关于印发&lt;项目支出绩效评价管理办法&gt;的通知》，《关于印发&lt;塔城地区全面实施财政支出绩效管理的工作方案&gt;的通知》</w:t>
      </w:r>
      <w:bookmarkStart w:id="6" w:name="_GoBack"/>
      <w:bookmarkEnd w:id="6"/>
      <w:r>
        <w:rPr>
          <w:rFonts w:hint="eastAsia" w:ascii="仿宋_GB2312" w:hAnsi="仿宋_GB2312" w:eastAsia="仿宋_GB2312" w:cs="仿宋_GB2312"/>
          <w:color w:val="000000"/>
          <w:kern w:val="1"/>
          <w:sz w:val="32"/>
          <w:szCs w:val="32"/>
        </w:rPr>
        <w:t>文件精神，对我</w:t>
      </w:r>
      <w:r>
        <w:rPr>
          <w:rFonts w:hint="eastAsia" w:ascii="仿宋_GB2312" w:hAnsi="仿宋_GB2312" w:eastAsia="仿宋_GB2312" w:cs="仿宋_GB2312"/>
          <w:color w:val="000000"/>
          <w:kern w:val="1"/>
          <w:sz w:val="32"/>
          <w:szCs w:val="32"/>
          <w:lang w:eastAsia="zh-CN"/>
        </w:rPr>
        <w:t>站</w:t>
      </w:r>
      <w:r>
        <w:rPr>
          <w:rFonts w:hint="eastAsia" w:ascii="仿宋_GB2312" w:hAnsi="仿宋_GB2312" w:eastAsia="仿宋_GB2312" w:cs="仿宋_GB2312"/>
          <w:color w:val="000000"/>
          <w:kern w:val="1"/>
          <w:sz w:val="32"/>
          <w:szCs w:val="32"/>
        </w:rPr>
        <w:t>2020年执行“农副产品质量安全监管经费”进行绩效评价。从提高检测质量的效率和效益，提出有针对性的建议，提高对“农副产品质量安全监管经费”的有效利用度，财政支出绩效评价贯穿于财政支出安排和实施的全过程，是对“农副产品质量安全监管经费”支出效益、管理水平、投入风险等方面的综合评价；是发挥财政调控功能、提高财政资金安排科学性、促进财政支持社会经济目标实现的重要保证。</w:t>
      </w:r>
    </w:p>
    <w:p>
      <w:pPr>
        <w:pageBreakBefore w:val="0"/>
        <w:widowControl/>
        <w:kinsoku/>
        <w:wordWrap/>
        <w:overflowPunct/>
        <w:topLinePunct w:val="0"/>
        <w:autoSpaceDE/>
        <w:autoSpaceDN/>
        <w:bidi w:val="0"/>
        <w:adjustRightInd/>
        <w:spacing w:line="560" w:lineRule="atLeast"/>
        <w:ind w:firstLine="640" w:firstLineChars="200"/>
        <w:jc w:val="left"/>
        <w:rPr>
          <w:rFonts w:hint="eastAsia"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（1）“农副产品质量安全监管经费”项目在实施前向财政提供支出绩效方面的资金管理信息，为促进项目支出能够严格按照资金管理规定进行。</w:t>
      </w:r>
    </w:p>
    <w:p>
      <w:pPr>
        <w:pageBreakBefore w:val="0"/>
        <w:widowControl/>
        <w:kinsoku/>
        <w:wordWrap/>
        <w:overflowPunct/>
        <w:topLinePunct w:val="0"/>
        <w:autoSpaceDE/>
        <w:autoSpaceDN/>
        <w:bidi w:val="0"/>
        <w:adjustRightInd/>
        <w:spacing w:line="560" w:lineRule="atLeast"/>
        <w:ind w:firstLine="640" w:firstLineChars="200"/>
        <w:jc w:val="left"/>
        <w:rPr>
          <w:rFonts w:hint="eastAsia"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（2）“农副产品质量安全监管经费”项目绩效管理为财政支出运行提供及时、有效的信息。</w:t>
      </w:r>
    </w:p>
    <w:p>
      <w:pPr>
        <w:pageBreakBefore w:val="0"/>
        <w:widowControl/>
        <w:kinsoku/>
        <w:wordWrap/>
        <w:overflowPunct/>
        <w:topLinePunct w:val="0"/>
        <w:autoSpaceDE/>
        <w:autoSpaceDN/>
        <w:bidi w:val="0"/>
        <w:adjustRightInd/>
        <w:spacing w:line="560" w:lineRule="atLeast"/>
        <w:ind w:firstLine="640" w:firstLineChars="200"/>
        <w:jc w:val="left"/>
        <w:rPr>
          <w:rFonts w:hint="eastAsia"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综合来看，通过开展有效的财政支出绩效评价管理，达到改进预算管理、控制节约成本，提高预算资金使用效益的目的。</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2、绩效评价的对象</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sz w:val="32"/>
          <w:szCs w:val="32"/>
        </w:rPr>
      </w:pPr>
      <w:r>
        <w:rPr>
          <w:rFonts w:hint="eastAsia" w:ascii="仿宋_GB2312" w:hAnsi="仿宋_GB2312" w:eastAsia="仿宋_GB2312" w:cs="仿宋_GB2312"/>
          <w:sz w:val="32"/>
          <w:szCs w:val="32"/>
        </w:rPr>
        <w:t>根据工作需要，为科学、公正地评价财政资金使用绩效，确定合理的绩效评价指标体系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val="en-US" w:eastAsia="zh-CN"/>
        </w:rPr>
        <w:t>选取</w:t>
      </w:r>
      <w:r>
        <w:rPr>
          <w:rFonts w:hint="eastAsia" w:ascii="仿宋_GB2312" w:hAnsi="仿宋_GB2312" w:eastAsia="仿宋_GB2312" w:cs="仿宋_GB2312"/>
          <w:sz w:val="32"/>
          <w:szCs w:val="32"/>
          <w:lang w:eastAsia="zh-CN"/>
        </w:rPr>
        <w:t>“农副产品质量安全监管经费”对</w:t>
      </w:r>
      <w:r>
        <w:rPr>
          <w:rFonts w:hint="eastAsia" w:ascii="仿宋_GB2312" w:hAnsi="仿宋_GB2312" w:eastAsia="仿宋_GB2312" w:cs="仿宋_GB2312"/>
          <w:sz w:val="32"/>
          <w:szCs w:val="32"/>
        </w:rPr>
        <w:t>此项目进行项目自评，撰写绩效自评报告。</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3、绩效评价的范围</w:t>
      </w:r>
    </w:p>
    <w:p>
      <w:pPr>
        <w:pageBreakBefore w:val="0"/>
        <w:kinsoku/>
        <w:wordWrap/>
        <w:overflowPunct/>
        <w:topLinePunct w:val="0"/>
        <w:autoSpaceDE/>
        <w:autoSpaceDN/>
        <w:bidi w:val="0"/>
        <w:adjustRightInd/>
        <w:spacing w:line="560" w:lineRule="atLeas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w:t>
      </w:r>
    </w:p>
    <w:p>
      <w:pPr>
        <w:pageBreakBefore w:val="0"/>
        <w:kinsoku/>
        <w:wordWrap/>
        <w:overflowPunct/>
        <w:topLinePunct w:val="0"/>
        <w:autoSpaceDE/>
        <w:autoSpaceDN/>
        <w:bidi w:val="0"/>
        <w:adjustRightInd/>
        <w:spacing w:line="560" w:lineRule="atLeast"/>
        <w:ind w:firstLine="641"/>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1、绩效评价原则</w:t>
      </w:r>
    </w:p>
    <w:p>
      <w:pPr>
        <w:pageBreakBefore w:val="0"/>
        <w:kinsoku/>
        <w:wordWrap/>
        <w:overflowPunct/>
        <w:topLinePunct w:val="0"/>
        <w:autoSpaceDE/>
        <w:autoSpaceDN/>
        <w:bidi w:val="0"/>
        <w:adjustRightInd/>
        <w:spacing w:line="560" w:lineRule="atLeast"/>
        <w:ind w:firstLine="641"/>
        <w:rPr>
          <w:rFonts w:hint="eastAsia" w:ascii="仿宋_GB2312" w:hAnsi="仿宋_GB2312" w:eastAsia="仿宋_GB2312" w:cs="仿宋_GB2312"/>
          <w:b w:val="0"/>
          <w:bCs w:val="0"/>
          <w:kern w:val="28"/>
          <w:sz w:val="32"/>
          <w:szCs w:val="32"/>
          <w:lang w:val="en-US" w:eastAsia="zh-CN" w:bidi="ar-SA"/>
        </w:rPr>
      </w:pPr>
      <w:r>
        <w:rPr>
          <w:rFonts w:hint="eastAsia" w:ascii="仿宋_GB2312" w:hAnsi="仿宋_GB2312" w:eastAsia="仿宋_GB2312" w:cs="仿宋_GB2312"/>
          <w:b w:val="0"/>
          <w:bCs w:val="0"/>
          <w:kern w:val="28"/>
          <w:sz w:val="32"/>
          <w:szCs w:val="32"/>
          <w:lang w:val="en-US" w:eastAsia="zh-CN" w:bidi="ar-SA"/>
        </w:rPr>
        <w:t>“农副产品质量安全监管经费”项目绩效评价遵循以下基本原则：</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pacing w:before="0" w:after="0" w:line="560" w:lineRule="atLeast"/>
        <w:ind w:firstLine="641"/>
        <w:jc w:val="both"/>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2、评价指标体系</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绩效评价框架是开展绩效评价的核心。绩效评价框架包括评价准则、关键评价问题、评价指标、数据来源、数据收集方法等。指标体系建立过程如下：</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（1）确定评价指标</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采用层次分析法，建立评价指标体系。绩效评价将指标分为项目决策、项目产出、项目效益、项目过程四个维度，最终形成一个由多个相互联系的指标组成的多层次指标体系。</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（2）确定权重</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确定各个指标相对于项目总体绩效的权重分值。在绩效评价指标体系中，项目决策权重为</w:t>
      </w:r>
      <w:r>
        <w:rPr>
          <w:rFonts w:ascii="仿宋_GB2312" w:hAnsi="仿宋_GB2312" w:eastAsia="仿宋_GB2312" w:cs="仿宋_GB2312"/>
          <w:color w:val="000000"/>
          <w:kern w:val="1"/>
          <w:sz w:val="32"/>
          <w:szCs w:val="32"/>
        </w:rPr>
        <w:t>5</w:t>
      </w:r>
      <w:r>
        <w:rPr>
          <w:rFonts w:hint="eastAsia" w:ascii="仿宋_GB2312" w:hAnsi="仿宋_GB2312" w:eastAsia="仿宋_GB2312" w:cs="仿宋_GB2312"/>
          <w:color w:val="000000"/>
          <w:kern w:val="1"/>
          <w:sz w:val="32"/>
          <w:szCs w:val="32"/>
        </w:rPr>
        <w:t>分，项目过程权重值占5分，项目产出权重值占</w:t>
      </w:r>
      <w:r>
        <w:rPr>
          <w:rFonts w:ascii="仿宋_GB2312" w:hAnsi="仿宋_GB2312" w:eastAsia="仿宋_GB2312" w:cs="仿宋_GB2312"/>
          <w:color w:val="000000"/>
          <w:kern w:val="1"/>
          <w:sz w:val="32"/>
          <w:szCs w:val="32"/>
        </w:rPr>
        <w:t>5</w:t>
      </w:r>
      <w:r>
        <w:rPr>
          <w:rFonts w:hint="eastAsia" w:ascii="仿宋_GB2312" w:hAnsi="仿宋_GB2312" w:eastAsia="仿宋_GB2312" w:cs="仿宋_GB2312"/>
          <w:color w:val="000000"/>
          <w:kern w:val="1"/>
          <w:sz w:val="32"/>
          <w:szCs w:val="32"/>
        </w:rPr>
        <w:t>0分，项目效益权重占</w:t>
      </w:r>
      <w:r>
        <w:rPr>
          <w:rFonts w:ascii="仿宋_GB2312" w:hAnsi="仿宋_GB2312" w:eastAsia="仿宋_GB2312" w:cs="仿宋_GB2312"/>
          <w:color w:val="000000"/>
          <w:kern w:val="1"/>
          <w:sz w:val="32"/>
          <w:szCs w:val="32"/>
        </w:rPr>
        <w:t>4</w:t>
      </w:r>
      <w:r>
        <w:rPr>
          <w:rFonts w:hint="eastAsia" w:ascii="仿宋_GB2312" w:hAnsi="仿宋_GB2312" w:eastAsia="仿宋_GB2312" w:cs="仿宋_GB2312"/>
          <w:color w:val="000000"/>
          <w:kern w:val="1"/>
          <w:sz w:val="32"/>
          <w:szCs w:val="32"/>
        </w:rPr>
        <w:t>0分。</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（3）确定指标标准值</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指标标准值是绩效评价指标的尺度，既要反映同类项目的先进水平，又要符合项目的实际绩效水平。具体采用计划标准等确定此次绩效评价指标标准值。</w:t>
      </w:r>
    </w:p>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绩效评价总分值</w:t>
      </w:r>
      <w:r>
        <w:rPr>
          <w:rFonts w:ascii="仿宋_GB2312" w:hAnsi="仿宋_GB2312" w:eastAsia="仿宋_GB2312" w:cs="仿宋_GB2312"/>
          <w:color w:val="000000"/>
          <w:kern w:val="1"/>
          <w:sz w:val="32"/>
          <w:szCs w:val="32"/>
        </w:rPr>
        <w:t>100</w:t>
      </w:r>
      <w:r>
        <w:rPr>
          <w:rFonts w:hint="eastAsia" w:ascii="仿宋_GB2312" w:hAnsi="仿宋_GB2312" w:eastAsia="仿宋_GB2312" w:cs="仿宋_GB2312"/>
          <w:color w:val="000000"/>
          <w:kern w:val="1"/>
          <w:sz w:val="32"/>
          <w:szCs w:val="32"/>
        </w:rPr>
        <w:t>分，根据综合评分结果，评价计分90分-100分（含90分）对应的评分结果级别为优，80-90分（含80分）对应的评分结果级别为良，60-80分（含60分）对应的评分结果级别为中，60分以下对应的评分结果级别为差。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pacing w:before="0" w:after="0" w:line="560" w:lineRule="atLeast"/>
        <w:jc w:val="both"/>
        <w:outlineLvl w:val="9"/>
        <w:rPr>
          <w:rFonts w:hint="eastAsia" w:ascii="仿宋_GB2312" w:hAnsi="仿宋_GB2312" w:eastAsia="仿宋_GB2312" w:cs="仿宋_GB2312"/>
          <w:b w:val="0"/>
          <w:bCs w:val="0"/>
          <w:color w:val="000000"/>
          <w:spacing w:val="17"/>
          <w:lang w:eastAsia="zh-CN"/>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下表：</w:t>
      </w:r>
    </w:p>
    <w:tbl>
      <w:tblPr>
        <w:tblStyle w:val="20"/>
        <w:tblW w:w="8569" w:type="dxa"/>
        <w:tblInd w:w="0" w:type="dxa"/>
        <w:tblLayout w:type="fixed"/>
        <w:tblCellMar>
          <w:top w:w="0" w:type="dxa"/>
          <w:left w:w="0" w:type="dxa"/>
          <w:bottom w:w="0" w:type="dxa"/>
          <w:right w:w="0" w:type="dxa"/>
        </w:tblCellMar>
      </w:tblPr>
      <w:tblGrid>
        <w:gridCol w:w="1419"/>
        <w:gridCol w:w="2456"/>
        <w:gridCol w:w="3481"/>
        <w:gridCol w:w="1213"/>
      </w:tblGrid>
      <w:tr>
        <w:tblPrEx>
          <w:tblCellMar>
            <w:top w:w="0" w:type="dxa"/>
            <w:left w:w="0" w:type="dxa"/>
            <w:bottom w:w="0" w:type="dxa"/>
            <w:right w:w="0" w:type="dxa"/>
          </w:tblCellMar>
        </w:tblPrEx>
        <w:trPr>
          <w:trHeight w:val="510" w:hRule="atLeast"/>
        </w:trPr>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一级指标</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二级指标</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三级指标</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得分</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决</w:t>
            </w:r>
            <w:r>
              <w:rPr>
                <w:rFonts w:hint="eastAsia" w:ascii="仿宋_GB2312" w:hAnsi="仿宋_GB2312" w:eastAsia="仿宋_GB2312" w:cs="仿宋_GB2312"/>
                <w:color w:val="000000"/>
                <w:kern w:val="1"/>
                <w:sz w:val="32"/>
                <w:szCs w:val="32"/>
                <w:lang w:val="en-US" w:eastAsia="zh-CN"/>
              </w:rPr>
              <w:t xml:space="preserve"> </w:t>
            </w:r>
            <w:r>
              <w:rPr>
                <w:rFonts w:hint="eastAsia" w:ascii="仿宋_GB2312" w:hAnsi="仿宋_GB2312" w:eastAsia="仿宋_GB2312" w:cs="仿宋_GB2312"/>
                <w:color w:val="000000"/>
                <w:kern w:val="1"/>
                <w:sz w:val="32"/>
                <w:szCs w:val="32"/>
              </w:rPr>
              <w:t>策（5分）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项目立项（1分）</w:t>
            </w:r>
          </w:p>
        </w:tc>
        <w:tc>
          <w:tcPr>
            <w:tcW w:w="348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立项依据充分性（0.5分）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0.5</w:t>
            </w:r>
          </w:p>
        </w:tc>
      </w:tr>
      <w:tr>
        <w:tblPrEx>
          <w:tblCellMar>
            <w:top w:w="0" w:type="dxa"/>
            <w:left w:w="0" w:type="dxa"/>
            <w:bottom w:w="0" w:type="dxa"/>
            <w:right w:w="0" w:type="dxa"/>
          </w:tblCellMar>
        </w:tblPrEx>
        <w:trPr>
          <w:trHeight w:val="9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立项程序（0.5分）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0.5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绩效目标（2分）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绩效目标（1分）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效益指标（1分）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资金投入（2分）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预算编制（1分）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资金分配合理性（1分）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过</w:t>
            </w:r>
            <w:r>
              <w:rPr>
                <w:rFonts w:hint="eastAsia" w:ascii="仿宋_GB2312" w:hAnsi="仿宋_GB2312" w:eastAsia="仿宋_GB2312" w:cs="仿宋_GB2312"/>
                <w:color w:val="000000"/>
                <w:kern w:val="1"/>
                <w:sz w:val="32"/>
                <w:szCs w:val="32"/>
                <w:lang w:val="en-US" w:eastAsia="zh-CN"/>
              </w:rPr>
              <w:t xml:space="preserve"> </w:t>
            </w:r>
            <w:r>
              <w:rPr>
                <w:rFonts w:hint="eastAsia" w:ascii="仿宋_GB2312" w:hAnsi="仿宋_GB2312" w:eastAsia="仿宋_GB2312" w:cs="仿宋_GB2312"/>
                <w:color w:val="000000"/>
                <w:kern w:val="1"/>
                <w:sz w:val="32"/>
                <w:szCs w:val="32"/>
              </w:rPr>
              <w:t>程（5分）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资金管理（3分）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资金到位率（1分）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预算执行率（1分）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0.8</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资金使用合规性（1分）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450"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组织实施（2分）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管理制度健全性（1分）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制度执行（1分）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w:t>
            </w:r>
          </w:p>
        </w:tc>
      </w:tr>
      <w:tr>
        <w:tblPrEx>
          <w:tblCellMar>
            <w:top w:w="0" w:type="dxa"/>
            <w:left w:w="0" w:type="dxa"/>
            <w:bottom w:w="0" w:type="dxa"/>
            <w:right w:w="0" w:type="dxa"/>
          </w:tblCellMar>
        </w:tblPrEx>
        <w:trPr>
          <w:trHeight w:val="615"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产出（50分）</w:t>
            </w: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产出数量（15分）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实际完成率（15分）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hint="default" w:ascii="仿宋_GB2312" w:hAnsi="仿宋_GB2312" w:eastAsia="仿宋_GB2312" w:cs="仿宋_GB2312"/>
                <w:color w:val="000000"/>
                <w:kern w:val="1"/>
                <w:sz w:val="32"/>
                <w:szCs w:val="32"/>
                <w:lang w:val="en-US" w:eastAsia="zh-CN"/>
              </w:rPr>
            </w:pPr>
            <w:r>
              <w:rPr>
                <w:rFonts w:hint="eastAsia" w:ascii="仿宋_GB2312" w:hAnsi="仿宋_GB2312" w:eastAsia="仿宋_GB2312" w:cs="仿宋_GB2312"/>
                <w:color w:val="000000"/>
                <w:kern w:val="1"/>
                <w:sz w:val="32"/>
                <w:szCs w:val="32"/>
                <w:lang w:val="en-US" w:eastAsia="zh-CN"/>
              </w:rPr>
              <w:t>13</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产出质量（10分）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质量达标率（10分）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产出时效（15分）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完成及时性（15分）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15</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产出成本（10分）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成本节约率（10分）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hint="default" w:ascii="仿宋_GB2312" w:hAnsi="仿宋_GB2312" w:eastAsia="仿宋_GB2312" w:cs="仿宋_GB2312"/>
                <w:color w:val="000000"/>
                <w:kern w:val="1"/>
                <w:sz w:val="32"/>
                <w:szCs w:val="32"/>
                <w:lang w:val="en-US" w:eastAsia="zh-CN"/>
              </w:rPr>
            </w:pPr>
            <w:r>
              <w:rPr>
                <w:rFonts w:hint="eastAsia" w:ascii="仿宋_GB2312" w:hAnsi="仿宋_GB2312" w:eastAsia="仿宋_GB2312" w:cs="仿宋_GB2312"/>
                <w:color w:val="000000"/>
                <w:kern w:val="1"/>
                <w:sz w:val="32"/>
                <w:szCs w:val="32"/>
                <w:lang w:val="en-US" w:eastAsia="zh-CN"/>
              </w:rPr>
              <w:t>10</w:t>
            </w:r>
          </w:p>
        </w:tc>
      </w:tr>
      <w:tr>
        <w:tblPrEx>
          <w:tblCellMar>
            <w:top w:w="0" w:type="dxa"/>
            <w:left w:w="0" w:type="dxa"/>
            <w:bottom w:w="0" w:type="dxa"/>
            <w:right w:w="0" w:type="dxa"/>
          </w:tblCellMar>
        </w:tblPrEx>
        <w:trPr>
          <w:trHeight w:val="312" w:hRule="atLeast"/>
        </w:trPr>
        <w:tc>
          <w:tcPr>
            <w:tcW w:w="14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效益（40分）</w:t>
            </w:r>
          </w:p>
        </w:tc>
        <w:tc>
          <w:tcPr>
            <w:tcW w:w="245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项目效益（40分）</w:t>
            </w: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实施效益（30分）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30</w:t>
            </w:r>
          </w:p>
        </w:tc>
      </w:tr>
      <w:tr>
        <w:tblPrEx>
          <w:tblCellMar>
            <w:top w:w="0" w:type="dxa"/>
            <w:left w:w="0" w:type="dxa"/>
            <w:bottom w:w="0" w:type="dxa"/>
            <w:right w:w="0" w:type="dxa"/>
          </w:tblCellMar>
        </w:tblPrEx>
        <w:trPr>
          <w:trHeight w:val="312" w:hRule="atLeast"/>
        </w:trPr>
        <w:tc>
          <w:tcPr>
            <w:tcW w:w="14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245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p>
        </w:tc>
        <w:tc>
          <w:tcPr>
            <w:tcW w:w="348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满意度（10分）</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10</w:t>
            </w:r>
          </w:p>
        </w:tc>
      </w:tr>
      <w:tr>
        <w:tblPrEx>
          <w:tblCellMar>
            <w:top w:w="0" w:type="dxa"/>
            <w:left w:w="0" w:type="dxa"/>
            <w:bottom w:w="0" w:type="dxa"/>
            <w:right w:w="0" w:type="dxa"/>
          </w:tblCellMar>
        </w:tblPrEx>
        <w:trPr>
          <w:trHeight w:val="312" w:hRule="atLeast"/>
        </w:trPr>
        <w:tc>
          <w:tcPr>
            <w:tcW w:w="735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640" w:firstLineChars="200"/>
              <w:jc w:val="left"/>
              <w:rPr>
                <w:rFonts w:ascii="仿宋_GB2312" w:hAnsi="仿宋_GB2312" w:eastAsia="仿宋_GB2312" w:cs="仿宋_GB2312"/>
                <w:color w:val="000000"/>
                <w:kern w:val="1"/>
                <w:sz w:val="32"/>
                <w:szCs w:val="32"/>
              </w:rPr>
            </w:pPr>
            <w:r>
              <w:rPr>
                <w:rFonts w:hint="eastAsia" w:ascii="仿宋_GB2312" w:hAnsi="仿宋_GB2312" w:eastAsia="仿宋_GB2312" w:cs="仿宋_GB2312"/>
                <w:color w:val="000000"/>
                <w:kern w:val="1"/>
                <w:sz w:val="32"/>
                <w:szCs w:val="32"/>
              </w:rPr>
              <w:t>合计</w:t>
            </w:r>
          </w:p>
        </w:tc>
        <w:tc>
          <w:tcPr>
            <w:tcW w:w="121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320" w:firstLineChars="100"/>
              <w:jc w:val="left"/>
              <w:rPr>
                <w:rFonts w:hint="default" w:ascii="仿宋_GB2312" w:hAnsi="仿宋_GB2312" w:eastAsia="仿宋_GB2312" w:cs="仿宋_GB2312"/>
                <w:color w:val="000000"/>
                <w:kern w:val="1"/>
                <w:sz w:val="32"/>
                <w:szCs w:val="32"/>
                <w:lang w:val="en-US" w:eastAsia="zh-CN"/>
              </w:rPr>
            </w:pPr>
            <w:r>
              <w:rPr>
                <w:rFonts w:hint="eastAsia" w:ascii="仿宋_GB2312" w:hAnsi="仿宋_GB2312" w:eastAsia="仿宋_GB2312" w:cs="仿宋_GB2312"/>
                <w:color w:val="000000"/>
                <w:kern w:val="1"/>
                <w:sz w:val="32"/>
                <w:szCs w:val="32"/>
                <w:lang w:val="en-US" w:eastAsia="zh-CN"/>
              </w:rPr>
              <w:t>97.2</w:t>
            </w:r>
          </w:p>
        </w:tc>
      </w:tr>
    </w:tbl>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3、绩效评价方法</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pacing w:line="560" w:lineRule="atLeast"/>
        <w:ind w:firstLine="641"/>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4、评价标准</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ascii="仿宋_GB2312" w:hAnsi="仿宋_GB2312" w:eastAsia="仿宋_GB2312" w:cs="仿宋_GB2312"/>
          <w:color w:val="000000"/>
          <w:spacing w:val="17"/>
          <w:sz w:val="32"/>
          <w:szCs w:val="32"/>
        </w:rPr>
        <w:t>绩效评价标准通常包括计划标准、行业标准、历史标准等，用于对绩效指标完成情况进行比较。本次评价主要采用了计划标准和行业标准。</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（三)绩效评价工作过程</w:t>
      </w:r>
    </w:p>
    <w:p>
      <w:pPr>
        <w:pageBreakBefore w:val="0"/>
        <w:numPr>
          <w:ilvl w:val="0"/>
          <w:numId w:val="0"/>
        </w:numPr>
        <w:kinsoku/>
        <w:wordWrap/>
        <w:overflowPunct/>
        <w:topLinePunct w:val="0"/>
        <w:autoSpaceDE/>
        <w:autoSpaceDN/>
        <w:bidi w:val="0"/>
        <w:adjustRightInd/>
        <w:spacing w:line="560" w:lineRule="atLeast"/>
        <w:ind w:firstLine="708" w:firstLineChars="200"/>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pacing w:line="560" w:lineRule="atLeast"/>
        <w:ind w:firstLine="641"/>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bookmarkStart w:id="1" w:name="_Toc28816"/>
      <w:r>
        <w:rPr>
          <w:rFonts w:hint="eastAsia" w:ascii="楷体_GB2312" w:hAnsi="楷体_GB2312" w:eastAsia="楷体_GB2312" w:cs="楷体_GB2312"/>
          <w:b/>
          <w:bCs/>
          <w:kern w:val="2"/>
          <w:sz w:val="32"/>
          <w:szCs w:val="32"/>
          <w:lang w:val="en-US" w:eastAsia="zh-CN" w:bidi="ar-SA"/>
        </w:rPr>
        <w:t>三、综合评价情况及评价结论（附相关评分表）</w:t>
      </w:r>
      <w:bookmarkEnd w:id="1"/>
    </w:p>
    <w:p>
      <w:pPr>
        <w:pageBreakBefore w:val="0"/>
        <w:kinsoku/>
        <w:wordWrap/>
        <w:overflowPunct/>
        <w:topLinePunct w:val="0"/>
        <w:autoSpaceDE/>
        <w:autoSpaceDN/>
        <w:bidi w:val="0"/>
        <w:adjustRightInd/>
        <w:spacing w:line="560" w:lineRule="atLeast"/>
        <w:ind w:firstLine="641"/>
        <w:jc w:val="left"/>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对“农副产品质量安全监管经费”项目进行客观评价，最终评分结果总得分为9</w:t>
      </w:r>
      <w:r>
        <w:rPr>
          <w:rFonts w:hint="eastAsia" w:ascii="仿宋_GB2312" w:hAnsi="仿宋_GB2312" w:eastAsia="仿宋_GB2312" w:cs="仿宋_GB2312"/>
          <w:color w:val="000000"/>
          <w:spacing w:val="17"/>
          <w:sz w:val="32"/>
          <w:szCs w:val="32"/>
          <w:lang w:val="en-US" w:eastAsia="zh-CN"/>
        </w:rPr>
        <w:t>7.2</w:t>
      </w:r>
      <w:r>
        <w:rPr>
          <w:rFonts w:hint="eastAsia" w:ascii="仿宋_GB2312" w:hAnsi="仿宋_GB2312" w:eastAsia="仿宋_GB2312" w:cs="仿宋_GB2312"/>
          <w:color w:val="000000"/>
          <w:spacing w:val="17"/>
          <w:sz w:val="32"/>
          <w:szCs w:val="32"/>
        </w:rPr>
        <w:t>分，属于“优秀”。其中，项目决策类指标权重为5分，得分为</w:t>
      </w:r>
      <w:r>
        <w:rPr>
          <w:rFonts w:hint="eastAsia" w:ascii="仿宋_GB2312" w:hAnsi="仿宋_GB2312" w:eastAsia="仿宋_GB2312" w:cs="仿宋_GB2312"/>
          <w:color w:val="000000"/>
          <w:spacing w:val="17"/>
          <w:sz w:val="32"/>
          <w:szCs w:val="32"/>
          <w:lang w:val="en-US" w:eastAsia="zh-CN"/>
        </w:rPr>
        <w:t>5</w:t>
      </w:r>
      <w:r>
        <w:rPr>
          <w:rFonts w:hint="eastAsia" w:ascii="仿宋_GB2312" w:hAnsi="仿宋_GB2312" w:eastAsia="仿宋_GB2312" w:cs="仿宋_GB2312"/>
          <w:color w:val="000000"/>
          <w:spacing w:val="17"/>
          <w:sz w:val="32"/>
          <w:szCs w:val="32"/>
        </w:rPr>
        <w:t>分，得分率为100%。项目过程类指标权重为5分，得分为</w:t>
      </w:r>
      <w:r>
        <w:rPr>
          <w:rFonts w:hint="eastAsia" w:ascii="仿宋_GB2312" w:hAnsi="仿宋_GB2312" w:eastAsia="仿宋_GB2312" w:cs="仿宋_GB2312"/>
          <w:color w:val="000000"/>
          <w:spacing w:val="17"/>
          <w:sz w:val="32"/>
          <w:szCs w:val="32"/>
          <w:lang w:val="en-US" w:eastAsia="zh-CN"/>
        </w:rPr>
        <w:t>4.8</w:t>
      </w:r>
      <w:r>
        <w:rPr>
          <w:rFonts w:hint="eastAsia" w:ascii="仿宋_GB2312" w:hAnsi="仿宋_GB2312" w:eastAsia="仿宋_GB2312" w:cs="仿宋_GB2312"/>
          <w:color w:val="000000"/>
          <w:spacing w:val="17"/>
          <w:sz w:val="32"/>
          <w:szCs w:val="32"/>
        </w:rPr>
        <w:t>分，得分率为96%。项目产出类指标权重为50分，得分为</w:t>
      </w:r>
      <w:r>
        <w:rPr>
          <w:rFonts w:hint="eastAsia" w:ascii="仿宋_GB2312" w:hAnsi="仿宋_GB2312" w:eastAsia="仿宋_GB2312" w:cs="仿宋_GB2312"/>
          <w:color w:val="000000"/>
          <w:spacing w:val="17"/>
          <w:sz w:val="32"/>
          <w:szCs w:val="32"/>
          <w:lang w:val="en-US" w:eastAsia="zh-CN"/>
        </w:rPr>
        <w:t>48</w:t>
      </w:r>
      <w:r>
        <w:rPr>
          <w:rFonts w:hint="eastAsia" w:ascii="仿宋_GB2312" w:hAnsi="仿宋_GB2312" w:eastAsia="仿宋_GB2312" w:cs="仿宋_GB2312"/>
          <w:color w:val="000000"/>
          <w:spacing w:val="17"/>
          <w:sz w:val="32"/>
          <w:szCs w:val="32"/>
        </w:rPr>
        <w:t>分，得分率9</w:t>
      </w:r>
      <w:r>
        <w:rPr>
          <w:rFonts w:hint="eastAsia" w:ascii="仿宋_GB2312" w:hAnsi="仿宋_GB2312" w:eastAsia="仿宋_GB2312" w:cs="仿宋_GB2312"/>
          <w:color w:val="000000"/>
          <w:spacing w:val="17"/>
          <w:sz w:val="32"/>
          <w:szCs w:val="32"/>
          <w:lang w:val="en-US" w:eastAsia="zh-CN"/>
        </w:rPr>
        <w:t>6</w:t>
      </w:r>
      <w:r>
        <w:rPr>
          <w:rFonts w:hint="eastAsia" w:ascii="仿宋_GB2312" w:hAnsi="仿宋_GB2312" w:eastAsia="仿宋_GB2312" w:cs="仿宋_GB2312"/>
          <w:color w:val="000000"/>
          <w:spacing w:val="17"/>
          <w:sz w:val="32"/>
          <w:szCs w:val="32"/>
        </w:rPr>
        <w:t>%。项目效益类指标权重为40分，得分为40分，得分率为100%。</w:t>
      </w:r>
    </w:p>
    <w:p>
      <w:pPr>
        <w:pStyle w:val="2"/>
        <w:pageBreakBefore w:val="0"/>
        <w:kinsoku/>
        <w:wordWrap/>
        <w:overflowPunct/>
        <w:topLinePunct w:val="0"/>
        <w:autoSpaceDE/>
        <w:autoSpaceDN/>
        <w:bidi w:val="0"/>
        <w:adjustRightInd/>
        <w:spacing w:before="0" w:after="0" w:line="560" w:lineRule="atLeas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表1综合评分表</w:t>
      </w:r>
    </w:p>
    <w:tbl>
      <w:tblPr>
        <w:tblStyle w:val="20"/>
        <w:tblpPr w:leftFromText="180" w:rightFromText="180" w:vertAnchor="text" w:horzAnchor="page" w:tblpX="1029" w:tblpY="61"/>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pacing w:line="560" w:lineRule="atLeast"/>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ascii="宋体" w:hAnsi="宋体" w:cs="宋体"/>
                <w:color w:val="000000" w:themeColor="text1"/>
                <w:kern w:val="0"/>
                <w:sz w:val="22"/>
                <w:szCs w:val="22"/>
                <w14:textFill>
                  <w14:solidFill>
                    <w14:schemeClr w14:val="tx1"/>
                  </w14:solidFill>
                </w14:textFill>
              </w:rPr>
              <w:t>8</w:t>
            </w:r>
            <w:r>
              <w:rPr>
                <w:rFonts w:hint="eastAsia" w:ascii="宋体" w:hAnsi="宋体" w:cs="宋体"/>
                <w:color w:val="000000" w:themeColor="text1"/>
                <w:kern w:val="0"/>
                <w:sz w:val="22"/>
                <w:szCs w:val="22"/>
                <w14:textFill>
                  <w14:solidFill>
                    <w14:schemeClr w14:val="tx1"/>
                  </w14:solidFill>
                </w14:textFill>
              </w:rPr>
              <w:t>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themeColor="text1"/>
                <w:kern w:val="0"/>
                <w:sz w:val="22"/>
                <w:szCs w:val="22"/>
                <w14:textFill>
                  <w14:solidFill>
                    <w14:schemeClr w14:val="tx1"/>
                  </w14:solidFill>
                </w14:textFill>
              </w:rPr>
            </w:pPr>
            <w:r>
              <w:rPr>
                <w:rFonts w:hint="eastAsia" w:ascii="宋体" w:hAnsi="宋体" w:cs="宋体"/>
                <w:color w:val="000000" w:themeColor="text1"/>
                <w:kern w:val="0"/>
                <w:sz w:val="22"/>
                <w:szCs w:val="22"/>
                <w14:textFill>
                  <w14:solidFill>
                    <w14:schemeClr w14:val="tx1"/>
                  </w14:solidFill>
                </w14:textFill>
              </w:rPr>
              <w:t>99%</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default" w:ascii="宋体" w:hAnsi="宋体" w:eastAsia="宋体" w:cs="宋体"/>
                <w:color w:val="000000" w:themeColor="text1"/>
                <w:kern w:val="0"/>
                <w:sz w:val="22"/>
                <w:szCs w:val="22"/>
                <w:lang w:val="en-US" w:eastAsia="zh-CN"/>
                <w14:textFill>
                  <w14:solidFill>
                    <w14:schemeClr w14:val="tx1"/>
                  </w14:solidFill>
                </w14:textFill>
              </w:rPr>
            </w:pPr>
            <w:r>
              <w:rPr>
                <w:rFonts w:hint="eastAsia" w:ascii="宋体" w:hAnsi="宋体" w:cs="宋体"/>
                <w:color w:val="000000" w:themeColor="text1"/>
                <w:kern w:val="0"/>
                <w:sz w:val="22"/>
                <w:szCs w:val="22"/>
                <w:lang w:val="en-US" w:eastAsia="zh-CN"/>
                <w14:textFill>
                  <w14:solidFill>
                    <w14:schemeClr w14:val="tx1"/>
                  </w14:solidFill>
                </w14:textFill>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92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1215"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100%</w:t>
            </w:r>
          </w:p>
        </w:tc>
        <w:tc>
          <w:tcPr>
            <w:tcW w:w="96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kern w:val="0"/>
                <w:sz w:val="22"/>
                <w:szCs w:val="22"/>
              </w:rPr>
            </w:pPr>
            <w:r>
              <w:rPr>
                <w:rFonts w:hint="eastAsia" w:ascii="宋体" w:hAnsi="宋体" w:cs="宋体"/>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有所提升</w:t>
            </w: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100%</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990"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eastAsia="zh-CN"/>
              </w:rPr>
              <w:t>合计</w:t>
            </w:r>
          </w:p>
        </w:tc>
        <w:tc>
          <w:tcPr>
            <w:tcW w:w="1283"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pacing w:line="560" w:lineRule="atLeast"/>
              <w:jc w:val="center"/>
              <w:rPr>
                <w:rFonts w:hint="eastAsia" w:ascii="宋体" w:hAnsi="宋体" w:cs="宋体"/>
                <w:color w:val="000000"/>
                <w:kern w:val="0"/>
                <w:sz w:val="22"/>
                <w:szCs w:val="22"/>
              </w:rPr>
            </w:pPr>
          </w:p>
        </w:tc>
        <w:tc>
          <w:tcPr>
            <w:tcW w:w="727"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eastAsia" w:ascii="宋体" w:hAnsi="宋体" w:cs="宋体"/>
                <w:color w:val="000000"/>
                <w:kern w:val="0"/>
                <w:sz w:val="22"/>
                <w:szCs w:val="22"/>
              </w:rPr>
            </w:pPr>
          </w:p>
        </w:tc>
        <w:tc>
          <w:tcPr>
            <w:tcW w:w="104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eastAsia" w:ascii="宋体" w:hAnsi="宋体" w:cs="宋体"/>
                <w:color w:val="000000"/>
                <w:kern w:val="0"/>
                <w:sz w:val="22"/>
                <w:szCs w:val="22"/>
              </w:rPr>
            </w:pPr>
          </w:p>
        </w:tc>
        <w:tc>
          <w:tcPr>
            <w:tcW w:w="924"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eastAsia" w:ascii="宋体" w:hAnsi="宋体" w:cs="宋体"/>
                <w:color w:val="000000"/>
                <w:kern w:val="0"/>
                <w:sz w:val="22"/>
                <w:szCs w:val="22"/>
              </w:rPr>
            </w:pPr>
          </w:p>
        </w:tc>
        <w:tc>
          <w:tcPr>
            <w:tcW w:w="1215"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98.76%</w:t>
            </w:r>
          </w:p>
        </w:tc>
        <w:tc>
          <w:tcPr>
            <w:tcW w:w="960" w:type="dxa"/>
            <w:shd w:val="clear" w:color="000000" w:fill="FFFFFF"/>
            <w:vAlign w:val="center"/>
          </w:tcPr>
          <w:p>
            <w:pPr>
              <w:pageBreakBefore w:val="0"/>
              <w:widowControl/>
              <w:kinsoku/>
              <w:wordWrap/>
              <w:overflowPunct/>
              <w:topLinePunct w:val="0"/>
              <w:autoSpaceDE/>
              <w:autoSpaceDN/>
              <w:bidi w:val="0"/>
              <w:adjustRightInd/>
              <w:spacing w:line="560" w:lineRule="atLeast"/>
              <w:jc w:val="center"/>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97.2</w:t>
            </w:r>
          </w:p>
        </w:tc>
      </w:tr>
    </w:tbl>
    <w:p>
      <w:pPr>
        <w:pageBreakBefore w:val="0"/>
        <w:kinsoku/>
        <w:wordWrap/>
        <w:overflowPunct/>
        <w:topLinePunct w:val="0"/>
        <w:autoSpaceDE/>
        <w:autoSpaceDN/>
        <w:bidi w:val="0"/>
        <w:adjustRightInd/>
        <w:spacing w:line="560" w:lineRule="atLeast"/>
      </w:pPr>
    </w:p>
    <w:p>
      <w:pPr>
        <w:pageBreakBefore w:val="0"/>
        <w:kinsoku/>
        <w:wordWrap/>
        <w:overflowPunct/>
        <w:topLinePunct w:val="0"/>
        <w:autoSpaceDE/>
        <w:autoSpaceDN/>
        <w:bidi w:val="0"/>
        <w:adjustRightInd/>
        <w:spacing w:line="560" w:lineRule="atLeast"/>
      </w:pPr>
    </w:p>
    <w:p>
      <w:pPr>
        <w:pStyle w:val="2"/>
        <w:pageBreakBefore w:val="0"/>
        <w:widowControl w:val="0"/>
        <w:kinsoku/>
        <w:wordWrap/>
        <w:overflowPunct/>
        <w:topLinePunct w:val="0"/>
        <w:autoSpaceDE/>
        <w:autoSpaceDN/>
        <w:bidi w:val="0"/>
        <w:adjustRightInd/>
        <w:spacing w:before="0" w:after="0" w:line="560" w:lineRule="atLeast"/>
        <w:ind w:firstLine="641"/>
        <w:jc w:val="both"/>
        <w:outlineLvl w:val="9"/>
        <w:rPr>
          <w:rFonts w:hint="eastAsia" w:ascii="楷体_GB2312" w:hAnsi="楷体_GB2312" w:eastAsia="楷体_GB2312" w:cs="楷体_GB2312"/>
          <w:b/>
          <w:bCs/>
          <w:kern w:val="2"/>
          <w:sz w:val="32"/>
          <w:szCs w:val="32"/>
          <w:lang w:val="en-US" w:eastAsia="zh-CN" w:bidi="ar-SA"/>
        </w:rPr>
      </w:pPr>
      <w:r>
        <w:rPr>
          <w:rFonts w:hint="eastAsia" w:ascii="楷体_GB2312" w:hAnsi="楷体_GB2312" w:eastAsia="楷体_GB2312" w:cs="楷体_GB2312"/>
          <w:b/>
          <w:bCs/>
          <w:kern w:val="2"/>
          <w:sz w:val="32"/>
          <w:szCs w:val="32"/>
          <w:lang w:val="en-US" w:eastAsia="zh-CN" w:bidi="ar-SA"/>
        </w:rPr>
        <w:t>四、绩效评价指标分析</w:t>
      </w:r>
    </w:p>
    <w:p>
      <w:pPr>
        <w:pStyle w:val="2"/>
        <w:pageBreakBefore w:val="0"/>
        <w:kinsoku/>
        <w:wordWrap/>
        <w:overflowPunct/>
        <w:topLinePunct w:val="0"/>
        <w:autoSpaceDE/>
        <w:autoSpaceDN/>
        <w:bidi w:val="0"/>
        <w:adjustRightInd/>
        <w:spacing w:before="0" w:after="0" w:line="560" w:lineRule="atLeast"/>
        <w:ind w:firstLine="321" w:firstLineChars="100"/>
        <w:jc w:val="both"/>
        <w:rPr>
          <w:rFonts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决策指标从立项依据充分性、立项程序、绩效目标、绩效指标、预算编制、资金分配合理性6个方面对项目立项是否符合法律法规、相关政策、发展规划以及部门职责，用以反映和考核项目立项依据情况进行考察，立项依据充分性分值0.5分，实际得分0.5分，得分率100%；立项程序分值1分，实际得分1分，得分率100%；绩效目标分值1分，实际得分1分，得分率100%；绩效指标分值1分，实际得分1分，得分率100%；预算编制分值1分，实际得分1分，得分率100%；资金分配合理性分值1分，实际得分1分，得分率100%。项目决策指标得分情况如表所示。</w:t>
      </w:r>
    </w:p>
    <w:tbl>
      <w:tblPr>
        <w:tblStyle w:val="20"/>
        <w:tblpPr w:leftFromText="180" w:rightFromText="180" w:vertAnchor="text" w:horzAnchor="page" w:tblpX="1789" w:tblpY="850"/>
        <w:tblOverlap w:val="never"/>
        <w:tblW w:w="8569" w:type="dxa"/>
        <w:tblInd w:w="0" w:type="dxa"/>
        <w:tblLayout w:type="fixed"/>
        <w:tblCellMar>
          <w:top w:w="0" w:type="dxa"/>
          <w:left w:w="0" w:type="dxa"/>
          <w:bottom w:w="0" w:type="dxa"/>
          <w:right w:w="0" w:type="dxa"/>
        </w:tblCellMar>
      </w:tblPr>
      <w:tblGrid>
        <w:gridCol w:w="2141"/>
        <w:gridCol w:w="2142"/>
        <w:gridCol w:w="2142"/>
        <w:gridCol w:w="2144"/>
      </w:tblGrid>
      <w:tr>
        <w:tblPrEx>
          <w:tblCellMar>
            <w:top w:w="0" w:type="dxa"/>
            <w:left w:w="0" w:type="dxa"/>
            <w:bottom w:w="0" w:type="dxa"/>
            <w:right w:w="0" w:type="dxa"/>
          </w:tblCellMar>
        </w:tblPrEx>
        <w:trPr>
          <w:trHeight w:val="504" w:hRule="atLeast"/>
        </w:trPr>
        <w:tc>
          <w:tcPr>
            <w:tcW w:w="214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214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214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实际得分</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nil"/>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立项依据充分性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立项程序</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0.5</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绩效目标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绩效指标</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31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预算编制</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资金分配合理性</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w:t>
            </w:r>
          </w:p>
        </w:tc>
      </w:tr>
      <w:tr>
        <w:tblPrEx>
          <w:tblCellMar>
            <w:top w:w="0" w:type="dxa"/>
            <w:left w:w="0" w:type="dxa"/>
            <w:bottom w:w="0" w:type="dxa"/>
            <w:right w:w="0" w:type="dxa"/>
          </w:tblCellMar>
        </w:tblPrEx>
        <w:trPr>
          <w:trHeight w:val="432" w:hRule="atLeast"/>
        </w:trPr>
        <w:tc>
          <w:tcPr>
            <w:tcW w:w="214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合计</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5</w:t>
            </w:r>
          </w:p>
        </w:tc>
        <w:tc>
          <w:tcPr>
            <w:tcW w:w="214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100%</w:t>
            </w:r>
          </w:p>
        </w:tc>
        <w:tc>
          <w:tcPr>
            <w:tcW w:w="214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hint="eastAsia"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5</w:t>
            </w:r>
          </w:p>
        </w:tc>
      </w:tr>
    </w:tbl>
    <w:p>
      <w:pPr>
        <w:pageBreakBefore w:val="0"/>
        <w:kinsoku/>
        <w:wordWrap/>
        <w:overflowPunct/>
        <w:topLinePunct w:val="0"/>
        <w:autoSpaceDE/>
        <w:autoSpaceDN/>
        <w:bidi w:val="0"/>
        <w:adjustRightInd/>
        <w:spacing w:line="560" w:lineRule="atLeast"/>
        <w:ind w:firstLine="711" w:firstLineChars="200"/>
        <w:jc w:val="center"/>
        <w:rPr>
          <w:rFonts w:ascii="仿宋_GB2312" w:hAnsi="仿宋_GB2312" w:eastAsia="仿宋_GB2312" w:cs="仿宋_GB2312"/>
          <w:b/>
          <w:bCs/>
          <w:color w:val="000000"/>
          <w:spacing w:val="17"/>
          <w:sz w:val="32"/>
          <w:szCs w:val="32"/>
        </w:rPr>
      </w:pPr>
      <w:r>
        <w:rPr>
          <w:rFonts w:hint="eastAsia" w:ascii="仿宋_GB2312" w:hAnsi="仿宋_GB2312" w:eastAsia="仿宋_GB2312" w:cs="仿宋_GB2312"/>
          <w:b/>
          <w:bCs/>
          <w:color w:val="000000"/>
          <w:spacing w:val="17"/>
          <w:sz w:val="32"/>
          <w:szCs w:val="32"/>
        </w:rPr>
        <w:t>项目决策指标得分情况</w:t>
      </w:r>
    </w:p>
    <w:p>
      <w:pPr>
        <w:pageBreakBefore w:val="0"/>
        <w:kinsoku/>
        <w:wordWrap/>
        <w:overflowPunct/>
        <w:topLinePunct w:val="0"/>
        <w:autoSpaceDE/>
        <w:autoSpaceDN/>
        <w:bidi w:val="0"/>
        <w:adjustRightInd/>
        <w:spacing w:line="560" w:lineRule="atLeast"/>
        <w:ind w:firstLine="708" w:firstLineChars="200"/>
      </w:pPr>
      <w:r>
        <w:rPr>
          <w:rFonts w:hint="eastAsia" w:ascii="仿宋_GB2312" w:hAnsi="仿宋_GB2312" w:eastAsia="仿宋_GB2312" w:cs="仿宋_GB2312"/>
          <w:color w:val="000000"/>
          <w:spacing w:val="17"/>
          <w:sz w:val="32"/>
          <w:szCs w:val="32"/>
        </w:rPr>
        <w:t>对于项目决策指标分值5分，实际得分5分，该指标得分率100%，说明立项依据充分性、立项程序、绩效目标、绩效指标、预算编制、资金分配合理性。</w:t>
      </w:r>
    </w:p>
    <w:p>
      <w:pPr>
        <w:pStyle w:val="2"/>
        <w:pageBreakBefore w:val="0"/>
        <w:numPr>
          <w:ilvl w:val="0"/>
          <w:numId w:val="1"/>
        </w:numPr>
        <w:kinsoku/>
        <w:wordWrap/>
        <w:overflowPunct/>
        <w:topLinePunct w:val="0"/>
        <w:autoSpaceDE/>
        <w:autoSpaceDN/>
        <w:bidi w:val="0"/>
        <w:adjustRightInd/>
        <w:spacing w:before="0" w:after="0" w:line="560" w:lineRule="atLeast"/>
        <w:ind w:firstLine="321" w:firstLineChars="100"/>
        <w:jc w:val="both"/>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依据评分表中项目过程情况描述项目过程指标从资金到位率、预算执行率、资金使用合规性、管理制度健全性、制度执行5个方面对项目的管理情况进行考察，资金到位率分值1分，实际得分1分，得分率100%，预算执行率分值1分，实际得分0.8分，得分率80%，资金使用合规性分值1分，实际得分1分，得分率100%，、管理制度健全性分值1分，实际得分1分，得分率100%，、制度执行分值1分，实际得分1分，得分率100%。项目决策指标得分情况如表所示。</w:t>
      </w:r>
    </w:p>
    <w:p>
      <w:pPr>
        <w:pageBreakBefore w:val="0"/>
        <w:kinsoku/>
        <w:wordWrap/>
        <w:overflowPunct/>
        <w:topLinePunct w:val="0"/>
        <w:autoSpaceDE/>
        <w:autoSpaceDN/>
        <w:bidi w:val="0"/>
        <w:adjustRightInd/>
        <w:spacing w:line="560" w:lineRule="atLeast"/>
        <w:ind w:firstLine="1947" w:firstLineChars="550"/>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项目决策指标得分情况</w:t>
      </w:r>
    </w:p>
    <w:tbl>
      <w:tblPr>
        <w:tblStyle w:val="20"/>
        <w:tblW w:w="8567" w:type="dxa"/>
        <w:tblInd w:w="0" w:type="dxa"/>
        <w:tblLayout w:type="fixed"/>
        <w:tblCellMar>
          <w:top w:w="0" w:type="dxa"/>
          <w:left w:w="0" w:type="dxa"/>
          <w:bottom w:w="0" w:type="dxa"/>
          <w:right w:w="0" w:type="dxa"/>
        </w:tblCellMar>
      </w:tblPr>
      <w:tblGrid>
        <w:gridCol w:w="2424"/>
        <w:gridCol w:w="2016"/>
        <w:gridCol w:w="2016"/>
        <w:gridCol w:w="2111"/>
      </w:tblGrid>
      <w:tr>
        <w:tblPrEx>
          <w:tblCellMar>
            <w:top w:w="0" w:type="dxa"/>
            <w:left w:w="0" w:type="dxa"/>
            <w:bottom w:w="0" w:type="dxa"/>
            <w:right w:w="0" w:type="dxa"/>
          </w:tblCellMar>
        </w:tblPrEx>
        <w:trPr>
          <w:trHeight w:val="450"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三级指标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权重</w:t>
            </w:r>
          </w:p>
        </w:tc>
        <w:tc>
          <w:tcPr>
            <w:tcW w:w="201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得分率</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实际得分</w:t>
            </w:r>
          </w:p>
        </w:tc>
      </w:tr>
      <w:tr>
        <w:tblPrEx>
          <w:tblCellMar>
            <w:top w:w="0" w:type="dxa"/>
            <w:left w:w="0" w:type="dxa"/>
            <w:bottom w:w="0" w:type="dxa"/>
            <w:right w:w="0" w:type="dxa"/>
          </w:tblCellMar>
        </w:tblPrEx>
        <w:trPr>
          <w:trHeight w:val="36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资金到位率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sz w:val="22"/>
                <w:szCs w:val="22"/>
              </w:rPr>
            </w:pPr>
            <w:r>
              <w:rPr>
                <w:rFonts w:hint="eastAsia" w:ascii="仿宋" w:hAnsi="仿宋" w:eastAsia="仿宋" w:cs="仿宋"/>
                <w:color w:val="000000"/>
                <w:kern w:val="0"/>
                <w:sz w:val="22"/>
                <w:szCs w:val="22"/>
              </w:rPr>
              <w:t>1</w:t>
            </w:r>
          </w:p>
        </w:tc>
      </w:tr>
      <w:tr>
        <w:tblPrEx>
          <w:tblCellMar>
            <w:top w:w="0" w:type="dxa"/>
            <w:left w:w="0" w:type="dxa"/>
            <w:bottom w:w="0" w:type="dxa"/>
            <w:right w:w="0" w:type="dxa"/>
          </w:tblCellMar>
        </w:tblPrEx>
        <w:trPr>
          <w:trHeight w:val="615"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预算执行率</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80%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kern w:val="0"/>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0.8</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资金使用合规性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管理制度健全性</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制度执行</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100%</w:t>
            </w:r>
          </w:p>
        </w:tc>
        <w:tc>
          <w:tcPr>
            <w:tcW w:w="211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1</w:t>
            </w:r>
          </w:p>
        </w:tc>
      </w:tr>
      <w:tr>
        <w:tblPrEx>
          <w:tblCellMar>
            <w:top w:w="0" w:type="dxa"/>
            <w:left w:w="0" w:type="dxa"/>
            <w:bottom w:w="0" w:type="dxa"/>
            <w:right w:w="0" w:type="dxa"/>
          </w:tblCellMar>
        </w:tblPrEx>
        <w:trPr>
          <w:trHeight w:val="432" w:hRule="atLeast"/>
        </w:trPr>
        <w:tc>
          <w:tcPr>
            <w:tcW w:w="242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合计</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5</w:t>
            </w:r>
          </w:p>
        </w:tc>
        <w:tc>
          <w:tcPr>
            <w:tcW w:w="2016"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96%</w:t>
            </w:r>
          </w:p>
        </w:tc>
        <w:tc>
          <w:tcPr>
            <w:tcW w:w="2111"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jc w:val="center"/>
              <w:textAlignment w:val="center"/>
              <w:rPr>
                <w:rFonts w:ascii="仿宋" w:hAnsi="仿宋" w:eastAsia="仿宋" w:cs="仿宋"/>
                <w:color w:val="000000" w:themeColor="text1"/>
                <w:sz w:val="22"/>
                <w:szCs w:val="22"/>
                <w14:textFill>
                  <w14:solidFill>
                    <w14:schemeClr w14:val="tx1"/>
                  </w14:solidFill>
                </w14:textFill>
              </w:rPr>
            </w:pPr>
            <w:r>
              <w:rPr>
                <w:rFonts w:hint="eastAsia" w:ascii="仿宋" w:hAnsi="仿宋" w:eastAsia="仿宋" w:cs="仿宋"/>
                <w:color w:val="000000" w:themeColor="text1"/>
                <w:kern w:val="0"/>
                <w:sz w:val="22"/>
                <w:szCs w:val="22"/>
                <w14:textFill>
                  <w14:solidFill>
                    <w14:schemeClr w14:val="tx1"/>
                  </w14:solidFill>
                </w14:textFill>
              </w:rPr>
              <w:t>4.8</w:t>
            </w:r>
          </w:p>
        </w:tc>
      </w:tr>
    </w:tbl>
    <w:p>
      <w:pPr>
        <w:pStyle w:val="17"/>
        <w:pageBreakBefore w:val="0"/>
        <w:kinsoku/>
        <w:wordWrap/>
        <w:overflowPunct/>
        <w:topLinePunct w:val="0"/>
        <w:autoSpaceDE/>
        <w:autoSpaceDN/>
        <w:bidi w:val="0"/>
        <w:adjustRightInd/>
        <w:spacing w:line="560" w:lineRule="atLeast"/>
      </w:pP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过程控制”，“农副产品质量安全监管经费”执行符合业务管理的规定；项目管理、实施人员均落实到位，能按照方案和计划执行；项目无调整，资料齐全；资金使用依据合格，无虚列套取项目支出，无超标准开支，按评分标准，该指标实际得分率96%。</w:t>
      </w:r>
    </w:p>
    <w:p>
      <w:pPr>
        <w:pageBreakBefore w:val="0"/>
        <w:kinsoku/>
        <w:wordWrap/>
        <w:overflowPunct/>
        <w:topLinePunct w:val="0"/>
        <w:autoSpaceDE/>
        <w:autoSpaceDN/>
        <w:bidi w:val="0"/>
        <w:adjustRightInd/>
        <w:spacing w:line="560" w:lineRule="atLeast"/>
      </w:pPr>
    </w:p>
    <w:p>
      <w:pPr>
        <w:pStyle w:val="19"/>
        <w:pageBreakBefore w:val="0"/>
        <w:numPr>
          <w:ilvl w:val="0"/>
          <w:numId w:val="1"/>
        </w:numPr>
        <w:kinsoku/>
        <w:wordWrap/>
        <w:overflowPunct/>
        <w:topLinePunct w:val="0"/>
        <w:autoSpaceDE/>
        <w:autoSpaceDN/>
        <w:bidi w:val="0"/>
        <w:adjustRightInd/>
        <w:spacing w:after="0" w:line="560" w:lineRule="atLeast"/>
        <w:ind w:firstLine="321" w:firstLineChars="1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tbl>
      <w:tblPr>
        <w:tblStyle w:val="2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8"/>
        <w:gridCol w:w="2682"/>
        <w:gridCol w:w="2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产出数量</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hint="default" w:ascii="仿宋" w:hAnsi="仿宋" w:eastAsia="仿宋" w:cs="仿宋"/>
                <w:color w:val="000000" w:themeColor="text1"/>
                <w:kern w:val="0"/>
                <w:szCs w:val="21"/>
                <w:highlight w:val="none"/>
                <w:lang w:val="en-US" w:eastAsia="zh-CN"/>
                <w14:textFill>
                  <w14:solidFill>
                    <w14:schemeClr w14:val="tx1"/>
                  </w14:solidFill>
                </w14:textFill>
              </w:rPr>
            </w:pPr>
            <w:r>
              <w:rPr>
                <w:rFonts w:hint="eastAsia" w:ascii="仿宋" w:hAnsi="仿宋" w:eastAsia="仿宋" w:cs="仿宋"/>
                <w:color w:val="000000" w:themeColor="text1"/>
                <w:kern w:val="0"/>
                <w:szCs w:val="21"/>
                <w:highlight w:val="none"/>
                <w:lang w:val="en-US" w:eastAsia="zh-CN"/>
                <w14:textFill>
                  <w14:solidFill>
                    <w14:schemeClr w14:val="tx1"/>
                  </w14:solidFill>
                </w14:textFill>
              </w:rPr>
              <w:t>20</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hint="default" w:ascii="仿宋" w:hAnsi="仿宋" w:eastAsia="仿宋" w:cs="仿宋"/>
                <w:color w:val="000000" w:themeColor="text1"/>
                <w:kern w:val="0"/>
                <w:szCs w:val="21"/>
                <w:highlight w:val="none"/>
                <w:lang w:val="en-US"/>
                <w14:textFill>
                  <w14:solidFill>
                    <w14:schemeClr w14:val="tx1"/>
                  </w14:solidFill>
                </w14:textFill>
              </w:rPr>
            </w:pPr>
            <w:r>
              <w:rPr>
                <w:rFonts w:hint="eastAsia" w:ascii="仿宋" w:hAnsi="仿宋" w:eastAsia="仿宋" w:cs="仿宋"/>
                <w:color w:val="000000" w:themeColor="text1"/>
                <w:kern w:val="0"/>
                <w:szCs w:val="21"/>
                <w:highlight w:val="none"/>
                <w:lang w:val="en-US" w:eastAsia="zh-CN"/>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产出质量</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10</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产出时效</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15</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rPr>
                <w:rFonts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成本情况</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hint="default" w:ascii="仿宋" w:hAnsi="仿宋" w:eastAsia="仿宋" w:cs="仿宋"/>
                <w:color w:val="000000" w:themeColor="text1"/>
                <w:kern w:val="0"/>
                <w:szCs w:val="21"/>
                <w:highlight w:val="none"/>
                <w:lang w:val="en-US" w:eastAsia="zh-CN"/>
                <w14:textFill>
                  <w14:solidFill>
                    <w14:schemeClr w14:val="tx1"/>
                  </w14:solidFill>
                </w14:textFill>
              </w:rPr>
            </w:pPr>
            <w:r>
              <w:rPr>
                <w:rFonts w:hint="eastAsia" w:ascii="仿宋" w:hAnsi="仿宋" w:eastAsia="仿宋" w:cs="仿宋"/>
                <w:color w:val="000000" w:themeColor="text1"/>
                <w:kern w:val="0"/>
                <w:szCs w:val="21"/>
                <w:highlight w:val="none"/>
                <w:lang w:val="en-US" w:eastAsia="zh-CN"/>
                <w14:textFill>
                  <w14:solidFill>
                    <w14:schemeClr w14:val="tx1"/>
                  </w14:solidFill>
                </w14:textFill>
              </w:rPr>
              <w:t>7.6</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hint="default" w:ascii="仿宋" w:hAnsi="仿宋" w:eastAsia="仿宋" w:cs="仿宋"/>
                <w:color w:val="000000" w:themeColor="text1"/>
                <w:kern w:val="0"/>
                <w:szCs w:val="21"/>
                <w:highlight w:val="none"/>
                <w:lang w:val="en-US" w:eastAsia="zh-CN"/>
                <w14:textFill>
                  <w14:solidFill>
                    <w14:schemeClr w14:val="tx1"/>
                  </w14:solidFill>
                </w14:textFill>
              </w:rPr>
            </w:pPr>
            <w:r>
              <w:rPr>
                <w:rFonts w:hint="eastAsia" w:ascii="仿宋" w:hAnsi="仿宋" w:eastAsia="仿宋" w:cs="仿宋"/>
                <w:color w:val="000000" w:themeColor="text1"/>
                <w:kern w:val="0"/>
                <w:szCs w:val="21"/>
                <w:highlight w:val="none"/>
                <w:lang w:val="en-US" w:eastAsia="zh-CN"/>
                <w14:textFill>
                  <w14:solidFill>
                    <w14:schemeClr w14:val="tx1"/>
                  </w14:solidFill>
                </w14:textFill>
              </w:rPr>
              <w:t>75.21%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193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left"/>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cs="仿宋"/>
                <w:color w:val="000000" w:themeColor="text1"/>
                <w:kern w:val="0"/>
                <w:szCs w:val="21"/>
                <w14:textFill>
                  <w14:solidFill>
                    <w14:schemeClr w14:val="tx1"/>
                  </w14:solidFill>
                </w14:textFill>
              </w:rPr>
              <w:t>合计</w:t>
            </w:r>
          </w:p>
        </w:tc>
        <w:tc>
          <w:tcPr>
            <w:tcW w:w="1530"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hint="default" w:ascii="仿宋" w:hAnsi="仿宋" w:eastAsia="仿宋" w:cs="仿宋"/>
                <w:color w:val="000000" w:themeColor="text1"/>
                <w:kern w:val="0"/>
                <w:szCs w:val="21"/>
                <w:lang w:val="en-US" w:eastAsia="zh-CN"/>
                <w14:textFill>
                  <w14:solidFill>
                    <w14:schemeClr w14:val="tx1"/>
                  </w14:solidFill>
                </w14:textFill>
              </w:rPr>
            </w:pPr>
            <w:r>
              <w:rPr>
                <w:rFonts w:hint="eastAsia" w:ascii="仿宋" w:hAnsi="仿宋" w:eastAsia="仿宋" w:cs="仿宋"/>
                <w:color w:val="000000" w:themeColor="text1"/>
                <w:kern w:val="0"/>
                <w:szCs w:val="21"/>
                <w:lang w:val="en-US" w:eastAsia="zh-CN"/>
                <w14:textFill>
                  <w14:solidFill>
                    <w14:schemeClr w14:val="tx1"/>
                  </w14:solidFill>
                </w14:textFill>
              </w:rPr>
              <w:t>47.6</w:t>
            </w:r>
          </w:p>
        </w:tc>
        <w:tc>
          <w:tcPr>
            <w:tcW w:w="1529" w:type="pct"/>
            <w:shd w:val="clear" w:color="auto" w:fill="auto"/>
            <w:vAlign w:val="center"/>
          </w:tcPr>
          <w:p>
            <w:pPr>
              <w:pageBreakBefore w:val="0"/>
              <w:widowControl/>
              <w:kinsoku/>
              <w:wordWrap/>
              <w:overflowPunct/>
              <w:topLinePunct w:val="0"/>
              <w:autoSpaceDE/>
              <w:autoSpaceDN/>
              <w:bidi w:val="0"/>
              <w:adjustRightInd/>
              <w:spacing w:line="560" w:lineRule="atLeast"/>
              <w:ind w:firstLine="420" w:firstLineChars="200"/>
              <w:jc w:val="center"/>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cs="仿宋"/>
                <w:color w:val="000000" w:themeColor="text1"/>
                <w:kern w:val="0"/>
                <w:szCs w:val="21"/>
                <w:lang w:val="en-US" w:eastAsia="zh-CN"/>
                <w14:textFill>
                  <w14:solidFill>
                    <w14:schemeClr w14:val="tx1"/>
                  </w14:solidFill>
                </w14:textFill>
              </w:rPr>
              <w:t>95.20%</w:t>
            </w:r>
          </w:p>
        </w:tc>
      </w:tr>
    </w:tbl>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bookmarkStart w:id="2" w:name="_Toc11088"/>
      <w:r>
        <w:rPr>
          <w:rFonts w:hint="eastAsia" w:ascii="仿宋_GB2312" w:hAnsi="仿宋_GB2312" w:eastAsia="仿宋_GB2312" w:cs="仿宋_GB2312"/>
          <w:color w:val="000000"/>
          <w:spacing w:val="17"/>
          <w:sz w:val="32"/>
          <w:szCs w:val="32"/>
          <w:lang w:val="en-US" w:eastAsia="zh-CN"/>
        </w:rPr>
        <w:t>对于“产出数量”</w:t>
      </w:r>
      <w:bookmarkEnd w:id="2"/>
      <w:r>
        <w:rPr>
          <w:rFonts w:hint="eastAsia" w:ascii="仿宋_GB2312" w:hAnsi="仿宋_GB2312" w:eastAsia="仿宋_GB2312" w:cs="仿宋_GB2312"/>
          <w:color w:val="000000"/>
          <w:spacing w:val="17"/>
          <w:sz w:val="32"/>
          <w:szCs w:val="32"/>
          <w:lang w:val="en-US" w:eastAsia="zh-CN"/>
        </w:rPr>
        <w:t>:指标1：种子检验指标，预期指标值≥50份，指标完成值50份，指标完成率100%；</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w:t>
      </w:r>
      <w:r>
        <w:rPr>
          <w:rFonts w:hint="eastAsia" w:ascii="仿宋_GB2312" w:hAnsi="仿宋_GB2312" w:eastAsia="仿宋_GB2312" w:cs="仿宋_GB2312"/>
          <w:color w:val="000000"/>
          <w:spacing w:val="17"/>
          <w:sz w:val="32"/>
          <w:szCs w:val="32"/>
          <w:lang w:val="en-US" w:eastAsia="zh-CN"/>
        </w:rPr>
        <w:t>2</w:t>
      </w:r>
      <w:r>
        <w:rPr>
          <w:rFonts w:hint="eastAsia" w:ascii="仿宋_GB2312" w:hAnsi="仿宋_GB2312" w:eastAsia="仿宋_GB2312" w:cs="仿宋_GB2312"/>
          <w:color w:val="000000"/>
          <w:spacing w:val="17"/>
          <w:sz w:val="32"/>
          <w:szCs w:val="32"/>
        </w:rPr>
        <w:t>：安全监管与科普培训次数，预期指标值≥2次，指标完成值2次，指标完成率100%；</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对于“产出质量”</w:t>
      </w:r>
      <w:r>
        <w:rPr>
          <w:rFonts w:hint="eastAsia" w:ascii="仿宋_GB2312" w:hAnsi="仿宋_GB2312" w:eastAsia="仿宋_GB2312" w:cs="仿宋_GB2312"/>
          <w:color w:val="000000"/>
          <w:spacing w:val="17"/>
          <w:sz w:val="32"/>
          <w:szCs w:val="32"/>
          <w:lang w:val="en-US" w:eastAsia="zh-CN"/>
        </w:rPr>
        <w:t>:</w:t>
      </w:r>
      <w:r>
        <w:rPr>
          <w:rFonts w:hint="eastAsia" w:ascii="仿宋_GB2312" w:hAnsi="仿宋_GB2312" w:eastAsia="仿宋_GB2312" w:cs="仿宋_GB2312"/>
          <w:color w:val="000000"/>
          <w:spacing w:val="17"/>
          <w:sz w:val="32"/>
          <w:szCs w:val="32"/>
        </w:rPr>
        <w:t>检查、检验完成率，预期指标值=100%，指标完成值:100%，指标完成率100%；</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对于“成本情况”指标：本年支付成本，预期指标值≤</w:t>
      </w:r>
      <w:r>
        <w:rPr>
          <w:rFonts w:hint="eastAsia" w:ascii="仿宋_GB2312" w:hAnsi="仿宋_GB2312" w:eastAsia="仿宋_GB2312" w:cs="仿宋_GB2312"/>
          <w:color w:val="000000"/>
          <w:spacing w:val="17"/>
          <w:sz w:val="32"/>
          <w:szCs w:val="32"/>
          <w:lang w:val="en-US" w:eastAsia="zh-CN"/>
        </w:rPr>
        <w:t>2.34</w:t>
      </w:r>
      <w:r>
        <w:rPr>
          <w:rFonts w:hint="eastAsia" w:ascii="仿宋_GB2312" w:hAnsi="仿宋_GB2312" w:eastAsia="仿宋_GB2312" w:cs="仿宋_GB2312"/>
          <w:color w:val="000000"/>
          <w:spacing w:val="17"/>
          <w:sz w:val="32"/>
          <w:szCs w:val="32"/>
        </w:rPr>
        <w:t>万元，指标完成值：</w:t>
      </w:r>
      <w:r>
        <w:rPr>
          <w:rFonts w:hint="eastAsia" w:ascii="仿宋_GB2312" w:hAnsi="仿宋_GB2312" w:eastAsia="仿宋_GB2312" w:cs="仿宋_GB2312"/>
          <w:color w:val="000000"/>
          <w:spacing w:val="17"/>
          <w:sz w:val="32"/>
          <w:szCs w:val="32"/>
          <w:lang w:val="en-US" w:eastAsia="zh-CN"/>
        </w:rPr>
        <w:t>1.76</w:t>
      </w:r>
      <w:r>
        <w:rPr>
          <w:rFonts w:hint="eastAsia" w:ascii="仿宋_GB2312" w:hAnsi="仿宋_GB2312" w:eastAsia="仿宋_GB2312" w:cs="仿宋_GB2312"/>
          <w:color w:val="000000"/>
          <w:spacing w:val="17"/>
          <w:sz w:val="32"/>
          <w:szCs w:val="32"/>
        </w:rPr>
        <w:t>万元，指标完成率</w:t>
      </w:r>
      <w:r>
        <w:rPr>
          <w:rFonts w:hint="eastAsia" w:ascii="仿宋_GB2312" w:hAnsi="仿宋_GB2312" w:eastAsia="仿宋_GB2312" w:cs="仿宋_GB2312"/>
          <w:color w:val="000000"/>
          <w:spacing w:val="17"/>
          <w:sz w:val="32"/>
          <w:szCs w:val="32"/>
          <w:lang w:val="en-US" w:eastAsia="zh-CN"/>
        </w:rPr>
        <w:t>75.21</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对于“产出时效”指标：及时完成各项任务率，预期指标值=100%，指标完成值100%，指标完成率100%；</w:t>
      </w:r>
    </w:p>
    <w:p>
      <w:pPr>
        <w:pStyle w:val="4"/>
        <w:pageBreakBefore w:val="0"/>
        <w:kinsoku/>
        <w:wordWrap/>
        <w:overflowPunct/>
        <w:topLinePunct w:val="0"/>
        <w:autoSpaceDE/>
        <w:autoSpaceDN/>
        <w:bidi w:val="0"/>
        <w:adjustRightInd/>
        <w:spacing w:before="0" w:after="0" w:line="560" w:lineRule="atLeast"/>
        <w:ind w:firstLine="643"/>
        <w:rPr>
          <w:i w:val="0"/>
          <w:iCs w:val="0"/>
        </w:rPr>
      </w:pPr>
      <w:bookmarkStart w:id="3" w:name="_Toc7492"/>
      <w:r>
        <w:rPr>
          <w:rFonts w:hint="eastAsia"/>
          <w:i w:val="0"/>
          <w:iCs w:val="0"/>
        </w:rPr>
        <w:t>（四）效益情况</w:t>
      </w:r>
      <w:bookmarkEnd w:id="3"/>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农副产品质量安全监管经费”项目效益情况从社会效益、可持续影响以及服务对象满意度3个方面对项目的绩效情况进行评价。项目绩效类指标分值40分，实际得分40分，得分率为100%。项目绩效指标得分情况如表所示。</w:t>
      </w:r>
    </w:p>
    <w:tbl>
      <w:tblPr>
        <w:tblStyle w:val="20"/>
        <w:tblW w:w="90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blHeader/>
        </w:trPr>
        <w:tc>
          <w:tcPr>
            <w:tcW w:w="9036" w:type="dxa"/>
            <w:tcBorders>
              <w:tl2br w:val="nil"/>
              <w:tr2bl w:val="nil"/>
            </w:tcBorders>
            <w:shd w:val="clear" w:color="auto" w:fill="auto"/>
            <w:noWrap/>
            <w:vAlign w:val="center"/>
          </w:tcPr>
          <w:tbl>
            <w:tblPr>
              <w:tblStyle w:val="20"/>
              <w:tblpPr w:leftFromText="180" w:rightFromText="180" w:vertAnchor="text" w:horzAnchor="page" w:tblpXSpec="center" w:tblpY="773"/>
              <w:tblOverlap w:val="never"/>
              <w:tblW w:w="8581" w:type="dxa"/>
              <w:jc w:val="center"/>
              <w:tblLayout w:type="fixed"/>
              <w:tblCellMar>
                <w:top w:w="0" w:type="dxa"/>
                <w:left w:w="0" w:type="dxa"/>
                <w:bottom w:w="0" w:type="dxa"/>
                <w:right w:w="0" w:type="dxa"/>
              </w:tblCellMar>
            </w:tblPr>
            <w:tblGrid>
              <w:gridCol w:w="2452"/>
              <w:gridCol w:w="2043"/>
              <w:gridCol w:w="2043"/>
              <w:gridCol w:w="2043"/>
            </w:tblGrid>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三级指标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权重</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得分率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实际得分</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社会效益</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rPr>
                    <w:t>20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default" w:ascii="仿宋" w:hAnsi="仿宋" w:eastAsia="仿宋" w:cs="仿宋"/>
                      <w:color w:val="000000"/>
                      <w:szCs w:val="21"/>
                      <w:lang w:val="en-US" w:eastAsia="zh-CN"/>
                    </w:rPr>
                  </w:pPr>
                  <w:r>
                    <w:rPr>
                      <w:rFonts w:hint="eastAsia" w:ascii="仿宋" w:hAnsi="仿宋" w:eastAsia="仿宋" w:cs="仿宋"/>
                      <w:color w:val="000000"/>
                      <w:kern w:val="0"/>
                      <w:szCs w:val="21"/>
                      <w:lang w:val="en-US" w:eastAsia="zh-CN"/>
                    </w:rPr>
                    <w:t>20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可持续效益指标</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10</w:t>
                  </w:r>
                </w:p>
              </w:tc>
              <w:tc>
                <w:tcPr>
                  <w:tcW w:w="204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eastAsia" w:ascii="仿宋" w:hAnsi="仿宋" w:eastAsia="仿宋" w:cs="仿宋"/>
                      <w:color w:val="000000"/>
                      <w:kern w:val="2"/>
                      <w:sz w:val="21"/>
                      <w:szCs w:val="21"/>
                      <w:lang w:val="en-US" w:eastAsia="zh-CN" w:bidi="ar-SA"/>
                    </w:rPr>
                  </w:pPr>
                  <w:r>
                    <w:rPr>
                      <w:rFonts w:hint="eastAsia" w:ascii="仿宋" w:hAnsi="仿宋" w:eastAsia="仿宋" w:cs="仿宋"/>
                      <w:color w:val="000000"/>
                      <w:kern w:val="0"/>
                      <w:szCs w:val="21"/>
                    </w:rPr>
                    <w:t>100%</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hint="default" w:ascii="仿宋" w:hAnsi="仿宋" w:eastAsia="仿宋" w:cs="仿宋"/>
                      <w:color w:val="000000"/>
                      <w:kern w:val="0"/>
                      <w:szCs w:val="21"/>
                      <w:lang w:val="en-US" w:eastAsia="zh-CN"/>
                    </w:rPr>
                  </w:pPr>
                  <w:r>
                    <w:rPr>
                      <w:rFonts w:hint="eastAsia" w:ascii="仿宋" w:hAnsi="仿宋" w:eastAsia="仿宋" w:cs="仿宋"/>
                      <w:color w:val="000000"/>
                      <w:kern w:val="0"/>
                      <w:szCs w:val="21"/>
                      <w:lang w:val="en-US" w:eastAsia="zh-CN"/>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4" w:space="0"/>
                    <w:left w:val="single" w:color="000000" w:sz="4" w:space="0"/>
                    <w:bottom w:val="single" w:color="000000" w:sz="8"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满意度</w:t>
                  </w:r>
                </w:p>
              </w:tc>
              <w:tc>
                <w:tcPr>
                  <w:tcW w:w="2043" w:type="dxa"/>
                  <w:tcBorders>
                    <w:top w:val="single" w:color="000000" w:sz="4" w:space="0"/>
                    <w:left w:val="single" w:color="000000" w:sz="4" w:space="0"/>
                    <w:bottom w:val="single" w:color="000000" w:sz="8"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c>
                <w:tcPr>
                  <w:tcW w:w="2043" w:type="dxa"/>
                  <w:tcBorders>
                    <w:top w:val="single" w:color="000000" w:sz="4" w:space="0"/>
                    <w:left w:val="single" w:color="000000" w:sz="4" w:space="0"/>
                    <w:bottom w:val="single" w:color="000000" w:sz="8" w:space="0"/>
                    <w:right w:val="single" w:color="000000" w:sz="4"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043" w:type="dxa"/>
                  <w:tcBorders>
                    <w:top w:val="single" w:color="000000" w:sz="4" w:space="0"/>
                    <w:left w:val="single" w:color="000000" w:sz="4" w:space="0"/>
                    <w:bottom w:val="single" w:color="000000" w:sz="8" w:space="0"/>
                    <w:right w:val="single" w:color="000000" w:sz="4" w:space="0"/>
                  </w:tcBorders>
                  <w:shd w:val="clear" w:color="auto" w:fill="auto"/>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w:t>
                  </w:r>
                </w:p>
              </w:tc>
            </w:tr>
            <w:tr>
              <w:tblPrEx>
                <w:tblCellMar>
                  <w:top w:w="0" w:type="dxa"/>
                  <w:left w:w="0" w:type="dxa"/>
                  <w:bottom w:w="0" w:type="dxa"/>
                  <w:right w:w="0" w:type="dxa"/>
                </w:tblCellMar>
              </w:tblPrEx>
              <w:trPr>
                <w:trHeight w:val="312" w:hRule="atLeast"/>
                <w:jc w:val="center"/>
              </w:trPr>
              <w:tc>
                <w:tcPr>
                  <w:tcW w:w="2452" w:type="dxa"/>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bottom"/>
                </w:tcPr>
                <w:p>
                  <w:pPr>
                    <w:pageBreakBefore w:val="0"/>
                    <w:widowControl/>
                    <w:kinsoku/>
                    <w:wordWrap/>
                    <w:overflowPunct/>
                    <w:topLinePunct w:val="0"/>
                    <w:autoSpaceDE/>
                    <w:autoSpaceDN/>
                    <w:bidi w:val="0"/>
                    <w:adjustRightInd/>
                    <w:spacing w:line="560" w:lineRule="atLeast"/>
                    <w:ind w:firstLine="420" w:firstLineChars="200"/>
                    <w:jc w:val="center"/>
                    <w:textAlignment w:val="bottom"/>
                    <w:rPr>
                      <w:rFonts w:ascii="仿宋" w:hAnsi="仿宋" w:eastAsia="仿宋" w:cs="仿宋"/>
                      <w:color w:val="000000"/>
                      <w:szCs w:val="21"/>
                    </w:rPr>
                  </w:pPr>
                  <w:r>
                    <w:rPr>
                      <w:rFonts w:hint="eastAsia" w:ascii="仿宋" w:hAnsi="仿宋" w:eastAsia="仿宋" w:cs="仿宋"/>
                      <w:color w:val="000000"/>
                      <w:kern w:val="0"/>
                      <w:szCs w:val="21"/>
                    </w:rPr>
                    <w:t>合计</w:t>
                  </w:r>
                </w:p>
              </w:tc>
              <w:tc>
                <w:tcPr>
                  <w:tcW w:w="2043"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pacing w:line="560" w:lineRule="atLeast"/>
                    <w:ind w:firstLine="420" w:firstLineChars="200"/>
                    <w:jc w:val="center"/>
                    <w:textAlignment w:val="bottom"/>
                    <w:rPr>
                      <w:rFonts w:ascii="仿宋" w:hAnsi="仿宋" w:eastAsia="仿宋" w:cs="仿宋"/>
                      <w:color w:val="000000"/>
                      <w:szCs w:val="21"/>
                    </w:rPr>
                  </w:pPr>
                  <w:r>
                    <w:rPr>
                      <w:rFonts w:hint="eastAsia" w:ascii="仿宋" w:hAnsi="仿宋" w:eastAsia="仿宋" w:cs="仿宋"/>
                      <w:color w:val="000000"/>
                      <w:kern w:val="0"/>
                      <w:szCs w:val="21"/>
                    </w:rPr>
                    <w:t>40</w:t>
                  </w:r>
                </w:p>
              </w:tc>
              <w:tc>
                <w:tcPr>
                  <w:tcW w:w="2043" w:type="dxa"/>
                  <w:tcBorders>
                    <w:top w:val="single" w:color="000000" w:sz="8" w:space="0"/>
                    <w:left w:val="single" w:color="000000" w:sz="8" w:space="0"/>
                    <w:bottom w:val="single" w:color="000000" w:sz="8" w:space="0"/>
                    <w:right w:val="single" w:color="000000" w:sz="8" w:space="0"/>
                  </w:tcBorders>
                  <w:shd w:val="clear" w:color="auto" w:fill="FFFFFF"/>
                  <w:tcMar>
                    <w:top w:w="12" w:type="dxa"/>
                    <w:left w:w="12" w:type="dxa"/>
                    <w:right w:w="12" w:type="dxa"/>
                  </w:tcMar>
                  <w:vAlign w:val="center"/>
                </w:tcPr>
                <w:p>
                  <w:pPr>
                    <w:pageBreakBefore w:val="0"/>
                    <w:widowControl/>
                    <w:kinsoku/>
                    <w:wordWrap/>
                    <w:overflowPunct/>
                    <w:topLinePunct w:val="0"/>
                    <w:autoSpaceDE/>
                    <w:autoSpaceDN/>
                    <w:bidi w:val="0"/>
                    <w:adjustRightInd/>
                    <w:spacing w:line="560" w:lineRule="atLeast"/>
                    <w:ind w:firstLine="420" w:firstLineChars="200"/>
                    <w:jc w:val="center"/>
                    <w:textAlignment w:val="center"/>
                    <w:rPr>
                      <w:rFonts w:ascii="仿宋" w:hAnsi="仿宋" w:eastAsia="仿宋" w:cs="仿宋"/>
                      <w:color w:val="000000"/>
                      <w:szCs w:val="21"/>
                    </w:rPr>
                  </w:pPr>
                  <w:r>
                    <w:rPr>
                      <w:rFonts w:hint="eastAsia" w:ascii="仿宋" w:hAnsi="仿宋" w:eastAsia="仿宋" w:cs="仿宋"/>
                      <w:color w:val="000000"/>
                      <w:kern w:val="0"/>
                      <w:szCs w:val="21"/>
                    </w:rPr>
                    <w:t>100%</w:t>
                  </w:r>
                </w:p>
              </w:tc>
              <w:tc>
                <w:tcPr>
                  <w:tcW w:w="2043" w:type="dxa"/>
                  <w:tcBorders>
                    <w:top w:val="single" w:color="000000" w:sz="8" w:space="0"/>
                    <w:left w:val="single" w:color="000000" w:sz="8" w:space="0"/>
                    <w:bottom w:val="single" w:color="000000" w:sz="8" w:space="0"/>
                    <w:right w:val="single" w:color="000000" w:sz="8" w:space="0"/>
                  </w:tcBorders>
                  <w:shd w:val="clear" w:color="auto" w:fill="auto"/>
                  <w:tcMar>
                    <w:top w:w="12" w:type="dxa"/>
                    <w:left w:w="12" w:type="dxa"/>
                    <w:right w:w="12" w:type="dxa"/>
                  </w:tcMar>
                  <w:vAlign w:val="bottom"/>
                </w:tcPr>
                <w:p>
                  <w:pPr>
                    <w:pageBreakBefore w:val="0"/>
                    <w:widowControl/>
                    <w:kinsoku/>
                    <w:wordWrap/>
                    <w:overflowPunct/>
                    <w:topLinePunct w:val="0"/>
                    <w:autoSpaceDE/>
                    <w:autoSpaceDN/>
                    <w:bidi w:val="0"/>
                    <w:adjustRightInd/>
                    <w:spacing w:line="560" w:lineRule="atLeast"/>
                    <w:ind w:firstLine="420" w:firstLineChars="200"/>
                    <w:jc w:val="center"/>
                    <w:textAlignment w:val="bottom"/>
                    <w:rPr>
                      <w:rFonts w:ascii="仿宋" w:hAnsi="仿宋" w:eastAsia="仿宋" w:cs="仿宋"/>
                      <w:color w:val="000000"/>
                      <w:szCs w:val="21"/>
                    </w:rPr>
                  </w:pPr>
                  <w:r>
                    <w:rPr>
                      <w:rFonts w:hint="eastAsia" w:ascii="仿宋" w:hAnsi="仿宋" w:eastAsia="仿宋" w:cs="仿宋"/>
                      <w:color w:val="000000"/>
                      <w:kern w:val="0"/>
                      <w:szCs w:val="21"/>
                    </w:rPr>
                    <w:t>40</w:t>
                  </w:r>
                </w:p>
              </w:tc>
            </w:tr>
          </w:tbl>
          <w:p>
            <w:pPr>
              <w:pageBreakBefore w:val="0"/>
              <w:widowControl/>
              <w:kinsoku/>
              <w:wordWrap/>
              <w:overflowPunct/>
              <w:topLinePunct w:val="0"/>
              <w:autoSpaceDE/>
              <w:autoSpaceDN/>
              <w:bidi w:val="0"/>
              <w:adjustRightInd/>
              <w:spacing w:line="560" w:lineRule="atLeast"/>
              <w:ind w:firstLine="2124" w:firstLineChars="600"/>
              <w:rPr>
                <w:rFonts w:ascii="仿宋_GB2312" w:hAnsi="仿宋_GB2312" w:eastAsia="仿宋_GB2312" w:cs="仿宋_GB2312"/>
                <w:color w:val="000000"/>
                <w:kern w:val="0"/>
                <w:sz w:val="30"/>
                <w:szCs w:val="30"/>
              </w:rPr>
            </w:pPr>
            <w:r>
              <w:rPr>
                <w:rFonts w:hint="eastAsia" w:ascii="仿宋_GB2312" w:hAnsi="仿宋_GB2312" w:eastAsia="仿宋_GB2312" w:cs="仿宋_GB2312"/>
                <w:color w:val="000000"/>
                <w:spacing w:val="17"/>
                <w:sz w:val="32"/>
                <w:szCs w:val="32"/>
              </w:rPr>
              <w:t>项目绩效指标得分情况</w:t>
            </w:r>
          </w:p>
        </w:tc>
      </w:tr>
    </w:tbl>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社会效益指标:保障农业生产用种安全，预期指标值:有所提升，指标完成值：有所提升，指标完成率100%；根据指标评分标准，该指标得分率100%，不扣分。</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可持续影响指标：提升农业生产用种安全水平业绩值，预期指标值：有所提升，指标完成值:有所提升，指标完成率100%；根据指标评分标准，该指标得分率100%，不扣分。</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对于“服务对象满意度”指标：种子企业和农户满意度业绩值，预期指标值≥90%，指标完成值100%，指标完成率100%。</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发放的调查问卷，对满意度指标分为三档，即“满意”、“基本满意”、“不满意”；满分为10分，各档次对应的分值为10分、9分、0分，通过加权计算得出各项指标的满意度平均得分。综合问卷调查结果，参观人员的满意度分析结果为10分。根据指标评分标准，该指标实际得分率为100%，该指标不扣分。</w:t>
      </w:r>
    </w:p>
    <w:p>
      <w:pPr>
        <w:pageBreakBefore w:val="0"/>
        <w:kinsoku/>
        <w:wordWrap/>
        <w:overflowPunct/>
        <w:topLinePunct w:val="0"/>
        <w:autoSpaceDE/>
        <w:autoSpaceDN/>
        <w:bidi w:val="0"/>
        <w:adjustRightInd/>
        <w:spacing w:line="560" w:lineRule="atLeast"/>
        <w:ind w:firstLine="567" w:firstLineChars="181"/>
        <w:rPr>
          <w:rFonts w:hint="eastAsia" w:ascii="楷体" w:hAnsi="楷体" w:eastAsia="楷体"/>
          <w:b/>
          <w:spacing w:val="-4"/>
          <w:sz w:val="32"/>
          <w:szCs w:val="32"/>
        </w:rPr>
      </w:pPr>
      <w:r>
        <w:rPr>
          <w:rFonts w:hint="eastAsia" w:ascii="楷体" w:hAnsi="楷体" w:eastAsia="楷体"/>
          <w:b/>
          <w:spacing w:val="-4"/>
          <w:sz w:val="32"/>
          <w:szCs w:val="32"/>
        </w:rPr>
        <w:t>五、主要经验及做法、存在的问题及原因分析</w:t>
      </w:r>
    </w:p>
    <w:p>
      <w:pPr>
        <w:pageBreakBefore w:val="0"/>
        <w:kinsoku/>
        <w:wordWrap/>
        <w:overflowPunct/>
        <w:topLinePunct w:val="0"/>
        <w:autoSpaceDE/>
        <w:autoSpaceDN/>
        <w:bidi w:val="0"/>
        <w:adjustRightInd/>
        <w:spacing w:line="560" w:lineRule="atLeast"/>
        <w:ind w:firstLine="567" w:firstLineChars="181"/>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全力做好“农副产品质量安全监管经费”项目对接工作。按照自治区农业农村厅《关于开展储备项目申报有关工作的通知》及《新疆现代种业“四个百万亩”制种基地建设项目指南》要求，多次与自治区种业处及各县市农业农村局进行了对接沟通，征集各县市项目实施需求，组织协调各县市积极申报，认真做好项目储备工作。目前，塔城市、额敏县、托里县正在编制现代种业制种基地建设项目可行性研究报告。</w:t>
      </w:r>
    </w:p>
    <w:p>
      <w:pPr>
        <w:keepNext/>
        <w:keepLines/>
        <w:pageBreakBefore w:val="0"/>
        <w:numPr>
          <w:ilvl w:val="0"/>
          <w:numId w:val="2"/>
        </w:numPr>
        <w:kinsoku/>
        <w:wordWrap/>
        <w:overflowPunct/>
        <w:topLinePunct w:val="0"/>
        <w:autoSpaceDE/>
        <w:autoSpaceDN/>
        <w:bidi w:val="0"/>
        <w:adjustRightInd/>
        <w:spacing w:line="560" w:lineRule="atLeas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ageBreakBefore w:val="0"/>
        <w:numPr>
          <w:ilvl w:val="0"/>
          <w:numId w:val="3"/>
        </w:numPr>
        <w:kinsoku/>
        <w:wordWrap/>
        <w:overflowPunct/>
        <w:topLinePunct w:val="0"/>
        <w:autoSpaceDE/>
        <w:autoSpaceDN/>
        <w:bidi w:val="0"/>
        <w:adjustRightInd/>
        <w:spacing w:line="560" w:lineRule="atLeast"/>
        <w:ind w:firstLine="627" w:firstLineChars="200"/>
        <w:rPr>
          <w:rFonts w:hint="eastAsia" w:ascii="楷体" w:hAnsi="楷体" w:eastAsia="楷体"/>
          <w:b/>
          <w:spacing w:val="-4"/>
          <w:sz w:val="32"/>
          <w:szCs w:val="32"/>
        </w:rPr>
      </w:pPr>
      <w:r>
        <w:rPr>
          <w:rFonts w:hint="eastAsia" w:ascii="楷体" w:hAnsi="楷体" w:eastAsia="楷体"/>
          <w:b/>
          <w:spacing w:val="-4"/>
          <w:sz w:val="32"/>
          <w:szCs w:val="32"/>
        </w:rPr>
        <w:t>存在的问题</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部分绩效指标及目标有待进一步细化和量化。</w:t>
      </w:r>
    </w:p>
    <w:p>
      <w:pPr>
        <w:pageBreakBefore w:val="0"/>
        <w:kinsoku/>
        <w:wordWrap/>
        <w:overflowPunct/>
        <w:topLinePunct w:val="0"/>
        <w:autoSpaceDE/>
        <w:autoSpaceDN/>
        <w:bidi w:val="0"/>
        <w:adjustRightInd/>
        <w:spacing w:line="560" w:lineRule="atLeast"/>
        <w:ind w:firstLine="567" w:firstLineChars="181"/>
        <w:rPr>
          <w:rFonts w:hint="eastAsia" w:ascii="楷体" w:hAnsi="楷体" w:eastAsia="楷体"/>
          <w:b/>
          <w:spacing w:val="-4"/>
          <w:sz w:val="32"/>
          <w:szCs w:val="32"/>
        </w:rPr>
      </w:pPr>
      <w:bookmarkStart w:id="4" w:name="_Toc27265"/>
      <w:r>
        <w:rPr>
          <w:rFonts w:hint="eastAsia" w:ascii="楷体" w:hAnsi="楷体" w:eastAsia="楷体"/>
          <w:b/>
          <w:spacing w:val="-4"/>
          <w:sz w:val="32"/>
          <w:szCs w:val="32"/>
        </w:rPr>
        <w:t>2.原因分析</w:t>
      </w:r>
      <w:bookmarkEnd w:id="4"/>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由于绩效自评是一项开展不久的工作任务，项目支出运行实践经验还欠缺。</w:t>
      </w:r>
    </w:p>
    <w:p>
      <w:pPr>
        <w:pageBreakBefore w:val="0"/>
        <w:kinsoku/>
        <w:wordWrap/>
        <w:overflowPunct/>
        <w:topLinePunct w:val="0"/>
        <w:autoSpaceDE/>
        <w:autoSpaceDN/>
        <w:bidi w:val="0"/>
        <w:adjustRightInd/>
        <w:spacing w:line="560" w:lineRule="atLeast"/>
        <w:ind w:firstLine="567" w:firstLineChars="181"/>
        <w:rPr>
          <w:rFonts w:hint="eastAsia" w:ascii="楷体" w:hAnsi="楷体" w:eastAsia="楷体"/>
          <w:b/>
          <w:spacing w:val="-4"/>
          <w:sz w:val="32"/>
          <w:szCs w:val="32"/>
        </w:rPr>
      </w:pPr>
      <w:r>
        <w:rPr>
          <w:rFonts w:hint="eastAsia" w:ascii="楷体" w:hAnsi="楷体" w:eastAsia="楷体"/>
          <w:b/>
          <w:spacing w:val="-4"/>
          <w:sz w:val="32"/>
          <w:szCs w:val="32"/>
          <w:lang w:val="en-US" w:eastAsia="zh-CN"/>
        </w:rPr>
        <w:t>六</w:t>
      </w:r>
      <w:r>
        <w:rPr>
          <w:rFonts w:hint="eastAsia" w:ascii="楷体" w:hAnsi="楷体" w:eastAsia="楷体"/>
          <w:b/>
          <w:spacing w:val="-4"/>
          <w:sz w:val="32"/>
          <w:szCs w:val="32"/>
          <w:lang w:eastAsia="zh-CN"/>
        </w:rPr>
        <w:t>、</w:t>
      </w:r>
      <w:r>
        <w:rPr>
          <w:rFonts w:hint="eastAsia" w:ascii="楷体" w:hAnsi="楷体" w:eastAsia="楷体"/>
          <w:b/>
          <w:spacing w:val="-4"/>
          <w:sz w:val="32"/>
          <w:szCs w:val="32"/>
        </w:rPr>
        <w:t>有关建议</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1.加大项目绩效管理培训力度，贯彻落实相关办法及制度。</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2.严格执行预算，合理使用资金。预算执行过程中，规范工作程序，尤其是专项资金，力保数据的准确性和真实性，控制预算完成率。</w:t>
      </w:r>
    </w:p>
    <w:p>
      <w:pPr>
        <w:pageBreakBefore w:val="0"/>
        <w:kinsoku/>
        <w:wordWrap/>
        <w:overflowPunct/>
        <w:topLinePunct w:val="0"/>
        <w:autoSpaceDE/>
        <w:autoSpaceDN/>
        <w:bidi w:val="0"/>
        <w:adjustRightInd/>
        <w:spacing w:line="560" w:lineRule="atLeast"/>
        <w:ind w:firstLine="708" w:firstLineChars="200"/>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3.加强队伍建设，抓好绩效评价管理部门的队伍建设和业务指导，培养部门的绩效管理队伍，建立绩效评价的长期机制。</w:t>
      </w:r>
    </w:p>
    <w:p>
      <w:pPr>
        <w:pageBreakBefore w:val="0"/>
        <w:kinsoku/>
        <w:wordWrap/>
        <w:overflowPunct/>
        <w:topLinePunct w:val="0"/>
        <w:autoSpaceDE/>
        <w:autoSpaceDN/>
        <w:bidi w:val="0"/>
        <w:adjustRightInd/>
        <w:spacing w:line="560" w:lineRule="atLeast"/>
        <w:ind w:firstLine="567" w:firstLineChars="181"/>
        <w:rPr>
          <w:rFonts w:hint="eastAsia" w:ascii="楷体" w:hAnsi="楷体" w:eastAsia="楷体"/>
          <w:b/>
          <w:spacing w:val="-4"/>
          <w:sz w:val="32"/>
          <w:szCs w:val="32"/>
        </w:rPr>
      </w:pPr>
      <w:r>
        <w:rPr>
          <w:rFonts w:hint="eastAsia" w:ascii="楷体" w:hAnsi="楷体" w:eastAsia="楷体"/>
          <w:b/>
          <w:spacing w:val="-4"/>
          <w:sz w:val="32"/>
          <w:szCs w:val="32"/>
          <w:lang w:val="en-US" w:eastAsia="zh-CN"/>
        </w:rPr>
        <w:t>七</w:t>
      </w:r>
      <w:r>
        <w:rPr>
          <w:rFonts w:hint="eastAsia" w:ascii="楷体" w:hAnsi="楷体" w:eastAsia="楷体"/>
          <w:b/>
          <w:spacing w:val="-4"/>
          <w:sz w:val="32"/>
          <w:szCs w:val="32"/>
          <w:lang w:eastAsia="zh-CN"/>
        </w:rPr>
        <w:t>、</w:t>
      </w:r>
      <w:r>
        <w:rPr>
          <w:rFonts w:hint="eastAsia" w:ascii="楷体" w:hAnsi="楷体" w:eastAsia="楷体"/>
          <w:b/>
          <w:spacing w:val="-4"/>
          <w:sz w:val="32"/>
          <w:szCs w:val="32"/>
        </w:rPr>
        <w:t>其他需要说</w:t>
      </w:r>
      <w:bookmarkStart w:id="5" w:name="page8"/>
      <w:bookmarkEnd w:id="5"/>
      <w:r>
        <w:rPr>
          <w:rFonts w:hint="eastAsia" w:ascii="楷体" w:hAnsi="楷体" w:eastAsia="楷体"/>
          <w:b/>
          <w:spacing w:val="-4"/>
          <w:sz w:val="32"/>
          <w:szCs w:val="32"/>
        </w:rPr>
        <w:t>明的问题</w:t>
      </w:r>
    </w:p>
    <w:p>
      <w:pPr>
        <w:pageBreakBefore w:val="0"/>
        <w:kinsoku/>
        <w:wordWrap/>
        <w:overflowPunct/>
        <w:topLinePunct w:val="0"/>
        <w:autoSpaceDE/>
        <w:autoSpaceDN/>
        <w:bidi w:val="0"/>
        <w:adjustRightInd/>
        <w:spacing w:line="560" w:lineRule="atLeast"/>
        <w:ind w:firstLine="708" w:firstLineChars="200"/>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无。</w:t>
      </w:r>
    </w:p>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sectPr>
          <w:footerReference r:id="rId3" w:type="default"/>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pPr>
    </w:p>
    <w:tbl>
      <w:tblPr>
        <w:tblStyle w:val="20"/>
        <w:tblW w:w="8640" w:type="dxa"/>
        <w:tblInd w:w="96" w:type="dxa"/>
        <w:shd w:val="clear" w:color="auto" w:fill="auto"/>
        <w:tblLayout w:type="fixed"/>
        <w:tblCellMar>
          <w:top w:w="0" w:type="dxa"/>
          <w:left w:w="108" w:type="dxa"/>
          <w:bottom w:w="0" w:type="dxa"/>
          <w:right w:w="108" w:type="dxa"/>
        </w:tblCellMar>
      </w:tblPr>
      <w:tblGrid>
        <w:gridCol w:w="721"/>
        <w:gridCol w:w="722"/>
        <w:gridCol w:w="721"/>
        <w:gridCol w:w="721"/>
        <w:gridCol w:w="657"/>
        <w:gridCol w:w="1359"/>
        <w:gridCol w:w="1263"/>
        <w:gridCol w:w="502"/>
        <w:gridCol w:w="1974"/>
      </w:tblGrid>
      <w:tr>
        <w:tblPrEx>
          <w:shd w:val="clear" w:color="auto" w:fill="auto"/>
          <w:tblCellMar>
            <w:top w:w="0" w:type="dxa"/>
            <w:left w:w="108" w:type="dxa"/>
            <w:bottom w:w="0" w:type="dxa"/>
            <w:right w:w="108" w:type="dxa"/>
          </w:tblCellMar>
        </w:tblPrEx>
        <w:trPr>
          <w:trHeight w:val="409" w:hRule="atLeast"/>
        </w:trPr>
        <w:tc>
          <w:tcPr>
            <w:tcW w:w="864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8640" w:type="dxa"/>
            <w:gridSpan w:val="9"/>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640" w:type="dxa"/>
            <w:gridSpan w:val="9"/>
            <w:tcBorders>
              <w:top w:val="nil"/>
              <w:left w:val="nil"/>
              <w:bottom w:val="nil"/>
              <w:right w:val="nil"/>
            </w:tcBorders>
            <w:shd w:val="clear" w:color="auto" w:fill="FFFFFF"/>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197" w:type="dxa"/>
            <w:gridSpan w:val="7"/>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农产品质量安全监管补助金经费</w:t>
            </w:r>
          </w:p>
        </w:tc>
      </w:tr>
      <w:tr>
        <w:tblPrEx>
          <w:shd w:val="clear" w:color="auto" w:fill="auto"/>
          <w:tblCellMar>
            <w:top w:w="0" w:type="dxa"/>
            <w:left w:w="108" w:type="dxa"/>
            <w:bottom w:w="0" w:type="dxa"/>
            <w:right w:w="108" w:type="dxa"/>
          </w:tblCellMar>
        </w:tblPrEx>
        <w:trPr>
          <w:trHeight w:val="270" w:hRule="atLeast"/>
        </w:trPr>
        <w:tc>
          <w:tcPr>
            <w:tcW w:w="1443"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458" w:type="dxa"/>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47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塔城地区种子管理站</w:t>
            </w:r>
          </w:p>
        </w:tc>
      </w:tr>
      <w:tr>
        <w:tblPrEx>
          <w:shd w:val="clear" w:color="auto" w:fill="auto"/>
          <w:tblCellMar>
            <w:top w:w="0" w:type="dxa"/>
            <w:left w:w="108" w:type="dxa"/>
            <w:bottom w:w="0" w:type="dxa"/>
            <w:right w:w="108" w:type="dxa"/>
          </w:tblCellMar>
        </w:tblPrEx>
        <w:trPr>
          <w:trHeight w:val="392" w:hRule="atLeast"/>
        </w:trPr>
        <w:tc>
          <w:tcPr>
            <w:tcW w:w="1443" w:type="dxa"/>
            <w:gridSpan w:val="2"/>
            <w:tcBorders>
              <w:top w:val="single" w:color="000000" w:sz="4" w:space="0"/>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21" w:type="dxa"/>
            <w:tcBorders>
              <w:top w:val="single" w:color="000000" w:sz="4" w:space="0"/>
              <w:left w:val="single" w:color="000000" w:sz="4" w:space="0"/>
              <w:bottom w:val="single" w:color="000000" w:sz="4" w:space="0"/>
              <w:right w:val="nil"/>
            </w:tcBorders>
            <w:shd w:val="clear" w:color="auto" w:fill="FFFFFF"/>
            <w:noWrap/>
            <w:vAlign w:val="bottom"/>
          </w:tcPr>
          <w:p>
            <w:pPr>
              <w:rPr>
                <w:rFonts w:hint="default" w:ascii="Arial" w:hAnsi="Arial" w:cs="Arial"/>
                <w:i w:val="0"/>
                <w:iCs w:val="0"/>
                <w:color w:val="000000"/>
                <w:sz w:val="20"/>
                <w:szCs w:val="20"/>
                <w:u w:val="none"/>
              </w:rPr>
            </w:pPr>
          </w:p>
        </w:tc>
        <w:tc>
          <w:tcPr>
            <w:tcW w:w="721" w:type="dxa"/>
            <w:tcBorders>
              <w:top w:val="single" w:color="000000" w:sz="4" w:space="0"/>
              <w:left w:val="nil"/>
              <w:bottom w:val="single" w:color="000000" w:sz="4" w:space="0"/>
              <w:right w:val="single" w:color="000000" w:sz="4" w:space="0"/>
            </w:tcBorders>
            <w:shd w:val="clear" w:color="auto" w:fill="FFFFFF"/>
            <w:noWrap/>
            <w:vAlign w:val="bottom"/>
          </w:tcP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270" w:hRule="atLeast"/>
        </w:trPr>
        <w:tc>
          <w:tcPr>
            <w:tcW w:w="1443" w:type="dxa"/>
            <w:gridSpan w:val="2"/>
            <w:tcBorders>
              <w:left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1.76</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74.99%</w:t>
            </w:r>
          </w:p>
        </w:tc>
      </w:tr>
      <w:tr>
        <w:tblPrEx>
          <w:shd w:val="clear" w:color="auto" w:fill="auto"/>
          <w:tblCellMar>
            <w:top w:w="0" w:type="dxa"/>
            <w:left w:w="108" w:type="dxa"/>
            <w:bottom w:w="0" w:type="dxa"/>
            <w:right w:w="108" w:type="dxa"/>
          </w:tblCellMar>
        </w:tblPrEx>
        <w:trPr>
          <w:trHeight w:val="372" w:hRule="atLeast"/>
        </w:trPr>
        <w:tc>
          <w:tcPr>
            <w:tcW w:w="1443" w:type="dxa"/>
            <w:gridSpan w:val="2"/>
            <w:tcBorders>
              <w:left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2.34</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1.76</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443" w:type="dxa"/>
            <w:gridSpan w:val="2"/>
            <w:tcBorders>
              <w:left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color w:val="000000"/>
                <w:kern w:val="0"/>
                <w:sz w:val="18"/>
                <w:szCs w:val="18"/>
                <w:u w:val="none"/>
                <w:lang w:val="en-US" w:eastAsia="zh-CN" w:bidi="ar"/>
              </w:rPr>
              <w:t>—</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443" w:type="dxa"/>
            <w:gridSpan w:val="2"/>
            <w:tcBorders>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22"/>
                <w:szCs w:val="22"/>
                <w:u w:val="none"/>
              </w:rPr>
            </w:pPr>
          </w:p>
        </w:tc>
        <w:tc>
          <w:tcPr>
            <w:tcW w:w="1442"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65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7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180"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7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682"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4180"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开展培训宣传工作，开展种子企业、种子市场抽样检测工作。开展种子田间检验及玉米制种田转基因检测排查工作。保障农业生产用种安全，提升农业生产用种水平。</w:t>
            </w:r>
          </w:p>
        </w:tc>
        <w:tc>
          <w:tcPr>
            <w:tcW w:w="3739"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开展培训宣传工作，开展种子企业、种子市场抽样检测工作。开展种子田间检验及玉米制种田转基因检测排查工作。保障农业生产用种安全，提升农业生产用种水平。</w:t>
            </w:r>
          </w:p>
        </w:tc>
      </w:tr>
      <w:tr>
        <w:tblPrEx>
          <w:shd w:val="clear" w:color="auto" w:fill="auto"/>
          <w:tblCellMar>
            <w:top w:w="0" w:type="dxa"/>
            <w:left w:w="108" w:type="dxa"/>
            <w:bottom w:w="0" w:type="dxa"/>
            <w:right w:w="108" w:type="dxa"/>
          </w:tblCellMar>
        </w:tblPrEx>
        <w:trPr>
          <w:trHeight w:val="412" w:hRule="atLeast"/>
        </w:trPr>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年度指标值</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617" w:hRule="atLeast"/>
        </w:trPr>
        <w:tc>
          <w:tcPr>
            <w:tcW w:w="7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人员培训</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≥2次</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2次</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bottom"/>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15"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抽检样品</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≥50份</w:t>
            </w:r>
          </w:p>
        </w:tc>
        <w:tc>
          <w:tcPr>
            <w:tcW w:w="1765" w:type="dxa"/>
            <w:gridSpan w:val="2"/>
            <w:tcBorders>
              <w:top w:val="single" w:color="000000" w:sz="4" w:space="0"/>
              <w:left w:val="single" w:color="000000"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50份</w:t>
            </w:r>
          </w:p>
        </w:tc>
        <w:tc>
          <w:tcPr>
            <w:tcW w:w="1974" w:type="dxa"/>
            <w:tcBorders>
              <w:top w:val="single" w:color="000000" w:sz="4" w:space="0"/>
              <w:left w:val="single" w:color="auto" w:sz="4" w:space="0"/>
              <w:bottom w:val="single" w:color="auto" w:sz="4" w:space="0"/>
              <w:right w:val="single" w:color="000000" w:sz="4" w:space="0"/>
            </w:tcBorders>
            <w:shd w:val="clear" w:color="auto" w:fill="FFFFFF"/>
            <w:vAlign w:val="bottom"/>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650"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检验种子田</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≥4万亩</w:t>
            </w:r>
          </w:p>
        </w:tc>
        <w:tc>
          <w:tcPr>
            <w:tcW w:w="1765" w:type="dxa"/>
            <w:gridSpan w:val="2"/>
            <w:tcBorders>
              <w:top w:val="single" w:color="auto" w:sz="4" w:space="0"/>
              <w:left w:val="single" w:color="000000"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4万亩</w:t>
            </w:r>
          </w:p>
        </w:tc>
        <w:tc>
          <w:tcPr>
            <w:tcW w:w="1974" w:type="dxa"/>
            <w:tcBorders>
              <w:top w:val="single" w:color="auto" w:sz="4" w:space="0"/>
              <w:left w:val="single" w:color="auto" w:sz="4" w:space="0"/>
              <w:bottom w:val="single" w:color="auto" w:sz="4" w:space="0"/>
              <w:right w:val="single" w:color="000000" w:sz="4" w:space="0"/>
            </w:tcBorders>
            <w:shd w:val="clear" w:color="auto" w:fill="FFFFFF"/>
            <w:vAlign w:val="bottom"/>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玉米制种转基因检测排查面积</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≥3万亩</w:t>
            </w:r>
          </w:p>
        </w:tc>
        <w:tc>
          <w:tcPr>
            <w:tcW w:w="1765" w:type="dxa"/>
            <w:gridSpan w:val="2"/>
            <w:tcBorders>
              <w:top w:val="single" w:color="auto" w:sz="4" w:space="0"/>
              <w:left w:val="single" w:color="000000"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3万亩</w:t>
            </w:r>
          </w:p>
        </w:tc>
        <w:tc>
          <w:tcPr>
            <w:tcW w:w="1974" w:type="dxa"/>
            <w:tcBorders>
              <w:top w:val="single" w:color="auto" w:sz="4" w:space="0"/>
              <w:left w:val="single" w:color="auto" w:sz="4" w:space="0"/>
              <w:bottom w:val="single" w:color="auto" w:sz="4" w:space="0"/>
              <w:right w:val="single" w:color="000000" w:sz="4" w:space="0"/>
            </w:tcBorders>
            <w:shd w:val="clear" w:color="auto" w:fill="FFFFFF"/>
            <w:vAlign w:val="bottom"/>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840"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检查、检验完成率</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1765" w:type="dxa"/>
            <w:gridSpan w:val="2"/>
            <w:tcBorders>
              <w:top w:val="single" w:color="auto" w:sz="4" w:space="0"/>
              <w:left w:val="single" w:color="000000"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7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962"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及时完成各项任务率</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=100%</w:t>
            </w:r>
          </w:p>
        </w:tc>
        <w:tc>
          <w:tcPr>
            <w:tcW w:w="1765" w:type="dxa"/>
            <w:gridSpan w:val="2"/>
            <w:tcBorders>
              <w:top w:val="single" w:color="auto" w:sz="4" w:space="0"/>
              <w:left w:val="single" w:color="000000"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74"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962"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本年支付成本</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≤2.34万元</w:t>
            </w:r>
          </w:p>
        </w:tc>
        <w:tc>
          <w:tcPr>
            <w:tcW w:w="1765" w:type="dxa"/>
            <w:gridSpan w:val="2"/>
            <w:tcBorders>
              <w:top w:val="single" w:color="auto" w:sz="4" w:space="0"/>
              <w:left w:val="single" w:color="000000" w:sz="4" w:space="0"/>
              <w:bottom w:val="single" w:color="000000"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1.76万元</w:t>
            </w:r>
          </w:p>
        </w:tc>
        <w:tc>
          <w:tcPr>
            <w:tcW w:w="1974" w:type="dxa"/>
            <w:tcBorders>
              <w:top w:val="single" w:color="auto" w:sz="4" w:space="0"/>
              <w:left w:val="single" w:color="auto"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传染病防控影响项目进度</w:t>
            </w:r>
          </w:p>
        </w:tc>
      </w:tr>
      <w:tr>
        <w:tblPrEx>
          <w:tblCellMar>
            <w:top w:w="0" w:type="dxa"/>
            <w:left w:w="108" w:type="dxa"/>
            <w:bottom w:w="0" w:type="dxa"/>
            <w:right w:w="108" w:type="dxa"/>
          </w:tblCellMar>
        </w:tblPrEx>
        <w:trPr>
          <w:trHeight w:val="1043"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保障农业生产用种安全</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有所提升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提升农业生产用种安全水平</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有所提升</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7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c>
          <w:tcPr>
            <w:tcW w:w="72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72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78"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种子企业和农户满意度</w:t>
            </w:r>
          </w:p>
        </w:tc>
        <w:tc>
          <w:tcPr>
            <w:tcW w:w="135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w:t>
            </w:r>
          </w:p>
        </w:tc>
        <w:tc>
          <w:tcPr>
            <w:tcW w:w="1765"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974" w:type="dxa"/>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i w:val="0"/>
                <w:iCs w:val="0"/>
                <w:color w:val="000000"/>
                <w:sz w:val="18"/>
                <w:szCs w:val="18"/>
                <w:u w:val="none"/>
              </w:rPr>
            </w:pPr>
          </w:p>
        </w:tc>
      </w:tr>
    </w:tbl>
    <w:p>
      <w:pPr>
        <w:rPr>
          <w:rFonts w:hint="eastAsia"/>
          <w:lang w:val="en-US" w:eastAsia="zh-CN"/>
        </w:rPr>
      </w:pPr>
    </w:p>
    <w:sectPr>
      <w:pgSz w:w="11906" w:h="16838"/>
      <w:pgMar w:top="1440" w:right="1558"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3</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rPr>
    </w:lvl>
  </w:abstractNum>
  <w:abstractNum w:abstractNumId="1">
    <w:nsid w:val="6FAA0AB1"/>
    <w:multiLevelType w:val="singleLevel"/>
    <w:tmpl w:val="6FAA0AB1"/>
    <w:lvl w:ilvl="0" w:tentative="0">
      <w:start w:val="2"/>
      <w:numFmt w:val="chineseCounting"/>
      <w:suff w:val="nothing"/>
      <w:lvlText w:val="（%1）"/>
      <w:lvlJc w:val="left"/>
      <w:rPr>
        <w:rFonts w:hint="eastAsia"/>
      </w:rPr>
    </w:lvl>
  </w:abstractNum>
  <w:abstractNum w:abstractNumId="2">
    <w:nsid w:val="7C37DBC0"/>
    <w:multiLevelType w:val="singleLevel"/>
    <w:tmpl w:val="7C37DBC0"/>
    <w:lvl w:ilvl="0" w:tentative="0">
      <w:start w:val="1"/>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0E50F0"/>
    <w:rsid w:val="000E586C"/>
    <w:rsid w:val="00121AE4"/>
    <w:rsid w:val="00146AAD"/>
    <w:rsid w:val="001B3A40"/>
    <w:rsid w:val="003C18BC"/>
    <w:rsid w:val="00427B63"/>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8196F"/>
    <w:rsid w:val="00EA2CBE"/>
    <w:rsid w:val="00F32FEE"/>
    <w:rsid w:val="00F71278"/>
    <w:rsid w:val="00FB10BB"/>
    <w:rsid w:val="051A56F5"/>
    <w:rsid w:val="066D1A3D"/>
    <w:rsid w:val="066D6EAA"/>
    <w:rsid w:val="08C662D4"/>
    <w:rsid w:val="09BD4D95"/>
    <w:rsid w:val="0F8D41CB"/>
    <w:rsid w:val="11C75270"/>
    <w:rsid w:val="12637CC3"/>
    <w:rsid w:val="12E657C5"/>
    <w:rsid w:val="167C7687"/>
    <w:rsid w:val="168B3546"/>
    <w:rsid w:val="16A304D1"/>
    <w:rsid w:val="1A2374E0"/>
    <w:rsid w:val="1A9A423C"/>
    <w:rsid w:val="1C317CE2"/>
    <w:rsid w:val="1DD45808"/>
    <w:rsid w:val="1DED42AC"/>
    <w:rsid w:val="20005763"/>
    <w:rsid w:val="20FB313D"/>
    <w:rsid w:val="220B4804"/>
    <w:rsid w:val="2731350F"/>
    <w:rsid w:val="27DF45D0"/>
    <w:rsid w:val="282475E3"/>
    <w:rsid w:val="2B831946"/>
    <w:rsid w:val="2C6100C1"/>
    <w:rsid w:val="2CB30ABA"/>
    <w:rsid w:val="304269EB"/>
    <w:rsid w:val="3264220D"/>
    <w:rsid w:val="36F31529"/>
    <w:rsid w:val="3905606B"/>
    <w:rsid w:val="3963178C"/>
    <w:rsid w:val="3CBC782A"/>
    <w:rsid w:val="41CC2676"/>
    <w:rsid w:val="46B21672"/>
    <w:rsid w:val="4D432681"/>
    <w:rsid w:val="4F552460"/>
    <w:rsid w:val="4FCC6863"/>
    <w:rsid w:val="500A214A"/>
    <w:rsid w:val="522D604D"/>
    <w:rsid w:val="5297585E"/>
    <w:rsid w:val="52AD7D6F"/>
    <w:rsid w:val="551A5F1A"/>
    <w:rsid w:val="5549519D"/>
    <w:rsid w:val="5557596B"/>
    <w:rsid w:val="5A16170F"/>
    <w:rsid w:val="5A490C08"/>
    <w:rsid w:val="5AAF236D"/>
    <w:rsid w:val="5ABA03B1"/>
    <w:rsid w:val="5B596DFC"/>
    <w:rsid w:val="5BE24AFF"/>
    <w:rsid w:val="5DF03945"/>
    <w:rsid w:val="5F1D076B"/>
    <w:rsid w:val="61C91181"/>
    <w:rsid w:val="637C2815"/>
    <w:rsid w:val="65B339D3"/>
    <w:rsid w:val="668A7818"/>
    <w:rsid w:val="690379FD"/>
    <w:rsid w:val="6C8745E0"/>
    <w:rsid w:val="702703E8"/>
    <w:rsid w:val="749A27ED"/>
    <w:rsid w:val="77EA4A34"/>
    <w:rsid w:val="789F0EB9"/>
    <w:rsid w:val="7A353D0B"/>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footnote text"/>
    <w:basedOn w:val="1"/>
    <w:qFormat/>
    <w:uiPriority w:val="0"/>
    <w:pPr>
      <w:snapToGrid w:val="0"/>
      <w:jc w:val="left"/>
    </w:pPr>
    <w:rPr>
      <w:sz w:val="18"/>
      <w:szCs w:val="18"/>
    </w:rPr>
  </w:style>
  <w:style w:type="paragraph" w:styleId="18">
    <w:name w:val="Normal (Web)"/>
    <w:basedOn w:val="1"/>
    <w:qFormat/>
    <w:uiPriority w:val="99"/>
    <w:pPr>
      <w:spacing w:before="100" w:beforeAutospacing="1" w:after="100" w:afterAutospacing="1"/>
      <w:jc w:val="left"/>
    </w:pPr>
    <w:rPr>
      <w:rFonts w:cs="Times New Roman"/>
      <w:sz w:val="24"/>
    </w:rPr>
  </w:style>
  <w:style w:type="paragraph" w:styleId="19">
    <w:name w:val="Body Text First Indent"/>
    <w:basedOn w:val="12"/>
    <w:qFormat/>
    <w:uiPriority w:val="0"/>
    <w:pPr>
      <w:spacing w:after="0"/>
      <w:ind w:firstLine="20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3"/>
    <w:qFormat/>
    <w:uiPriority w:val="9"/>
    <w:rPr>
      <w:rFonts w:asciiTheme="majorHAnsi" w:hAnsiTheme="majorHAnsi" w:eastAsiaTheme="majorEastAsia"/>
      <w:b/>
      <w:bCs/>
      <w:kern w:val="32"/>
      <w:sz w:val="32"/>
      <w:szCs w:val="32"/>
    </w:rPr>
  </w:style>
  <w:style w:type="character" w:customStyle="1" w:styleId="25">
    <w:name w:val="标题 2 Char"/>
    <w:basedOn w:val="21"/>
    <w:link w:val="4"/>
    <w:semiHidden/>
    <w:qFormat/>
    <w:uiPriority w:val="9"/>
    <w:rPr>
      <w:rFonts w:asciiTheme="majorHAnsi" w:hAnsiTheme="majorHAnsi" w:eastAsiaTheme="majorEastAsia"/>
      <w:b/>
      <w:bCs/>
      <w:i/>
      <w:iCs/>
      <w:sz w:val="28"/>
      <w:szCs w:val="28"/>
    </w:rPr>
  </w:style>
  <w:style w:type="character" w:customStyle="1" w:styleId="26">
    <w:name w:val="标题 3 Char"/>
    <w:basedOn w:val="21"/>
    <w:link w:val="5"/>
    <w:semiHidden/>
    <w:qFormat/>
    <w:uiPriority w:val="9"/>
    <w:rPr>
      <w:rFonts w:asciiTheme="majorHAnsi" w:hAnsiTheme="majorHAnsi" w:eastAsiaTheme="majorEastAsia"/>
      <w:b/>
      <w:bCs/>
      <w:sz w:val="26"/>
      <w:szCs w:val="26"/>
    </w:rPr>
  </w:style>
  <w:style w:type="character" w:customStyle="1" w:styleId="27">
    <w:name w:val="标题 4 Char"/>
    <w:basedOn w:val="21"/>
    <w:link w:val="6"/>
    <w:semiHidden/>
    <w:qFormat/>
    <w:uiPriority w:val="9"/>
    <w:rPr>
      <w:b/>
      <w:bCs/>
      <w:sz w:val="28"/>
      <w:szCs w:val="28"/>
    </w:rPr>
  </w:style>
  <w:style w:type="character" w:customStyle="1" w:styleId="28">
    <w:name w:val="标题 5 Char"/>
    <w:basedOn w:val="21"/>
    <w:link w:val="7"/>
    <w:semiHidden/>
    <w:qFormat/>
    <w:uiPriority w:val="9"/>
    <w:rPr>
      <w:b/>
      <w:bCs/>
      <w:i/>
      <w:iCs/>
      <w:sz w:val="26"/>
      <w:szCs w:val="26"/>
    </w:rPr>
  </w:style>
  <w:style w:type="character" w:customStyle="1" w:styleId="29">
    <w:name w:val="标题 6 Char"/>
    <w:basedOn w:val="21"/>
    <w:link w:val="8"/>
    <w:semiHidden/>
    <w:qFormat/>
    <w:uiPriority w:val="9"/>
    <w:rPr>
      <w:b/>
      <w:bCs/>
    </w:rPr>
  </w:style>
  <w:style w:type="character" w:customStyle="1" w:styleId="30">
    <w:name w:val="标题 7 Char"/>
    <w:basedOn w:val="21"/>
    <w:link w:val="9"/>
    <w:semiHidden/>
    <w:qFormat/>
    <w:uiPriority w:val="9"/>
    <w:rPr>
      <w:sz w:val="24"/>
      <w:szCs w:val="24"/>
    </w:rPr>
  </w:style>
  <w:style w:type="character" w:customStyle="1" w:styleId="31">
    <w:name w:val="标题 8 Char"/>
    <w:basedOn w:val="21"/>
    <w:link w:val="10"/>
    <w:semiHidden/>
    <w:qFormat/>
    <w:uiPriority w:val="9"/>
    <w:rPr>
      <w:i/>
      <w:iCs/>
      <w:sz w:val="24"/>
      <w:szCs w:val="24"/>
    </w:rPr>
  </w:style>
  <w:style w:type="character" w:customStyle="1" w:styleId="32">
    <w:name w:val="标题 9 Char"/>
    <w:basedOn w:val="21"/>
    <w:link w:val="11"/>
    <w:semiHidden/>
    <w:qFormat/>
    <w:uiPriority w:val="9"/>
    <w:rPr>
      <w:rFonts w:asciiTheme="majorHAnsi" w:hAnsiTheme="majorHAnsi" w:eastAsiaTheme="majorEastAsia"/>
    </w:rPr>
  </w:style>
  <w:style w:type="character" w:customStyle="1" w:styleId="33">
    <w:name w:val="标题 Char"/>
    <w:basedOn w:val="21"/>
    <w:link w:val="2"/>
    <w:qFormat/>
    <w:uiPriority w:val="10"/>
    <w:rPr>
      <w:rFonts w:asciiTheme="majorHAnsi" w:hAnsiTheme="majorHAnsi" w:eastAsiaTheme="majorEastAsia"/>
      <w:b/>
      <w:bCs/>
      <w:kern w:val="28"/>
      <w:sz w:val="32"/>
      <w:szCs w:val="32"/>
    </w:rPr>
  </w:style>
  <w:style w:type="character" w:customStyle="1" w:styleId="34">
    <w:name w:val="副标题 Char"/>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Char"/>
    <w:basedOn w:val="21"/>
    <w:link w:val="15"/>
    <w:qFormat/>
    <w:uiPriority w:val="99"/>
    <w:rPr>
      <w:rFonts w:ascii="Calibri" w:hAnsi="Calibri" w:eastAsia="宋体"/>
      <w:kern w:val="2"/>
      <w:sz w:val="18"/>
      <w:szCs w:val="18"/>
    </w:rPr>
  </w:style>
  <w:style w:type="character" w:customStyle="1" w:styleId="48">
    <w:name w:val="页脚 Char"/>
    <w:basedOn w:val="21"/>
    <w:link w:val="14"/>
    <w:qFormat/>
    <w:uiPriority w:val="99"/>
    <w:rPr>
      <w:rFonts w:ascii="Calibri" w:hAnsi="Calibri" w:eastAsia="宋体"/>
      <w:kern w:val="2"/>
      <w:sz w:val="18"/>
      <w:szCs w:val="18"/>
    </w:rPr>
  </w:style>
  <w:style w:type="character" w:customStyle="1" w:styleId="49">
    <w:name w:val="批注框文本 Char"/>
    <w:basedOn w:val="21"/>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5781</Words>
  <Characters>650</Characters>
  <Lines>5</Lines>
  <Paragraphs>12</Paragraphs>
  <TotalTime>0</TotalTime>
  <ScaleCrop>false</ScaleCrop>
  <LinksUpToDate>false</LinksUpToDate>
  <CharactersWithSpaces>6419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2021-04-19T09:38:00Z</cp:lastPrinted>
  <dcterms:modified xsi:type="dcterms:W3CDTF">2025-09-04T11:02:43Z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CD20285774F44A0A957710350D85A0F7</vt:lpwstr>
  </property>
  <property fmtid="{D5CDD505-2E9C-101B-9397-08002B2CF9AE}" pid="4" name="KSOSaveFontToCloudKey">
    <vt:lpwstr>390855185_btnclosed</vt:lpwstr>
  </property>
</Properties>
</file>