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军转干部医疗项目支出绩效评价报告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contextualSpacing/>
        <w:rPr>
          <w:rFonts w:hint="eastAsia" w:ascii="仿宋_GB2312" w:hAnsi="仿宋_GB2312" w:eastAsia="仿宋_GB2312" w:cs="仿宋_GB2312"/>
          <w:kern w:val="0"/>
          <w:sz w:val="36"/>
          <w:szCs w:val="36"/>
        </w:rPr>
      </w:pPr>
      <w:r>
        <w:rPr>
          <w:rFonts w:hint="eastAsia" w:hAnsi="宋体" w:eastAsia="仿宋_GB2312" w:cs="宋体"/>
          <w:kern w:val="0"/>
          <w:sz w:val="36"/>
          <w:szCs w:val="36"/>
        </w:rPr>
        <w:t>　　</w:t>
      </w:r>
      <w:r>
        <w:rPr>
          <w:rFonts w:hint="eastAsia" w:ascii="仿宋_GB2312" w:hAnsi="仿宋_GB2312" w:eastAsia="仿宋_GB2312" w:cs="仿宋_GB2312"/>
          <w:kern w:val="0"/>
          <w:sz w:val="36"/>
          <w:szCs w:val="36"/>
        </w:rPr>
        <w:t>项目名称：军转干部医疗</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实施单位（公章）：塔城地区退役军人事务局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主管部门（公章）：塔城地区退役军人事务局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项目负责人（签章）：徐姜洁</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填报时间：2021年3月11日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600" w:lineRule="exact"/>
        <w:rPr>
          <w:rFonts w:ascii="黑体" w:hAnsi="黑体" w:eastAsia="黑体" w:cs="黑体"/>
          <w:bCs/>
          <w:sz w:val="32"/>
          <w:szCs w:val="32"/>
        </w:rPr>
      </w:pPr>
    </w:p>
    <w:p>
      <w:pPr>
        <w:spacing w:line="600" w:lineRule="exact"/>
        <w:rPr>
          <w:rFonts w:ascii="黑体" w:hAnsi="黑体" w:eastAsia="黑体" w:cs="黑体"/>
          <w:bCs/>
          <w:sz w:val="32"/>
          <w:szCs w:val="32"/>
        </w:rPr>
      </w:pPr>
    </w:p>
    <w:p>
      <w:pPr>
        <w:keepNext w:val="0"/>
        <w:keepLines w:val="0"/>
        <w:pageBreakBefore w:val="0"/>
        <w:kinsoku/>
        <w:wordWrap/>
        <w:overflowPunct/>
        <w:topLinePunct w:val="0"/>
        <w:autoSpaceDE/>
        <w:autoSpaceDN/>
        <w:bidi w:val="0"/>
        <w:adjustRightInd/>
        <w:snapToGrid/>
        <w:spacing w:line="560" w:lineRule="atLeast"/>
        <w:rPr>
          <w:rFonts w:ascii="黑体" w:hAnsi="黑体" w:eastAsia="黑体" w:cs="黑体"/>
          <w:bCs/>
          <w:sz w:val="32"/>
          <w:szCs w:val="32"/>
        </w:rPr>
      </w:pPr>
      <w:r>
        <w:rPr>
          <w:rFonts w:hint="eastAsia" w:ascii="黑体" w:hAnsi="黑体" w:eastAsia="黑体" w:cs="黑体"/>
          <w:bCs/>
          <w:sz w:val="32"/>
          <w:szCs w:val="32"/>
        </w:rPr>
        <w:t>一、基本情况</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组织落实移交地方的离休退休人员、符合条件的其他人员和退役安置</w:t>
      </w:r>
      <w:r>
        <w:rPr>
          <w:rFonts w:hint="eastAsia" w:ascii="仿宋_GB2312" w:hAnsi="仿宋_GB2312" w:eastAsia="仿宋_GB2312" w:cs="仿宋_GB2312"/>
          <w:kern w:val="0"/>
          <w:sz w:val="32"/>
          <w:szCs w:val="32"/>
          <w:lang w:eastAsia="zh-CN"/>
        </w:rPr>
        <w:t>军转干部</w:t>
      </w:r>
      <w:r>
        <w:rPr>
          <w:rFonts w:hint="eastAsia" w:ascii="仿宋_GB2312" w:hAnsi="仿宋_GB2312" w:eastAsia="仿宋_GB2312" w:cs="仿宋_GB2312"/>
          <w:kern w:val="0"/>
          <w:sz w:val="32"/>
          <w:szCs w:val="32"/>
        </w:rPr>
        <w:t>人员医疗保障待遇保障工作。</w:t>
      </w:r>
      <w:bookmarkStart w:id="2" w:name="_GoBack"/>
      <w:bookmarkEnd w:id="2"/>
    </w:p>
    <w:p>
      <w:pPr>
        <w:keepNext w:val="0"/>
        <w:keepLines w:val="0"/>
        <w:pageBreakBefore w:val="0"/>
        <w:numPr>
          <w:ilvl w:val="0"/>
          <w:numId w:val="1"/>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项目主要内容及实施情况</w:t>
      </w:r>
    </w:p>
    <w:p>
      <w:pPr>
        <w:pStyle w:val="2"/>
        <w:keepNext w:val="0"/>
        <w:keepLines w:val="0"/>
        <w:pageBreakBefore w:val="0"/>
        <w:kinsoku/>
        <w:wordWrap/>
        <w:overflowPunct/>
        <w:topLinePunct w:val="0"/>
        <w:autoSpaceDE/>
        <w:autoSpaceDN/>
        <w:bidi w:val="0"/>
        <w:adjustRightInd/>
        <w:snapToGri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军队转业干部的医疗保障问题，建立基本医疗保险制度，按照安置地方政府的有关规定、统一参加安置地的基本医疗保险补助待遇。由安置地军队转业干部安置工作部门向当地统筹地区社会保险经办机构缴纳，所需经费由安置地政府解决。</w:t>
      </w:r>
    </w:p>
    <w:p>
      <w:pPr>
        <w:keepNext w:val="0"/>
        <w:keepLines w:val="0"/>
        <w:pageBreakBefore w:val="0"/>
        <w:kinsoku/>
        <w:wordWrap/>
        <w:overflowPunct/>
        <w:topLinePunct w:val="0"/>
        <w:autoSpaceDE/>
        <w:autoSpaceDN/>
        <w:bidi w:val="0"/>
        <w:adjustRightInd/>
        <w:snapToGrid/>
        <w:spacing w:line="560" w:lineRule="atLeast"/>
        <w:rPr>
          <w:rFonts w:hint="eastAsia" w:ascii="仿宋_GB2312" w:hAnsi="仿宋_GB2312" w:eastAsia="仿宋_GB2312" w:cs="仿宋_GB2312"/>
          <w:bCs/>
          <w:color w:val="000000"/>
          <w:spacing w:val="-4"/>
          <w:sz w:val="30"/>
          <w:szCs w:val="30"/>
        </w:rPr>
      </w:pPr>
      <w:r>
        <w:rPr>
          <w:rFonts w:hint="eastAsia" w:ascii="仿宋_GB2312" w:hAnsi="仿宋_GB2312" w:eastAsia="仿宋_GB2312" w:cs="仿宋_GB2312"/>
          <w:sz w:val="30"/>
          <w:szCs w:val="30"/>
        </w:rPr>
        <w:t>　　项目实施情况：</w:t>
      </w:r>
      <w:r>
        <w:rPr>
          <w:rStyle w:val="20"/>
          <w:rFonts w:hint="eastAsia" w:ascii="仿宋_GB2312" w:hAnsi="仿宋_GB2312" w:eastAsia="仿宋_GB2312" w:cs="仿宋_GB2312"/>
          <w:b w:val="0"/>
          <w:color w:val="000000"/>
          <w:spacing w:val="-4"/>
          <w:sz w:val="30"/>
          <w:szCs w:val="30"/>
          <w:shd w:val="clear" w:color="auto" w:fill="FFFFFF"/>
        </w:rPr>
        <w:t>2020年每月按时为</w:t>
      </w:r>
      <w:r>
        <w:rPr>
          <w:rStyle w:val="20"/>
          <w:rFonts w:hint="eastAsia" w:ascii="仿宋_GB2312" w:hAnsi="仿宋_GB2312" w:eastAsia="仿宋_GB2312" w:cs="仿宋_GB2312"/>
          <w:b w:val="0"/>
          <w:color w:val="000000"/>
          <w:spacing w:val="-4"/>
          <w:sz w:val="30"/>
          <w:szCs w:val="30"/>
          <w:shd w:val="clear" w:color="auto" w:fill="FFFFFF"/>
        </w:rPr>
        <w:fldChar w:fldCharType="begin">
          <w:fldData xml:space="preserve">QwAwADcARAA0AEMARQBBADEANgBBADkANAA2AEMANAA5ADkANwAwADAANwA4AEUAOQA4ADQARQBD
AEYAQgAxAA==
</w:fldData>
        </w:fldChar>
      </w:r>
      <w:r>
        <w:rPr>
          <w:rStyle w:val="20"/>
          <w:rFonts w:hint="eastAsia" w:ascii="仿宋_GB2312" w:hAnsi="仿宋_GB2312" w:eastAsia="仿宋_GB2312" w:cs="仿宋_GB2312"/>
          <w:b w:val="0"/>
          <w:color w:val="000000"/>
          <w:spacing w:val="-4"/>
          <w:sz w:val="30"/>
          <w:szCs w:val="30"/>
          <w:shd w:val="clear" w:color="auto" w:fill="FFFFFF"/>
        </w:rPr>
        <w:instrText xml:space="preserve">Addin (二)项目预算绩效目标设定情况</w:instrText>
      </w:r>
      <w:r>
        <w:rPr>
          <w:rStyle w:val="20"/>
          <w:rFonts w:hint="eastAsia" w:ascii="仿宋_GB2312" w:hAnsi="仿宋_GB2312" w:eastAsia="仿宋_GB2312" w:cs="仿宋_GB2312"/>
          <w:b w:val="0"/>
          <w:color w:val="000000"/>
          <w:spacing w:val="-4"/>
          <w:sz w:val="30"/>
          <w:szCs w:val="30"/>
          <w:shd w:val="clear" w:color="auto" w:fill="FFFFFF"/>
        </w:rPr>
        <w:fldChar w:fldCharType="separate"/>
      </w:r>
      <w:r>
        <w:rPr>
          <w:rStyle w:val="20"/>
          <w:rFonts w:hint="eastAsia" w:ascii="仿宋_GB2312" w:hAnsi="仿宋_GB2312" w:eastAsia="仿宋_GB2312" w:cs="仿宋_GB2312"/>
          <w:b w:val="0"/>
          <w:color w:val="000000"/>
          <w:spacing w:val="-4"/>
          <w:sz w:val="30"/>
          <w:szCs w:val="30"/>
          <w:shd w:val="clear" w:color="FFFFFF" w:fill="FFFFFF"/>
        </w:rPr>
        <w:t>军队</w:t>
      </w:r>
      <w:r>
        <w:rPr>
          <w:rStyle w:val="20"/>
          <w:rFonts w:hint="eastAsia" w:ascii="仿宋_GB2312" w:hAnsi="仿宋_GB2312" w:eastAsia="仿宋_GB2312" w:cs="仿宋_GB2312"/>
          <w:b w:val="0"/>
          <w:color w:val="000000"/>
          <w:spacing w:val="-4"/>
          <w:sz w:val="30"/>
          <w:szCs w:val="30"/>
          <w:shd w:val="clear" w:color="FFFFFF" w:fill="FFFFFF"/>
          <w:lang w:eastAsia="zh-CN"/>
        </w:rPr>
        <w:t>军转干部</w:t>
      </w:r>
      <w:r>
        <w:rPr>
          <w:rStyle w:val="20"/>
          <w:rFonts w:hint="eastAsia" w:ascii="仿宋_GB2312" w:hAnsi="仿宋_GB2312" w:eastAsia="仿宋_GB2312" w:cs="仿宋_GB2312"/>
          <w:b w:val="0"/>
          <w:color w:val="000000"/>
          <w:spacing w:val="-4"/>
          <w:sz w:val="30"/>
          <w:szCs w:val="30"/>
          <w:shd w:val="clear" w:color="FFFFFF" w:fill="FFFFFF"/>
        </w:rPr>
        <w:t>缴纳基本医</w:t>
      </w:r>
      <w:r>
        <w:rPr>
          <w:rStyle w:val="20"/>
          <w:rFonts w:hint="eastAsia" w:ascii="仿宋_GB2312" w:hAnsi="仿宋_GB2312" w:eastAsia="仿宋_GB2312" w:cs="仿宋_GB2312"/>
          <w:b w:val="0"/>
          <w:color w:val="000000"/>
          <w:spacing w:val="-4"/>
          <w:sz w:val="30"/>
          <w:szCs w:val="30"/>
          <w:shd w:val="clear" w:color="auto" w:fill="FFFFFF"/>
        </w:rPr>
        <w:fldChar w:fldCharType="end"/>
      </w:r>
      <w:r>
        <w:rPr>
          <w:rStyle w:val="20"/>
          <w:rFonts w:hint="eastAsia" w:ascii="仿宋_GB2312" w:hAnsi="仿宋_GB2312" w:eastAsia="仿宋_GB2312" w:cs="仿宋_GB2312"/>
          <w:b w:val="0"/>
          <w:color w:val="000000"/>
          <w:spacing w:val="-4"/>
          <w:sz w:val="30"/>
          <w:szCs w:val="30"/>
          <w:shd w:val="clear" w:color="auto" w:fill="FFFFFF"/>
          <w:lang w:eastAsia="zh-CN"/>
        </w:rPr>
        <w:t>疗</w:t>
      </w:r>
      <w:r>
        <w:rPr>
          <w:rStyle w:val="20"/>
          <w:rFonts w:hint="eastAsia" w:ascii="仿宋_GB2312" w:hAnsi="仿宋_GB2312" w:eastAsia="仿宋_GB2312" w:cs="仿宋_GB2312"/>
          <w:b w:val="0"/>
          <w:color w:val="000000"/>
          <w:spacing w:val="-4"/>
          <w:sz w:val="30"/>
          <w:szCs w:val="30"/>
          <w:shd w:val="clear" w:color="auto" w:fill="FFFFFF"/>
        </w:rPr>
        <w:t>。</w:t>
      </w:r>
      <w:r>
        <w:rPr>
          <w:rStyle w:val="20"/>
          <w:rFonts w:hint="eastAsia" w:ascii="仿宋_GB2312" w:hAnsi="仿宋_GB2312" w:eastAsia="仿宋_GB2312" w:cs="仿宋_GB2312"/>
          <w:b w:val="0"/>
          <w:color w:val="000000"/>
          <w:spacing w:val="-4"/>
          <w:sz w:val="30"/>
          <w:szCs w:val="30"/>
          <w:shd w:val="clear" w:color="auto" w:fill="FFFFFF"/>
        </w:rPr>
        <w:fldChar w:fldCharType="begin">
          <w:fldData xml:space="preserve">QwAwADcARAA0AEMARQBBADEANgBBADkANAA2AEMANAA5ADkANwAwADAANwA4AEUAOQA4ADQARQBD
AEYAQgAxAA==
</w:fldData>
        </w:fldChar>
      </w:r>
      <w:r>
        <w:rPr>
          <w:rStyle w:val="20"/>
          <w:rFonts w:hint="eastAsia" w:ascii="仿宋_GB2312" w:hAnsi="仿宋_GB2312" w:eastAsia="仿宋_GB2312" w:cs="仿宋_GB2312"/>
          <w:b w:val="0"/>
          <w:color w:val="000000"/>
          <w:spacing w:val="-4"/>
          <w:sz w:val="30"/>
          <w:szCs w:val="30"/>
          <w:shd w:val="clear" w:color="auto" w:fill="FFFFFF"/>
        </w:rPr>
        <w:instrText xml:space="preserve">Addin (二)项目预算绩效目标设定情况</w:instrText>
      </w:r>
      <w:r>
        <w:rPr>
          <w:rStyle w:val="20"/>
          <w:rFonts w:hint="eastAsia" w:ascii="仿宋_GB2312" w:hAnsi="仿宋_GB2312" w:eastAsia="仿宋_GB2312" w:cs="仿宋_GB2312"/>
          <w:b w:val="0"/>
          <w:color w:val="000000"/>
          <w:spacing w:val="-4"/>
          <w:sz w:val="30"/>
          <w:szCs w:val="30"/>
          <w:shd w:val="clear" w:color="auto" w:fill="FFFFFF"/>
        </w:rPr>
        <w:fldChar w:fldCharType="separate"/>
      </w:r>
      <w:r>
        <w:rPr>
          <w:rStyle w:val="20"/>
          <w:rFonts w:hint="eastAsia" w:ascii="仿宋_GB2312" w:hAnsi="仿宋_GB2312" w:eastAsia="仿宋_GB2312" w:cs="仿宋_GB2312"/>
          <w:b w:val="0"/>
          <w:color w:val="000000"/>
          <w:spacing w:val="-4"/>
          <w:sz w:val="30"/>
          <w:szCs w:val="30"/>
          <w:shd w:val="clear" w:color="FFFFFF" w:fill="FFFFFF"/>
        </w:rPr>
        <w:t>军队</w:t>
      </w:r>
      <w:r>
        <w:rPr>
          <w:rStyle w:val="20"/>
          <w:rFonts w:hint="eastAsia" w:ascii="仿宋_GB2312" w:hAnsi="仿宋_GB2312" w:eastAsia="仿宋_GB2312" w:cs="仿宋_GB2312"/>
          <w:b w:val="0"/>
          <w:color w:val="000000"/>
          <w:spacing w:val="-4"/>
          <w:sz w:val="30"/>
          <w:szCs w:val="30"/>
          <w:shd w:val="clear" w:color="FFFFFF" w:fill="FFFFFF"/>
          <w:lang w:eastAsia="zh-CN"/>
        </w:rPr>
        <w:t>军转干部</w:t>
      </w:r>
      <w:r>
        <w:rPr>
          <w:rStyle w:val="20"/>
          <w:rFonts w:hint="eastAsia" w:ascii="仿宋_GB2312" w:hAnsi="仿宋_GB2312" w:eastAsia="仿宋_GB2312" w:cs="仿宋_GB2312"/>
          <w:b w:val="0"/>
          <w:color w:val="000000"/>
          <w:spacing w:val="-4"/>
          <w:sz w:val="30"/>
          <w:szCs w:val="30"/>
          <w:shd w:val="clear" w:color="FFFFFF" w:fill="FFFFFF"/>
        </w:rPr>
        <w:t>82人，基本医疗</w:t>
      </w:r>
      <w:r>
        <w:rPr>
          <w:rStyle w:val="20"/>
          <w:rFonts w:hint="eastAsia" w:ascii="仿宋_GB2312" w:hAnsi="仿宋_GB2312" w:eastAsia="仿宋_GB2312" w:cs="仿宋_GB2312"/>
          <w:b w:val="0"/>
          <w:color w:val="000000"/>
          <w:spacing w:val="-4"/>
          <w:sz w:val="30"/>
          <w:szCs w:val="30"/>
          <w:shd w:val="clear" w:color="FFFFFF" w:fill="FFFFFF"/>
          <w:lang w:val="en-US" w:eastAsia="zh-CN"/>
        </w:rPr>
        <w:t>107.96</w:t>
      </w:r>
      <w:r>
        <w:rPr>
          <w:rStyle w:val="20"/>
          <w:rFonts w:hint="eastAsia" w:ascii="仿宋_GB2312" w:hAnsi="仿宋_GB2312" w:eastAsia="仿宋_GB2312" w:cs="仿宋_GB2312"/>
          <w:b w:val="0"/>
          <w:color w:val="000000"/>
          <w:spacing w:val="-4"/>
          <w:sz w:val="30"/>
          <w:szCs w:val="30"/>
          <w:shd w:val="clear" w:color="FFFFFF" w:fill="FFFFFF"/>
        </w:rPr>
        <w:t>万元。</w:t>
      </w:r>
      <w:r>
        <w:rPr>
          <w:rStyle w:val="20"/>
          <w:rFonts w:hint="eastAsia" w:ascii="仿宋_GB2312" w:hAnsi="仿宋_GB2312" w:eastAsia="仿宋_GB2312" w:cs="仿宋_GB2312"/>
          <w:b w:val="0"/>
          <w:color w:val="000000"/>
          <w:spacing w:val="-4"/>
          <w:sz w:val="30"/>
          <w:szCs w:val="30"/>
          <w:shd w:val="clear" w:color="auto" w:fill="FFFFFF"/>
        </w:rPr>
        <w:fldChar w:fldCharType="end"/>
      </w:r>
    </w:p>
    <w:p>
      <w:pPr>
        <w:keepNext w:val="0"/>
        <w:keepLines w:val="0"/>
        <w:pageBreakBefore w:val="0"/>
        <w:kinsoku/>
        <w:wordWrap/>
        <w:overflowPunct/>
        <w:topLinePunct w:val="0"/>
        <w:autoSpaceDE/>
        <w:autoSpaceDN/>
        <w:bidi w:val="0"/>
        <w:adjustRightInd/>
        <w:snapToGrid/>
        <w:spacing w:line="560" w:lineRule="atLeast"/>
        <w:ind w:firstLine="600" w:firstLineChars="200"/>
        <w:rPr>
          <w:rFonts w:hint="eastAsia" w:ascii="仿宋_GB2312" w:hAnsi="仿宋_GB2312" w:eastAsia="仿宋_GB2312" w:cs="仿宋_GB2312"/>
          <w:sz w:val="30"/>
          <w:szCs w:val="30"/>
        </w:rPr>
      </w:pPr>
    </w:p>
    <w:p>
      <w:pPr>
        <w:keepNext w:val="0"/>
        <w:keepLines w:val="0"/>
        <w:pageBreakBefore w:val="0"/>
        <w:kinsoku/>
        <w:wordWrap/>
        <w:overflowPunct/>
        <w:topLinePunct w:val="0"/>
        <w:autoSpaceDE/>
        <w:autoSpaceDN/>
        <w:bidi w:val="0"/>
        <w:adjustRightInd/>
        <w:snapToGrid/>
        <w:spacing w:line="560" w:lineRule="atLeast"/>
        <w:ind w:firstLine="543" w:firstLineChars="181"/>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本项目总投资</w:t>
      </w:r>
      <w:r>
        <w:rPr>
          <w:rStyle w:val="20"/>
          <w:rFonts w:hint="eastAsia" w:ascii="仿宋_GB2312" w:hAnsi="仿宋_GB2312" w:eastAsia="仿宋_GB2312" w:cs="仿宋_GB2312"/>
          <w:b w:val="0"/>
          <w:color w:val="000000"/>
          <w:spacing w:val="-4"/>
          <w:sz w:val="30"/>
          <w:szCs w:val="30"/>
          <w:shd w:val="clear" w:color="FFFFFF" w:fill="FFFFFF"/>
          <w:lang w:val="en-US" w:eastAsia="zh-CN"/>
        </w:rPr>
        <w:t>107.96</w:t>
      </w:r>
      <w:r>
        <w:rPr>
          <w:rFonts w:hint="eastAsia" w:ascii="仿宋_GB2312" w:hAnsi="仿宋_GB2312" w:eastAsia="仿宋_GB2312" w:cs="仿宋_GB2312"/>
          <w:sz w:val="30"/>
          <w:szCs w:val="30"/>
        </w:rPr>
        <w:t>万元，其中：财政本级资金</w:t>
      </w:r>
      <w:r>
        <w:rPr>
          <w:rStyle w:val="20"/>
          <w:rFonts w:hint="eastAsia" w:ascii="仿宋_GB2312" w:hAnsi="仿宋_GB2312" w:eastAsia="仿宋_GB2312" w:cs="仿宋_GB2312"/>
          <w:b w:val="0"/>
          <w:color w:val="000000"/>
          <w:spacing w:val="-4"/>
          <w:sz w:val="30"/>
          <w:szCs w:val="30"/>
          <w:shd w:val="clear" w:color="FFFFFF" w:fill="FFFFFF"/>
          <w:lang w:val="en-US" w:eastAsia="zh-CN"/>
        </w:rPr>
        <w:t>107.96</w:t>
      </w:r>
      <w:r>
        <w:rPr>
          <w:rFonts w:hint="eastAsia" w:ascii="仿宋_GB2312" w:hAnsi="仿宋_GB2312" w:eastAsia="仿宋_GB2312" w:cs="仿宋_GB2312"/>
          <w:sz w:val="30"/>
          <w:szCs w:val="30"/>
        </w:rPr>
        <w:t>万元。项目实际支出</w:t>
      </w:r>
      <w:r>
        <w:rPr>
          <w:rStyle w:val="20"/>
          <w:rFonts w:hint="eastAsia" w:ascii="仿宋_GB2312" w:hAnsi="仿宋_GB2312" w:eastAsia="仿宋_GB2312" w:cs="仿宋_GB2312"/>
          <w:b w:val="0"/>
          <w:color w:val="000000"/>
          <w:spacing w:val="-4"/>
          <w:sz w:val="30"/>
          <w:szCs w:val="30"/>
          <w:shd w:val="clear" w:color="FFFFFF" w:fill="FFFFFF"/>
          <w:lang w:val="en-US" w:eastAsia="zh-CN"/>
        </w:rPr>
        <w:t>91.32</w:t>
      </w:r>
      <w:r>
        <w:rPr>
          <w:rFonts w:hint="eastAsia" w:ascii="仿宋_GB2312" w:hAnsi="仿宋_GB2312" w:eastAsia="仿宋_GB2312" w:cs="仿宋_GB2312"/>
          <w:sz w:val="30"/>
          <w:szCs w:val="30"/>
        </w:rPr>
        <w:t>万元， 支出率为</w:t>
      </w:r>
      <w:r>
        <w:rPr>
          <w:rFonts w:hint="eastAsia" w:ascii="仿宋_GB2312" w:hAnsi="仿宋_GB2312" w:eastAsia="仿宋_GB2312" w:cs="仿宋_GB2312"/>
          <w:sz w:val="30"/>
          <w:szCs w:val="30"/>
          <w:lang w:val="en-US" w:eastAsia="zh-CN"/>
        </w:rPr>
        <w:t>85</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keepNext w:val="0"/>
        <w:keepLines w:val="0"/>
        <w:pageBreakBefore w:val="0"/>
        <w:kinsoku/>
        <w:wordWrap/>
        <w:overflowPunct/>
        <w:topLinePunct w:val="0"/>
        <w:autoSpaceDE/>
        <w:autoSpaceDN/>
        <w:bidi w:val="0"/>
        <w:adjustRightInd/>
        <w:snapToGrid/>
        <w:spacing w:line="560" w:lineRule="atLeast"/>
        <w:ind w:firstLine="579" w:firstLineChars="181"/>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项目总投资</w:t>
      </w:r>
      <w:r>
        <w:rPr>
          <w:rStyle w:val="20"/>
          <w:rFonts w:hint="eastAsia" w:ascii="仿宋" w:hAnsi="仿宋" w:eastAsia="仿宋"/>
          <w:b w:val="0"/>
          <w:color w:val="000000"/>
          <w:spacing w:val="-4"/>
          <w:sz w:val="32"/>
          <w:szCs w:val="32"/>
          <w:shd w:val="clear" w:color="FFFFFF" w:fill="FFFFFF"/>
          <w:lang w:eastAsia="zh-CN"/>
        </w:rPr>
        <w:t>107.96</w:t>
      </w:r>
      <w:r>
        <w:rPr>
          <w:rFonts w:hint="eastAsia" w:ascii="仿宋_GB2312" w:hAnsi="仿宋_GB2312" w:eastAsia="仿宋_GB2312" w:cs="仿宋_GB2312"/>
          <w:sz w:val="32"/>
          <w:szCs w:val="32"/>
        </w:rPr>
        <w:t>万元，资金支出符合</w:t>
      </w:r>
      <w:r>
        <w:rPr>
          <w:rFonts w:hint="eastAsia" w:ascii="仿宋_GB2312" w:hAnsi="仿宋_GB2312" w:eastAsia="仿宋_GB2312" w:cs="仿宋_GB2312"/>
          <w:sz w:val="32"/>
          <w:szCs w:val="32"/>
          <w:lang w:eastAsia="zh-CN"/>
        </w:rPr>
        <w:t>军转干部</w:t>
      </w:r>
      <w:r>
        <w:rPr>
          <w:rFonts w:hint="eastAsia" w:ascii="仿宋_GB2312" w:hAnsi="仿宋_GB2312" w:eastAsia="仿宋_GB2312" w:cs="仿宋_GB2312"/>
          <w:sz w:val="32"/>
          <w:szCs w:val="32"/>
        </w:rPr>
        <w:t>医疗资金费用范围，做到了专款专用。</w:t>
      </w:r>
      <w:r>
        <w:rPr>
          <w:rFonts w:hint="eastAsia" w:ascii="仿宋" w:hAnsi="仿宋" w:eastAsia="仿宋"/>
          <w:sz w:val="32"/>
          <w:szCs w:val="32"/>
        </w:rPr>
        <w:t>对</w:t>
      </w:r>
      <w:r>
        <w:rPr>
          <w:rFonts w:hint="eastAsia" w:ascii="仿宋" w:hAnsi="仿宋" w:eastAsia="仿宋"/>
          <w:sz w:val="32"/>
          <w:szCs w:val="32"/>
          <w:lang w:eastAsia="zh-CN"/>
        </w:rPr>
        <w:t>军转干部</w:t>
      </w:r>
      <w:r>
        <w:rPr>
          <w:rFonts w:hint="eastAsia" w:ascii="仿宋" w:hAnsi="仿宋" w:eastAsia="仿宋"/>
          <w:sz w:val="32"/>
          <w:szCs w:val="32"/>
        </w:rPr>
        <w:t>医疗项目进行科学评价，</w:t>
      </w:r>
      <w:r>
        <w:rPr>
          <w:rFonts w:hint="eastAsia" w:ascii="仿宋_GB2312" w:hAnsi="仿宋_GB2312" w:eastAsia="仿宋_GB2312" w:cs="仿宋_GB2312"/>
          <w:sz w:val="32"/>
          <w:szCs w:val="32"/>
        </w:rPr>
        <w:t>在项目资金拨付和使用过程中，为确保项目资金的安全性，提高项目资金使用效率，严格遵循资金的拨付程序，认真审核项目实施各阶段的相关材料和手续，根据项目实施进展情况拨付资金。</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rPr>
      </w:pPr>
      <w:r>
        <w:rPr>
          <w:rFonts w:hint="eastAsia" w:ascii="仿宋_GB2312" w:hAnsi="仿宋_GB2312" w:eastAsia="仿宋_GB2312" w:cs="仿宋_GB2312"/>
          <w:sz w:val="32"/>
          <w:szCs w:val="32"/>
        </w:rPr>
        <w:t>项目预算资金来源于本级资金，项目资金到位</w:t>
      </w:r>
      <w:r>
        <w:rPr>
          <w:rStyle w:val="20"/>
          <w:rFonts w:hint="eastAsia" w:ascii="仿宋" w:hAnsi="仿宋" w:eastAsia="仿宋"/>
          <w:b w:val="0"/>
          <w:color w:val="000000"/>
          <w:spacing w:val="-4"/>
          <w:sz w:val="32"/>
          <w:szCs w:val="32"/>
          <w:shd w:val="clear" w:color="FFFFFF" w:fill="FFFFFF"/>
          <w:lang w:eastAsia="zh-CN"/>
        </w:rPr>
        <w:t>107.96</w:t>
      </w:r>
      <w:r>
        <w:rPr>
          <w:rFonts w:hint="eastAsia" w:ascii="仿宋_GB2312" w:hAnsi="仿宋_GB2312" w:eastAsia="仿宋_GB2312" w:cs="仿宋_GB2312"/>
          <w:sz w:val="32"/>
          <w:szCs w:val="32"/>
        </w:rPr>
        <w:t>万元</w:t>
      </w:r>
      <w:r>
        <w:rPr>
          <w:rFonts w:hint="eastAsia" w:ascii="仿宋_GB2312" w:hAnsi="仿宋_GB2312" w:eastAsia="仿宋_GB2312" w:cs="仿宋_GB2312"/>
        </w:rPr>
        <w:t>，</w:t>
      </w:r>
      <w:r>
        <w:rPr>
          <w:rStyle w:val="20"/>
          <w:rFonts w:ascii="仿宋" w:hAnsi="仿宋" w:eastAsia="仿宋"/>
          <w:b w:val="0"/>
          <w:color w:val="000000"/>
          <w:spacing w:val="-4"/>
          <w:sz w:val="32"/>
          <w:szCs w:val="32"/>
          <w:shd w:val="clear" w:color="auto" w:fill="FFFFFF"/>
        </w:rPr>
        <w:fldChar w:fldCharType="begin">
          <w:fldData xml:space="preserve">QwAwADcARAA0AEMARQBBADEANgBBADkANAA2AEMANAA5ADkANwAwADAANwA4AEUAOQA4ADQARQBD
AEYAQgAxAA==
</w:fldData>
        </w:fldChar>
      </w:r>
      <w:r>
        <w:rPr>
          <w:rStyle w:val="20"/>
          <w:rFonts w:ascii="仿宋" w:hAnsi="仿宋" w:eastAsia="仿宋"/>
          <w:b w:val="0"/>
          <w:color w:val="000000"/>
          <w:spacing w:val="-4"/>
          <w:sz w:val="32"/>
          <w:szCs w:val="32"/>
          <w:shd w:val="clear" w:color="auto" w:fill="FFFFFF"/>
        </w:rPr>
        <w:instrText xml:space="preserve">Addin (二)项目预算绩效目标设定情况</w:instrText>
      </w:r>
      <w:r>
        <w:rPr>
          <w:rStyle w:val="20"/>
          <w:rFonts w:ascii="仿宋" w:hAnsi="仿宋" w:eastAsia="仿宋"/>
          <w:b w:val="0"/>
          <w:color w:val="000000"/>
          <w:spacing w:val="-4"/>
          <w:sz w:val="32"/>
          <w:szCs w:val="32"/>
          <w:shd w:val="clear" w:color="auto" w:fill="FFFFFF"/>
        </w:rPr>
        <w:fldChar w:fldCharType="separate"/>
      </w:r>
      <w:r>
        <w:rPr>
          <w:rStyle w:val="20"/>
          <w:rFonts w:hint="eastAsia" w:ascii="仿宋" w:hAnsi="仿宋" w:eastAsia="仿宋"/>
          <w:b w:val="0"/>
          <w:color w:val="000000"/>
          <w:spacing w:val="-4"/>
          <w:sz w:val="32"/>
          <w:szCs w:val="32"/>
          <w:shd w:val="clear" w:color="FFFFFF" w:fill="FFFFFF"/>
        </w:rPr>
        <w:t>军队</w:t>
      </w:r>
      <w:r>
        <w:rPr>
          <w:rStyle w:val="20"/>
          <w:rFonts w:hint="eastAsia" w:ascii="仿宋" w:hAnsi="仿宋" w:eastAsia="仿宋"/>
          <w:b w:val="0"/>
          <w:color w:val="000000"/>
          <w:spacing w:val="-4"/>
          <w:sz w:val="32"/>
          <w:szCs w:val="32"/>
          <w:shd w:val="clear" w:color="FFFFFF" w:fill="FFFFFF"/>
          <w:lang w:eastAsia="zh-CN"/>
        </w:rPr>
        <w:t>军转干部</w:t>
      </w:r>
      <w:r>
        <w:rPr>
          <w:rStyle w:val="20"/>
          <w:rFonts w:hint="eastAsia" w:ascii="仿宋" w:hAnsi="仿宋" w:eastAsia="仿宋"/>
          <w:b w:val="0"/>
          <w:color w:val="000000"/>
          <w:spacing w:val="-4"/>
          <w:sz w:val="32"/>
          <w:szCs w:val="32"/>
          <w:shd w:val="clear" w:color="FFFFFF" w:fill="FFFFFF"/>
        </w:rPr>
        <w:t>82人，基本医疗</w:t>
      </w:r>
      <w:r>
        <w:rPr>
          <w:rStyle w:val="20"/>
          <w:rFonts w:hint="eastAsia" w:ascii="仿宋" w:hAnsi="仿宋" w:eastAsia="仿宋"/>
          <w:b w:val="0"/>
          <w:color w:val="000000"/>
          <w:spacing w:val="-4"/>
          <w:sz w:val="32"/>
          <w:szCs w:val="32"/>
          <w:shd w:val="clear" w:color="FFFFFF" w:fill="FFFFFF"/>
          <w:lang w:eastAsia="zh-CN"/>
        </w:rPr>
        <w:t>107.96</w:t>
      </w:r>
      <w:r>
        <w:rPr>
          <w:rStyle w:val="20"/>
          <w:rFonts w:hint="eastAsia" w:ascii="仿宋" w:hAnsi="仿宋" w:eastAsia="仿宋"/>
          <w:b w:val="0"/>
          <w:color w:val="000000"/>
          <w:spacing w:val="-4"/>
          <w:sz w:val="32"/>
          <w:szCs w:val="32"/>
          <w:shd w:val="clear" w:color="FFFFFF" w:fill="FFFFFF"/>
        </w:rPr>
        <w:t>万元</w:t>
      </w:r>
      <w:r>
        <w:rPr>
          <w:rStyle w:val="20"/>
          <w:rFonts w:ascii="仿宋" w:hAnsi="仿宋" w:eastAsia="仿宋"/>
          <w:b w:val="0"/>
          <w:color w:val="000000"/>
          <w:spacing w:val="-4"/>
          <w:sz w:val="32"/>
          <w:szCs w:val="32"/>
          <w:shd w:val="clear" w:color="FFFFFF" w:fill="FFFFFF"/>
        </w:rPr>
        <w:t>。</w:t>
      </w:r>
      <w:r>
        <w:rPr>
          <w:rStyle w:val="20"/>
          <w:rFonts w:ascii="仿宋" w:hAnsi="仿宋" w:eastAsia="仿宋"/>
          <w:b w:val="0"/>
          <w:color w:val="000000"/>
          <w:spacing w:val="-4"/>
          <w:sz w:val="32"/>
          <w:szCs w:val="32"/>
          <w:shd w:val="clear" w:color="auto" w:fill="FFFFFF"/>
        </w:rPr>
        <w:fldChar w:fldCharType="end"/>
      </w:r>
      <w:r>
        <w:rPr>
          <w:rFonts w:hint="eastAsia" w:ascii="仿宋_GB2312" w:hAnsi="仿宋_GB2312" w:eastAsia="仿宋_GB2312" w:cs="仿宋_GB2312"/>
          <w:sz w:val="32"/>
          <w:szCs w:val="32"/>
        </w:rPr>
        <w:t>项目实际支出</w:t>
      </w:r>
      <w:r>
        <w:rPr>
          <w:rStyle w:val="20"/>
          <w:rFonts w:hint="eastAsia" w:ascii="仿宋" w:hAnsi="仿宋" w:eastAsia="仿宋"/>
          <w:b w:val="0"/>
          <w:color w:val="000000"/>
          <w:spacing w:val="-4"/>
          <w:sz w:val="32"/>
          <w:szCs w:val="32"/>
          <w:shd w:val="clear" w:color="FFFFFF" w:fill="FFFFFF"/>
          <w:lang w:val="en-US" w:eastAsia="zh-CN"/>
        </w:rPr>
        <w:t>91.32</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（二）项目绩效目标</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Style w:val="2"/>
        <w:keepNext w:val="0"/>
        <w:keepLines w:val="0"/>
        <w:pageBreakBefore w:val="0"/>
        <w:kinsoku/>
        <w:wordWrap/>
        <w:overflowPunct/>
        <w:topLinePunct w:val="0"/>
        <w:autoSpaceDE/>
        <w:autoSpaceDN/>
        <w:bidi w:val="0"/>
        <w:adjustRightInd/>
        <w:snapToGrid/>
        <w:spacing w:before="0" w:after="0" w:line="560" w:lineRule="atLeast"/>
        <w:rPr>
          <w:rFonts w:eastAsia="仿宋_GB2312"/>
        </w:rPr>
      </w:pPr>
      <w:r>
        <w:rPr>
          <w:rFonts w:hint="eastAsia" w:ascii="仿宋_GB2312" w:hAnsi="仿宋_GB2312" w:eastAsia="仿宋_GB2312" w:cs="仿宋_GB2312"/>
          <w:b w:val="0"/>
          <w:bCs w:val="0"/>
          <w:kern w:val="0"/>
        </w:rPr>
        <w:t>退役安置</w:t>
      </w:r>
      <w:r>
        <w:rPr>
          <w:rFonts w:hint="eastAsia" w:ascii="仿宋_GB2312" w:hAnsi="仿宋_GB2312" w:eastAsia="仿宋_GB2312" w:cs="仿宋_GB2312"/>
          <w:b w:val="0"/>
          <w:bCs w:val="0"/>
          <w:kern w:val="0"/>
          <w:lang w:eastAsia="zh-CN"/>
        </w:rPr>
        <w:t>军转干部</w:t>
      </w:r>
      <w:r>
        <w:rPr>
          <w:rFonts w:hint="eastAsia" w:ascii="仿宋_GB2312" w:hAnsi="仿宋_GB2312" w:eastAsia="仿宋_GB2312" w:cs="仿宋_GB2312"/>
          <w:b w:val="0"/>
          <w:bCs w:val="0"/>
          <w:kern w:val="0"/>
        </w:rPr>
        <w:t>人员医疗保障待遇保障工作。</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（1）前期准备：根据《保障</w:t>
      </w:r>
      <w:r>
        <w:rPr>
          <w:rFonts w:hint="eastAsia" w:ascii="仿宋_GB2312" w:hAnsi="仿宋_GB2312" w:eastAsia="仿宋_GB2312" w:cs="仿宋_GB2312"/>
          <w:sz w:val="32"/>
          <w:szCs w:val="32"/>
          <w:lang w:eastAsia="zh-CN"/>
        </w:rPr>
        <w:t>军转干部</w:t>
      </w:r>
      <w:r>
        <w:rPr>
          <w:rFonts w:hint="eastAsia" w:ascii="仿宋_GB2312" w:hAnsi="仿宋_GB2312" w:eastAsia="仿宋_GB2312" w:cs="仿宋_GB2312"/>
          <w:sz w:val="32"/>
          <w:szCs w:val="32"/>
        </w:rPr>
        <w:t>医疗方案》，通过制定项目实施方案，经项目负责人审核通过后，有序开展后续工程。</w:t>
      </w:r>
    </w:p>
    <w:p>
      <w:pPr>
        <w:keepNext w:val="0"/>
        <w:keepLines w:val="0"/>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（2）组织实施：资金一到位，立即根据项目要求实施项目。项目责任人按照《保障</w:t>
      </w:r>
      <w:r>
        <w:rPr>
          <w:rFonts w:hint="eastAsia" w:ascii="仿宋_GB2312" w:hAnsi="仿宋_GB2312" w:eastAsia="仿宋_GB2312" w:cs="仿宋_GB2312"/>
          <w:sz w:val="32"/>
          <w:szCs w:val="32"/>
          <w:lang w:eastAsia="zh-CN"/>
        </w:rPr>
        <w:t>军转干部</w:t>
      </w:r>
      <w:r>
        <w:rPr>
          <w:rFonts w:hint="eastAsia" w:ascii="仿宋_GB2312" w:hAnsi="仿宋_GB2312" w:eastAsia="仿宋_GB2312" w:cs="仿宋_GB2312"/>
          <w:sz w:val="32"/>
          <w:szCs w:val="32"/>
        </w:rPr>
        <w:t>医疗方案》要求逐一进行项目部署安排，提高项目质量及效率性。</w:t>
      </w:r>
    </w:p>
    <w:p>
      <w:pPr>
        <w:keepNext w:val="0"/>
        <w:keepLines w:val="0"/>
        <w:pageBreakBefore w:val="0"/>
        <w:kinsoku/>
        <w:wordWrap/>
        <w:overflowPunct/>
        <w:topLinePunct w:val="0"/>
        <w:autoSpaceDE/>
        <w:autoSpaceDN/>
        <w:bidi w:val="0"/>
        <w:adjustRightInd/>
        <w:snapToGrid/>
        <w:spacing w:line="560" w:lineRule="atLeast"/>
        <w:ind w:firstLine="641"/>
        <w:rPr>
          <w:rFonts w:ascii="黑体" w:hAnsi="黑体" w:eastAsia="黑体"/>
          <w:sz w:val="32"/>
          <w:szCs w:val="32"/>
        </w:rPr>
      </w:pPr>
      <w:r>
        <w:rPr>
          <w:rFonts w:hint="eastAsia" w:ascii="黑体" w:hAnsi="黑体" w:eastAsia="黑体"/>
          <w:sz w:val="32"/>
          <w:szCs w:val="32"/>
        </w:rPr>
        <w:t>二、绩效评价工作开展情况</w:t>
      </w:r>
    </w:p>
    <w:p>
      <w:pPr>
        <w:keepNext w:val="0"/>
        <w:keepLines w:val="0"/>
        <w:pageBreakBefore w:val="0"/>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keepNext w:val="0"/>
        <w:keepLines w:val="0"/>
        <w:pageBreakBefore w:val="0"/>
        <w:numPr>
          <w:ilvl w:val="0"/>
          <w:numId w:val="2"/>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keepNext w:val="0"/>
        <w:keepLines w:val="0"/>
        <w:pageBreakBefore w:val="0"/>
        <w:kinsoku/>
        <w:wordWrap/>
        <w:overflowPunct/>
        <w:topLinePunct w:val="0"/>
        <w:autoSpaceDE/>
        <w:autoSpaceDN/>
        <w:bidi w:val="0"/>
        <w:adjustRightInd/>
        <w:snapToGrid/>
        <w:spacing w:line="560" w:lineRule="atLeas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绩效评价的对象</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评价对象为</w:t>
      </w:r>
      <w:r>
        <w:rPr>
          <w:rFonts w:hint="eastAsia" w:ascii="仿宋_GB2312" w:hAnsi="仿宋_GB2312" w:eastAsia="仿宋_GB2312" w:cs="仿宋_GB2312"/>
          <w:sz w:val="32"/>
          <w:szCs w:val="32"/>
          <w:lang w:eastAsia="zh-CN"/>
        </w:rPr>
        <w:t>军转干部</w:t>
      </w:r>
      <w:r>
        <w:rPr>
          <w:rFonts w:hint="eastAsia" w:ascii="仿宋_GB2312" w:hAnsi="仿宋_GB2312" w:eastAsia="仿宋_GB2312" w:cs="仿宋_GB2312"/>
          <w:sz w:val="32"/>
          <w:szCs w:val="32"/>
        </w:rPr>
        <w:t>医疗项目。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4、绩效评价的范围</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本次绩效评价范围从决策、过程、产出、效益4个一级指标评价。其中：决策下项目立项、绩效目标、资金投入3个二级指标；过程下设资金管理和组织实施2个二级指标。产出下设产出数量、产出质量、产出时效、产出成本4个2级指标，效益下设项目效益1个二级指标。10个二级指标下设到17个三级指标综合评价。</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keepNext w:val="0"/>
        <w:keepLines w:val="0"/>
        <w:pageBreakBefore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2、评价指标体系</w:t>
      </w:r>
    </w:p>
    <w:p>
      <w:pPr>
        <w:keepNext w:val="0"/>
        <w:keepLines w:val="0"/>
        <w:pageBreakBefore w:val="0"/>
        <w:kinsoku/>
        <w:wordWrap/>
        <w:overflowPunct/>
        <w:topLinePunct w:val="0"/>
        <w:autoSpaceDE/>
        <w:autoSpaceDN/>
        <w:bidi w:val="0"/>
        <w:adjustRightInd/>
        <w:snapToGrid/>
        <w:spacing w:line="560" w:lineRule="atLeas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采用层次分析法，建立评价指标体系。绩效评价将指标分为项目决策、项目过程、项目产出、项目效益指标四个维度，最终形成一个由多个相互联系的指标组成的多层次指标体系。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确定各个指标相对于项目总体绩效的权重分值。在绩效评价指标体系中，项目决策权重为5%，项目过程权重值占5%，项目产出权重值占50%，项目效益权重占40%。</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keepNext w:val="0"/>
        <w:keepLines w:val="0"/>
        <w:pageBreakBefore w:val="0"/>
        <w:kinsoku/>
        <w:wordWrap/>
        <w:overflowPunct/>
        <w:topLinePunct w:val="0"/>
        <w:autoSpaceDE/>
        <w:autoSpaceDN/>
        <w:bidi w:val="0"/>
        <w:adjustRightInd/>
        <w:snapToGrid/>
        <w:spacing w:before="0" w:after="0" w:line="560" w:lineRule="atLeas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jc w:val="both"/>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4、评价标准</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keepNext w:val="0"/>
        <w:keepLines w:val="0"/>
        <w:pageBreakBefore w:val="0"/>
        <w:numPr>
          <w:ilvl w:val="0"/>
          <w:numId w:val="3"/>
        </w:numPr>
        <w:kinsoku/>
        <w:wordWrap/>
        <w:overflowPunct/>
        <w:topLinePunct w:val="0"/>
        <w:autoSpaceDE/>
        <w:autoSpaceDN/>
        <w:bidi w:val="0"/>
        <w:adjustRightInd/>
        <w:snapToGrid/>
        <w:spacing w:before="0" w:after="0" w:line="560" w:lineRule="atLeast"/>
        <w:jc w:val="both"/>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kinsoku/>
        <w:wordWrap/>
        <w:overflowPunct/>
        <w:topLinePunct w:val="0"/>
        <w:autoSpaceDE/>
        <w:autoSpaceDN/>
        <w:bidi w:val="0"/>
        <w:adjustRightInd/>
        <w:snapToGri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kinsoku/>
        <w:wordWrap/>
        <w:overflowPunct/>
        <w:topLinePunct w:val="0"/>
        <w:autoSpaceDE/>
        <w:autoSpaceDN/>
        <w:bidi w:val="0"/>
        <w:adjustRightInd/>
        <w:snapToGrid/>
        <w:spacing w:line="560" w:lineRule="atLeast"/>
        <w:ind w:firstLine="641"/>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keepNext w:val="0"/>
        <w:keepLines w:val="0"/>
        <w:pageBreakBefore w:val="0"/>
        <w:numPr>
          <w:ilvl w:val="0"/>
          <w:numId w:val="4"/>
        </w:numPr>
        <w:kinsoku/>
        <w:wordWrap/>
        <w:overflowPunct/>
        <w:topLinePunct w:val="0"/>
        <w:autoSpaceDE/>
        <w:autoSpaceDN/>
        <w:bidi w:val="0"/>
        <w:adjustRightInd/>
        <w:snapToGrid/>
        <w:spacing w:line="560" w:lineRule="atLeas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对</w:t>
      </w:r>
      <w:r>
        <w:rPr>
          <w:rFonts w:hint="eastAsia" w:ascii="仿宋_GB2312" w:hAnsi="仿宋_GB2312" w:eastAsia="仿宋_GB2312" w:cs="仿宋_GB2312"/>
          <w:b w:val="0"/>
          <w:bCs w:val="0"/>
          <w:lang w:eastAsia="zh-CN"/>
        </w:rPr>
        <w:t>军转干部</w:t>
      </w:r>
      <w:r>
        <w:rPr>
          <w:rFonts w:hint="eastAsia" w:ascii="仿宋_GB2312" w:hAnsi="仿宋_GB2312" w:eastAsia="仿宋_GB2312" w:cs="仿宋_GB2312"/>
          <w:b w:val="0"/>
          <w:bCs w:val="0"/>
        </w:rPr>
        <w:t>医疗项目进行客观评价，最终评分结果：总得分为 100分，属于“优”。其中，项目决策类指标权重为5分，得分为 5分，得分率为 100%。项目过程类指标权重为5分，得分为5 分，得分率为 100%。项目产出类指标权重为50分，得分为50分，得分率为 100%。项目效益类指标权重为40分，得分为38分，得分率为 95%。</w:t>
      </w:r>
    </w:p>
    <w:p>
      <w:pPr>
        <w:pStyle w:val="2"/>
        <w:keepNext w:val="0"/>
        <w:keepLines w:val="0"/>
        <w:pageBreakBefore w:val="0"/>
        <w:kinsoku/>
        <w:wordWrap/>
        <w:overflowPunct/>
        <w:topLinePunct w:val="0"/>
        <w:autoSpaceDE/>
        <w:autoSpaceDN/>
        <w:bidi w:val="0"/>
        <w:adjustRightInd/>
        <w:snapToGrid/>
        <w:spacing w:before="0" w:after="0" w:line="560" w:lineRule="atLeast"/>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pPr>
        <w:keepNext w:val="0"/>
        <w:keepLines w:val="0"/>
        <w:pageBreakBefore w:val="0"/>
        <w:kinsoku/>
        <w:wordWrap/>
        <w:overflowPunct/>
        <w:topLinePunct w:val="0"/>
        <w:autoSpaceDE/>
        <w:autoSpaceDN/>
        <w:bidi w:val="0"/>
        <w:adjustRightInd/>
        <w:snapToGrid/>
        <w:spacing w:line="560" w:lineRule="atLeast"/>
      </w:pPr>
    </w:p>
    <w:p>
      <w:pPr>
        <w:keepNext w:val="0"/>
        <w:keepLines w:val="0"/>
        <w:pageBreakBefore w:val="0"/>
        <w:kinsoku/>
        <w:wordWrap/>
        <w:overflowPunct/>
        <w:topLinePunct w:val="0"/>
        <w:autoSpaceDE/>
        <w:autoSpaceDN/>
        <w:bidi w:val="0"/>
        <w:adjustRightInd/>
        <w:snapToGrid/>
        <w:spacing w:line="560" w:lineRule="atLeast"/>
      </w:pPr>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924"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28</w:t>
            </w:r>
          </w:p>
        </w:tc>
        <w:tc>
          <w:tcPr>
            <w:tcW w:w="1215"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93%</w:t>
            </w:r>
          </w:p>
        </w:tc>
        <w:tc>
          <w:tcPr>
            <w:tcW w:w="960"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p>
        </w:tc>
        <w:tc>
          <w:tcPr>
            <w:tcW w:w="1707" w:type="dxa"/>
            <w:shd w:val="clear" w:color="auto"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keepNext w:val="0"/>
              <w:keepLines w:val="0"/>
              <w:pageBreakBefore w:val="0"/>
              <w:widowControl/>
              <w:kinsoku/>
              <w:wordWrap/>
              <w:overflowPunct/>
              <w:topLinePunct w:val="0"/>
              <w:autoSpaceDE/>
              <w:autoSpaceDN/>
              <w:bidi w:val="0"/>
              <w:adjustRightInd/>
              <w:snapToGri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bl>
    <w:p>
      <w:pPr>
        <w:keepNext w:val="0"/>
        <w:keepLines w:val="0"/>
        <w:pageBreakBefore w:val="0"/>
        <w:kinsoku/>
        <w:wordWrap/>
        <w:overflowPunct/>
        <w:topLinePunct w:val="0"/>
        <w:autoSpaceDE/>
        <w:autoSpaceDN/>
        <w:bidi w:val="0"/>
        <w:adjustRightInd/>
        <w:snapToGrid/>
        <w:spacing w:line="560" w:lineRule="atLeas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atLeast"/>
        <w:ind w:firstLine="321" w:firstLineChars="100"/>
        <w:jc w:val="both"/>
        <w:rPr>
          <w:rFonts w:ascii="楷体_GB2312" w:hAnsi="楷体_GB2312" w:eastAsia="楷体_GB2312" w:cs="楷体_GB2312"/>
        </w:rPr>
      </w:pPr>
      <w:r>
        <w:rPr>
          <w:rFonts w:hint="eastAsia" w:ascii="楷体_GB2312" w:hAnsi="楷体_GB2312" w:eastAsia="楷体_GB2312" w:cs="楷体_GB2312"/>
        </w:rPr>
        <w:t>（一）项目决策情况</w:t>
      </w:r>
    </w:p>
    <w:p>
      <w:pPr>
        <w:keepNext w:val="0"/>
        <w:keepLines w:val="0"/>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tbl>
      <w:tblPr>
        <w:tblStyle w:val="18"/>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bl>
    <w:p>
      <w:pPr>
        <w:keepNext w:val="0"/>
        <w:keepLines w:val="0"/>
        <w:pageBreakBefore w:val="0"/>
        <w:kinsoku/>
        <w:wordWrap/>
        <w:overflowPunct/>
        <w:topLinePunct w:val="0"/>
        <w:autoSpaceDE/>
        <w:autoSpaceDN/>
        <w:bidi w:val="0"/>
        <w:adjustRightInd/>
        <w:snapToGrid/>
        <w:spacing w:line="560" w:lineRule="atLeast"/>
        <w:ind w:firstLine="640" w:firstLineChars="200"/>
        <w:rPr>
          <w:rStyle w:val="49"/>
          <w:color w:val="auto"/>
        </w:rPr>
      </w:pPr>
      <w:r>
        <w:rPr>
          <w:rStyle w:val="49"/>
          <w:rFonts w:hint="eastAsia"/>
          <w:color w:val="auto"/>
        </w:rPr>
        <w:t>对于项目决策指标分值5分，实际得分5分，该指标得分率100%，说明立项依据充分性、立项程序、绩效目标、绩效指标、预算编制、资金分配合理性。</w:t>
      </w:r>
    </w:p>
    <w:p>
      <w:pPr>
        <w:pStyle w:val="2"/>
        <w:keepNext w:val="0"/>
        <w:keepLines w:val="0"/>
        <w:pageBreakBefore w:val="0"/>
        <w:numPr>
          <w:ilvl w:val="0"/>
          <w:numId w:val="5"/>
        </w:numPr>
        <w:kinsoku/>
        <w:wordWrap/>
        <w:overflowPunct/>
        <w:topLinePunct w:val="0"/>
        <w:autoSpaceDE/>
        <w:autoSpaceDN/>
        <w:bidi w:val="0"/>
        <w:adjustRightInd/>
        <w:snapToGrid/>
        <w:spacing w:before="0" w:after="0" w:line="560" w:lineRule="atLeast"/>
        <w:jc w:val="both"/>
        <w:rPr>
          <w:rFonts w:ascii="仿宋" w:hAnsi="仿宋" w:eastAsia="仿宋"/>
        </w:rPr>
      </w:pPr>
      <w:r>
        <w:rPr>
          <w:rFonts w:hint="eastAsia" w:ascii="仿宋" w:hAnsi="仿宋" w:eastAsia="仿宋"/>
        </w:rPr>
        <w:t>项目过程情况</w:t>
      </w:r>
    </w:p>
    <w:p>
      <w:pPr>
        <w:keepNext w:val="0"/>
        <w:keepLines w:val="0"/>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1分，得分率100%，资金使用合规性分值1分，实际得分1分，得分率100%，、管理制度健全性分值1分，实际得分1分，得分率100%，、制度执行分值1分，实际得分1分，得分率100%。项目决策指标得分情况如表所示。项目决策指标得分情况</w:t>
      </w:r>
    </w:p>
    <w:tbl>
      <w:tblPr>
        <w:tblStyle w:val="18"/>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CellMar>
            <w:top w:w="0" w:type="dxa"/>
            <w:left w:w="0" w:type="dxa"/>
            <w:bottom w:w="0" w:type="dxa"/>
            <w:right w:w="0" w:type="dxa"/>
          </w:tblCellMar>
        </w:tblPrEx>
        <w:trPr>
          <w:trHeight w:val="31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pacing w:line="540" w:lineRule="exac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5</w:t>
            </w:r>
          </w:p>
        </w:tc>
      </w:tr>
    </w:tbl>
    <w:p>
      <w:pPr>
        <w:spacing w:line="540" w:lineRule="exact"/>
        <w:ind w:firstLine="640"/>
        <w:rPr>
          <w:highlight w:val="yellow"/>
        </w:rPr>
      </w:pPr>
      <w:r>
        <w:rPr>
          <w:rStyle w:val="49"/>
          <w:rFonts w:hint="eastAsia"/>
          <w:color w:val="auto"/>
        </w:rPr>
        <w:t>对于“过程控制”，自主择业干部医疗使用执行符合管理的规定；项目管理、实施人员均落实到位，能按照方案和计划执行；项目无调整，资料齐全；资金使用依据合格，无虚列套取项目支出，无超标准开支，按评分标准，该指标实际得分率100%。</w:t>
      </w:r>
    </w:p>
    <w:p>
      <w:pPr>
        <w:pageBreakBefore w:val="0"/>
        <w:kinsoku/>
        <w:wordWrap/>
        <w:overflowPunct/>
        <w:topLinePunct w:val="0"/>
        <w:autoSpaceDE/>
        <w:autoSpaceDN/>
        <w:bidi w:val="0"/>
        <w:adjustRightInd/>
        <w:snapToGrid/>
        <w:spacing w:line="560" w:lineRule="atLeast"/>
      </w:pPr>
    </w:p>
    <w:p>
      <w:pPr>
        <w:pageBreakBefore w:val="0"/>
        <w:kinsoku/>
        <w:wordWrap/>
        <w:overflowPunct/>
        <w:topLinePunct w:val="0"/>
        <w:autoSpaceDE/>
        <w:autoSpaceDN/>
        <w:bidi w:val="0"/>
        <w:adjustRightInd/>
        <w:snapToGrid/>
        <w:spacing w:line="560" w:lineRule="atLeast"/>
      </w:pPr>
    </w:p>
    <w:p>
      <w:pPr>
        <w:pStyle w:val="17"/>
        <w:pageBreakBefore w:val="0"/>
        <w:kinsoku/>
        <w:wordWrap/>
        <w:overflowPunct/>
        <w:topLinePunct w:val="0"/>
        <w:autoSpaceDE/>
        <w:autoSpaceDN/>
        <w:bidi w:val="0"/>
        <w:adjustRightInd/>
        <w:snapToGrid/>
        <w:spacing w:after="0" w:line="560" w:lineRule="atLeas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（三）项目产出情况</w:t>
      </w:r>
    </w:p>
    <w:p>
      <w:pPr>
        <w:pageBreakBefore w:val="0"/>
        <w:kinsoku/>
        <w:wordWrap/>
        <w:overflowPunct/>
        <w:topLinePunct w:val="0"/>
        <w:autoSpaceDE/>
        <w:autoSpaceDN/>
        <w:bidi w:val="0"/>
        <w:adjustRightInd/>
        <w:snapToGrid/>
        <w:spacing w:line="560" w:lineRule="atLeast"/>
        <w:ind w:firstLine="640"/>
        <w:rPr>
          <w:rStyle w:val="49"/>
          <w:color w:val="auto"/>
        </w:rPr>
      </w:pPr>
      <w:r>
        <w:rPr>
          <w:rStyle w:val="20"/>
          <w:rFonts w:hint="eastAsia" w:ascii="仿宋" w:hAnsi="仿宋" w:eastAsia="仿宋" w:cs="仿宋"/>
          <w:b w:val="0"/>
          <w:spacing w:val="-4"/>
          <w:sz w:val="32"/>
          <w:szCs w:val="32"/>
        </w:rPr>
        <w:t>产出指标方面：</w:t>
      </w:r>
    </w:p>
    <w:tbl>
      <w:tblPr>
        <w:tblStyle w:val="18"/>
        <w:tblW w:w="87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8"/>
        <w:gridCol w:w="2042"/>
        <w:gridCol w:w="2041"/>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rPr>
                <w:rFonts w:ascii="仿宋" w:hAnsi="仿宋" w:eastAsia="仿宋" w:cs="仿宋"/>
                <w:color w:val="000000"/>
                <w:kern w:val="0"/>
                <w:szCs w:val="21"/>
              </w:rPr>
            </w:pPr>
            <w:r>
              <w:rPr>
                <w:rFonts w:hint="eastAsia" w:ascii="仿宋" w:hAnsi="仿宋" w:eastAsia="仿宋" w:cs="仿宋"/>
                <w:color w:val="000000"/>
                <w:kern w:val="0"/>
                <w:szCs w:val="21"/>
              </w:rPr>
              <w:t>产出数量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rPr>
                <w:rFonts w:ascii="仿宋" w:hAnsi="仿宋" w:eastAsia="仿宋" w:cs="仿宋"/>
                <w:color w:val="000000"/>
                <w:kern w:val="0"/>
                <w:szCs w:val="21"/>
              </w:rPr>
            </w:pPr>
            <w:r>
              <w:rPr>
                <w:rFonts w:hint="eastAsia" w:ascii="仿宋" w:hAnsi="仿宋" w:eastAsia="仿宋" w:cs="仿宋"/>
                <w:color w:val="000000"/>
                <w:kern w:val="0"/>
                <w:szCs w:val="21"/>
              </w:rPr>
              <w:t>产出质量</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rPr>
                <w:rFonts w:ascii="仿宋" w:hAnsi="仿宋" w:eastAsia="仿宋" w:cs="仿宋"/>
                <w:color w:val="000000"/>
                <w:kern w:val="0"/>
                <w:szCs w:val="21"/>
              </w:rPr>
            </w:pPr>
            <w:r>
              <w:rPr>
                <w:rFonts w:hint="eastAsia" w:ascii="仿宋" w:hAnsi="仿宋" w:eastAsia="仿宋" w:cs="仿宋"/>
                <w:color w:val="000000"/>
                <w:kern w:val="0"/>
                <w:szCs w:val="21"/>
              </w:rPr>
              <w:t>产出时效</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15</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rPr>
                <w:rFonts w:ascii="仿宋" w:hAnsi="仿宋" w:eastAsia="仿宋" w:cs="仿宋"/>
                <w:color w:val="000000"/>
                <w:kern w:val="0"/>
                <w:szCs w:val="21"/>
              </w:rPr>
            </w:pPr>
            <w:r>
              <w:rPr>
                <w:rFonts w:hint="eastAsia" w:ascii="仿宋" w:hAnsi="仿宋" w:eastAsia="仿宋" w:cs="仿宋"/>
                <w:color w:val="000000"/>
                <w:kern w:val="0"/>
                <w:szCs w:val="21"/>
              </w:rPr>
              <w:t>成本情况</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100%</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exact"/>
        </w:trPr>
        <w:tc>
          <w:tcPr>
            <w:tcW w:w="2588"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left"/>
              <w:rPr>
                <w:rFonts w:ascii="仿宋" w:hAnsi="仿宋" w:eastAsia="仿宋" w:cs="仿宋"/>
                <w:color w:val="000000"/>
                <w:kern w:val="0"/>
                <w:szCs w:val="21"/>
              </w:rPr>
            </w:pPr>
            <w:r>
              <w:rPr>
                <w:rFonts w:hint="eastAsia" w:ascii="仿宋" w:hAnsi="仿宋" w:eastAsia="仿宋" w:cs="仿宋"/>
                <w:color w:val="000000"/>
                <w:kern w:val="0"/>
                <w:szCs w:val="21"/>
              </w:rPr>
              <w:t>合计</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50</w:t>
            </w:r>
          </w:p>
        </w:tc>
        <w:tc>
          <w:tcPr>
            <w:tcW w:w="2041"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ascii="仿宋" w:hAnsi="仿宋" w:eastAsia="仿宋" w:cs="仿宋"/>
                <w:color w:val="000000"/>
                <w:kern w:val="0"/>
                <w:szCs w:val="21"/>
              </w:rPr>
            </w:pPr>
            <w:r>
              <w:rPr>
                <w:rFonts w:hint="eastAsia" w:ascii="仿宋" w:hAnsi="仿宋" w:eastAsia="仿宋" w:cs="仿宋"/>
                <w:color w:val="000000"/>
                <w:kern w:val="0"/>
                <w:szCs w:val="21"/>
              </w:rPr>
              <w:t>98%</w:t>
            </w:r>
          </w:p>
        </w:tc>
        <w:tc>
          <w:tcPr>
            <w:tcW w:w="2042" w:type="dxa"/>
            <w:shd w:val="clear" w:color="auto" w:fill="auto"/>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50</w:t>
            </w:r>
          </w:p>
        </w:tc>
      </w:tr>
    </w:tbl>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对于“产出数量”，地区退役军人事务局</w:t>
      </w:r>
      <w:r>
        <w:rPr>
          <w:rStyle w:val="49"/>
          <w:rFonts w:hint="eastAsia" w:eastAsia="仿宋_GB2312"/>
          <w:color w:val="auto"/>
          <w:lang w:eastAsia="zh-CN"/>
        </w:rPr>
        <w:t>军转干部</w:t>
      </w:r>
      <w:r>
        <w:rPr>
          <w:rStyle w:val="49"/>
          <w:rFonts w:hint="eastAsia"/>
          <w:color w:val="auto"/>
        </w:rPr>
        <w:t>医疗保险项目，为</w:t>
      </w:r>
      <w:r>
        <w:rPr>
          <w:rStyle w:val="49"/>
          <w:rFonts w:hint="eastAsia" w:eastAsia="仿宋_GB2312"/>
          <w:color w:val="auto"/>
          <w:lang w:eastAsia="zh-CN"/>
        </w:rPr>
        <w:t>军转干部</w:t>
      </w:r>
      <w:r>
        <w:rPr>
          <w:rStyle w:val="49"/>
          <w:rFonts w:hint="eastAsia"/>
          <w:color w:val="auto"/>
        </w:rPr>
        <w:t>缴纳医疗标准,</w:t>
      </w:r>
      <w:r>
        <w:rPr>
          <w:rFonts w:hint="eastAsia" w:ascii="仿宋_GB2312" w:hAnsi="仿宋_GB2312" w:eastAsia="仿宋_GB2312" w:cs="仿宋_GB2312"/>
          <w:sz w:val="32"/>
          <w:szCs w:val="32"/>
        </w:rPr>
        <w:t>预期指标值=</w:t>
      </w:r>
      <w:r>
        <w:rPr>
          <w:rStyle w:val="20"/>
          <w:rFonts w:hint="eastAsia" w:ascii="仿宋" w:hAnsi="仿宋" w:eastAsia="仿宋"/>
          <w:b w:val="0"/>
          <w:color w:val="000000"/>
          <w:spacing w:val="-4"/>
          <w:sz w:val="32"/>
          <w:szCs w:val="32"/>
          <w:shd w:val="clear" w:color="FFFFFF" w:fill="FFFFFF"/>
          <w:lang w:eastAsia="zh-CN"/>
        </w:rPr>
        <w:t>107.96</w:t>
      </w:r>
      <w:r>
        <w:rPr>
          <w:rFonts w:hint="eastAsia" w:ascii="仿宋_GB2312" w:hAnsi="仿宋_GB2312" w:eastAsia="仿宋_GB2312" w:cs="仿宋_GB2312"/>
          <w:sz w:val="32"/>
          <w:szCs w:val="32"/>
        </w:rPr>
        <w:t>万元</w:t>
      </w:r>
      <w:r>
        <w:rPr>
          <w:rStyle w:val="49"/>
          <w:rFonts w:hint="eastAsia"/>
          <w:color w:val="auto"/>
        </w:rPr>
        <w:t>，</w:t>
      </w:r>
      <w:r>
        <w:rPr>
          <w:rFonts w:hint="eastAsia" w:ascii="仿宋_GB2312" w:hAnsi="仿宋_GB2312" w:eastAsia="仿宋_GB2312" w:cs="仿宋_GB2312"/>
          <w:sz w:val="32"/>
          <w:szCs w:val="32"/>
        </w:rPr>
        <w:t>指标完成值出</w:t>
      </w:r>
      <w:r>
        <w:rPr>
          <w:rStyle w:val="20"/>
          <w:rFonts w:hint="eastAsia" w:ascii="仿宋" w:hAnsi="仿宋" w:eastAsia="仿宋"/>
          <w:b w:val="0"/>
          <w:color w:val="000000"/>
          <w:spacing w:val="-4"/>
          <w:sz w:val="32"/>
          <w:szCs w:val="32"/>
          <w:highlight w:val="none"/>
          <w:shd w:val="clear" w:color="FFFFFF" w:fill="FFFFFF"/>
          <w:lang w:val="en-US" w:eastAsia="zh-CN"/>
        </w:rPr>
        <w:t>91.32</w:t>
      </w:r>
      <w:r>
        <w:rPr>
          <w:rFonts w:hint="eastAsia" w:ascii="仿宋_GB2312" w:hAnsi="仿宋_GB2312" w:eastAsia="仿宋_GB2312" w:cs="仿宋_GB2312"/>
          <w:sz w:val="32"/>
          <w:szCs w:val="32"/>
        </w:rPr>
        <w:t>万元元，指标完成率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自主择业干部人数，</w:t>
      </w:r>
      <w:r>
        <w:rPr>
          <w:rFonts w:hint="eastAsia" w:ascii="仿宋_GB2312" w:hAnsi="仿宋_GB2312" w:eastAsia="仿宋_GB2312" w:cs="仿宋_GB2312"/>
          <w:sz w:val="32"/>
          <w:szCs w:val="32"/>
        </w:rPr>
        <w:t>预期指标值=</w:t>
      </w:r>
      <w:r>
        <w:rPr>
          <w:rStyle w:val="49"/>
          <w:rFonts w:hint="eastAsia"/>
          <w:color w:val="auto"/>
        </w:rPr>
        <w:t>82人，</w:t>
      </w:r>
      <w:r>
        <w:rPr>
          <w:rFonts w:hint="eastAsia" w:ascii="仿宋_GB2312" w:hAnsi="仿宋_GB2312" w:eastAsia="仿宋_GB2312" w:cs="仿宋_GB2312"/>
          <w:sz w:val="32"/>
          <w:szCs w:val="32"/>
        </w:rPr>
        <w:t>指标完成值=</w:t>
      </w:r>
      <w:r>
        <w:rPr>
          <w:rStyle w:val="49"/>
          <w:rFonts w:hint="eastAsia"/>
          <w:color w:val="auto"/>
        </w:rPr>
        <w:t>82人</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对于“产出质量”，</w:t>
      </w:r>
      <w:r>
        <w:rPr>
          <w:rStyle w:val="49"/>
          <w:rFonts w:hint="eastAsia" w:eastAsia="仿宋_GB2312"/>
          <w:color w:val="auto"/>
          <w:lang w:eastAsia="zh-CN"/>
        </w:rPr>
        <w:t>军转干部</w:t>
      </w:r>
      <w:r>
        <w:rPr>
          <w:rStyle w:val="49"/>
          <w:rFonts w:hint="eastAsia"/>
          <w:color w:val="auto"/>
        </w:rPr>
        <w:t>满意率，</w:t>
      </w:r>
      <w:r>
        <w:rPr>
          <w:rFonts w:hint="eastAsia" w:ascii="仿宋_GB2312" w:hAnsi="仿宋_GB2312" w:eastAsia="仿宋_GB2312" w:cs="仿宋_GB2312"/>
          <w:sz w:val="32"/>
          <w:szCs w:val="32"/>
        </w:rPr>
        <w:t>预期指标值=</w:t>
      </w:r>
      <w:r>
        <w:rPr>
          <w:rStyle w:val="49"/>
          <w:rFonts w:hint="eastAsia"/>
          <w:color w:val="auto"/>
        </w:rPr>
        <w:t>100%，</w:t>
      </w:r>
      <w:r>
        <w:rPr>
          <w:rFonts w:hint="eastAsia" w:ascii="仿宋_GB2312" w:hAnsi="仿宋_GB2312" w:eastAsia="仿宋_GB2312" w:cs="仿宋_GB2312"/>
          <w:sz w:val="32"/>
          <w:szCs w:val="32"/>
        </w:rPr>
        <w:t>指标完成值=</w:t>
      </w:r>
      <w:r>
        <w:rPr>
          <w:rStyle w:val="49"/>
          <w:rFonts w:hint="eastAsia"/>
          <w:color w:val="auto"/>
        </w:rPr>
        <w:t>100%</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对于“产出时效”，缴纳社保及时率，</w:t>
      </w:r>
      <w:r>
        <w:rPr>
          <w:rFonts w:hint="eastAsia" w:ascii="仿宋_GB2312" w:hAnsi="仿宋_GB2312" w:eastAsia="仿宋_GB2312" w:cs="仿宋_GB2312"/>
          <w:sz w:val="32"/>
          <w:szCs w:val="32"/>
        </w:rPr>
        <w:t>预期指标值=</w:t>
      </w:r>
      <w:r>
        <w:rPr>
          <w:rStyle w:val="49"/>
          <w:rFonts w:hint="eastAsia"/>
          <w:color w:val="auto"/>
        </w:rPr>
        <w:t>100%，</w:t>
      </w:r>
      <w:r>
        <w:rPr>
          <w:rFonts w:hint="eastAsia" w:ascii="仿宋_GB2312" w:hAnsi="仿宋_GB2312" w:eastAsia="仿宋_GB2312" w:cs="仿宋_GB2312"/>
          <w:sz w:val="32"/>
          <w:szCs w:val="32"/>
        </w:rPr>
        <w:t>指标完成值=</w:t>
      </w:r>
      <w:r>
        <w:rPr>
          <w:rStyle w:val="49"/>
          <w:rFonts w:hint="eastAsia"/>
          <w:color w:val="auto"/>
        </w:rPr>
        <w:t>100%</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rFonts w:ascii="仿宋" w:hAnsi="仿宋" w:eastAsia="仿宋" w:cs="仿宋"/>
          <w:bCs/>
          <w:color w:val="auto"/>
          <w:spacing w:val="-4"/>
        </w:rPr>
      </w:pPr>
      <w:r>
        <w:rPr>
          <w:rStyle w:val="49"/>
          <w:rFonts w:hint="eastAsia"/>
          <w:color w:val="auto"/>
        </w:rPr>
        <w:t>对于“成本情况”，应支付</w:t>
      </w:r>
      <w:r>
        <w:rPr>
          <w:rStyle w:val="49"/>
          <w:rFonts w:hint="eastAsia" w:eastAsia="仿宋_GB2312"/>
          <w:color w:val="auto"/>
          <w:lang w:eastAsia="zh-CN"/>
        </w:rPr>
        <w:t>军转干部</w:t>
      </w:r>
      <w:r>
        <w:rPr>
          <w:rStyle w:val="49"/>
          <w:rFonts w:hint="eastAsia"/>
          <w:color w:val="auto"/>
        </w:rPr>
        <w:t>医疗资金款项，</w:t>
      </w:r>
      <w:r>
        <w:rPr>
          <w:rFonts w:hint="eastAsia" w:ascii="仿宋_GB2312" w:hAnsi="仿宋_GB2312" w:eastAsia="仿宋_GB2312" w:cs="仿宋_GB2312"/>
          <w:sz w:val="32"/>
          <w:szCs w:val="32"/>
        </w:rPr>
        <w:t>预期指标值=</w:t>
      </w:r>
      <w:r>
        <w:rPr>
          <w:rStyle w:val="20"/>
          <w:rFonts w:hint="eastAsia" w:ascii="仿宋" w:hAnsi="仿宋" w:eastAsia="仿宋"/>
          <w:b w:val="0"/>
          <w:color w:val="000000"/>
          <w:spacing w:val="-4"/>
          <w:sz w:val="32"/>
          <w:szCs w:val="32"/>
          <w:shd w:val="clear" w:color="FFFFFF" w:fill="FFFFFF"/>
          <w:lang w:eastAsia="zh-CN"/>
        </w:rPr>
        <w:t>107.96</w:t>
      </w:r>
      <w:r>
        <w:rPr>
          <w:rStyle w:val="49"/>
          <w:rFonts w:hint="eastAsia"/>
          <w:color w:val="auto"/>
        </w:rPr>
        <w:t>万元，</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highlight w:val="none"/>
        </w:rPr>
        <w:t>=</w:t>
      </w:r>
      <w:r>
        <w:rPr>
          <w:rStyle w:val="20"/>
          <w:rFonts w:hint="eastAsia" w:ascii="仿宋" w:hAnsi="仿宋" w:eastAsia="仿宋"/>
          <w:b w:val="0"/>
          <w:color w:val="000000"/>
          <w:spacing w:val="-4"/>
          <w:sz w:val="32"/>
          <w:szCs w:val="32"/>
          <w:highlight w:val="none"/>
          <w:shd w:val="clear" w:color="FFFFFF" w:fill="FFFFFF"/>
          <w:lang w:val="en-US" w:eastAsia="zh-CN"/>
        </w:rPr>
        <w:t>91.32</w:t>
      </w:r>
      <w:r>
        <w:rPr>
          <w:rStyle w:val="49"/>
          <w:rFonts w:hint="eastAsia"/>
          <w:color w:val="auto"/>
          <w:highlight w:val="none"/>
        </w:rPr>
        <w:t>万元</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Style w:val="49"/>
          <w:rFonts w:hint="eastAsia"/>
          <w:color w:val="auto"/>
        </w:rPr>
        <w:t>。</w:t>
      </w:r>
    </w:p>
    <w:p>
      <w:pPr>
        <w:pStyle w:val="17"/>
        <w:pageBreakBefore w:val="0"/>
        <w:kinsoku/>
        <w:wordWrap/>
        <w:overflowPunct/>
        <w:topLinePunct w:val="0"/>
        <w:autoSpaceDE/>
        <w:autoSpaceDN/>
        <w:bidi w:val="0"/>
        <w:adjustRightInd/>
        <w:snapToGrid/>
        <w:spacing w:after="0" w:line="560" w:lineRule="atLeast"/>
        <w:ind w:firstLine="643"/>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（四）项目效益情况</w:t>
      </w:r>
    </w:p>
    <w:p>
      <w:pPr>
        <w:pStyle w:val="17"/>
        <w:pageBreakBefore w:val="0"/>
        <w:kinsoku/>
        <w:wordWrap/>
        <w:overflowPunct/>
        <w:topLinePunct w:val="0"/>
        <w:autoSpaceDE/>
        <w:autoSpaceDN/>
        <w:bidi w:val="0"/>
        <w:adjustRightInd/>
        <w:snapToGrid/>
        <w:spacing w:after="0" w:line="560" w:lineRule="atLeast"/>
        <w:ind w:firstLine="640"/>
        <w:rPr>
          <w:rFonts w:ascii="楷体_GB2312" w:hAnsi="楷体_GB2312" w:eastAsia="楷体_GB2312" w:cs="楷体_GB2312"/>
          <w:b/>
          <w:bCs/>
          <w:sz w:val="32"/>
          <w:szCs w:val="32"/>
        </w:rPr>
      </w:pPr>
      <w:r>
        <w:rPr>
          <w:rStyle w:val="49"/>
          <w:rFonts w:hint="eastAsia"/>
          <w:color w:val="auto"/>
        </w:rPr>
        <w:t>经济效益指标方面：项目绩效主要从项目实施效益及满意度2个方面对项目的绩效情况进行评价。项目绩效实施效益类指标分值40分，实际得分39分，得分率为97.5%。项目绩效指标得分情况如表所示：</w:t>
      </w:r>
    </w:p>
    <w:tbl>
      <w:tblPr>
        <w:tblStyle w:val="18"/>
        <w:tblpPr w:leftFromText="180" w:rightFromText="180" w:vertAnchor="text" w:horzAnchor="page" w:tblpXSpec="center" w:tblpY="163"/>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实施效益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30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满意度</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atLeast"/>
              <w:ind w:firstLine="420" w:firstLineChars="200"/>
              <w:jc w:val="center"/>
              <w:textAlignment w:val="bottom"/>
              <w:rPr>
                <w:rFonts w:ascii="仿宋" w:hAnsi="仿宋" w:eastAsia="仿宋" w:cs="仿宋"/>
                <w:color w:val="000000"/>
                <w:szCs w:val="21"/>
              </w:rPr>
            </w:pPr>
            <w:r>
              <w:rPr>
                <w:rFonts w:hint="eastAsia" w:ascii="仿宋" w:hAnsi="仿宋" w:eastAsia="仿宋" w:cs="仿宋"/>
                <w:color w:val="000000"/>
                <w:kern w:val="0"/>
                <w:szCs w:val="21"/>
              </w:rPr>
              <w:t>合计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atLeast"/>
              <w:ind w:firstLine="420" w:firstLineChars="200"/>
              <w:jc w:val="center"/>
              <w:textAlignment w:val="bottom"/>
              <w:rPr>
                <w:rFonts w:ascii="仿宋" w:hAnsi="仿宋" w:eastAsia="仿宋" w:cs="仿宋"/>
                <w:color w:val="000000"/>
                <w:szCs w:val="21"/>
              </w:rPr>
            </w:pPr>
            <w:r>
              <w:rPr>
                <w:rFonts w:hint="eastAsia" w:ascii="仿宋" w:hAnsi="仿宋" w:eastAsia="仿宋" w:cs="仿宋"/>
                <w:color w:val="000000"/>
                <w:kern w:val="0"/>
                <w:szCs w:val="21"/>
              </w:rPr>
              <w:t>40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napToGri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97.5%</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napToGrid/>
              <w:spacing w:line="560" w:lineRule="atLeast"/>
              <w:ind w:firstLine="420" w:firstLineChars="200"/>
              <w:jc w:val="center"/>
              <w:textAlignment w:val="bottom"/>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rPr>
              <w:t>40</w:t>
            </w:r>
          </w:p>
        </w:tc>
      </w:tr>
    </w:tbl>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对于“社会效益”，提升</w:t>
      </w:r>
      <w:r>
        <w:rPr>
          <w:rStyle w:val="49"/>
          <w:rFonts w:hint="eastAsia" w:eastAsia="仿宋_GB2312"/>
          <w:color w:val="auto"/>
          <w:lang w:eastAsia="zh-CN"/>
        </w:rPr>
        <w:t>军转干部</w:t>
      </w:r>
      <w:r>
        <w:rPr>
          <w:rStyle w:val="49"/>
          <w:rFonts w:hint="eastAsia"/>
          <w:color w:val="auto"/>
        </w:rPr>
        <w:t>的生活质量，</w:t>
      </w:r>
      <w:r>
        <w:rPr>
          <w:rFonts w:hint="eastAsia" w:ascii="仿宋_GB2312" w:hAnsi="仿宋_GB2312" w:eastAsia="仿宋_GB2312" w:cs="仿宋_GB2312"/>
          <w:sz w:val="32"/>
          <w:szCs w:val="32"/>
        </w:rPr>
        <w:t>预期指标值=</w:t>
      </w:r>
      <w:r>
        <w:rPr>
          <w:rStyle w:val="49"/>
          <w:rFonts w:hint="eastAsia"/>
          <w:color w:val="auto"/>
        </w:rPr>
        <w:t>100%，</w:t>
      </w:r>
      <w:r>
        <w:rPr>
          <w:rFonts w:hint="eastAsia" w:ascii="仿宋_GB2312" w:hAnsi="仿宋_GB2312" w:eastAsia="仿宋_GB2312" w:cs="仿宋_GB2312"/>
          <w:sz w:val="32"/>
          <w:szCs w:val="32"/>
        </w:rPr>
        <w:t>指标完成值=</w:t>
      </w:r>
      <w:r>
        <w:rPr>
          <w:rStyle w:val="49"/>
          <w:rFonts w:hint="eastAsia"/>
          <w:color w:val="auto"/>
        </w:rPr>
        <w:t>90%</w:t>
      </w:r>
      <w:r>
        <w:rPr>
          <w:rFonts w:hint="eastAsia" w:ascii="仿宋_GB2312" w:hAnsi="仿宋_GB2312" w:eastAsia="仿宋_GB2312" w:cs="仿宋_GB2312"/>
          <w:sz w:val="32"/>
          <w:szCs w:val="32"/>
        </w:rPr>
        <w:t>，指标完成率=90%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rPr>
      </w:pPr>
      <w:r>
        <w:rPr>
          <w:rFonts w:hint="eastAsia" w:ascii="仿宋_GB2312" w:hAnsi="仿宋_GB2312" w:eastAsia="仿宋_GB2312" w:cs="仿宋_GB2312"/>
          <w:sz w:val="32"/>
          <w:szCs w:val="32"/>
        </w:rPr>
        <w:t>提升军转干部社会保障水平，预期指标值=</w:t>
      </w:r>
      <w:r>
        <w:rPr>
          <w:rStyle w:val="49"/>
          <w:rFonts w:hint="eastAsia"/>
          <w:color w:val="auto"/>
        </w:rPr>
        <w:t>90%，</w:t>
      </w:r>
      <w:r>
        <w:rPr>
          <w:rFonts w:hint="eastAsia" w:ascii="仿宋_GB2312" w:hAnsi="仿宋_GB2312" w:eastAsia="仿宋_GB2312" w:cs="仿宋_GB2312"/>
          <w:sz w:val="32"/>
          <w:szCs w:val="32"/>
        </w:rPr>
        <w:t>指标完成值=</w:t>
      </w:r>
      <w:r>
        <w:rPr>
          <w:rStyle w:val="49"/>
          <w:rFonts w:hint="eastAsia"/>
          <w:color w:val="auto"/>
        </w:rPr>
        <w:t>90%</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rPr>
      </w:pPr>
      <w:r>
        <w:rPr>
          <w:rStyle w:val="49"/>
          <w:rFonts w:hint="eastAsia"/>
          <w:color w:val="auto"/>
        </w:rPr>
        <w:t>对于“可持续影响指标”军转干部社会保障水平，</w:t>
      </w:r>
      <w:r>
        <w:rPr>
          <w:rFonts w:hint="eastAsia" w:ascii="仿宋_GB2312" w:hAnsi="仿宋_GB2312" w:eastAsia="仿宋_GB2312" w:cs="仿宋_GB2312"/>
          <w:sz w:val="32"/>
          <w:szCs w:val="32"/>
        </w:rPr>
        <w:t>预期指标值=50年</w:t>
      </w:r>
      <w:r>
        <w:rPr>
          <w:rStyle w:val="49"/>
          <w:rFonts w:hint="eastAsia"/>
          <w:color w:val="auto"/>
        </w:rPr>
        <w:t>，</w:t>
      </w:r>
      <w:r>
        <w:rPr>
          <w:rFonts w:hint="eastAsia" w:ascii="仿宋_GB2312" w:hAnsi="仿宋_GB2312" w:eastAsia="仿宋_GB2312" w:cs="仿宋_GB2312"/>
          <w:sz w:val="32"/>
          <w:szCs w:val="32"/>
        </w:rPr>
        <w:t>指标完成值=</w:t>
      </w:r>
      <w:r>
        <w:rPr>
          <w:rStyle w:val="49"/>
          <w:rFonts w:hint="eastAsia"/>
          <w:color w:val="auto"/>
        </w:rPr>
        <w:t>50年</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0"/>
        <w:rPr>
          <w:rStyle w:val="49"/>
          <w:color w:val="auto"/>
          <w:highlight w:val="yellow"/>
        </w:rPr>
      </w:pPr>
      <w:r>
        <w:rPr>
          <w:rStyle w:val="49"/>
          <w:rFonts w:hint="eastAsia"/>
          <w:color w:val="auto"/>
        </w:rPr>
        <w:t>对于“服务对象的满意度”根据调查问卷调查结果，收益群众满意率，</w:t>
      </w:r>
      <w:r>
        <w:rPr>
          <w:rFonts w:hint="eastAsia" w:ascii="仿宋_GB2312" w:hAnsi="仿宋_GB2312" w:eastAsia="仿宋_GB2312" w:cs="仿宋_GB2312"/>
          <w:sz w:val="32"/>
          <w:szCs w:val="32"/>
        </w:rPr>
        <w:t>预期指标值=</w:t>
      </w:r>
      <w:r>
        <w:rPr>
          <w:rStyle w:val="49"/>
          <w:rFonts w:hint="eastAsia"/>
          <w:color w:val="auto"/>
        </w:rPr>
        <w:t>100%，</w:t>
      </w:r>
      <w:r>
        <w:rPr>
          <w:rFonts w:hint="eastAsia" w:ascii="仿宋_GB2312" w:hAnsi="仿宋_GB2312" w:eastAsia="仿宋_GB2312" w:cs="仿宋_GB2312"/>
          <w:sz w:val="32"/>
          <w:szCs w:val="32"/>
        </w:rPr>
        <w:t>指标完成值=</w:t>
      </w:r>
      <w:r>
        <w:rPr>
          <w:rStyle w:val="49"/>
          <w:rFonts w:hint="eastAsia"/>
          <w:color w:val="auto"/>
        </w:rPr>
        <w:t>100%</w:t>
      </w:r>
      <w:r>
        <w:rPr>
          <w:rFonts w:hint="eastAsia" w:ascii="仿宋_GB2312" w:hAnsi="仿宋_GB2312" w:eastAsia="仿宋_GB2312" w:cs="仿宋_GB2312"/>
          <w:sz w:val="32"/>
          <w:szCs w:val="32"/>
        </w:rPr>
        <w:t>，指标完成率100%</w:t>
      </w:r>
      <w:r>
        <w:rPr>
          <w:rStyle w:val="49"/>
          <w:rFonts w:hint="eastAsia"/>
          <w:color w:val="auto"/>
        </w:rPr>
        <w:t>。</w:t>
      </w:r>
    </w:p>
    <w:p>
      <w:pPr>
        <w:pageBreakBefore w:val="0"/>
        <w:kinsoku/>
        <w:wordWrap/>
        <w:overflowPunct/>
        <w:topLinePunct w:val="0"/>
        <w:autoSpaceDE/>
        <w:autoSpaceDN/>
        <w:bidi w:val="0"/>
        <w:adjustRightInd/>
        <w:snapToGrid/>
        <w:spacing w:line="560" w:lineRule="atLeast"/>
        <w:ind w:firstLine="641"/>
        <w:rPr>
          <w:rStyle w:val="49"/>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7"/>
        </w:numPr>
        <w:kinsoku/>
        <w:wordWrap/>
        <w:overflowPunct/>
        <w:topLinePunct w:val="0"/>
        <w:autoSpaceDE/>
        <w:autoSpaceDN/>
        <w:bidi w:val="0"/>
        <w:adjustRightInd/>
        <w:snapToGrid/>
        <w:spacing w:before="0" w:after="0" w:line="560" w:lineRule="atLeast"/>
        <w:ind w:firstLine="643" w:firstLineChars="200"/>
        <w:jc w:val="both"/>
        <w:rPr>
          <w:rFonts w:ascii="仿宋_GB2312" w:hAnsi="仿宋_GB2312" w:eastAsia="仿宋_GB2312" w:cs="仿宋_GB2312"/>
          <w:b w:val="0"/>
          <w:bCs w:val="0"/>
          <w:kern w:val="2"/>
        </w:rPr>
      </w:pPr>
      <w:r>
        <w:rPr>
          <w:rFonts w:hint="eastAsia" w:ascii="仿宋_GB2312" w:hAnsi="仿宋_GB2312" w:eastAsia="仿宋_GB2312" w:cs="仿宋_GB2312"/>
          <w:kern w:val="2"/>
        </w:rPr>
        <w:t>存在的问题：</w:t>
      </w:r>
      <w:r>
        <w:rPr>
          <w:rFonts w:hint="eastAsia" w:ascii="仿宋_GB2312" w:hAnsi="仿宋_GB2312" w:eastAsia="仿宋_GB2312" w:cs="仿宋_GB2312"/>
          <w:b w:val="0"/>
          <w:bCs w:val="0"/>
          <w:kern w:val="2"/>
        </w:rPr>
        <w:t>资金不能及时到位，影响医保缴纳。</w:t>
      </w:r>
    </w:p>
    <w:p>
      <w:pPr>
        <w:pStyle w:val="2"/>
        <w:pageBreakBefore w:val="0"/>
        <w:kinsoku/>
        <w:wordWrap/>
        <w:overflowPunct/>
        <w:topLinePunct w:val="0"/>
        <w:autoSpaceDE/>
        <w:autoSpaceDN/>
        <w:bidi w:val="0"/>
        <w:adjustRightInd/>
        <w:snapToGrid/>
        <w:spacing w:before="0" w:after="0" w:line="560" w:lineRule="atLeast"/>
        <w:ind w:firstLine="643" w:firstLineChars="200"/>
        <w:jc w:val="both"/>
        <w:rPr>
          <w:rFonts w:ascii="仿宋_GB2312" w:hAnsi="仿宋_GB2312" w:eastAsia="仿宋_GB2312" w:cs="仿宋_GB2312"/>
        </w:rPr>
      </w:pPr>
      <w:r>
        <w:rPr>
          <w:rFonts w:hint="eastAsia" w:ascii="仿宋_GB2312" w:hAnsi="仿宋_GB2312" w:eastAsia="仿宋_GB2312" w:cs="仿宋_GB2312"/>
        </w:rPr>
        <w:t>2、原因分析：</w:t>
      </w:r>
      <w:r>
        <w:rPr>
          <w:rFonts w:hint="eastAsia" w:ascii="仿宋_GB2312" w:hAnsi="仿宋_GB2312" w:eastAsia="仿宋_GB2312" w:cs="仿宋_GB2312"/>
          <w:b w:val="0"/>
          <w:bCs w:val="0"/>
          <w:kern w:val="2"/>
        </w:rPr>
        <w:t>自治区拨款不及时，造成经费不能及时到位。</w:t>
      </w:r>
    </w:p>
    <w:p>
      <w:pPr>
        <w:pageBreakBefore w:val="0"/>
        <w:numPr>
          <w:ilvl w:val="0"/>
          <w:numId w:val="8"/>
        </w:numPr>
        <w:kinsoku/>
        <w:wordWrap/>
        <w:overflowPunct/>
        <w:topLinePunct w:val="0"/>
        <w:autoSpaceDE/>
        <w:autoSpaceDN/>
        <w:bidi w:val="0"/>
        <w:adjustRightInd/>
        <w:snapToGrid/>
        <w:spacing w:line="560" w:lineRule="atLeast"/>
        <w:ind w:firstLine="641"/>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napToGri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numPr>
          <w:ilvl w:val="0"/>
          <w:numId w:val="8"/>
        </w:numPr>
        <w:kinsoku/>
        <w:wordWrap/>
        <w:overflowPunct/>
        <w:topLinePunct w:val="0"/>
        <w:autoSpaceDE/>
        <w:autoSpaceDN/>
        <w:bidi w:val="0"/>
        <w:adjustRightInd/>
        <w:snapToGrid/>
        <w:spacing w:line="560" w:lineRule="atLeast"/>
        <w:ind w:firstLine="641"/>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napToGrid/>
        <w:spacing w:before="0" w:after="0" w:line="560" w:lineRule="atLeast"/>
        <w:ind w:firstLine="643" w:firstLineChars="200"/>
        <w:jc w:val="both"/>
        <w:rPr>
          <w:rFonts w:ascii="Traditional Arabic" w:hAnsi="Traditional Arabic" w:eastAsia="仿宋" w:cs="Traditional Arabic"/>
        </w:rPr>
      </w:pPr>
      <w:r>
        <w:rPr>
          <w:rFonts w:ascii="Traditional Arabic" w:hAnsi="Traditional Arabic" w:eastAsia="仿宋" w:cs="Traditional Arabic"/>
        </w:rPr>
        <w:t>无</w:t>
      </w:r>
    </w:p>
    <w:p>
      <w:pPr>
        <w:rPr>
          <w:rFonts w:ascii="Traditional Arabic" w:hAnsi="Traditional Arabic" w:eastAsia="黑体" w:cs="Traditional Arabic"/>
          <w:sz w:val="32"/>
          <w:szCs w:val="32"/>
        </w:rPr>
      </w:pPr>
    </w:p>
    <w:tbl>
      <w:tblPr>
        <w:tblStyle w:val="18"/>
        <w:tblW w:w="9400" w:type="dxa"/>
        <w:tblInd w:w="0" w:type="dxa"/>
        <w:tblLayout w:type="fixed"/>
        <w:tblCellMar>
          <w:top w:w="0" w:type="dxa"/>
          <w:left w:w="0" w:type="dxa"/>
          <w:bottom w:w="0" w:type="dxa"/>
          <w:right w:w="0" w:type="dxa"/>
        </w:tblCellMar>
      </w:tblPr>
      <w:tblGrid>
        <w:gridCol w:w="726"/>
        <w:gridCol w:w="727"/>
        <w:gridCol w:w="726"/>
        <w:gridCol w:w="726"/>
        <w:gridCol w:w="1454"/>
        <w:gridCol w:w="1107"/>
        <w:gridCol w:w="1290"/>
        <w:gridCol w:w="2644"/>
      </w:tblGrid>
      <w:tr>
        <w:tblPrEx>
          <w:tblCellMar>
            <w:top w:w="0" w:type="dxa"/>
            <w:left w:w="0" w:type="dxa"/>
            <w:bottom w:w="0" w:type="dxa"/>
            <w:right w:w="0" w:type="dxa"/>
          </w:tblCellMar>
        </w:tblPrEx>
        <w:trPr>
          <w:trHeight w:val="538" w:hRule="atLeast"/>
        </w:trPr>
        <w:tc>
          <w:tcPr>
            <w:tcW w:w="940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b/>
                <w:color w:val="00000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0" w:type="dxa"/>
            <w:bottom w:w="0" w:type="dxa"/>
            <w:right w:w="0" w:type="dxa"/>
          </w:tblCellMar>
        </w:tblPrEx>
        <w:trPr>
          <w:trHeight w:val="538" w:hRule="atLeast"/>
        </w:trPr>
        <w:tc>
          <w:tcPr>
            <w:tcW w:w="9400" w:type="dxa"/>
            <w:gridSpan w:val="8"/>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0" w:type="dxa"/>
            <w:bottom w:w="0" w:type="dxa"/>
            <w:right w:w="0" w:type="dxa"/>
          </w:tblCellMar>
        </w:tblPrEx>
        <w:trPr>
          <w:trHeight w:val="275" w:hRule="atLeast"/>
        </w:trPr>
        <w:tc>
          <w:tcPr>
            <w:tcW w:w="9400" w:type="dxa"/>
            <w:gridSpan w:val="8"/>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r>
      <w:tr>
        <w:tblPrEx>
          <w:tblCellMar>
            <w:top w:w="0" w:type="dxa"/>
            <w:left w:w="0" w:type="dxa"/>
            <w:bottom w:w="0" w:type="dxa"/>
            <w:right w:w="0" w:type="dxa"/>
          </w:tblCellMar>
        </w:tblPrEx>
        <w:trPr>
          <w:trHeight w:val="284"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94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cs="宋体"/>
                <w:i w:val="0"/>
                <w:color w:val="000000"/>
                <w:kern w:val="0"/>
                <w:sz w:val="18"/>
                <w:szCs w:val="18"/>
                <w:u w:val="none"/>
                <w:lang w:val="en-US" w:eastAsia="zh-CN" w:bidi="ar"/>
              </w:rPr>
              <w:t>军转干部</w:t>
            </w:r>
            <w:r>
              <w:rPr>
                <w:rFonts w:hint="eastAsia" w:ascii="宋体" w:hAnsi="宋体" w:eastAsia="宋体" w:cs="宋体"/>
                <w:i w:val="0"/>
                <w:color w:val="000000"/>
                <w:kern w:val="0"/>
                <w:sz w:val="18"/>
                <w:szCs w:val="18"/>
                <w:u w:val="none"/>
                <w:lang w:val="en-US" w:eastAsia="zh-CN" w:bidi="ar"/>
              </w:rPr>
              <w:t>基本医疗</w:t>
            </w:r>
          </w:p>
        </w:tc>
      </w:tr>
      <w:tr>
        <w:tblPrEx>
          <w:tblCellMar>
            <w:top w:w="0" w:type="dxa"/>
            <w:left w:w="0" w:type="dxa"/>
            <w:bottom w:w="0" w:type="dxa"/>
            <w:right w:w="0" w:type="dxa"/>
          </w:tblCellMar>
        </w:tblPrEx>
        <w:trPr>
          <w:trHeight w:val="284"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01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塔城地区退役军人事务局</w:t>
            </w:r>
          </w:p>
        </w:tc>
      </w:tr>
      <w:tr>
        <w:tblPrEx>
          <w:tblCellMar>
            <w:top w:w="0" w:type="dxa"/>
            <w:left w:w="0" w:type="dxa"/>
            <w:bottom w:w="0" w:type="dxa"/>
            <w:right w:w="0" w:type="dxa"/>
          </w:tblCellMar>
        </w:tblPrEx>
        <w:trPr>
          <w:trHeight w:val="546"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726" w:type="dxa"/>
            <w:tcBorders>
              <w:top w:val="nil"/>
              <w:left w:val="nil"/>
              <w:bottom w:val="nil"/>
              <w:right w:val="nil"/>
            </w:tcBorders>
            <w:shd w:val="clear" w:color="auto" w:fill="auto"/>
            <w:noWrap/>
            <w:tcMar>
              <w:top w:w="15" w:type="dxa"/>
              <w:left w:w="15" w:type="dxa"/>
              <w:right w:w="15" w:type="dxa"/>
            </w:tcMar>
            <w:vAlign w:val="bottom"/>
          </w:tcPr>
          <w:p>
            <w:pPr>
              <w:rPr>
                <w:rFonts w:ascii="Arial" w:hAnsi="Arial" w:cs="Arial"/>
                <w:color w:val="000000"/>
                <w:sz w:val="20"/>
                <w:szCs w:val="20"/>
              </w:rPr>
            </w:pPr>
          </w:p>
        </w:tc>
        <w:tc>
          <w:tcPr>
            <w:tcW w:w="726" w:type="dxa"/>
            <w:tcBorders>
              <w:top w:val="nil"/>
              <w:left w:val="nil"/>
              <w:bottom w:val="nil"/>
              <w:right w:val="nil"/>
            </w:tcBorders>
            <w:shd w:val="clear" w:color="auto" w:fill="auto"/>
            <w:noWrap/>
            <w:tcMar>
              <w:top w:w="15" w:type="dxa"/>
              <w:left w:w="15" w:type="dxa"/>
              <w:right w:w="15" w:type="dxa"/>
            </w:tcMar>
            <w:vAlign w:val="bottom"/>
          </w:tcPr>
          <w:p>
            <w:pPr>
              <w:rPr>
                <w:rFonts w:ascii="Arial" w:hAnsi="Arial" w:cs="Arial"/>
                <w:color w:val="000000"/>
                <w:sz w:val="20"/>
                <w:szCs w:val="20"/>
              </w:rPr>
            </w:pP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0" w:type="dxa"/>
            <w:bottom w:w="0" w:type="dxa"/>
            <w:right w:w="0" w:type="dxa"/>
          </w:tblCellMar>
        </w:tblPrEx>
        <w:trPr>
          <w:trHeight w:val="522"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107.96</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107.96</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91.32</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84.59%</w:t>
            </w:r>
          </w:p>
        </w:tc>
      </w:tr>
      <w:tr>
        <w:tblPrEx>
          <w:tblCellMar>
            <w:top w:w="0" w:type="dxa"/>
            <w:left w:w="0" w:type="dxa"/>
            <w:bottom w:w="0" w:type="dxa"/>
            <w:right w:w="0" w:type="dxa"/>
          </w:tblCellMar>
        </w:tblPrEx>
        <w:trPr>
          <w:trHeight w:val="522"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107.96</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107.96</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sz w:val="18"/>
                <w:szCs w:val="18"/>
                <w:lang w:eastAsia="zh-CN"/>
              </w:rPr>
            </w:pPr>
            <w:r>
              <w:rPr>
                <w:rFonts w:hint="eastAsia" w:ascii="宋体" w:hAnsi="宋体" w:eastAsia="宋体" w:cs="宋体"/>
                <w:i w:val="0"/>
                <w:color w:val="000000"/>
                <w:kern w:val="0"/>
                <w:sz w:val="18"/>
                <w:szCs w:val="18"/>
                <w:u w:val="none"/>
                <w:lang w:val="en-US" w:eastAsia="zh-CN" w:bidi="ar"/>
              </w:rPr>
              <w:t>91.32</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386"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284" w:hRule="atLeast"/>
        </w:trPr>
        <w:tc>
          <w:tcPr>
            <w:tcW w:w="14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22"/>
                <w:szCs w:val="22"/>
              </w:rPr>
            </w:pPr>
          </w:p>
        </w:tc>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14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trHeight w:val="386" w:hRule="atLeast"/>
        </w:trPr>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3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0" w:type="dxa"/>
            <w:bottom w:w="0" w:type="dxa"/>
            <w:right w:w="0" w:type="dxa"/>
          </w:tblCellMar>
        </w:tblPrEx>
        <w:trPr>
          <w:trHeight w:val="631"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47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每月为82名</w:t>
            </w:r>
            <w:r>
              <w:rPr>
                <w:rFonts w:hint="eastAsia" w:ascii="宋体" w:hAnsi="宋体" w:cs="宋体"/>
                <w:i w:val="0"/>
                <w:color w:val="000000"/>
                <w:kern w:val="0"/>
                <w:sz w:val="18"/>
                <w:szCs w:val="18"/>
                <w:u w:val="none"/>
                <w:lang w:val="en-US" w:eastAsia="zh-CN" w:bidi="ar"/>
              </w:rPr>
              <w:t>军转干部</w:t>
            </w:r>
            <w:r>
              <w:rPr>
                <w:rFonts w:hint="eastAsia" w:ascii="宋体" w:hAnsi="宋体" w:eastAsia="宋体" w:cs="宋体"/>
                <w:i w:val="0"/>
                <w:color w:val="000000"/>
                <w:kern w:val="0"/>
                <w:sz w:val="18"/>
                <w:szCs w:val="18"/>
                <w:u w:val="none"/>
                <w:lang w:val="en-US" w:eastAsia="zh-CN" w:bidi="ar"/>
              </w:rPr>
              <w:t>按时发放与交纳医疗保险</w:t>
            </w:r>
          </w:p>
        </w:tc>
        <w:tc>
          <w:tcPr>
            <w:tcW w:w="3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每月为82名</w:t>
            </w:r>
            <w:r>
              <w:rPr>
                <w:rFonts w:hint="eastAsia" w:ascii="宋体" w:hAnsi="宋体" w:cs="宋体"/>
                <w:i w:val="0"/>
                <w:color w:val="000000"/>
                <w:kern w:val="0"/>
                <w:sz w:val="18"/>
                <w:szCs w:val="18"/>
                <w:u w:val="none"/>
                <w:lang w:val="en-US" w:eastAsia="zh-CN" w:bidi="ar"/>
              </w:rPr>
              <w:t>军转干部</w:t>
            </w:r>
            <w:r>
              <w:rPr>
                <w:rFonts w:hint="eastAsia" w:ascii="宋体" w:hAnsi="宋体" w:eastAsia="宋体" w:cs="宋体"/>
                <w:i w:val="0"/>
                <w:color w:val="000000"/>
                <w:kern w:val="0"/>
                <w:sz w:val="18"/>
                <w:szCs w:val="18"/>
                <w:u w:val="none"/>
                <w:lang w:val="en-US" w:eastAsia="zh-CN" w:bidi="ar"/>
              </w:rPr>
              <w:t>按时发放与交纳医疗保险</w:t>
            </w:r>
          </w:p>
        </w:tc>
      </w:tr>
      <w:tr>
        <w:tblPrEx>
          <w:tblCellMar>
            <w:top w:w="0" w:type="dxa"/>
            <w:left w:w="0" w:type="dxa"/>
            <w:bottom w:w="0" w:type="dxa"/>
            <w:right w:w="0" w:type="dxa"/>
          </w:tblCellMar>
        </w:tblPrEx>
        <w:trPr>
          <w:trHeight w:val="1323"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0" w:type="dxa"/>
            <w:bottom w:w="0" w:type="dxa"/>
            <w:right w:w="0" w:type="dxa"/>
          </w:tblCellMar>
        </w:tblPrEx>
        <w:trPr>
          <w:trHeight w:val="1001" w:hRule="atLeast"/>
        </w:trPr>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cs="宋体"/>
                <w:i w:val="0"/>
                <w:color w:val="000000"/>
                <w:kern w:val="0"/>
                <w:sz w:val="18"/>
                <w:szCs w:val="18"/>
                <w:u w:val="none"/>
                <w:lang w:val="en-US" w:eastAsia="zh-CN" w:bidi="ar"/>
              </w:rPr>
              <w:t>军转干部</w:t>
            </w:r>
            <w:r>
              <w:rPr>
                <w:rFonts w:hint="eastAsia" w:ascii="宋体" w:hAnsi="宋体" w:eastAsia="宋体" w:cs="宋体"/>
                <w:i w:val="0"/>
                <w:color w:val="000000"/>
                <w:kern w:val="0"/>
                <w:sz w:val="18"/>
                <w:szCs w:val="18"/>
                <w:u w:val="none"/>
                <w:lang w:val="en-US" w:eastAsia="zh-CN" w:bidi="ar"/>
              </w:rPr>
              <w:t>人数</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=82人</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82人</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728"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按政策足额交纳</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30"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交纳覆盖率</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728"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交纳及时率</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30"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基本医疗交纳比例</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65"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军转干部社会保障水平</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898"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军转干部社会保障体系</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98%</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966" w:hRule="atLeast"/>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7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2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cs="宋体"/>
                <w:i w:val="0"/>
                <w:color w:val="000000"/>
                <w:kern w:val="0"/>
                <w:sz w:val="18"/>
                <w:szCs w:val="18"/>
                <w:u w:val="none"/>
                <w:lang w:val="en-US" w:eastAsia="zh-CN" w:bidi="ar"/>
              </w:rPr>
              <w:t>军转干部</w:t>
            </w:r>
            <w:r>
              <w:rPr>
                <w:rFonts w:hint="eastAsia" w:ascii="宋体" w:hAnsi="宋体" w:eastAsia="宋体" w:cs="宋体"/>
                <w:i w:val="0"/>
                <w:color w:val="000000"/>
                <w:kern w:val="0"/>
                <w:sz w:val="18"/>
                <w:szCs w:val="18"/>
                <w:u w:val="none"/>
                <w:lang w:val="en-US" w:eastAsia="zh-CN" w:bidi="ar"/>
              </w:rPr>
              <w:t>满意度</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95%</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bl>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pStyle w:val="2"/>
        <w:rPr>
          <w:rStyle w:val="20"/>
          <w:rFonts w:ascii="黑体" w:hAnsi="黑体" w:eastAsia="黑体"/>
          <w:b/>
          <w:bCs/>
          <w:spacing w:val="-4"/>
        </w:rPr>
        <w:sectPr>
          <w:footerReference r:id="rId3" w:type="default"/>
          <w:pgSz w:w="11906" w:h="16838"/>
          <w:pgMar w:top="1440" w:right="1558" w:bottom="1440" w:left="1800" w:header="851" w:footer="992" w:gutter="0"/>
          <w:cols w:space="0" w:num="1"/>
          <w:docGrid w:type="lines" w:linePitch="312" w:charSpace="0"/>
        </w:sectPr>
      </w:pPr>
    </w:p>
    <w:tbl>
      <w:tblPr>
        <w:tblStyle w:val="18"/>
        <w:tblW w:w="1247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27"/>
        <w:gridCol w:w="754"/>
        <w:gridCol w:w="859"/>
        <w:gridCol w:w="2315"/>
        <w:gridCol w:w="5101"/>
        <w:gridCol w:w="1277"/>
        <w:gridCol w:w="13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2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54"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5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15"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0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27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3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2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5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15"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0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277"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3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15"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01"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277"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3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01"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277"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2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15"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0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27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2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5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15"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0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27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27"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5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15"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0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27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2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5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2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2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54"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2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5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2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5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15"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01"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27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133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2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5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59"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15"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01"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27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3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bl>
    <w:p/>
    <w:p>
      <w:pPr>
        <w:spacing w:line="540" w:lineRule="exact"/>
        <w:ind w:firstLine="640"/>
        <w:rPr>
          <w:rStyle w:val="20"/>
          <w:rFonts w:ascii="黑体" w:hAnsi="黑体" w:eastAsia="黑体"/>
          <w:bCs w:val="0"/>
          <w:spacing w:val="-4"/>
          <w:sz w:val="32"/>
          <w:szCs w:val="32"/>
        </w:rPr>
      </w:pPr>
    </w:p>
    <w:sectPr>
      <w:pgSz w:w="16838" w:h="11906" w:orient="landscape"/>
      <w:pgMar w:top="1800" w:right="1440" w:bottom="1558"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Traditional Arabic">
    <w:panose1 w:val="02020603050405020304"/>
    <w:charset w:val="00"/>
    <w:family w:val="auto"/>
    <w:pitch w:val="default"/>
    <w:sig w:usb0="00006003" w:usb1="80000000" w:usb2="00000008" w:usb3="00000000" w:csb0="00000041" w:csb1="2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B5E16F9"/>
    <w:multiLevelType w:val="singleLevel"/>
    <w:tmpl w:val="DB5E16F9"/>
    <w:lvl w:ilvl="0" w:tentative="0">
      <w:start w:val="2"/>
      <w:numFmt w:val="chineseCounting"/>
      <w:suff w:val="nothing"/>
      <w:lvlText w:val="（%1）"/>
      <w:lvlJc w:val="left"/>
      <w:rPr>
        <w:rFonts w:hint="eastAsia"/>
      </w:rPr>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52CFCDC0"/>
    <w:multiLevelType w:val="singleLevel"/>
    <w:tmpl w:val="52CFCDC0"/>
    <w:lvl w:ilvl="0" w:tentative="0">
      <w:start w:val="1"/>
      <w:numFmt w:val="decimal"/>
      <w:suff w:val="nothing"/>
      <w:lvlText w:val="%1、"/>
      <w:lvlJc w:val="left"/>
    </w:lvl>
  </w:abstractNum>
  <w:num w:numId="1">
    <w:abstractNumId w:val="3"/>
  </w:num>
  <w:num w:numId="2">
    <w:abstractNumId w:val="2"/>
  </w:num>
  <w:num w:numId="3">
    <w:abstractNumId w:val="7"/>
  </w:num>
  <w:num w:numId="4">
    <w:abstractNumId w:val="6"/>
  </w:num>
  <w:num w:numId="5">
    <w:abstractNumId w:val="1"/>
  </w:num>
  <w:num w:numId="6">
    <w:abstractNumId w:val="5"/>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A1808"/>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D4B52"/>
    <w:rsid w:val="00DF42A0"/>
    <w:rsid w:val="00DF7C45"/>
    <w:rsid w:val="00E31565"/>
    <w:rsid w:val="00E46C51"/>
    <w:rsid w:val="00E769FE"/>
    <w:rsid w:val="00EA2CBE"/>
    <w:rsid w:val="00F00242"/>
    <w:rsid w:val="00F32FEE"/>
    <w:rsid w:val="00F71278"/>
    <w:rsid w:val="00FB10BB"/>
    <w:rsid w:val="018779D3"/>
    <w:rsid w:val="051A56F5"/>
    <w:rsid w:val="066D6EAA"/>
    <w:rsid w:val="08C662D4"/>
    <w:rsid w:val="09BD4D95"/>
    <w:rsid w:val="0F8D41CB"/>
    <w:rsid w:val="10CC0223"/>
    <w:rsid w:val="11C75270"/>
    <w:rsid w:val="12445452"/>
    <w:rsid w:val="12637CC3"/>
    <w:rsid w:val="12E657C5"/>
    <w:rsid w:val="16203813"/>
    <w:rsid w:val="167C7687"/>
    <w:rsid w:val="168B3546"/>
    <w:rsid w:val="1A2374E0"/>
    <w:rsid w:val="1C317CE2"/>
    <w:rsid w:val="1DD45808"/>
    <w:rsid w:val="1DED42AC"/>
    <w:rsid w:val="1F2311CD"/>
    <w:rsid w:val="20005763"/>
    <w:rsid w:val="20E77216"/>
    <w:rsid w:val="20FB313D"/>
    <w:rsid w:val="220B4804"/>
    <w:rsid w:val="27746A1A"/>
    <w:rsid w:val="282475E3"/>
    <w:rsid w:val="2C6100C1"/>
    <w:rsid w:val="2F740E06"/>
    <w:rsid w:val="308C4956"/>
    <w:rsid w:val="31B16B9E"/>
    <w:rsid w:val="3264220D"/>
    <w:rsid w:val="350F7B5D"/>
    <w:rsid w:val="3963178C"/>
    <w:rsid w:val="39712BAD"/>
    <w:rsid w:val="40435C2F"/>
    <w:rsid w:val="41CC2676"/>
    <w:rsid w:val="423722CA"/>
    <w:rsid w:val="43BD3EAD"/>
    <w:rsid w:val="45E9028F"/>
    <w:rsid w:val="46B21672"/>
    <w:rsid w:val="49DA2E2A"/>
    <w:rsid w:val="4E4F0F06"/>
    <w:rsid w:val="4E512B7E"/>
    <w:rsid w:val="4F552460"/>
    <w:rsid w:val="4FCC6863"/>
    <w:rsid w:val="500A214A"/>
    <w:rsid w:val="522D604D"/>
    <w:rsid w:val="5297585E"/>
    <w:rsid w:val="52AD7D6F"/>
    <w:rsid w:val="54843E13"/>
    <w:rsid w:val="54B60A16"/>
    <w:rsid w:val="5549519D"/>
    <w:rsid w:val="5557596B"/>
    <w:rsid w:val="59406FF8"/>
    <w:rsid w:val="5B596DFC"/>
    <w:rsid w:val="5DF03945"/>
    <w:rsid w:val="637C2815"/>
    <w:rsid w:val="64447F81"/>
    <w:rsid w:val="65E10DDB"/>
    <w:rsid w:val="6BCC545C"/>
    <w:rsid w:val="77B13621"/>
    <w:rsid w:val="793B0E80"/>
    <w:rsid w:val="7A353D0B"/>
    <w:rsid w:val="7AF0647E"/>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1415</Words>
  <Characters>8069</Characters>
  <Lines>67</Lines>
  <Paragraphs>18</Paragraphs>
  <TotalTime>4</TotalTime>
  <ScaleCrop>false</ScaleCrop>
  <LinksUpToDate>false</LinksUpToDate>
  <CharactersWithSpaces>9466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2025-10-14T10:21:14Z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69F0D7F7289D4292851A17EFE7A8B290</vt:lpwstr>
  </property>
</Properties>
</file>