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highlight w:val="none"/>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highlight w:val="none"/>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highlight w:val="none"/>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highlight w:val="none"/>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highlight w:val="none"/>
        </w:rPr>
      </w:pPr>
    </w:p>
    <w:p>
      <w:pPr>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b/>
          <w:kern w:val="0"/>
          <w:sz w:val="52"/>
          <w:szCs w:val="52"/>
          <w:highlight w:val="none"/>
        </w:rPr>
      </w:pPr>
    </w:p>
    <w:p>
      <w:pPr>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kern w:val="0"/>
          <w:sz w:val="44"/>
          <w:szCs w:val="44"/>
          <w:highlight w:val="none"/>
        </w:rPr>
      </w:pPr>
      <w:r>
        <w:rPr>
          <w:rFonts w:hint="eastAsia" w:ascii="方正小标宋简体" w:hAnsi="方正小标宋简体" w:eastAsia="方正小标宋简体" w:cs="方正小标宋简体"/>
          <w:kern w:val="0"/>
          <w:sz w:val="44"/>
          <w:szCs w:val="44"/>
          <w:highlight w:val="none"/>
        </w:rPr>
        <w:t>塔城地区质量与计量检测所资金项目支出绩效评价报告</w:t>
      </w: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highlight w:val="none"/>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6"/>
          <w:szCs w:val="36"/>
          <w:highlight w:val="none"/>
        </w:rPr>
      </w:pPr>
      <w:r>
        <w:rPr>
          <w:rFonts w:hint="eastAsia" w:hAnsi="宋体" w:eastAsia="仿宋_GB2312" w:cs="宋体"/>
          <w:kern w:val="0"/>
          <w:sz w:val="36"/>
          <w:szCs w:val="36"/>
          <w:highlight w:val="none"/>
        </w:rPr>
        <w:t>（</w:t>
      </w:r>
      <w:r>
        <w:rPr>
          <w:rFonts w:hAnsi="宋体" w:eastAsia="仿宋_GB2312" w:cs="宋体"/>
          <w:kern w:val="0"/>
          <w:sz w:val="36"/>
          <w:szCs w:val="36"/>
          <w:highlight w:val="none"/>
        </w:rPr>
        <w:t xml:space="preserve"> 2020</w:t>
      </w:r>
      <w:r>
        <w:rPr>
          <w:rFonts w:hint="eastAsia" w:hAnsi="宋体" w:eastAsia="仿宋_GB2312" w:cs="宋体"/>
          <w:kern w:val="0"/>
          <w:sz w:val="36"/>
          <w:szCs w:val="36"/>
          <w:highlight w:val="none"/>
        </w:rPr>
        <w:t>年度）</w:t>
      </w: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highlight w:val="none"/>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highlight w:val="none"/>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highlight w:val="none"/>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highlight w:val="none"/>
        </w:rPr>
      </w:pPr>
    </w:p>
    <w:p>
      <w:pPr>
        <w:pageBreakBefore w:val="0"/>
        <w:kinsoku/>
        <w:wordWrap/>
        <w:overflowPunct/>
        <w:topLinePunct w:val="0"/>
        <w:autoSpaceDE/>
        <w:autoSpaceDN/>
        <w:bidi w:val="0"/>
        <w:adjustRightInd/>
        <w:snapToGrid/>
        <w:spacing w:line="560" w:lineRule="exact"/>
        <w:rPr>
          <w:rFonts w:hAnsi="宋体" w:eastAsia="仿宋_GB2312" w:cs="宋体"/>
          <w:kern w:val="0"/>
          <w:sz w:val="30"/>
          <w:szCs w:val="30"/>
          <w:highlight w:val="none"/>
        </w:rPr>
      </w:pPr>
    </w:p>
    <w:p>
      <w:pPr>
        <w:pageBreakBefore w:val="0"/>
        <w:kinsoku/>
        <w:wordWrap/>
        <w:overflowPunct/>
        <w:topLinePunct w:val="0"/>
        <w:autoSpaceDE/>
        <w:autoSpaceDN/>
        <w:bidi w:val="0"/>
        <w:adjustRightInd/>
        <w:snapToGrid/>
        <w:spacing w:line="560" w:lineRule="exact"/>
        <w:ind w:firstLine="640" w:firstLineChars="200"/>
        <w:jc w:val="left"/>
        <w:rPr>
          <w:rFonts w:hAnsi="宋体" w:eastAsia="仿宋_GB2312" w:cs="宋体"/>
          <w:kern w:val="0"/>
          <w:sz w:val="32"/>
          <w:szCs w:val="32"/>
          <w:highlight w:val="none"/>
        </w:rPr>
      </w:pPr>
      <w:r>
        <w:rPr>
          <w:rFonts w:hint="eastAsia" w:hAnsi="宋体" w:eastAsia="仿宋_GB2312" w:cs="宋体"/>
          <w:kern w:val="0"/>
          <w:sz w:val="32"/>
          <w:szCs w:val="32"/>
          <w:highlight w:val="none"/>
        </w:rPr>
        <w:t>项目名称：食品检验专项经费</w:t>
      </w:r>
    </w:p>
    <w:p>
      <w:pPr>
        <w:pageBreakBefore w:val="0"/>
        <w:kinsoku/>
        <w:wordWrap/>
        <w:overflowPunct/>
        <w:topLinePunct w:val="0"/>
        <w:autoSpaceDE/>
        <w:autoSpaceDN/>
        <w:bidi w:val="0"/>
        <w:adjustRightInd/>
        <w:snapToGrid/>
        <w:spacing w:line="560" w:lineRule="exact"/>
        <w:ind w:firstLine="640" w:firstLineChars="200"/>
        <w:jc w:val="left"/>
        <w:rPr>
          <w:rFonts w:hAnsi="宋体" w:eastAsia="仿宋_GB2312" w:cs="宋体"/>
          <w:kern w:val="0"/>
          <w:sz w:val="32"/>
          <w:szCs w:val="32"/>
          <w:highlight w:val="none"/>
        </w:rPr>
      </w:pPr>
      <w:r>
        <w:rPr>
          <w:rFonts w:hint="eastAsia" w:hAnsi="宋体" w:eastAsia="仿宋_GB2312" w:cs="宋体"/>
          <w:kern w:val="0"/>
          <w:sz w:val="32"/>
          <w:szCs w:val="32"/>
          <w:highlight w:val="none"/>
        </w:rPr>
        <w:t>实施单位（公章）：塔城地区质量与计量检测所</w:t>
      </w:r>
    </w:p>
    <w:p>
      <w:pPr>
        <w:pageBreakBefore w:val="0"/>
        <w:kinsoku/>
        <w:wordWrap/>
        <w:overflowPunct/>
        <w:topLinePunct w:val="0"/>
        <w:autoSpaceDE/>
        <w:autoSpaceDN/>
        <w:bidi w:val="0"/>
        <w:adjustRightInd/>
        <w:snapToGrid/>
        <w:spacing w:line="560" w:lineRule="exact"/>
        <w:ind w:firstLine="640" w:firstLineChars="200"/>
        <w:jc w:val="left"/>
        <w:rPr>
          <w:rFonts w:hAnsi="宋体" w:eastAsia="仿宋_GB2312" w:cs="宋体"/>
          <w:kern w:val="0"/>
          <w:sz w:val="32"/>
          <w:szCs w:val="32"/>
          <w:highlight w:val="none"/>
        </w:rPr>
      </w:pPr>
      <w:r>
        <w:rPr>
          <w:rFonts w:hint="eastAsia" w:hAnsi="宋体" w:eastAsia="仿宋_GB2312" w:cs="宋体"/>
          <w:kern w:val="0"/>
          <w:sz w:val="32"/>
          <w:szCs w:val="32"/>
          <w:highlight w:val="none"/>
        </w:rPr>
        <w:t>主管部门（公章）：塔城地区市场监督管理局</w:t>
      </w:r>
    </w:p>
    <w:p>
      <w:pPr>
        <w:pageBreakBefore w:val="0"/>
        <w:kinsoku/>
        <w:wordWrap/>
        <w:overflowPunct/>
        <w:topLinePunct w:val="0"/>
        <w:autoSpaceDE/>
        <w:autoSpaceDN/>
        <w:bidi w:val="0"/>
        <w:adjustRightInd/>
        <w:snapToGrid/>
        <w:spacing w:line="560" w:lineRule="exact"/>
        <w:ind w:firstLine="640" w:firstLineChars="200"/>
        <w:jc w:val="left"/>
        <w:rPr>
          <w:rFonts w:hAnsi="宋体" w:eastAsia="仿宋_GB2312" w:cs="宋体"/>
          <w:kern w:val="0"/>
          <w:sz w:val="32"/>
          <w:szCs w:val="32"/>
          <w:highlight w:val="none"/>
        </w:rPr>
      </w:pPr>
      <w:r>
        <w:rPr>
          <w:rFonts w:hint="eastAsia" w:hAnsi="宋体" w:eastAsia="仿宋_GB2312" w:cs="宋体"/>
          <w:kern w:val="0"/>
          <w:sz w:val="32"/>
          <w:szCs w:val="32"/>
          <w:highlight w:val="none"/>
        </w:rPr>
        <w:t>项目负责人（签章）：肖志欣</w:t>
      </w:r>
    </w:p>
    <w:p>
      <w:pPr>
        <w:pageBreakBefore w:val="0"/>
        <w:kinsoku/>
        <w:wordWrap/>
        <w:overflowPunct/>
        <w:topLinePunct w:val="0"/>
        <w:autoSpaceDE/>
        <w:autoSpaceDN/>
        <w:bidi w:val="0"/>
        <w:adjustRightInd/>
        <w:snapToGrid/>
        <w:spacing w:line="560" w:lineRule="exact"/>
        <w:ind w:firstLine="640" w:firstLineChars="200"/>
        <w:jc w:val="left"/>
        <w:rPr>
          <w:rFonts w:hAnsi="宋体" w:eastAsia="仿宋_GB2312" w:cs="宋体"/>
          <w:kern w:val="0"/>
          <w:sz w:val="32"/>
          <w:szCs w:val="32"/>
          <w:highlight w:val="none"/>
        </w:rPr>
      </w:pPr>
      <w:r>
        <w:rPr>
          <w:rFonts w:hint="eastAsia" w:hAnsi="宋体" w:eastAsia="仿宋_GB2312" w:cs="宋体"/>
          <w:kern w:val="0"/>
          <w:sz w:val="32"/>
          <w:szCs w:val="32"/>
          <w:highlight w:val="none"/>
        </w:rPr>
        <w:t>填报时间：</w:t>
      </w:r>
      <w:r>
        <w:rPr>
          <w:rFonts w:hAnsi="宋体" w:eastAsia="仿宋_GB2312" w:cs="宋体"/>
          <w:kern w:val="0"/>
          <w:sz w:val="32"/>
          <w:szCs w:val="32"/>
          <w:highlight w:val="none"/>
        </w:rPr>
        <w:t>2021</w:t>
      </w:r>
      <w:r>
        <w:rPr>
          <w:rFonts w:hint="eastAsia" w:hAnsi="宋体" w:eastAsia="仿宋_GB2312" w:cs="宋体"/>
          <w:kern w:val="0"/>
          <w:sz w:val="32"/>
          <w:szCs w:val="32"/>
          <w:highlight w:val="none"/>
        </w:rPr>
        <w:t>年</w:t>
      </w:r>
      <w:r>
        <w:rPr>
          <w:rFonts w:hAnsi="宋体" w:eastAsia="仿宋_GB2312" w:cs="宋体"/>
          <w:kern w:val="0"/>
          <w:sz w:val="32"/>
          <w:szCs w:val="32"/>
          <w:highlight w:val="none"/>
        </w:rPr>
        <w:t>3</w:t>
      </w:r>
      <w:r>
        <w:rPr>
          <w:rFonts w:hint="eastAsia" w:hAnsi="宋体" w:eastAsia="仿宋_GB2312" w:cs="宋体"/>
          <w:kern w:val="0"/>
          <w:sz w:val="32"/>
          <w:szCs w:val="32"/>
          <w:highlight w:val="none"/>
        </w:rPr>
        <w:t>月</w:t>
      </w:r>
      <w:r>
        <w:rPr>
          <w:rFonts w:hAnsi="宋体" w:eastAsia="仿宋_GB2312" w:cs="宋体"/>
          <w:kern w:val="0"/>
          <w:sz w:val="32"/>
          <w:szCs w:val="32"/>
          <w:highlight w:val="none"/>
        </w:rPr>
        <w:t>31</w:t>
      </w:r>
      <w:r>
        <w:rPr>
          <w:rFonts w:hint="eastAsia" w:hAnsi="宋体" w:eastAsia="仿宋_GB2312" w:cs="宋体"/>
          <w:kern w:val="0"/>
          <w:sz w:val="32"/>
          <w:szCs w:val="32"/>
          <w:highlight w:val="none"/>
        </w:rPr>
        <w:t>日</w:t>
      </w: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highlight w:val="none"/>
        </w:rPr>
      </w:pPr>
    </w:p>
    <w:p>
      <w:pPr>
        <w:pageBreakBefore w:val="0"/>
        <w:kinsoku/>
        <w:wordWrap/>
        <w:overflowPunct/>
        <w:topLinePunct w:val="0"/>
        <w:autoSpaceDE/>
        <w:autoSpaceDN/>
        <w:bidi w:val="0"/>
        <w:adjustRightInd/>
        <w:snapToGrid/>
        <w:spacing w:line="560" w:lineRule="exact"/>
        <w:rPr>
          <w:rStyle w:val="21"/>
          <w:rFonts w:ascii="黑体" w:hAnsi="黑体" w:eastAsia="黑体"/>
          <w:b w:val="0"/>
          <w:spacing w:val="-4"/>
          <w:sz w:val="32"/>
          <w:szCs w:val="32"/>
          <w:highlight w:val="none"/>
        </w:rPr>
      </w:pPr>
    </w:p>
    <w:p>
      <w:pPr>
        <w:pageBreakBefore w:val="0"/>
        <w:kinsoku/>
        <w:wordWrap/>
        <w:overflowPunct/>
        <w:topLinePunct w:val="0"/>
        <w:autoSpaceDE/>
        <w:autoSpaceDN/>
        <w:bidi w:val="0"/>
        <w:adjustRightInd/>
        <w:snapToGrid/>
        <w:spacing w:line="560" w:lineRule="exact"/>
        <w:rPr>
          <w:rFonts w:ascii="黑体" w:hAnsi="黑体" w:eastAsia="黑体" w:cs="黑体"/>
          <w:bCs/>
          <w:sz w:val="32"/>
          <w:szCs w:val="32"/>
          <w:highlight w:val="none"/>
        </w:rPr>
      </w:pPr>
    </w:p>
    <w:p>
      <w:pPr>
        <w:pageBreakBefore w:val="0"/>
        <w:kinsoku/>
        <w:wordWrap/>
        <w:overflowPunct/>
        <w:topLinePunct w:val="0"/>
        <w:autoSpaceDE/>
        <w:autoSpaceDN/>
        <w:bidi w:val="0"/>
        <w:adjustRightInd/>
        <w:snapToGrid/>
        <w:spacing w:line="560" w:lineRule="exact"/>
        <w:rPr>
          <w:rFonts w:ascii="黑体" w:hAnsi="黑体" w:eastAsia="黑体" w:cs="黑体"/>
          <w:bCs/>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rPr>
          <w:rFonts w:ascii="黑体" w:hAnsi="黑体" w:eastAsia="黑体" w:cs="黑体"/>
          <w:bCs/>
          <w:sz w:val="32"/>
          <w:szCs w:val="32"/>
          <w:highlight w:val="none"/>
        </w:rPr>
      </w:pPr>
      <w:r>
        <w:rPr>
          <w:rFonts w:hint="eastAsia" w:ascii="黑体" w:hAnsi="黑体" w:eastAsia="黑体" w:cs="黑体"/>
          <w:bCs/>
          <w:sz w:val="32"/>
          <w:szCs w:val="32"/>
          <w:highlight w:val="none"/>
        </w:rPr>
        <w:t>一、基本情况</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（一）项目概况</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highlight w:val="none"/>
        </w:rPr>
      </w:pPr>
      <w:r>
        <w:rPr>
          <w:rFonts w:ascii="仿宋_GB2312" w:hAnsi="仿宋_GB2312" w:eastAsia="仿宋_GB2312" w:cs="仿宋_GB2312"/>
          <w:b/>
          <w:bCs/>
          <w:sz w:val="32"/>
          <w:szCs w:val="32"/>
          <w:highlight w:val="none"/>
        </w:rPr>
        <w:t>1</w:t>
      </w:r>
      <w:r>
        <w:rPr>
          <w:rFonts w:hint="eastAsia" w:ascii="仿宋_GB2312" w:hAnsi="仿宋_GB2312" w:eastAsia="仿宋_GB2312" w:cs="仿宋_GB2312"/>
          <w:b/>
          <w:bCs/>
          <w:sz w:val="32"/>
          <w:szCs w:val="32"/>
          <w:highlight w:val="none"/>
        </w:rPr>
        <w:t>、项目背景</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fldData xml:space="preserve">RABCADUARAAxAEIANgAwAEIAQgA1AEQANAA3ADEAQwA4AEUANQA5AEEAMAAyADgANgAwADUAMAAw
ADMAMwBCAA==
</w:fldData>
        </w:fldChar>
      </w:r>
      <w:r>
        <w:rPr>
          <w:rFonts w:hint="eastAsia" w:ascii="仿宋_GB2312" w:hAnsi="仿宋_GB2312" w:eastAsia="仿宋_GB2312" w:cs="仿宋_GB2312"/>
          <w:sz w:val="32"/>
          <w:szCs w:val="32"/>
          <w:highlight w:val="none"/>
        </w:rPr>
        <w:instrText xml:space="preserve">Addin 项目背景及内容</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因我单位负责全地区各县市,各团场的产品质量的抽检及现场检定工作。故产生人员办公费、劳务费。用于已通过资质认定评审、社会公用计量标准建标考核的产品、参数及检定设备的更新、标准器及专业技术设备更新、改造的专用设备购置费。为保障2020年度检验检测工作的正常开展,切实提升政府部门对市场秩序把控和行业监管的能力,故此申请此项目资金。</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 xml:space="preserve">   </w:t>
      </w:r>
    </w:p>
    <w:p>
      <w:pPr>
        <w:pageBreakBefore w:val="0"/>
        <w:numPr>
          <w:ilvl w:val="0"/>
          <w:numId w:val="1"/>
        </w:numPr>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项目主要内容及实施情况</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项目主要内容：我单位计划完成产品质量检验100批次以上，计量器具检定测试件数6000台以上。此资金主要用于日常办公所需办公费、维修费、劳务费、办公设备购置及专用设备购置等其他费用。</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本项目总投资</w:t>
      </w:r>
      <w:r>
        <w:rPr>
          <w:rFonts w:hint="eastAsia" w:ascii="仿宋_GB2312" w:hAnsi="仿宋_GB2312" w:eastAsia="仿宋_GB2312" w:cs="仿宋_GB2312"/>
          <w:sz w:val="32"/>
          <w:szCs w:val="32"/>
          <w:highlight w:val="none"/>
          <w:lang w:val="en-US" w:eastAsia="zh-CN"/>
        </w:rPr>
        <w:t>300</w:t>
      </w:r>
      <w:r>
        <w:rPr>
          <w:rFonts w:hint="eastAsia" w:ascii="仿宋_GB2312" w:hAnsi="仿宋_GB2312" w:eastAsia="仿宋_GB2312" w:cs="仿宋_GB2312"/>
          <w:sz w:val="32"/>
          <w:szCs w:val="32"/>
          <w:highlight w:val="none"/>
        </w:rPr>
        <w:t>万元，项目实际支出296.46万元，支出率为9</w:t>
      </w:r>
      <w:r>
        <w:rPr>
          <w:rFonts w:hint="eastAsia" w:ascii="仿宋_GB2312" w:hAnsi="仿宋_GB2312" w:eastAsia="仿宋_GB2312" w:cs="仿宋_GB2312"/>
          <w:sz w:val="32"/>
          <w:szCs w:val="32"/>
          <w:highlight w:val="none"/>
          <w:lang w:val="en-US" w:eastAsia="zh-CN"/>
        </w:rPr>
        <w:t>8.82</w:t>
      </w:r>
      <w:r>
        <w:rPr>
          <w:rFonts w:hint="eastAsia" w:ascii="仿宋_GB2312" w:hAnsi="仿宋_GB2312" w:eastAsia="仿宋_GB2312" w:cs="仿宋_GB2312"/>
          <w:sz w:val="32"/>
          <w:szCs w:val="32"/>
          <w:highlight w:val="none"/>
        </w:rPr>
        <w:t>%。</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b/>
          <w:bCs/>
          <w:sz w:val="32"/>
          <w:szCs w:val="32"/>
          <w:highlight w:val="none"/>
        </w:rPr>
      </w:pPr>
      <w:r>
        <w:rPr>
          <w:rFonts w:ascii="仿宋_GB2312" w:hAnsi="仿宋_GB2312" w:eastAsia="仿宋_GB2312" w:cs="仿宋_GB2312"/>
          <w:b/>
          <w:bCs/>
          <w:sz w:val="32"/>
          <w:szCs w:val="32"/>
          <w:highlight w:val="none"/>
        </w:rPr>
        <w:t>3</w:t>
      </w:r>
      <w:r>
        <w:rPr>
          <w:rFonts w:hint="eastAsia" w:ascii="仿宋_GB2312" w:hAnsi="仿宋_GB2312" w:eastAsia="仿宋_GB2312" w:cs="仿宋_GB2312"/>
          <w:b/>
          <w:bCs/>
          <w:sz w:val="32"/>
          <w:szCs w:val="32"/>
          <w:highlight w:val="none"/>
        </w:rPr>
        <w:t>、资金投入和使用情况</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20"/>
          <w:szCs w:val="20"/>
          <w:highlight w:val="none"/>
        </w:rPr>
      </w:pPr>
      <w:r>
        <w:rPr>
          <w:rFonts w:hint="eastAsia" w:ascii="仿宋_GB2312" w:hAnsi="仿宋_GB2312" w:eastAsia="仿宋_GB2312" w:cs="仿宋_GB2312"/>
          <w:sz w:val="32"/>
          <w:szCs w:val="32"/>
          <w:highlight w:val="none"/>
        </w:rPr>
        <w:t>（</w:t>
      </w:r>
      <w:r>
        <w:rPr>
          <w:rFonts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t>）资金安排</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项目总投资</w:t>
      </w:r>
      <w:r>
        <w:rPr>
          <w:rFonts w:hint="eastAsia" w:ascii="仿宋_GB2312" w:hAnsi="仿宋_GB2312" w:eastAsia="仿宋_GB2312" w:cs="仿宋_GB2312"/>
          <w:sz w:val="32"/>
          <w:szCs w:val="32"/>
          <w:highlight w:val="none"/>
          <w:lang w:val="en-US" w:eastAsia="zh-CN"/>
        </w:rPr>
        <w:t>300</w:t>
      </w:r>
      <w:r>
        <w:rPr>
          <w:rFonts w:hint="eastAsia" w:ascii="仿宋_GB2312" w:hAnsi="仿宋_GB2312" w:eastAsia="仿宋_GB2312" w:cs="仿宋_GB2312"/>
          <w:sz w:val="32"/>
          <w:szCs w:val="32"/>
          <w:highlight w:val="none"/>
        </w:rPr>
        <w:t>万元，按照单位财务制度等相关规定，资金支出符合食品检验专项经费专项资金费用范围，做到了专款专用。在项目资金拨付和使用过程中，为确保项目资金的安全性，提高项目资金使用效率，严格遵循财政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rPr>
        <w:t>）预算资金来源及使用情况</w:t>
      </w:r>
      <w:bookmarkStart w:id="0" w:name="page10"/>
      <w:bookmarkEnd w:id="0"/>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项目预算资金来源于塔地财行（2020）2号文件中批复的资金，项目资金到位</w:t>
      </w:r>
      <w:r>
        <w:rPr>
          <w:rFonts w:hint="eastAsia" w:ascii="仿宋_GB2312" w:hAnsi="仿宋_GB2312" w:eastAsia="仿宋_GB2312" w:cs="仿宋_GB2312"/>
          <w:sz w:val="32"/>
          <w:szCs w:val="32"/>
          <w:highlight w:val="none"/>
          <w:lang w:val="en-US" w:eastAsia="zh-CN"/>
        </w:rPr>
        <w:t>300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实际使用296.46万元，</w:t>
      </w:r>
      <w:r>
        <w:rPr>
          <w:rFonts w:hint="eastAsia" w:ascii="仿宋_GB2312" w:hAnsi="仿宋_GB2312" w:eastAsia="仿宋_GB2312" w:cs="仿宋_GB2312"/>
          <w:sz w:val="32"/>
          <w:szCs w:val="32"/>
          <w:highlight w:val="none"/>
        </w:rPr>
        <w:t>用于支付项目实施进程中的各项费用。</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（二）项目绩效目标</w:t>
      </w:r>
    </w:p>
    <w:p>
      <w:pPr>
        <w:pageBreakBefore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1、总体目标</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更快、更高效的完成塔城地区各县市、团场质量检验、计量检测工作。为地区经济发展提供准确、可靠的实验数据。切实服务于地区各类企事业单位节能降耗工作落实的总体要求。满足地区各政府部门及执法单位对于重点产品及民生关注的重点计量器具检测服务需求的提升和能力建设。</w:t>
      </w:r>
    </w:p>
    <w:p>
      <w:pPr>
        <w:pageBreakBefore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2、阶段性目标</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（1）前期准备：根据《项目实施方案》，通过制定项目实施方案，经项目负责人审核通过后，有序开展后续工程。</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（2）组织实施：资金一到位，立即根据项目要求实施项目。项目责任人按照《项目实施方案》要求逐一进行项目部署安排，提高项目质量及效率性。</w:t>
      </w:r>
    </w:p>
    <w:p>
      <w:pPr>
        <w:pageBreakBefore w:val="0"/>
        <w:kinsoku/>
        <w:wordWrap/>
        <w:overflowPunct/>
        <w:topLinePunct w:val="0"/>
        <w:autoSpaceDE/>
        <w:autoSpaceDN/>
        <w:bidi w:val="0"/>
        <w:adjustRightInd/>
        <w:snapToGrid/>
        <w:spacing w:line="560" w:lineRule="exact"/>
        <w:ind w:firstLine="641"/>
        <w:rPr>
          <w:rFonts w:ascii="黑体" w:hAnsi="黑体" w:eastAsia="黑体"/>
          <w:sz w:val="32"/>
          <w:szCs w:val="32"/>
          <w:highlight w:val="none"/>
        </w:rPr>
      </w:pPr>
      <w:r>
        <w:rPr>
          <w:rFonts w:hint="eastAsia" w:ascii="黑体" w:hAnsi="黑体" w:eastAsia="黑体"/>
          <w:sz w:val="32"/>
          <w:szCs w:val="32"/>
          <w:highlight w:val="none"/>
        </w:rPr>
        <w:t>二、绩效评价工作开展情况</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（一）绩效评价目的、对象和范围</w:t>
      </w:r>
    </w:p>
    <w:p>
      <w:pPr>
        <w:pageBreakBefore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1、绩效评价的目的</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（2）项目绩效管理财政支出运行提供及时、有效的信息。</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综合来看，通过开展有效的财政支出绩效评价管理，达到改进预算管理、控制节约成本，提高预算资金使用效益的目的。</w:t>
      </w:r>
    </w:p>
    <w:p>
      <w:pPr>
        <w:pageBreakBefore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2、绩效评价的对象</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根据工作需要，优先选择我单位《食品检验专项经费》，对此项目开展绩效评价。</w:t>
      </w:r>
    </w:p>
    <w:p>
      <w:pPr>
        <w:pageBreakBefore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rPr>
        <w:t>绩效评价的范围</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评价从项目决策（包括绩效目标、决策过程）、项目管理（包括项目资金、项目实施）、项目产出（包括项目产出数量、产出质量、产出时效和产出成本）项目效益四个维度进行评价，评价对象为“食品检验专项经费”，评价核心为专项资金的支出完成情况和效果。</w:t>
      </w:r>
    </w:p>
    <w:p>
      <w:pPr>
        <w:pageBreakBefore w:val="0"/>
        <w:kinsoku/>
        <w:wordWrap/>
        <w:overflowPunct/>
        <w:topLinePunct w:val="0"/>
        <w:autoSpaceDE/>
        <w:autoSpaceDN/>
        <w:bidi w:val="0"/>
        <w:adjustRightInd/>
        <w:snapToGrid/>
        <w:spacing w:line="560" w:lineRule="exact"/>
        <w:ind w:firstLine="641"/>
        <w:rPr>
          <w:rFonts w:ascii="仿宋_GB2312"/>
          <w:highlight w:val="none"/>
        </w:rPr>
      </w:pPr>
      <w:r>
        <w:rPr>
          <w:rFonts w:hint="eastAsia" w:ascii="楷体_GB2312" w:hAnsi="楷体_GB2312" w:eastAsia="楷体_GB2312" w:cs="楷体_GB2312"/>
          <w:b/>
          <w:bCs/>
          <w:sz w:val="32"/>
          <w:szCs w:val="32"/>
          <w:highlight w:val="none"/>
        </w:rPr>
        <w:t>（二）绩效评价原则、评价指标体系（详情见表</w:t>
      </w:r>
      <w:r>
        <w:rPr>
          <w:rFonts w:ascii="楷体_GB2312" w:hAnsi="楷体_GB2312" w:eastAsia="楷体_GB2312" w:cs="楷体_GB2312"/>
          <w:b/>
          <w:bCs/>
          <w:sz w:val="32"/>
          <w:szCs w:val="32"/>
          <w:highlight w:val="none"/>
        </w:rPr>
        <w:t>1</w:t>
      </w:r>
      <w:r>
        <w:rPr>
          <w:rFonts w:hint="eastAsia" w:ascii="楷体_GB2312" w:hAnsi="楷体_GB2312" w:eastAsia="楷体_GB2312" w:cs="楷体_GB2312"/>
          <w:b/>
          <w:bCs/>
          <w:sz w:val="32"/>
          <w:szCs w:val="32"/>
          <w:highlight w:val="none"/>
        </w:rPr>
        <w:t>）、评价方法、评价标准。</w:t>
      </w:r>
    </w:p>
    <w:p>
      <w:pPr>
        <w:pageBreakBefore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1、绩效评价原则</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本次项目绩效评价遵循以下基本原则：</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（1）科学公正。绩效评价应当运用科学合理的方法，按照规范的程序，对项目绩效进行客观、公正的反映。</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（2）统筹兼顾。单位自评、部门评价和财政评价应职责明确，各有侧重，相互衔接。单位自评应由项目单位自主实施，即“谁支出、谁自评”。部门评价和财政评价应在单位自评的基础上开展。</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2、评价指标体系</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（1）确定评价指标</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（2）确定权重</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确定各个指标相对于项目总体绩效的权重分值。在绩效评价指标体系中，项目决策权重为20，项目过程权重值占20，项目产出权重值占40，项目效益权重占20。</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（3）确定指标标准值</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指标标准值是绩效评价指标的尺度，既要反映同类项目的先进水平，又要符合项目的实际绩效水平。具体采用计划标准等确定此次绩效评价指标标准值。</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具体评价指标体系详情见附件1</w:t>
      </w:r>
    </w:p>
    <w:p>
      <w:pPr>
        <w:pageBreakBefore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3、绩效评价方法</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（1）比较法</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通过对绩效目标与实施效果、历史与当期情况，综合分析绩效目标实现程度。对项目最终验收情况与年度绩效目标对比、预算资金执行情况等相关因素进行比较。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（2）因素分析法</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ageBreakBefore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4、评价标准</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绩效评价标准通常包括计划标准、行业标准、历史标准等，用于对绩效指标完成情况进行比较。本次评价主要采用了计划标准和行业标准。</w:t>
      </w:r>
    </w:p>
    <w:p>
      <w:pPr>
        <w:pageBreakBefore w:val="0"/>
        <w:kinsoku/>
        <w:wordWrap/>
        <w:overflowPunct/>
        <w:topLinePunct w:val="0"/>
        <w:autoSpaceDE/>
        <w:autoSpaceDN/>
        <w:bidi w:val="0"/>
        <w:adjustRightInd/>
        <w:snapToGrid/>
        <w:spacing w:line="560" w:lineRule="exact"/>
        <w:ind w:firstLine="641"/>
        <w:rPr>
          <w:rFonts w:hint="eastAsia"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lang w:val="en-US" w:eastAsia="zh-CN"/>
        </w:rPr>
        <w:t>(三）</w:t>
      </w:r>
      <w:r>
        <w:rPr>
          <w:rFonts w:hint="eastAsia" w:ascii="楷体_GB2312" w:hAnsi="楷体_GB2312" w:eastAsia="楷体_GB2312" w:cs="楷体_GB2312"/>
          <w:b/>
          <w:bCs/>
          <w:sz w:val="32"/>
          <w:szCs w:val="32"/>
          <w:highlight w:val="none"/>
        </w:rPr>
        <w:t>绩效评价工作过程</w:t>
      </w:r>
    </w:p>
    <w:p>
      <w:pPr>
        <w:pageBreakBefore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eastAsia="zh-CN"/>
        </w:rPr>
        <w:t>前期准备。</w:t>
      </w:r>
      <w:r>
        <w:rPr>
          <w:rFonts w:hint="eastAsia" w:ascii="仿宋_GB2312" w:hAnsi="仿宋_GB2312" w:eastAsia="仿宋_GB2312" w:cs="仿宋_GB2312"/>
          <w:sz w:val="32"/>
          <w:szCs w:val="32"/>
          <w:highlight w:val="none"/>
          <w:lang w:eastAsia="zh-CN"/>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eastAsia="zh-CN"/>
        </w:rPr>
        <w:t>组织实施。</w:t>
      </w:r>
      <w:r>
        <w:rPr>
          <w:rFonts w:hint="eastAsia" w:ascii="仿宋_GB2312" w:hAnsi="仿宋_GB2312" w:eastAsia="仿宋_GB2312" w:cs="仿宋_GB2312"/>
          <w:sz w:val="32"/>
          <w:szCs w:val="32"/>
          <w:highlight w:val="none"/>
          <w:lang w:eastAsia="zh-CN"/>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3"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eastAsia="zh-CN"/>
        </w:rPr>
        <w:t>分析评价。</w:t>
      </w:r>
      <w:r>
        <w:rPr>
          <w:rFonts w:hint="eastAsia" w:ascii="仿宋_GB2312" w:hAnsi="仿宋_GB2312" w:eastAsia="仿宋_GB2312" w:cs="仿宋_GB2312"/>
          <w:sz w:val="32"/>
          <w:szCs w:val="32"/>
          <w:highlight w:val="none"/>
          <w:lang w:eastAsia="zh-CN"/>
        </w:rPr>
        <w:t>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2"/>
        </w:numPr>
        <w:kinsoku/>
        <w:wordWrap/>
        <w:overflowPunct/>
        <w:topLinePunct w:val="0"/>
        <w:autoSpaceDE/>
        <w:autoSpaceDN/>
        <w:bidi w:val="0"/>
        <w:adjustRightInd/>
        <w:snapToGrid/>
        <w:spacing w:line="560" w:lineRule="exact"/>
        <w:ind w:firstLine="641"/>
        <w:rPr>
          <w:rFonts w:ascii="黑体" w:hAnsi="黑体" w:eastAsia="黑体" w:cs="黑体"/>
          <w:sz w:val="32"/>
          <w:szCs w:val="32"/>
          <w:highlight w:val="none"/>
        </w:rPr>
      </w:pPr>
      <w:r>
        <w:rPr>
          <w:rFonts w:hint="eastAsia" w:ascii="黑体" w:hAnsi="黑体" w:eastAsia="黑体" w:cs="黑体"/>
          <w:sz w:val="32"/>
          <w:szCs w:val="32"/>
          <w:highlight w:val="none"/>
        </w:rPr>
        <w:t>综合评价情况及评价结论（附相关评分表）</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对食品检验专项经费项目进行客观评价，最终评分结果：总得分为9</w:t>
      </w:r>
      <w:r>
        <w:rPr>
          <w:rFonts w:hint="eastAsia" w:ascii="仿宋_GB2312" w:hAnsi="仿宋_GB2312" w:eastAsia="仿宋_GB2312" w:cs="仿宋_GB2312"/>
          <w:sz w:val="32"/>
          <w:szCs w:val="32"/>
          <w:highlight w:val="none"/>
          <w:lang w:val="en-US" w:eastAsia="zh-CN"/>
        </w:rPr>
        <w:t>8.3</w:t>
      </w:r>
      <w:r>
        <w:rPr>
          <w:rFonts w:hint="eastAsia" w:ascii="仿宋_GB2312" w:hAnsi="仿宋_GB2312" w:eastAsia="仿宋_GB2312" w:cs="仿宋_GB2312"/>
          <w:sz w:val="32"/>
          <w:szCs w:val="32"/>
          <w:highlight w:val="none"/>
          <w:lang w:eastAsia="zh-CN"/>
        </w:rPr>
        <w:t>分，属于“优”。其中，项目决策类指标权重为20分，得分为 20分，得分率为 100%。项目过程类指标权重为20分，得分为</w:t>
      </w:r>
      <w:r>
        <w:rPr>
          <w:rFonts w:hint="eastAsia" w:ascii="仿宋_GB2312" w:hAnsi="仿宋_GB2312" w:eastAsia="仿宋_GB2312" w:cs="仿宋_GB2312"/>
          <w:sz w:val="32"/>
          <w:szCs w:val="32"/>
          <w:highlight w:val="none"/>
          <w:lang w:val="en-US" w:eastAsia="zh-CN"/>
        </w:rPr>
        <w:t>18.3</w:t>
      </w:r>
      <w:r>
        <w:rPr>
          <w:rFonts w:hint="eastAsia" w:ascii="仿宋_GB2312" w:hAnsi="仿宋_GB2312" w:eastAsia="仿宋_GB2312" w:cs="仿宋_GB2312"/>
          <w:sz w:val="32"/>
          <w:szCs w:val="32"/>
          <w:highlight w:val="none"/>
          <w:lang w:eastAsia="zh-CN"/>
        </w:rPr>
        <w:t xml:space="preserve">分，得分率为 </w:t>
      </w:r>
      <w:r>
        <w:rPr>
          <w:rFonts w:hint="eastAsia" w:ascii="仿宋_GB2312" w:hAnsi="仿宋_GB2312" w:eastAsia="仿宋_GB2312" w:cs="仿宋_GB2312"/>
          <w:sz w:val="32"/>
          <w:szCs w:val="32"/>
          <w:highlight w:val="none"/>
          <w:lang w:val="en-US" w:eastAsia="zh-CN"/>
        </w:rPr>
        <w:t>91.5</w:t>
      </w:r>
      <w:r>
        <w:rPr>
          <w:rFonts w:hint="eastAsia" w:ascii="仿宋_GB2312" w:hAnsi="仿宋_GB2312" w:eastAsia="仿宋_GB2312" w:cs="仿宋_GB2312"/>
          <w:sz w:val="32"/>
          <w:szCs w:val="32"/>
          <w:highlight w:val="none"/>
          <w:lang w:eastAsia="zh-CN"/>
        </w:rPr>
        <w:t>%。项目产出类指标权重为40分，得分为40分，得分率为 100%。项目效益类指标权重为20分，得分为20分，得分率为 100%。</w:t>
      </w:r>
    </w:p>
    <w:p>
      <w:pPr>
        <w:pStyle w:val="2"/>
        <w:pageBreakBefore w:val="0"/>
        <w:kinsoku/>
        <w:wordWrap/>
        <w:overflowPunct/>
        <w:topLinePunct w:val="0"/>
        <w:autoSpaceDE/>
        <w:autoSpaceDN/>
        <w:bidi w:val="0"/>
        <w:adjustRightInd/>
        <w:snapToGrid/>
        <w:spacing w:before="0" w:after="0" w:line="560" w:lineRule="exact"/>
        <w:textAlignment w:val="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表</w:t>
      </w:r>
      <w:r>
        <w:rPr>
          <w:rFonts w:hint="eastAsia" w:ascii="仿宋_GB2312" w:hAnsi="仿宋_GB2312" w:eastAsia="仿宋_GB2312" w:cs="仿宋_GB2312"/>
          <w:color w:val="auto"/>
          <w:sz w:val="30"/>
          <w:szCs w:val="30"/>
          <w:highlight w:val="none"/>
          <w:lang w:val="en-US" w:eastAsia="zh-CN"/>
        </w:rPr>
        <w:t>1</w:t>
      </w:r>
      <w:r>
        <w:rPr>
          <w:rFonts w:hint="eastAsia" w:ascii="仿宋_GB2312" w:hAnsi="仿宋_GB2312" w:eastAsia="仿宋_GB2312" w:cs="仿宋_GB2312"/>
          <w:color w:val="auto"/>
          <w:sz w:val="30"/>
          <w:szCs w:val="30"/>
          <w:highlight w:val="none"/>
        </w:rPr>
        <w:t>综合评分表</w:t>
      </w:r>
    </w:p>
    <w:tbl>
      <w:tblPr>
        <w:tblStyle w:val="19"/>
        <w:tblpPr w:leftFromText="180" w:rightFromText="180" w:vertAnchor="text" w:horzAnchor="page" w:tblpX="1221" w:tblpY="1632"/>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20</w:t>
            </w:r>
            <w:r>
              <w:rPr>
                <w:rFonts w:hint="eastAsia" w:ascii="宋体" w:hAnsi="宋体" w:cs="宋体"/>
                <w:color w:val="auto"/>
                <w:kern w:val="0"/>
                <w:sz w:val="22"/>
                <w:szCs w:val="22"/>
                <w:highlight w:val="none"/>
              </w:rPr>
              <w:t>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lang w:val="en-US" w:eastAsia="zh-CN"/>
              </w:rPr>
              <w:t>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auto"/>
                <w:kern w:val="0"/>
                <w:sz w:val="22"/>
                <w:szCs w:val="22"/>
                <w:highlight w:val="none"/>
                <w:lang w:val="en-US"/>
              </w:rPr>
            </w:pPr>
            <w:r>
              <w:rPr>
                <w:rFonts w:hint="eastAsia" w:ascii="宋体" w:hAnsi="宋体" w:cs="宋体"/>
                <w:color w:val="auto"/>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lang w:val="en-US" w:eastAsia="zh-CN"/>
              </w:rPr>
              <w:t>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2.5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2.5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2.5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lang w:val="en-US" w:eastAsia="zh-CN"/>
              </w:rPr>
              <w:t>2.5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过程</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20</w:t>
            </w:r>
            <w:r>
              <w:rPr>
                <w:rFonts w:hint="eastAsia" w:ascii="宋体" w:hAnsi="宋体" w:cs="宋体"/>
                <w:color w:val="auto"/>
                <w:kern w:val="0"/>
                <w:sz w:val="22"/>
                <w:szCs w:val="22"/>
                <w:highlight w:val="none"/>
              </w:rPr>
              <w:t>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lang w:val="en-US" w:eastAsia="zh-CN"/>
              </w:rPr>
              <w:t>4</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98.8%</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98.8%</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3.95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lang w:val="en-US" w:eastAsia="zh-CN"/>
              </w:rPr>
              <w:t>4</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98.8%</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98.8%</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3.95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lang w:val="en-US" w:eastAsia="zh-CN"/>
              </w:rPr>
              <w:t>4</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lang w:val="en-US" w:eastAsia="zh-CN"/>
              </w:rPr>
              <w:t>4</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80%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80%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lang w:val="en-US" w:eastAsia="zh-CN"/>
              </w:rPr>
              <w:t>4</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80%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80%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40</w:t>
            </w:r>
            <w:r>
              <w:rPr>
                <w:rFonts w:hint="eastAsia" w:ascii="宋体" w:hAnsi="宋体" w:cs="宋体"/>
                <w:color w:val="auto"/>
                <w:kern w:val="0"/>
                <w:sz w:val="22"/>
                <w:szCs w:val="22"/>
                <w:highlight w:val="none"/>
              </w:rPr>
              <w:t>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eastAsiaTheme="minorEastAsia"/>
                <w:color w:val="auto"/>
                <w:kern w:val="0"/>
                <w:sz w:val="22"/>
                <w:szCs w:val="22"/>
                <w:highlight w:val="none"/>
                <w:lang w:eastAsia="zh-CN"/>
              </w:rPr>
            </w:pPr>
            <w:r>
              <w:rPr>
                <w:rFonts w:hint="eastAsia" w:ascii="宋体" w:hAnsi="宋体" w:cs="宋体"/>
                <w:color w:val="auto"/>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20</w:t>
            </w:r>
            <w:r>
              <w:rPr>
                <w:rFonts w:hint="eastAsia" w:ascii="宋体" w:hAnsi="宋体" w:cs="宋体"/>
                <w:color w:val="auto"/>
                <w:kern w:val="0"/>
                <w:sz w:val="22"/>
                <w:szCs w:val="22"/>
                <w:highlight w:val="none"/>
              </w:rPr>
              <w:t>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实施效益</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auto"/>
                <w:kern w:val="0"/>
                <w:sz w:val="22"/>
                <w:szCs w:val="22"/>
                <w:highlight w:val="none"/>
                <w:lang w:val="en-US"/>
              </w:rPr>
            </w:pPr>
            <w:r>
              <w:rPr>
                <w:rFonts w:hint="eastAsia" w:ascii="宋体" w:hAnsi="宋体" w:cs="宋体"/>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lang w:val="en-US" w:eastAsia="zh-CN"/>
              </w:rPr>
              <w:t>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auto"/>
                <w:kern w:val="0"/>
                <w:sz w:val="22"/>
                <w:szCs w:val="22"/>
                <w:highlight w:val="none"/>
                <w:lang w:val="en-US"/>
              </w:rPr>
            </w:pPr>
            <w:r>
              <w:rPr>
                <w:rFonts w:hint="eastAsia" w:ascii="宋体" w:hAnsi="宋体" w:cs="宋体"/>
                <w:color w:val="auto"/>
                <w:kern w:val="0"/>
                <w:sz w:val="22"/>
                <w:szCs w:val="22"/>
                <w:highlight w:val="none"/>
                <w:lang w:val="en-US" w:eastAsia="zh-CN"/>
              </w:rPr>
              <w:t>5</w:t>
            </w:r>
          </w:p>
        </w:tc>
      </w:tr>
    </w:tbl>
    <w:p>
      <w:pPr>
        <w:pageBreakBefore w:val="0"/>
        <w:kinsoku/>
        <w:wordWrap/>
        <w:overflowPunct/>
        <w:topLinePunct w:val="0"/>
        <w:autoSpaceDE/>
        <w:autoSpaceDN/>
        <w:bidi w:val="0"/>
        <w:adjustRightInd/>
        <w:snapToGrid/>
        <w:spacing w:line="560" w:lineRule="exact"/>
        <w:ind w:firstLine="320" w:firstLineChars="100"/>
        <w:rPr>
          <w:rFonts w:ascii="黑体" w:hAnsi="黑体" w:eastAsia="黑体"/>
          <w:sz w:val="32"/>
          <w:szCs w:val="32"/>
          <w:highlight w:val="none"/>
        </w:rPr>
      </w:pPr>
      <w:r>
        <w:rPr>
          <w:rFonts w:hint="eastAsia" w:ascii="黑体" w:hAnsi="黑体" w:eastAsia="黑体"/>
          <w:sz w:val="32"/>
          <w:szCs w:val="32"/>
          <w:highlight w:val="none"/>
        </w:rPr>
        <w:t>四、绩效评价指标分析</w:t>
      </w:r>
    </w:p>
    <w:p>
      <w:pPr>
        <w:pStyle w:val="2"/>
        <w:pageBreakBefore w:val="0"/>
        <w:kinsoku/>
        <w:wordWrap/>
        <w:overflowPunct/>
        <w:topLinePunct w:val="0"/>
        <w:autoSpaceDE/>
        <w:autoSpaceDN/>
        <w:bidi w:val="0"/>
        <w:adjustRightInd/>
        <w:snapToGrid/>
        <w:spacing w:before="0" w:after="0" w:line="560" w:lineRule="exact"/>
        <w:ind w:firstLine="321" w:firstLineChars="100"/>
        <w:jc w:val="both"/>
        <w:rPr>
          <w:rFonts w:ascii="楷体_GB2312" w:hAnsi="楷体_GB2312" w:eastAsia="楷体_GB2312" w:cs="楷体_GB2312"/>
          <w:highlight w:val="none"/>
        </w:rPr>
      </w:pPr>
      <w:r>
        <w:rPr>
          <w:rFonts w:hint="eastAsia" w:ascii="楷体_GB2312" w:hAnsi="楷体_GB2312" w:eastAsia="楷体_GB2312" w:cs="楷体_GB2312"/>
          <w:highlight w:val="none"/>
        </w:rPr>
        <w:t>（一）项目决策情况</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项目决策指标从项目立项、绩效目标、资金投入3个方面对项目的决策进行考察，项目决策类指标分值20分，实际得分20分，得分率100%。项目决策指标得分情况如表所示。</w:t>
      </w:r>
    </w:p>
    <w:p>
      <w:pPr>
        <w:pageBreakBefore w:val="0"/>
        <w:kinsoku/>
        <w:wordWrap/>
        <w:overflowPunct/>
        <w:topLinePunct w:val="0"/>
        <w:autoSpaceDE/>
        <w:autoSpaceDN/>
        <w:bidi w:val="0"/>
        <w:adjustRightInd/>
        <w:snapToGrid/>
        <w:spacing w:line="560" w:lineRule="exact"/>
        <w:ind w:firstLine="643" w:firstLineChars="200"/>
        <w:jc w:val="center"/>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color w:val="000000"/>
          <w:kern w:val="0"/>
          <w:sz w:val="32"/>
          <w:szCs w:val="32"/>
          <w:highlight w:val="none"/>
        </w:rPr>
        <w:t>项目决策指标得分情况</w:t>
      </w:r>
    </w:p>
    <w:tbl>
      <w:tblPr>
        <w:tblStyle w:val="19"/>
        <w:tblW w:w="8569" w:type="dxa"/>
        <w:tblInd w:w="0" w:type="dxa"/>
        <w:tblLayout w:type="fixed"/>
        <w:tblCellMar>
          <w:top w:w="0" w:type="dxa"/>
          <w:left w:w="0" w:type="dxa"/>
          <w:bottom w:w="0" w:type="dxa"/>
          <w:right w:w="0" w:type="dxa"/>
        </w:tblCellMar>
      </w:tblPr>
      <w:tblGrid>
        <w:gridCol w:w="2141"/>
        <w:gridCol w:w="2141"/>
        <w:gridCol w:w="2141"/>
        <w:gridCol w:w="2146"/>
      </w:tblGrid>
      <w:tr>
        <w:tblPrEx>
          <w:tblLayout w:type="fixed"/>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tabs>
                <w:tab w:val="left" w:pos="337"/>
              </w:tabs>
              <w:kinsoku/>
              <w:wordWrap/>
              <w:overflowPunct/>
              <w:topLinePunct w:val="0"/>
              <w:autoSpaceDE/>
              <w:autoSpaceDN/>
              <w:bidi w:val="0"/>
              <w:adjustRightInd/>
              <w:snapToGrid/>
              <w:spacing w:line="560" w:lineRule="exact"/>
              <w:ind w:firstLine="640" w:firstLineChars="200"/>
              <w:jc w:val="both"/>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lang w:eastAsia="zh-CN"/>
              </w:rPr>
              <w:t>二</w:t>
            </w:r>
            <w:r>
              <w:rPr>
                <w:rFonts w:hint="eastAsia" w:ascii="仿宋_GB2312" w:hAnsi="仿宋_GB2312" w:eastAsia="仿宋_GB2312" w:cs="仿宋_GB2312"/>
                <w:color w:val="000000"/>
                <w:kern w:val="0"/>
                <w:sz w:val="32"/>
                <w:szCs w:val="32"/>
                <w:highlight w:val="none"/>
              </w:rPr>
              <w:t>级指标</w:t>
            </w:r>
          </w:p>
        </w:tc>
        <w:tc>
          <w:tcPr>
            <w:tcW w:w="214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权重</w:t>
            </w:r>
          </w:p>
        </w:tc>
        <w:tc>
          <w:tcPr>
            <w:tcW w:w="214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得分率</w:t>
            </w:r>
          </w:p>
        </w:tc>
        <w:tc>
          <w:tcPr>
            <w:tcW w:w="214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实际得分</w:t>
            </w:r>
          </w:p>
        </w:tc>
      </w:tr>
      <w:tr>
        <w:tblPrEx>
          <w:tblLayout w:type="fixed"/>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bCs/>
                <w:sz w:val="32"/>
                <w:szCs w:val="32"/>
                <w:highlight w:val="none"/>
              </w:rPr>
              <w:t>项目</w:t>
            </w:r>
            <w:r>
              <w:rPr>
                <w:rFonts w:hint="eastAsia" w:ascii="仿宋_GB2312" w:hAnsi="仿宋_GB2312" w:eastAsia="仿宋_GB2312" w:cs="仿宋_GB2312"/>
                <w:bCs/>
                <w:sz w:val="32"/>
                <w:szCs w:val="32"/>
                <w:highlight w:val="none"/>
                <w:lang w:eastAsia="zh-CN"/>
              </w:rPr>
              <w:t>立项</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10</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4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w:t>
            </w:r>
          </w:p>
        </w:tc>
      </w:tr>
      <w:tr>
        <w:tblPrEx>
          <w:tblLayout w:type="fixed"/>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绩效目标</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5</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4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5</w:t>
            </w:r>
          </w:p>
        </w:tc>
      </w:tr>
      <w:tr>
        <w:tblPrEx>
          <w:tblLayout w:type="fixed"/>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bCs/>
                <w:sz w:val="32"/>
                <w:szCs w:val="32"/>
                <w:highlight w:val="none"/>
              </w:rPr>
              <w:t>资金投入</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5</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4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5</w:t>
            </w:r>
          </w:p>
        </w:tc>
      </w:tr>
      <w:tr>
        <w:tblPrEx>
          <w:tblLayout w:type="fixed"/>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both"/>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合计</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20</w:t>
            </w:r>
          </w:p>
        </w:tc>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4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20</w:t>
            </w:r>
          </w:p>
        </w:tc>
      </w:tr>
    </w:tbl>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对于“项目</w:t>
      </w:r>
      <w:r>
        <w:rPr>
          <w:rFonts w:hint="eastAsia" w:ascii="仿宋_GB2312" w:hAnsi="仿宋_GB2312" w:eastAsia="仿宋_GB2312" w:cs="仿宋_GB2312"/>
          <w:sz w:val="32"/>
          <w:szCs w:val="32"/>
          <w:highlight w:val="none"/>
          <w:lang w:eastAsia="zh-CN"/>
        </w:rPr>
        <w:t>立项</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我单位为</w:t>
      </w:r>
      <w:r>
        <w:rPr>
          <w:rFonts w:hint="eastAsia" w:ascii="仿宋_GB2312" w:hAnsi="仿宋_GB2312" w:eastAsia="仿宋_GB2312" w:cs="仿宋_GB2312"/>
          <w:sz w:val="32"/>
          <w:szCs w:val="32"/>
          <w:highlight w:val="none"/>
          <w:lang w:val="en-US" w:eastAsia="zh-CN"/>
        </w:rPr>
        <w:t>更快、更高效的完成塔城地区各县市、各团场质量检验、计量检测工作。为地区经济发展提供准确、可靠的实验数据。切实服务于地区各类企事业单位节能降耗工作落实的总体要求。满足地区各政府部门及执法单位对于重点产品及民生关注的重点计量器具检测服务需求的提升和能力建设。项目立项符合规划，项目单位的绩效指标设置表述清晰，设置合理，指标设置完整</w:t>
      </w:r>
      <w:r>
        <w:rPr>
          <w:rFonts w:hint="eastAsia" w:ascii="仿宋_GB2312" w:hAnsi="仿宋_GB2312" w:eastAsia="仿宋_GB2312" w:cs="仿宋_GB2312"/>
          <w:sz w:val="32"/>
          <w:szCs w:val="32"/>
          <w:highlight w:val="none"/>
        </w:rPr>
        <w:t>根据评分标准，该指标</w:t>
      </w:r>
      <w:r>
        <w:rPr>
          <w:rFonts w:hint="eastAsia" w:ascii="仿宋_GB2312" w:hAnsi="仿宋_GB2312" w:eastAsia="仿宋_GB2312" w:cs="仿宋_GB2312"/>
          <w:sz w:val="32"/>
          <w:szCs w:val="32"/>
          <w:highlight w:val="none"/>
          <w:lang w:val="en-US" w:eastAsia="zh-CN"/>
        </w:rPr>
        <w:t>不</w:t>
      </w:r>
      <w:r>
        <w:rPr>
          <w:rFonts w:hint="eastAsia" w:ascii="仿宋_GB2312" w:hAnsi="仿宋_GB2312" w:eastAsia="仿宋_GB2312" w:cs="仿宋_GB2312"/>
          <w:sz w:val="32"/>
          <w:szCs w:val="32"/>
          <w:highlight w:val="none"/>
        </w:rPr>
        <w:t>扣分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实际得分</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对于“绩效目标”，</w:t>
      </w:r>
      <w:r>
        <w:rPr>
          <w:rFonts w:hint="eastAsia" w:ascii="仿宋_GB2312" w:hAnsi="仿宋_GB2312" w:eastAsia="仿宋_GB2312" w:cs="仿宋_GB2312"/>
          <w:sz w:val="32"/>
          <w:szCs w:val="32"/>
          <w:highlight w:val="none"/>
          <w:lang w:eastAsia="zh-CN"/>
        </w:rPr>
        <w:t>食品检验专项经费</w:t>
      </w:r>
      <w:r>
        <w:rPr>
          <w:rFonts w:hint="eastAsia" w:ascii="仿宋_GB2312" w:hAnsi="仿宋_GB2312" w:eastAsia="仿宋_GB2312" w:cs="仿宋_GB2312"/>
          <w:sz w:val="32"/>
          <w:szCs w:val="32"/>
          <w:highlight w:val="none"/>
        </w:rPr>
        <w:t>，设置了较为详细的项目支出绩效目标，</w:t>
      </w:r>
      <w:r>
        <w:rPr>
          <w:rFonts w:hint="eastAsia" w:ascii="仿宋_GB2312" w:hAnsi="仿宋_GB2312" w:eastAsia="仿宋_GB2312" w:cs="仿宋_GB2312"/>
          <w:sz w:val="32"/>
          <w:szCs w:val="32"/>
          <w:highlight w:val="none"/>
          <w:lang w:eastAsia="zh-CN"/>
        </w:rPr>
        <w:t>满足合理性和明确性的要求</w:t>
      </w:r>
      <w:r>
        <w:rPr>
          <w:rFonts w:hint="eastAsia" w:ascii="仿宋_GB2312" w:hAnsi="仿宋_GB2312" w:eastAsia="仿宋_GB2312" w:cs="仿宋_GB2312"/>
          <w:sz w:val="32"/>
          <w:szCs w:val="32"/>
          <w:highlight w:val="none"/>
        </w:rPr>
        <w:t>。根据评分标准，该指标</w:t>
      </w:r>
      <w:r>
        <w:rPr>
          <w:rFonts w:hint="eastAsia" w:ascii="仿宋_GB2312" w:hAnsi="仿宋_GB2312" w:eastAsia="仿宋_GB2312" w:cs="仿宋_GB2312"/>
          <w:sz w:val="32"/>
          <w:szCs w:val="32"/>
          <w:highlight w:val="none"/>
          <w:lang w:val="en-US" w:eastAsia="zh-CN"/>
        </w:rPr>
        <w:t>不</w:t>
      </w:r>
      <w:r>
        <w:rPr>
          <w:rFonts w:hint="eastAsia" w:ascii="仿宋_GB2312" w:hAnsi="仿宋_GB2312" w:eastAsia="仿宋_GB2312" w:cs="仿宋_GB2312"/>
          <w:sz w:val="32"/>
          <w:szCs w:val="32"/>
          <w:highlight w:val="none"/>
        </w:rPr>
        <w:t>扣分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实际得分</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对于“资金投入”，该项目</w:t>
      </w:r>
      <w:r>
        <w:rPr>
          <w:rFonts w:hint="eastAsia" w:ascii="仿宋_GB2312" w:hAnsi="仿宋_GB2312" w:eastAsia="仿宋_GB2312" w:cs="仿宋_GB2312"/>
          <w:sz w:val="32"/>
          <w:szCs w:val="32"/>
          <w:highlight w:val="none"/>
          <w:lang w:eastAsia="zh-CN"/>
        </w:rPr>
        <w:t>严格按照财政预算要求编制，具备科学性和可行性，项目</w:t>
      </w:r>
      <w:r>
        <w:rPr>
          <w:rFonts w:hint="eastAsia" w:ascii="仿宋_GB2312" w:hAnsi="仿宋_GB2312" w:eastAsia="仿宋_GB2312" w:cs="仿宋_GB2312"/>
          <w:sz w:val="32"/>
          <w:szCs w:val="32"/>
          <w:highlight w:val="none"/>
        </w:rPr>
        <w:t>资金</w:t>
      </w:r>
      <w:r>
        <w:rPr>
          <w:rFonts w:hint="eastAsia" w:ascii="仿宋_GB2312" w:hAnsi="仿宋_GB2312" w:eastAsia="仿宋_GB2312" w:cs="仿宋_GB2312"/>
          <w:sz w:val="32"/>
          <w:szCs w:val="32"/>
          <w:highlight w:val="none"/>
          <w:lang w:val="en-US" w:eastAsia="zh-CN"/>
        </w:rPr>
        <w:t>按单位业务需求合理分配资金经济分类，有效保障了项目资金的可操作性。</w:t>
      </w:r>
      <w:r>
        <w:rPr>
          <w:rFonts w:hint="eastAsia" w:ascii="仿宋_GB2312" w:hAnsi="仿宋_GB2312" w:eastAsia="仿宋_GB2312" w:cs="仿宋_GB2312"/>
          <w:sz w:val="32"/>
          <w:szCs w:val="32"/>
          <w:highlight w:val="none"/>
        </w:rPr>
        <w:t>根据评分标准，该指标</w:t>
      </w:r>
      <w:r>
        <w:rPr>
          <w:rFonts w:hint="eastAsia" w:ascii="仿宋_GB2312" w:hAnsi="仿宋_GB2312" w:eastAsia="仿宋_GB2312" w:cs="仿宋_GB2312"/>
          <w:sz w:val="32"/>
          <w:szCs w:val="32"/>
          <w:highlight w:val="none"/>
          <w:lang w:val="en-US" w:eastAsia="zh-CN"/>
        </w:rPr>
        <w:t>不</w:t>
      </w:r>
      <w:r>
        <w:rPr>
          <w:rFonts w:hint="eastAsia" w:ascii="仿宋_GB2312" w:hAnsi="仿宋_GB2312" w:eastAsia="仿宋_GB2312" w:cs="仿宋_GB2312"/>
          <w:sz w:val="32"/>
          <w:szCs w:val="32"/>
          <w:highlight w:val="none"/>
        </w:rPr>
        <w:t>扣分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实际得分</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分。</w:t>
      </w:r>
    </w:p>
    <w:p>
      <w:pPr>
        <w:pStyle w:val="2"/>
        <w:keepNext w:val="0"/>
        <w:keepLines w:val="0"/>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楷体_GB2312" w:hAnsi="楷体_GB2312" w:eastAsia="楷体_GB2312" w:cs="楷体_GB2312"/>
          <w:highlight w:val="none"/>
        </w:rPr>
      </w:pPr>
      <w:r>
        <w:rPr>
          <w:rFonts w:hint="eastAsia" w:ascii="楷体_GB2312" w:hAnsi="楷体_GB2312" w:eastAsia="楷体_GB2312" w:cs="楷体_GB2312"/>
          <w:highlight w:val="none"/>
          <w:lang w:eastAsia="zh-CN"/>
        </w:rPr>
        <w:t>（</w:t>
      </w:r>
      <w:r>
        <w:rPr>
          <w:rFonts w:hint="eastAsia" w:ascii="楷体_GB2312" w:hAnsi="楷体_GB2312" w:eastAsia="楷体_GB2312" w:cs="楷体_GB2312"/>
          <w:highlight w:val="none"/>
          <w:lang w:val="en-US" w:eastAsia="zh-CN"/>
        </w:rPr>
        <w:t>二</w:t>
      </w:r>
      <w:r>
        <w:rPr>
          <w:rFonts w:hint="eastAsia" w:ascii="楷体_GB2312" w:hAnsi="楷体_GB2312" w:eastAsia="楷体_GB2312" w:cs="楷体_GB2312"/>
          <w:highlight w:val="none"/>
          <w:lang w:eastAsia="zh-CN"/>
        </w:rPr>
        <w:t>）</w:t>
      </w:r>
      <w:r>
        <w:rPr>
          <w:rFonts w:hint="eastAsia" w:ascii="楷体_GB2312" w:hAnsi="楷体_GB2312" w:eastAsia="楷体_GB2312" w:cs="楷体_GB2312"/>
          <w:highlight w:val="none"/>
        </w:rPr>
        <w:t>项目过程情况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项目过程指标从资金到位率、资金使用合规性、管理制度健全性、制度执行有效性4个方面对项目的管理情况进行考察。项目管理类指标分值20分，实际得分17.94分，得分率为89.70%。项目管理指标得分情况如表所示。</w:t>
      </w:r>
    </w:p>
    <w:p>
      <w:pPr>
        <w:pageBreakBefore w:val="0"/>
        <w:kinsoku/>
        <w:wordWrap/>
        <w:overflowPunct/>
        <w:topLinePunct w:val="0"/>
        <w:autoSpaceDE/>
        <w:autoSpaceDN/>
        <w:bidi w:val="0"/>
        <w:adjustRightInd/>
        <w:snapToGrid/>
        <w:spacing w:line="560" w:lineRule="exact"/>
        <w:ind w:firstLine="643" w:firstLineChars="200"/>
        <w:jc w:val="center"/>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color w:val="000000"/>
          <w:kern w:val="0"/>
          <w:sz w:val="32"/>
          <w:szCs w:val="32"/>
          <w:highlight w:val="none"/>
        </w:rPr>
        <w:t>项目过程指标得分情况</w:t>
      </w:r>
    </w:p>
    <w:tbl>
      <w:tblPr>
        <w:tblStyle w:val="19"/>
        <w:tblW w:w="8709" w:type="dxa"/>
        <w:tblInd w:w="0" w:type="dxa"/>
        <w:tblLayout w:type="fixed"/>
        <w:tblCellMar>
          <w:top w:w="0" w:type="dxa"/>
          <w:left w:w="108" w:type="dxa"/>
          <w:bottom w:w="0" w:type="dxa"/>
          <w:right w:w="108" w:type="dxa"/>
        </w:tblCellMar>
      </w:tblPr>
      <w:tblGrid>
        <w:gridCol w:w="2371"/>
        <w:gridCol w:w="2042"/>
        <w:gridCol w:w="2364"/>
        <w:gridCol w:w="1932"/>
      </w:tblGrid>
      <w:tr>
        <w:tblPrEx>
          <w:tblLayout w:type="fixed"/>
          <w:tblCellMar>
            <w:top w:w="0" w:type="dxa"/>
            <w:left w:w="108" w:type="dxa"/>
            <w:bottom w:w="0" w:type="dxa"/>
            <w:right w:w="108" w:type="dxa"/>
          </w:tblCellMar>
        </w:tblPrEx>
        <w:trPr>
          <w:trHeight w:val="510" w:hRule="exact"/>
          <w:tblHeader/>
        </w:trPr>
        <w:tc>
          <w:tcPr>
            <w:tcW w:w="2371" w:type="dxa"/>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三级指标</w:t>
            </w:r>
          </w:p>
        </w:tc>
        <w:tc>
          <w:tcPr>
            <w:tcW w:w="2042"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权重</w:t>
            </w:r>
          </w:p>
        </w:tc>
        <w:tc>
          <w:tcPr>
            <w:tcW w:w="2364"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得分率</w:t>
            </w:r>
          </w:p>
        </w:tc>
        <w:tc>
          <w:tcPr>
            <w:tcW w:w="1932"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实际得分</w:t>
            </w:r>
          </w:p>
        </w:tc>
      </w:tr>
      <w:tr>
        <w:tblPrEx>
          <w:tblLayout w:type="fixed"/>
          <w:tblCellMar>
            <w:top w:w="0" w:type="dxa"/>
            <w:left w:w="108" w:type="dxa"/>
            <w:bottom w:w="0" w:type="dxa"/>
            <w:right w:w="108" w:type="dxa"/>
          </w:tblCellMar>
        </w:tblPrEx>
        <w:trPr>
          <w:trHeight w:val="90" w:hRule="exact"/>
        </w:trPr>
        <w:tc>
          <w:tcPr>
            <w:tcW w:w="2371"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000000"/>
                <w:kern w:val="0"/>
                <w:sz w:val="30"/>
                <w:szCs w:val="30"/>
                <w:highlight w:val="none"/>
              </w:rPr>
            </w:pPr>
            <w:r>
              <w:rPr>
                <w:rFonts w:hint="eastAsia" w:ascii="仿宋_GB2312" w:hAnsi="仿宋_GB2312" w:eastAsia="仿宋_GB2312" w:cs="仿宋_GB2312"/>
                <w:color w:val="000000"/>
                <w:kern w:val="0"/>
                <w:sz w:val="30"/>
                <w:szCs w:val="30"/>
                <w:highlight w:val="none"/>
              </w:rPr>
              <w:t>资金到位率</w:t>
            </w:r>
          </w:p>
        </w:tc>
        <w:tc>
          <w:tcPr>
            <w:tcW w:w="204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0"/>
                <w:szCs w:val="30"/>
                <w:highlight w:val="none"/>
                <w:lang w:eastAsia="zh-CN"/>
              </w:rPr>
            </w:pPr>
            <w:r>
              <w:rPr>
                <w:rFonts w:hint="eastAsia" w:ascii="仿宋_GB2312" w:hAnsi="仿宋_GB2312" w:eastAsia="仿宋_GB2312" w:cs="仿宋_GB2312"/>
                <w:color w:val="000000"/>
                <w:kern w:val="0"/>
                <w:sz w:val="30"/>
                <w:szCs w:val="30"/>
                <w:highlight w:val="none"/>
                <w:lang w:val="en-US" w:eastAsia="zh-CN"/>
              </w:rPr>
              <w:t>4</w:t>
            </w:r>
          </w:p>
        </w:tc>
        <w:tc>
          <w:tcPr>
            <w:tcW w:w="2364"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000000"/>
                <w:kern w:val="0"/>
                <w:sz w:val="30"/>
                <w:szCs w:val="30"/>
                <w:highlight w:val="none"/>
              </w:rPr>
            </w:pPr>
            <w:r>
              <w:rPr>
                <w:rFonts w:ascii="仿宋_GB2312" w:hAnsi="仿宋_GB2312" w:eastAsia="仿宋_GB2312" w:cs="仿宋_GB2312"/>
                <w:color w:val="000000"/>
                <w:kern w:val="0"/>
                <w:sz w:val="30"/>
                <w:szCs w:val="30"/>
                <w:highlight w:val="none"/>
              </w:rPr>
              <w:t>98.8%</w:t>
            </w:r>
          </w:p>
        </w:tc>
        <w:tc>
          <w:tcPr>
            <w:tcW w:w="193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0"/>
                <w:szCs w:val="30"/>
                <w:highlight w:val="none"/>
                <w:lang w:val="en-US" w:eastAsia="zh-CN"/>
              </w:rPr>
            </w:pPr>
            <w:r>
              <w:rPr>
                <w:rFonts w:hint="eastAsia" w:ascii="仿宋_GB2312" w:hAnsi="仿宋_GB2312" w:eastAsia="仿宋_GB2312" w:cs="仿宋_GB2312"/>
                <w:color w:val="000000"/>
                <w:kern w:val="0"/>
                <w:sz w:val="30"/>
                <w:szCs w:val="30"/>
                <w:highlight w:val="none"/>
                <w:lang w:val="en-US" w:eastAsia="zh-CN"/>
              </w:rPr>
              <w:t>3.95</w:t>
            </w:r>
          </w:p>
        </w:tc>
      </w:tr>
      <w:tr>
        <w:tblPrEx>
          <w:tblLayout w:type="fixed"/>
          <w:tblCellMar>
            <w:top w:w="0" w:type="dxa"/>
            <w:left w:w="108" w:type="dxa"/>
            <w:bottom w:w="0" w:type="dxa"/>
            <w:right w:w="108" w:type="dxa"/>
          </w:tblCellMar>
        </w:tblPrEx>
        <w:trPr>
          <w:trHeight w:val="515" w:hRule="exact"/>
        </w:trPr>
        <w:tc>
          <w:tcPr>
            <w:tcW w:w="2371"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eastAsia="zh-CN"/>
              </w:rPr>
              <w:t>预算执行率</w:t>
            </w:r>
          </w:p>
        </w:tc>
        <w:tc>
          <w:tcPr>
            <w:tcW w:w="204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w:t>
            </w:r>
          </w:p>
        </w:tc>
        <w:tc>
          <w:tcPr>
            <w:tcW w:w="2364"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000000"/>
                <w:kern w:val="0"/>
                <w:sz w:val="32"/>
                <w:szCs w:val="32"/>
                <w:highlight w:val="none"/>
              </w:rPr>
            </w:pPr>
            <w:r>
              <w:rPr>
                <w:rFonts w:ascii="仿宋_GB2312" w:hAnsi="仿宋_GB2312" w:eastAsia="仿宋_GB2312" w:cs="仿宋_GB2312"/>
                <w:color w:val="000000"/>
                <w:kern w:val="0"/>
                <w:sz w:val="32"/>
                <w:szCs w:val="32"/>
                <w:highlight w:val="none"/>
              </w:rPr>
              <w:t>98.8%</w:t>
            </w:r>
          </w:p>
        </w:tc>
        <w:tc>
          <w:tcPr>
            <w:tcW w:w="193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3.95</w:t>
            </w:r>
          </w:p>
        </w:tc>
      </w:tr>
      <w:tr>
        <w:tblPrEx>
          <w:tblLayout w:type="fixed"/>
          <w:tblCellMar>
            <w:top w:w="0" w:type="dxa"/>
            <w:left w:w="108" w:type="dxa"/>
            <w:bottom w:w="0" w:type="dxa"/>
            <w:right w:w="108" w:type="dxa"/>
          </w:tblCellMar>
        </w:tblPrEx>
        <w:trPr>
          <w:trHeight w:val="510" w:hRule="exact"/>
        </w:trPr>
        <w:tc>
          <w:tcPr>
            <w:tcW w:w="2371"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资金使用合规性</w:t>
            </w:r>
          </w:p>
        </w:tc>
        <w:tc>
          <w:tcPr>
            <w:tcW w:w="204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4</w:t>
            </w:r>
          </w:p>
        </w:tc>
        <w:tc>
          <w:tcPr>
            <w:tcW w:w="2364"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000000"/>
                <w:kern w:val="0"/>
                <w:sz w:val="32"/>
                <w:szCs w:val="32"/>
                <w:highlight w:val="none"/>
              </w:rPr>
            </w:pPr>
            <w:r>
              <w:rPr>
                <w:rFonts w:ascii="仿宋_GB2312" w:hAnsi="仿宋_GB2312" w:eastAsia="仿宋_GB2312" w:cs="仿宋_GB2312"/>
                <w:color w:val="000000"/>
                <w:kern w:val="0"/>
                <w:sz w:val="32"/>
                <w:szCs w:val="32"/>
                <w:highlight w:val="none"/>
              </w:rPr>
              <w:t>100%</w:t>
            </w:r>
          </w:p>
        </w:tc>
        <w:tc>
          <w:tcPr>
            <w:tcW w:w="193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4</w:t>
            </w:r>
          </w:p>
        </w:tc>
      </w:tr>
      <w:tr>
        <w:tblPrEx>
          <w:tblLayout w:type="fixed"/>
          <w:tblCellMar>
            <w:top w:w="0" w:type="dxa"/>
            <w:left w:w="108" w:type="dxa"/>
            <w:bottom w:w="0" w:type="dxa"/>
            <w:right w:w="108" w:type="dxa"/>
          </w:tblCellMar>
        </w:tblPrEx>
        <w:trPr>
          <w:trHeight w:val="510" w:hRule="exact"/>
        </w:trPr>
        <w:tc>
          <w:tcPr>
            <w:tcW w:w="2371"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管理制度健全性</w:t>
            </w:r>
          </w:p>
        </w:tc>
        <w:tc>
          <w:tcPr>
            <w:tcW w:w="204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4</w:t>
            </w:r>
          </w:p>
        </w:tc>
        <w:tc>
          <w:tcPr>
            <w:tcW w:w="2364"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000000"/>
                <w:kern w:val="0"/>
                <w:sz w:val="32"/>
                <w:szCs w:val="32"/>
                <w:highlight w:val="none"/>
              </w:rPr>
            </w:pPr>
            <w:r>
              <w:rPr>
                <w:rFonts w:ascii="仿宋_GB2312" w:hAnsi="仿宋_GB2312" w:eastAsia="仿宋_GB2312" w:cs="仿宋_GB2312"/>
                <w:color w:val="000000"/>
                <w:kern w:val="0"/>
                <w:sz w:val="32"/>
                <w:szCs w:val="32"/>
                <w:highlight w:val="none"/>
              </w:rPr>
              <w:t>80%</w:t>
            </w:r>
          </w:p>
        </w:tc>
        <w:tc>
          <w:tcPr>
            <w:tcW w:w="193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3.2</w:t>
            </w:r>
          </w:p>
        </w:tc>
      </w:tr>
      <w:tr>
        <w:tblPrEx>
          <w:tblLayout w:type="fixed"/>
          <w:tblCellMar>
            <w:top w:w="0" w:type="dxa"/>
            <w:left w:w="108" w:type="dxa"/>
            <w:bottom w:w="0" w:type="dxa"/>
            <w:right w:w="108" w:type="dxa"/>
          </w:tblCellMar>
        </w:tblPrEx>
        <w:trPr>
          <w:trHeight w:val="510" w:hRule="exact"/>
        </w:trPr>
        <w:tc>
          <w:tcPr>
            <w:tcW w:w="2371"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制度执行有效性</w:t>
            </w:r>
          </w:p>
        </w:tc>
        <w:tc>
          <w:tcPr>
            <w:tcW w:w="204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4</w:t>
            </w:r>
          </w:p>
        </w:tc>
        <w:tc>
          <w:tcPr>
            <w:tcW w:w="2364"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000000"/>
                <w:kern w:val="0"/>
                <w:sz w:val="32"/>
                <w:szCs w:val="32"/>
                <w:highlight w:val="none"/>
              </w:rPr>
            </w:pPr>
            <w:r>
              <w:rPr>
                <w:rFonts w:ascii="仿宋_GB2312" w:hAnsi="仿宋_GB2312" w:eastAsia="仿宋_GB2312" w:cs="仿宋_GB2312"/>
                <w:color w:val="000000"/>
                <w:kern w:val="0"/>
                <w:sz w:val="32"/>
                <w:szCs w:val="32"/>
                <w:highlight w:val="none"/>
              </w:rPr>
              <w:t>80%</w:t>
            </w:r>
          </w:p>
        </w:tc>
        <w:tc>
          <w:tcPr>
            <w:tcW w:w="193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3.2</w:t>
            </w:r>
          </w:p>
        </w:tc>
      </w:tr>
      <w:tr>
        <w:tblPrEx>
          <w:tblLayout w:type="fixed"/>
          <w:tblCellMar>
            <w:top w:w="0" w:type="dxa"/>
            <w:left w:w="108" w:type="dxa"/>
            <w:bottom w:w="0" w:type="dxa"/>
            <w:right w:w="108" w:type="dxa"/>
          </w:tblCellMar>
        </w:tblPrEx>
        <w:trPr>
          <w:trHeight w:val="510" w:hRule="exact"/>
        </w:trPr>
        <w:tc>
          <w:tcPr>
            <w:tcW w:w="2371"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合</w:t>
            </w:r>
            <w:r>
              <w:rPr>
                <w:rFonts w:ascii="仿宋_GB2312" w:hAnsi="仿宋_GB2312" w:eastAsia="仿宋_GB2312" w:cs="仿宋_GB2312"/>
                <w:color w:val="000000"/>
                <w:kern w:val="0"/>
                <w:sz w:val="32"/>
                <w:szCs w:val="32"/>
                <w:highlight w:val="none"/>
              </w:rPr>
              <w:t xml:space="preserve">  </w:t>
            </w:r>
            <w:r>
              <w:rPr>
                <w:rFonts w:hint="eastAsia" w:ascii="仿宋_GB2312" w:hAnsi="仿宋_GB2312" w:eastAsia="仿宋_GB2312" w:cs="仿宋_GB2312"/>
                <w:color w:val="000000"/>
                <w:kern w:val="0"/>
                <w:sz w:val="32"/>
                <w:szCs w:val="32"/>
                <w:highlight w:val="none"/>
              </w:rPr>
              <w:t>计</w:t>
            </w:r>
          </w:p>
        </w:tc>
        <w:tc>
          <w:tcPr>
            <w:tcW w:w="2042"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000000"/>
                <w:kern w:val="0"/>
                <w:sz w:val="32"/>
                <w:szCs w:val="32"/>
                <w:highlight w:val="none"/>
              </w:rPr>
            </w:pPr>
            <w:r>
              <w:rPr>
                <w:rFonts w:ascii="仿宋_GB2312" w:hAnsi="仿宋_GB2312" w:eastAsia="仿宋_GB2312" w:cs="仿宋_GB2312"/>
                <w:color w:val="000000"/>
                <w:kern w:val="0"/>
                <w:sz w:val="32"/>
                <w:szCs w:val="32"/>
                <w:highlight w:val="none"/>
              </w:rPr>
              <w:t>20</w:t>
            </w:r>
          </w:p>
        </w:tc>
        <w:tc>
          <w:tcPr>
            <w:tcW w:w="2364"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91.5</w:t>
            </w:r>
            <w:r>
              <w:rPr>
                <w:rFonts w:ascii="仿宋_GB2312" w:hAnsi="仿宋_GB2312" w:eastAsia="仿宋_GB2312" w:cs="仿宋_GB2312"/>
                <w:color w:val="000000"/>
                <w:kern w:val="0"/>
                <w:sz w:val="32"/>
                <w:szCs w:val="32"/>
                <w:highlight w:val="none"/>
              </w:rPr>
              <w:t>%</w:t>
            </w:r>
          </w:p>
        </w:tc>
        <w:tc>
          <w:tcPr>
            <w:tcW w:w="1932"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18.3</w:t>
            </w:r>
          </w:p>
        </w:tc>
      </w:tr>
    </w:tbl>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对于“资金到位率”，因该项目为我单位收费项目，</w:t>
      </w:r>
      <w:r>
        <w:rPr>
          <w:rFonts w:ascii="仿宋_GB2312" w:hAnsi="仿宋_GB2312" w:eastAsia="仿宋_GB2312" w:cs="仿宋_GB2312"/>
          <w:sz w:val="32"/>
          <w:szCs w:val="32"/>
          <w:highlight w:val="none"/>
        </w:rPr>
        <w:t>2020</w:t>
      </w:r>
      <w:r>
        <w:rPr>
          <w:rFonts w:hint="eastAsia" w:ascii="仿宋_GB2312" w:hAnsi="仿宋_GB2312" w:eastAsia="仿宋_GB2312" w:cs="仿宋_GB2312"/>
          <w:sz w:val="32"/>
          <w:szCs w:val="32"/>
          <w:highlight w:val="none"/>
        </w:rPr>
        <w:t>年项目收费为</w:t>
      </w:r>
      <w:r>
        <w:rPr>
          <w:rFonts w:ascii="仿宋_GB2312" w:hAnsi="仿宋_GB2312" w:eastAsia="仿宋_GB2312" w:cs="仿宋_GB2312"/>
          <w:sz w:val="32"/>
          <w:szCs w:val="32"/>
          <w:highlight w:val="none"/>
        </w:rPr>
        <w:t>296.53</w:t>
      </w:r>
      <w:r>
        <w:rPr>
          <w:rFonts w:hint="eastAsia" w:ascii="仿宋_GB2312" w:hAnsi="仿宋_GB2312" w:eastAsia="仿宋_GB2312" w:cs="仿宋_GB2312"/>
          <w:sz w:val="32"/>
          <w:szCs w:val="32"/>
          <w:highlight w:val="none"/>
        </w:rPr>
        <w:t>元，预算金额为</w:t>
      </w:r>
      <w:r>
        <w:rPr>
          <w:rFonts w:ascii="仿宋_GB2312" w:hAnsi="仿宋_GB2312" w:eastAsia="仿宋_GB2312" w:cs="仿宋_GB2312"/>
          <w:sz w:val="32"/>
          <w:szCs w:val="32"/>
          <w:highlight w:val="none"/>
        </w:rPr>
        <w:t>300</w:t>
      </w:r>
      <w:r>
        <w:rPr>
          <w:rFonts w:hint="eastAsia" w:ascii="仿宋_GB2312" w:hAnsi="仿宋_GB2312" w:eastAsia="仿宋_GB2312" w:cs="仿宋_GB2312"/>
          <w:sz w:val="32"/>
          <w:szCs w:val="32"/>
          <w:highlight w:val="none"/>
        </w:rPr>
        <w:t>万元，到位率为</w:t>
      </w:r>
      <w:r>
        <w:rPr>
          <w:rFonts w:ascii="仿宋_GB2312" w:hAnsi="仿宋_GB2312" w:eastAsia="仿宋_GB2312" w:cs="仿宋_GB2312"/>
          <w:sz w:val="32"/>
          <w:szCs w:val="32"/>
          <w:highlight w:val="none"/>
        </w:rPr>
        <w:t>98.84%</w:t>
      </w:r>
      <w:r>
        <w:rPr>
          <w:rFonts w:hint="eastAsia" w:ascii="仿宋_GB2312" w:hAnsi="仿宋_GB2312" w:eastAsia="仿宋_GB2312" w:cs="仿宋_GB2312"/>
          <w:sz w:val="32"/>
          <w:szCs w:val="32"/>
          <w:highlight w:val="none"/>
        </w:rPr>
        <w:t>。根据评分标准，实际得分</w:t>
      </w:r>
      <w:r>
        <w:rPr>
          <w:rFonts w:hint="eastAsia" w:ascii="仿宋_GB2312" w:hAnsi="仿宋_GB2312" w:eastAsia="仿宋_GB2312" w:cs="仿宋_GB2312"/>
          <w:sz w:val="32"/>
          <w:szCs w:val="32"/>
          <w:highlight w:val="none"/>
          <w:lang w:val="en-US" w:eastAsia="zh-CN"/>
        </w:rPr>
        <w:t>3.95</w:t>
      </w:r>
      <w:r>
        <w:rPr>
          <w:rFonts w:hint="eastAsia" w:ascii="仿宋_GB2312" w:hAnsi="仿宋_GB2312" w:eastAsia="仿宋_GB2312" w:cs="仿宋_GB2312"/>
          <w:sz w:val="32"/>
          <w:szCs w:val="32"/>
          <w:highlight w:val="none"/>
        </w:rPr>
        <w:t>分。</w:t>
      </w:r>
    </w:p>
    <w:p>
      <w:pPr>
        <w:pStyle w:val="2"/>
        <w:keepNext w:val="0"/>
        <w:keepLines w:val="0"/>
        <w:pageBreakBefore w:val="0"/>
        <w:kinsoku/>
        <w:wordWrap/>
        <w:overflowPunct/>
        <w:topLinePunct w:val="0"/>
        <w:autoSpaceDE/>
        <w:autoSpaceDN/>
        <w:bidi w:val="0"/>
        <w:adjustRightInd/>
        <w:snapToGrid/>
        <w:spacing w:before="0" w:after="0"/>
        <w:ind w:firstLine="640" w:firstLineChars="200"/>
        <w:jc w:val="both"/>
        <w:textAlignment w:val="auto"/>
        <w:rPr>
          <w:rFonts w:hint="eastAsia" w:ascii="仿宋_GB2312" w:hAnsi="仿宋_GB2312" w:eastAsia="仿宋_GB2312" w:cs="仿宋_GB2312"/>
          <w:b w:val="0"/>
          <w:bCs w:val="0"/>
          <w:highlight w:val="none"/>
          <w:lang w:val="en-US" w:eastAsia="zh-CN"/>
        </w:rPr>
      </w:pPr>
      <w:r>
        <w:rPr>
          <w:rFonts w:hint="eastAsia" w:ascii="仿宋_GB2312" w:hAnsi="仿宋_GB2312" w:eastAsia="仿宋_GB2312" w:cs="仿宋_GB2312"/>
          <w:b w:val="0"/>
          <w:bCs w:val="0"/>
          <w:highlight w:val="none"/>
          <w:lang w:val="en-US" w:eastAsia="zh-CN"/>
        </w:rPr>
        <w:t>对于“预算执行率”，该项目预算金额300万元，执行296.46万元，预算执行率98.82%，</w:t>
      </w:r>
      <w:r>
        <w:rPr>
          <w:rFonts w:hint="eastAsia" w:ascii="仿宋_GB2312" w:hAnsi="仿宋_GB2312" w:eastAsia="仿宋_GB2312" w:cs="仿宋_GB2312"/>
          <w:b w:val="0"/>
          <w:bCs w:val="0"/>
          <w:sz w:val="32"/>
          <w:szCs w:val="32"/>
          <w:highlight w:val="none"/>
        </w:rPr>
        <w:t>根据评分标准，实际得分</w:t>
      </w:r>
      <w:r>
        <w:rPr>
          <w:rFonts w:hint="eastAsia" w:ascii="仿宋_GB2312" w:hAnsi="仿宋_GB2312" w:eastAsia="仿宋_GB2312" w:cs="仿宋_GB2312"/>
          <w:b w:val="0"/>
          <w:bCs w:val="0"/>
          <w:sz w:val="32"/>
          <w:szCs w:val="32"/>
          <w:highlight w:val="none"/>
          <w:lang w:val="en-US" w:eastAsia="zh-CN"/>
        </w:rPr>
        <w:t>3.95</w:t>
      </w:r>
      <w:r>
        <w:rPr>
          <w:rFonts w:hint="eastAsia" w:ascii="仿宋_GB2312" w:hAnsi="仿宋_GB2312" w:eastAsia="仿宋_GB2312" w:cs="仿宋_GB2312"/>
          <w:b w:val="0"/>
          <w:bCs w:val="0"/>
          <w:sz w:val="32"/>
          <w:szCs w:val="32"/>
          <w:highlight w:val="none"/>
        </w:rPr>
        <w:t>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于“资金使用合规性”项目按照专项资金列支的范围使用资金，支出范围合规；资金支出能按财务制度执行，并能按国库集中支付制度规定执行，不存在资金违纪违规使用情况。根据评分标准，该指标不扣分，实际得分</w:t>
      </w:r>
      <w:r>
        <w:rPr>
          <w:rFonts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rPr>
        <w:t>分。</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对于“管理制度健全性”，项目机构健全，分工明确，不存在不相容岗位兼任情况。但未制定项目管理实施细则，根据评分标准，该指标扣</w:t>
      </w:r>
      <w:r>
        <w:rPr>
          <w:rFonts w:hint="eastAsia" w:ascii="仿宋_GB2312" w:hAnsi="仿宋_GB2312" w:eastAsia="仿宋_GB2312" w:cs="仿宋_GB2312"/>
          <w:sz w:val="32"/>
          <w:szCs w:val="32"/>
          <w:highlight w:val="none"/>
          <w:lang w:val="en-US" w:eastAsia="zh-CN"/>
        </w:rPr>
        <w:t>0.8</w:t>
      </w:r>
      <w:r>
        <w:rPr>
          <w:rFonts w:hint="eastAsia" w:ascii="仿宋_GB2312" w:hAnsi="仿宋_GB2312" w:eastAsia="仿宋_GB2312" w:cs="仿宋_GB2312"/>
          <w:sz w:val="32"/>
          <w:szCs w:val="32"/>
          <w:highlight w:val="none"/>
        </w:rPr>
        <w:t>分，实际得分</w:t>
      </w:r>
      <w:r>
        <w:rPr>
          <w:rFonts w:hint="eastAsia" w:ascii="仿宋_GB2312" w:hAnsi="仿宋_GB2312" w:eastAsia="仿宋_GB2312" w:cs="仿宋_GB2312"/>
          <w:sz w:val="32"/>
          <w:szCs w:val="32"/>
          <w:highlight w:val="none"/>
          <w:lang w:val="en-US" w:eastAsia="zh-CN"/>
        </w:rPr>
        <w:t>3.2</w:t>
      </w:r>
      <w:r>
        <w:rPr>
          <w:rFonts w:hint="eastAsia" w:ascii="仿宋_GB2312" w:hAnsi="仿宋_GB2312" w:eastAsia="仿宋_GB2312" w:cs="仿宋_GB2312"/>
          <w:sz w:val="32"/>
          <w:szCs w:val="32"/>
          <w:highlight w:val="none"/>
        </w:rPr>
        <w:t>分。</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对于“制度执行有效性”，组建了所长为组长，相关科室负责人为成员的项目建设领导小组，认真组织项目实施，但在项目执行过程中，由于对制度执行的效率了解还不够深入，根据评分标准，该指标扣</w:t>
      </w:r>
      <w:r>
        <w:rPr>
          <w:rFonts w:hint="eastAsia" w:ascii="仿宋_GB2312" w:hAnsi="仿宋_GB2312" w:eastAsia="仿宋_GB2312" w:cs="仿宋_GB2312"/>
          <w:sz w:val="32"/>
          <w:szCs w:val="32"/>
          <w:highlight w:val="none"/>
          <w:lang w:val="en-US" w:eastAsia="zh-CN"/>
        </w:rPr>
        <w:t>0.8</w:t>
      </w:r>
      <w:r>
        <w:rPr>
          <w:rFonts w:hint="eastAsia" w:ascii="仿宋_GB2312" w:hAnsi="仿宋_GB2312" w:eastAsia="仿宋_GB2312" w:cs="仿宋_GB2312"/>
          <w:sz w:val="32"/>
          <w:szCs w:val="32"/>
          <w:highlight w:val="none"/>
        </w:rPr>
        <w:t>分，实际得分</w:t>
      </w:r>
      <w:r>
        <w:rPr>
          <w:rFonts w:hint="eastAsia" w:ascii="仿宋_GB2312" w:hAnsi="仿宋_GB2312" w:eastAsia="仿宋_GB2312" w:cs="仿宋_GB2312"/>
          <w:sz w:val="32"/>
          <w:szCs w:val="32"/>
          <w:highlight w:val="none"/>
          <w:lang w:val="en-US" w:eastAsia="zh-CN"/>
        </w:rPr>
        <w:t>3.2</w:t>
      </w:r>
      <w:r>
        <w:rPr>
          <w:rFonts w:hint="eastAsia" w:ascii="仿宋_GB2312" w:hAnsi="仿宋_GB2312" w:eastAsia="仿宋_GB2312" w:cs="仿宋_GB2312"/>
          <w:sz w:val="32"/>
          <w:szCs w:val="32"/>
          <w:highlight w:val="none"/>
        </w:rPr>
        <w:t>分。</w:t>
      </w:r>
    </w:p>
    <w:p>
      <w:pPr>
        <w:pStyle w:val="2"/>
        <w:pageBreakBefore w:val="0"/>
        <w:numPr>
          <w:ilvl w:val="0"/>
          <w:numId w:val="3"/>
        </w:numPr>
        <w:kinsoku/>
        <w:wordWrap/>
        <w:overflowPunct/>
        <w:topLinePunct w:val="0"/>
        <w:autoSpaceDE/>
        <w:autoSpaceDN/>
        <w:bidi w:val="0"/>
        <w:adjustRightInd/>
        <w:snapToGrid/>
        <w:spacing w:before="0" w:after="0" w:line="560" w:lineRule="exact"/>
        <w:ind w:firstLine="321" w:firstLineChars="100"/>
        <w:jc w:val="both"/>
        <w:rPr>
          <w:rFonts w:hint="eastAsia" w:ascii="楷体_GB2312" w:hAnsi="楷体_GB2312" w:eastAsia="楷体_GB2312" w:cs="楷体_GB2312"/>
          <w:highlight w:val="none"/>
          <w:lang w:eastAsia="zh-CN"/>
        </w:rPr>
      </w:pPr>
      <w:r>
        <w:rPr>
          <w:rFonts w:hint="eastAsia" w:ascii="楷体_GB2312" w:hAnsi="楷体_GB2312" w:eastAsia="楷体_GB2312" w:cs="楷体_GB2312"/>
          <w:highlight w:val="none"/>
          <w:lang w:eastAsia="zh-CN"/>
        </w:rPr>
        <w:t>项目产出</w:t>
      </w:r>
    </w:p>
    <w:tbl>
      <w:tblPr>
        <w:tblStyle w:val="19"/>
        <w:tblW w:w="8709" w:type="dxa"/>
        <w:tblInd w:w="0" w:type="dxa"/>
        <w:tblLayout w:type="fixed"/>
        <w:tblCellMar>
          <w:top w:w="0" w:type="dxa"/>
          <w:left w:w="108" w:type="dxa"/>
          <w:bottom w:w="0" w:type="dxa"/>
          <w:right w:w="108" w:type="dxa"/>
        </w:tblCellMar>
      </w:tblPr>
      <w:tblGrid>
        <w:gridCol w:w="2371"/>
        <w:gridCol w:w="2042"/>
        <w:gridCol w:w="2364"/>
        <w:gridCol w:w="1932"/>
      </w:tblGrid>
      <w:tr>
        <w:tblPrEx>
          <w:tblLayout w:type="fixed"/>
          <w:tblCellMar>
            <w:top w:w="0" w:type="dxa"/>
            <w:left w:w="108" w:type="dxa"/>
            <w:bottom w:w="0" w:type="dxa"/>
            <w:right w:w="108" w:type="dxa"/>
          </w:tblCellMar>
        </w:tblPrEx>
        <w:trPr>
          <w:trHeight w:val="510" w:hRule="exact"/>
          <w:tblHeader/>
        </w:trPr>
        <w:tc>
          <w:tcPr>
            <w:tcW w:w="2371" w:type="dxa"/>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三级指标</w:t>
            </w:r>
          </w:p>
        </w:tc>
        <w:tc>
          <w:tcPr>
            <w:tcW w:w="2042"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权重</w:t>
            </w:r>
          </w:p>
        </w:tc>
        <w:tc>
          <w:tcPr>
            <w:tcW w:w="2364"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得分率</w:t>
            </w:r>
          </w:p>
        </w:tc>
        <w:tc>
          <w:tcPr>
            <w:tcW w:w="1932"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实际得分</w:t>
            </w:r>
          </w:p>
        </w:tc>
      </w:tr>
      <w:tr>
        <w:tblPrEx>
          <w:tblLayout w:type="fixed"/>
          <w:tblCellMar>
            <w:top w:w="0" w:type="dxa"/>
            <w:left w:w="108" w:type="dxa"/>
            <w:bottom w:w="0" w:type="dxa"/>
            <w:right w:w="108" w:type="dxa"/>
          </w:tblCellMar>
        </w:tblPrEx>
        <w:trPr>
          <w:trHeight w:val="510" w:hRule="exact"/>
        </w:trPr>
        <w:tc>
          <w:tcPr>
            <w:tcW w:w="2371"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产出数量</w:t>
            </w:r>
          </w:p>
        </w:tc>
        <w:tc>
          <w:tcPr>
            <w:tcW w:w="204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rPr>
              <w:t>1</w:t>
            </w:r>
            <w:r>
              <w:rPr>
                <w:rFonts w:hint="eastAsia" w:ascii="仿宋_GB2312" w:hAnsi="仿宋_GB2312" w:eastAsia="仿宋_GB2312" w:cs="仿宋_GB2312"/>
                <w:color w:val="000000"/>
                <w:kern w:val="0"/>
                <w:sz w:val="32"/>
                <w:szCs w:val="32"/>
                <w:highlight w:val="none"/>
                <w:lang w:val="en-US" w:eastAsia="zh-CN"/>
              </w:rPr>
              <w:t>0</w:t>
            </w:r>
          </w:p>
        </w:tc>
        <w:tc>
          <w:tcPr>
            <w:tcW w:w="2364"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rPr>
              <w:t>10</w:t>
            </w:r>
            <w:r>
              <w:rPr>
                <w:rFonts w:hint="eastAsia" w:ascii="仿宋_GB2312" w:hAnsi="仿宋_GB2312" w:eastAsia="仿宋_GB2312" w:cs="仿宋_GB2312"/>
                <w:color w:val="000000"/>
                <w:kern w:val="0"/>
                <w:sz w:val="32"/>
                <w:szCs w:val="32"/>
                <w:highlight w:val="none"/>
                <w:lang w:val="en-US" w:eastAsia="zh-CN"/>
              </w:rPr>
              <w:t>0%</w:t>
            </w:r>
          </w:p>
        </w:tc>
        <w:tc>
          <w:tcPr>
            <w:tcW w:w="193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rPr>
              <w:t>1</w:t>
            </w:r>
            <w:r>
              <w:rPr>
                <w:rFonts w:hint="eastAsia" w:ascii="仿宋_GB2312" w:hAnsi="仿宋_GB2312" w:eastAsia="仿宋_GB2312" w:cs="仿宋_GB2312"/>
                <w:color w:val="000000"/>
                <w:kern w:val="0"/>
                <w:sz w:val="32"/>
                <w:szCs w:val="32"/>
                <w:highlight w:val="none"/>
                <w:lang w:val="en-US" w:eastAsia="zh-CN"/>
              </w:rPr>
              <w:t>0</w:t>
            </w:r>
          </w:p>
        </w:tc>
      </w:tr>
      <w:tr>
        <w:tblPrEx>
          <w:tblLayout w:type="fixed"/>
          <w:tblCellMar>
            <w:top w:w="0" w:type="dxa"/>
            <w:left w:w="108" w:type="dxa"/>
            <w:bottom w:w="0" w:type="dxa"/>
            <w:right w:w="108" w:type="dxa"/>
          </w:tblCellMar>
        </w:tblPrEx>
        <w:trPr>
          <w:trHeight w:val="510" w:hRule="exact"/>
        </w:trPr>
        <w:tc>
          <w:tcPr>
            <w:tcW w:w="2371"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产出质量</w:t>
            </w:r>
          </w:p>
        </w:tc>
        <w:tc>
          <w:tcPr>
            <w:tcW w:w="204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c>
          <w:tcPr>
            <w:tcW w:w="2364"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r>
              <w:rPr>
                <w:rFonts w:hint="eastAsia" w:ascii="仿宋_GB2312" w:hAnsi="仿宋_GB2312" w:eastAsia="仿宋_GB2312" w:cs="仿宋_GB2312"/>
                <w:color w:val="000000"/>
                <w:kern w:val="0"/>
                <w:sz w:val="32"/>
                <w:szCs w:val="32"/>
                <w:highlight w:val="none"/>
                <w:lang w:val="en-US" w:eastAsia="zh-CN"/>
              </w:rPr>
              <w:t>0%</w:t>
            </w:r>
          </w:p>
        </w:tc>
        <w:tc>
          <w:tcPr>
            <w:tcW w:w="193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r>
      <w:tr>
        <w:tblPrEx>
          <w:tblLayout w:type="fixed"/>
          <w:tblCellMar>
            <w:top w:w="0" w:type="dxa"/>
            <w:left w:w="108" w:type="dxa"/>
            <w:bottom w:w="0" w:type="dxa"/>
            <w:right w:w="108" w:type="dxa"/>
          </w:tblCellMar>
        </w:tblPrEx>
        <w:trPr>
          <w:trHeight w:val="510" w:hRule="exact"/>
        </w:trPr>
        <w:tc>
          <w:tcPr>
            <w:tcW w:w="2371"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产出时效</w:t>
            </w:r>
          </w:p>
        </w:tc>
        <w:tc>
          <w:tcPr>
            <w:tcW w:w="204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highlight w:val="none"/>
                <w:lang w:val="en-US"/>
              </w:rPr>
            </w:pPr>
            <w:r>
              <w:rPr>
                <w:rFonts w:hint="eastAsia" w:ascii="仿宋_GB2312" w:hAnsi="仿宋_GB2312" w:eastAsia="仿宋_GB2312" w:cs="仿宋_GB2312"/>
                <w:color w:val="000000"/>
                <w:kern w:val="0"/>
                <w:sz w:val="32"/>
                <w:szCs w:val="32"/>
                <w:highlight w:val="none"/>
                <w:lang w:val="en-US" w:eastAsia="zh-CN"/>
              </w:rPr>
              <w:t>10</w:t>
            </w:r>
          </w:p>
        </w:tc>
        <w:tc>
          <w:tcPr>
            <w:tcW w:w="2364"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r>
              <w:rPr>
                <w:rFonts w:hint="eastAsia" w:ascii="仿宋_GB2312" w:hAnsi="仿宋_GB2312" w:eastAsia="仿宋_GB2312" w:cs="仿宋_GB2312"/>
                <w:color w:val="000000"/>
                <w:kern w:val="0"/>
                <w:sz w:val="32"/>
                <w:szCs w:val="32"/>
                <w:highlight w:val="none"/>
                <w:lang w:val="en-US" w:eastAsia="zh-CN"/>
              </w:rPr>
              <w:t>0%</w:t>
            </w:r>
          </w:p>
        </w:tc>
        <w:tc>
          <w:tcPr>
            <w:tcW w:w="193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10</w:t>
            </w:r>
          </w:p>
        </w:tc>
      </w:tr>
      <w:tr>
        <w:tblPrEx>
          <w:tblLayout w:type="fixed"/>
          <w:tblCellMar>
            <w:top w:w="0" w:type="dxa"/>
            <w:left w:w="108" w:type="dxa"/>
            <w:bottom w:w="0" w:type="dxa"/>
            <w:right w:w="108" w:type="dxa"/>
          </w:tblCellMar>
        </w:tblPrEx>
        <w:trPr>
          <w:trHeight w:val="510" w:hRule="exact"/>
        </w:trPr>
        <w:tc>
          <w:tcPr>
            <w:tcW w:w="2371"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kern w:val="0"/>
                <w:sz w:val="32"/>
                <w:szCs w:val="32"/>
                <w:highlight w:val="none"/>
              </w:rPr>
              <w:t>成本情况</w:t>
            </w:r>
          </w:p>
        </w:tc>
        <w:tc>
          <w:tcPr>
            <w:tcW w:w="204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c>
          <w:tcPr>
            <w:tcW w:w="2364"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r>
              <w:rPr>
                <w:rFonts w:hint="eastAsia" w:ascii="仿宋_GB2312" w:hAnsi="仿宋_GB2312" w:eastAsia="仿宋_GB2312" w:cs="仿宋_GB2312"/>
                <w:color w:val="000000"/>
                <w:kern w:val="0"/>
                <w:sz w:val="32"/>
                <w:szCs w:val="32"/>
                <w:highlight w:val="none"/>
                <w:lang w:val="en-US" w:eastAsia="zh-CN"/>
              </w:rPr>
              <w:t>0%</w:t>
            </w:r>
          </w:p>
        </w:tc>
        <w:tc>
          <w:tcPr>
            <w:tcW w:w="193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r>
      <w:tr>
        <w:tblPrEx>
          <w:tblLayout w:type="fixed"/>
          <w:tblCellMar>
            <w:top w:w="0" w:type="dxa"/>
            <w:left w:w="108" w:type="dxa"/>
            <w:bottom w:w="0" w:type="dxa"/>
            <w:right w:w="108" w:type="dxa"/>
          </w:tblCellMar>
        </w:tblPrEx>
        <w:trPr>
          <w:trHeight w:val="510" w:hRule="exact"/>
        </w:trPr>
        <w:tc>
          <w:tcPr>
            <w:tcW w:w="2371"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合  计</w:t>
            </w:r>
          </w:p>
        </w:tc>
        <w:tc>
          <w:tcPr>
            <w:tcW w:w="2042"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40</w:t>
            </w:r>
          </w:p>
        </w:tc>
        <w:tc>
          <w:tcPr>
            <w:tcW w:w="2364"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100%</w:t>
            </w:r>
          </w:p>
        </w:tc>
        <w:tc>
          <w:tcPr>
            <w:tcW w:w="1932"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40</w:t>
            </w:r>
          </w:p>
        </w:tc>
      </w:tr>
    </w:tbl>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对于“产出数量”，</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指标</w:t>
      </w:r>
      <w:r>
        <w:rPr>
          <w:rFonts w:hint="eastAsia" w:ascii="仿宋_GB2312" w:hAnsi="仿宋_GB2312" w:eastAsia="仿宋_GB2312" w:cs="仿宋_GB2312"/>
          <w:sz w:val="32"/>
          <w:szCs w:val="32"/>
          <w:highlight w:val="none"/>
          <w:lang w:val="en-US" w:eastAsia="zh-CN"/>
        </w:rPr>
        <w:t>1：完成产品质量检验批次，年度指标值≥100批次，实际完成值279批次，指标完成率279%；偏差原因：业务量加大。</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指标2：计量器具检定测试台件数，年度指标值≥6000台，实际完成值13344台，指标完成率222%。偏差原因：项目增加，业务量加大。</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对于“产出质量”，</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指标</w:t>
      </w:r>
      <w:r>
        <w:rPr>
          <w:rFonts w:hint="eastAsia" w:ascii="仿宋_GB2312" w:hAnsi="仿宋_GB2312" w:eastAsia="仿宋_GB2312" w:cs="仿宋_GB2312"/>
          <w:sz w:val="32"/>
          <w:szCs w:val="32"/>
          <w:highlight w:val="none"/>
          <w:lang w:val="en-US" w:eastAsia="zh-CN"/>
        </w:rPr>
        <w:t>1：检验检测数据准确度，年度指标值≥</w:t>
      </w:r>
      <w:r>
        <w:rPr>
          <w:rFonts w:hint="eastAsia" w:ascii="仿宋_GB2312" w:hAnsi="仿宋_GB2312" w:eastAsia="仿宋_GB2312" w:cs="仿宋_GB2312"/>
          <w:sz w:val="32"/>
          <w:szCs w:val="32"/>
          <w:highlight w:val="none"/>
        </w:rPr>
        <w:t>90%</w:t>
      </w:r>
      <w:r>
        <w:rPr>
          <w:rFonts w:hint="eastAsia" w:ascii="仿宋_GB2312" w:hAnsi="仿宋_GB2312" w:eastAsia="仿宋_GB2312" w:cs="仿宋_GB2312"/>
          <w:sz w:val="32"/>
          <w:szCs w:val="32"/>
          <w:highlight w:val="none"/>
          <w:lang w:eastAsia="zh-CN"/>
        </w:rPr>
        <w:t>，实际完成值</w:t>
      </w:r>
      <w:r>
        <w:rPr>
          <w:rFonts w:hint="eastAsia" w:ascii="仿宋_GB2312" w:hAnsi="仿宋_GB2312" w:eastAsia="仿宋_GB2312" w:cs="仿宋_GB2312"/>
          <w:sz w:val="32"/>
          <w:szCs w:val="32"/>
          <w:highlight w:val="none"/>
        </w:rPr>
        <w:t>90%，</w:t>
      </w:r>
      <w:r>
        <w:rPr>
          <w:rFonts w:hint="eastAsia" w:ascii="仿宋_GB2312" w:hAnsi="仿宋_GB2312" w:eastAsia="仿宋_GB2312" w:cs="仿宋_GB2312"/>
          <w:sz w:val="32"/>
          <w:szCs w:val="32"/>
          <w:highlight w:val="none"/>
          <w:lang w:val="en-US" w:eastAsia="zh-CN"/>
        </w:rPr>
        <w:t>指标完成率100%。</w:t>
      </w:r>
    </w:p>
    <w:p>
      <w:pPr>
        <w:pageBreakBefore w:val="0"/>
        <w:kinsoku/>
        <w:wordWrap/>
        <w:overflowPunct/>
        <w:topLinePunct w:val="0"/>
        <w:autoSpaceDE/>
        <w:autoSpaceDN/>
        <w:bidi w:val="0"/>
        <w:adjustRightInd/>
        <w:snapToGrid/>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w:t>
      </w:r>
      <w:r>
        <w:rPr>
          <w:rFonts w:hint="eastAsia" w:ascii="仿宋_GB2312" w:hAnsi="仿宋_GB2312" w:eastAsia="仿宋_GB2312" w:cs="仿宋_GB2312"/>
          <w:sz w:val="32"/>
          <w:szCs w:val="32"/>
          <w:highlight w:val="none"/>
        </w:rPr>
        <w:t>出具检验报告</w:t>
      </w:r>
      <w:r>
        <w:rPr>
          <w:rFonts w:hint="eastAsia" w:ascii="仿宋_GB2312" w:hAnsi="仿宋_GB2312" w:eastAsia="仿宋_GB2312" w:cs="仿宋_GB2312"/>
          <w:sz w:val="32"/>
          <w:szCs w:val="32"/>
          <w:highlight w:val="none"/>
          <w:lang w:eastAsia="zh-CN"/>
        </w:rPr>
        <w:t>份数，</w:t>
      </w:r>
      <w:r>
        <w:rPr>
          <w:rFonts w:hint="eastAsia" w:ascii="仿宋_GB2312" w:hAnsi="仿宋_GB2312" w:eastAsia="仿宋_GB2312" w:cs="仿宋_GB2312"/>
          <w:sz w:val="32"/>
          <w:szCs w:val="32"/>
          <w:highlight w:val="none"/>
          <w:lang w:val="en-US" w:eastAsia="zh-CN"/>
        </w:rPr>
        <w:t>年度指标值</w:t>
      </w:r>
      <w:r>
        <w:rPr>
          <w:rFonts w:hint="eastAsia" w:ascii="仿宋_GB2312" w:hAnsi="仿宋_GB2312" w:eastAsia="仿宋_GB2312" w:cs="仿宋_GB2312"/>
          <w:sz w:val="32"/>
          <w:szCs w:val="32"/>
          <w:highlight w:val="none"/>
        </w:rPr>
        <w:t>≥100份</w:t>
      </w:r>
      <w:r>
        <w:rPr>
          <w:rFonts w:hint="eastAsia" w:ascii="仿宋_GB2312" w:hAnsi="仿宋_GB2312" w:eastAsia="仿宋_GB2312" w:cs="仿宋_GB2312"/>
          <w:sz w:val="32"/>
          <w:szCs w:val="32"/>
          <w:highlight w:val="none"/>
          <w:lang w:eastAsia="zh-CN"/>
        </w:rPr>
        <w:t>，实际完成值</w:t>
      </w:r>
      <w:r>
        <w:rPr>
          <w:rFonts w:hint="eastAsia" w:ascii="仿宋_GB2312" w:hAnsi="仿宋_GB2312" w:eastAsia="仿宋_GB2312" w:cs="仿宋_GB2312"/>
          <w:sz w:val="32"/>
          <w:szCs w:val="32"/>
          <w:highlight w:val="none"/>
        </w:rPr>
        <w:t>279份，</w:t>
      </w:r>
      <w:r>
        <w:rPr>
          <w:rFonts w:hint="eastAsia" w:ascii="仿宋_GB2312" w:hAnsi="仿宋_GB2312" w:eastAsia="仿宋_GB2312" w:cs="仿宋_GB2312"/>
          <w:sz w:val="32"/>
          <w:szCs w:val="32"/>
          <w:highlight w:val="none"/>
          <w:lang w:val="en-US" w:eastAsia="zh-CN"/>
        </w:rPr>
        <w:t>指标完成率279%；偏差原因：项目增加，业务量加大。</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完成并出具计量器具检定测试证书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年度指标值</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2000</w:t>
      </w:r>
      <w:r>
        <w:rPr>
          <w:rFonts w:hint="eastAsia" w:ascii="仿宋_GB2312" w:hAnsi="仿宋_GB2312" w:eastAsia="仿宋_GB2312" w:cs="仿宋_GB2312"/>
          <w:sz w:val="32"/>
          <w:szCs w:val="32"/>
          <w:highlight w:val="none"/>
        </w:rPr>
        <w:t>份</w:t>
      </w:r>
      <w:r>
        <w:rPr>
          <w:rFonts w:hint="eastAsia" w:ascii="仿宋_GB2312" w:hAnsi="仿宋_GB2312" w:eastAsia="仿宋_GB2312" w:cs="仿宋_GB2312"/>
          <w:sz w:val="32"/>
          <w:szCs w:val="32"/>
          <w:highlight w:val="none"/>
          <w:lang w:eastAsia="zh-CN"/>
        </w:rPr>
        <w:t>，实际完成值</w:t>
      </w:r>
      <w:r>
        <w:rPr>
          <w:rFonts w:hint="eastAsia" w:ascii="仿宋_GB2312" w:hAnsi="仿宋_GB2312" w:eastAsia="仿宋_GB2312" w:cs="仿宋_GB2312"/>
          <w:sz w:val="32"/>
          <w:szCs w:val="32"/>
          <w:highlight w:val="none"/>
        </w:rPr>
        <w:t>4885份，</w:t>
      </w:r>
      <w:r>
        <w:rPr>
          <w:rFonts w:hint="eastAsia" w:ascii="仿宋_GB2312" w:hAnsi="仿宋_GB2312" w:eastAsia="仿宋_GB2312" w:cs="仿宋_GB2312"/>
          <w:sz w:val="32"/>
          <w:szCs w:val="32"/>
          <w:highlight w:val="none"/>
          <w:lang w:val="en-US" w:eastAsia="zh-CN"/>
        </w:rPr>
        <w:t>指标完成率244%。偏差原因：业务量加大。</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对于“产出时效”，检测项目完成时间</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年度指标值</w:t>
      </w:r>
      <w:r>
        <w:rPr>
          <w:rFonts w:hint="eastAsia" w:ascii="仿宋_GB2312" w:hAnsi="仿宋_GB2312" w:eastAsia="仿宋_GB2312" w:cs="仿宋_GB2312"/>
          <w:sz w:val="32"/>
          <w:szCs w:val="32"/>
          <w:highlight w:val="none"/>
        </w:rPr>
        <w:t>≤20天，</w:t>
      </w:r>
      <w:r>
        <w:rPr>
          <w:rFonts w:hint="eastAsia" w:ascii="仿宋_GB2312" w:hAnsi="仿宋_GB2312" w:eastAsia="仿宋_GB2312" w:cs="仿宋_GB2312"/>
          <w:sz w:val="32"/>
          <w:szCs w:val="32"/>
          <w:highlight w:val="none"/>
          <w:lang w:eastAsia="zh-CN"/>
        </w:rPr>
        <w:t>实际完成值</w:t>
      </w:r>
      <w:r>
        <w:rPr>
          <w:rFonts w:hint="eastAsia" w:ascii="仿宋_GB2312" w:hAnsi="仿宋_GB2312" w:eastAsia="仿宋_GB2312" w:cs="仿宋_GB2312"/>
          <w:sz w:val="32"/>
          <w:szCs w:val="32"/>
          <w:highlight w:val="none"/>
          <w:lang w:val="en-US" w:eastAsia="zh-CN"/>
        </w:rPr>
        <w:t>20天，指标完成率100%。</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对于“成本情况”，</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指标</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设备购置成本</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年度指标值200-250万元，</w:t>
      </w:r>
      <w:r>
        <w:rPr>
          <w:rFonts w:hint="eastAsia" w:ascii="仿宋_GB2312" w:hAnsi="仿宋_GB2312" w:eastAsia="仿宋_GB2312" w:cs="仿宋_GB2312"/>
          <w:sz w:val="32"/>
          <w:szCs w:val="32"/>
          <w:highlight w:val="none"/>
          <w:lang w:eastAsia="zh-CN"/>
        </w:rPr>
        <w:t>实际完成值</w:t>
      </w:r>
      <w:r>
        <w:rPr>
          <w:rFonts w:hint="eastAsia" w:ascii="仿宋_GB2312" w:hAnsi="仿宋_GB2312" w:eastAsia="仿宋_GB2312" w:cs="仿宋_GB2312"/>
          <w:sz w:val="32"/>
          <w:szCs w:val="32"/>
          <w:highlight w:val="none"/>
        </w:rPr>
        <w:t>248.54万元，</w:t>
      </w:r>
      <w:r>
        <w:rPr>
          <w:rFonts w:hint="eastAsia" w:ascii="仿宋_GB2312" w:hAnsi="仿宋_GB2312" w:eastAsia="仿宋_GB2312" w:cs="仿宋_GB2312"/>
          <w:sz w:val="32"/>
          <w:szCs w:val="32"/>
          <w:highlight w:val="none"/>
          <w:lang w:val="en-US" w:eastAsia="zh-CN"/>
        </w:rPr>
        <w:t>指标完成率100%。</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检验检测成本</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年度指标值≤50万元，实际完成值</w:t>
      </w:r>
      <w:r>
        <w:rPr>
          <w:rFonts w:hint="eastAsia" w:ascii="仿宋_GB2312" w:hAnsi="仿宋_GB2312" w:eastAsia="仿宋_GB2312" w:cs="仿宋_GB2312"/>
          <w:sz w:val="32"/>
          <w:szCs w:val="32"/>
          <w:highlight w:val="none"/>
        </w:rPr>
        <w:t>47.92万元，</w:t>
      </w:r>
      <w:r>
        <w:rPr>
          <w:rFonts w:hint="eastAsia" w:ascii="仿宋_GB2312" w:hAnsi="仿宋_GB2312" w:eastAsia="仿宋_GB2312" w:cs="仿宋_GB2312"/>
          <w:sz w:val="32"/>
          <w:szCs w:val="32"/>
          <w:highlight w:val="none"/>
          <w:lang w:val="en-US" w:eastAsia="zh-CN"/>
        </w:rPr>
        <w:t>指标完成率100%。</w:t>
      </w:r>
    </w:p>
    <w:p>
      <w:pPr>
        <w:pStyle w:val="18"/>
        <w:pageBreakBefore w:val="0"/>
        <w:numPr>
          <w:ilvl w:val="0"/>
          <w:numId w:val="4"/>
        </w:numPr>
        <w:kinsoku/>
        <w:wordWrap/>
        <w:overflowPunct/>
        <w:topLinePunct w:val="0"/>
        <w:autoSpaceDE/>
        <w:autoSpaceDN/>
        <w:bidi w:val="0"/>
        <w:adjustRightInd/>
        <w:snapToGrid/>
        <w:spacing w:after="0" w:line="560" w:lineRule="exact"/>
        <w:ind w:firstLine="321" w:firstLineChars="100"/>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效益情况</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绩效主要从项目产出的效果的经济效益、社会效益、可持续影响、服务对象满意度4个方面对项目的绩效情况进行评价。项目绩效类指标分值20分，实际得分20分，得分率为100%。项目绩效指标得分情况如表所示。</w:t>
      </w:r>
    </w:p>
    <w:tbl>
      <w:tblPr>
        <w:tblStyle w:val="19"/>
        <w:tblpPr w:leftFromText="180" w:rightFromText="180" w:vertAnchor="text" w:horzAnchor="page" w:tblpX="1924" w:tblpY="159"/>
        <w:tblOverlap w:val="never"/>
        <w:tblW w:w="8581" w:type="dxa"/>
        <w:jc w:val="center"/>
        <w:tblInd w:w="0" w:type="dxa"/>
        <w:tblLayout w:type="fixed"/>
        <w:tblCellMar>
          <w:top w:w="0" w:type="dxa"/>
          <w:left w:w="0" w:type="dxa"/>
          <w:bottom w:w="0" w:type="dxa"/>
          <w:right w:w="0" w:type="dxa"/>
        </w:tblCellMar>
      </w:tblPr>
      <w:tblGrid>
        <w:gridCol w:w="2452"/>
        <w:gridCol w:w="2043"/>
        <w:gridCol w:w="2043"/>
        <w:gridCol w:w="2043"/>
      </w:tblGrid>
      <w:tr>
        <w:tblPrEx>
          <w:tblLayout w:type="fixed"/>
          <w:tblCellMar>
            <w:top w:w="0" w:type="dxa"/>
            <w:left w:w="0" w:type="dxa"/>
            <w:bottom w:w="0" w:type="dxa"/>
            <w:right w:w="0" w:type="dxa"/>
          </w:tblCellMar>
        </w:tblPrEx>
        <w:trPr>
          <w:trHeight w:val="59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lang w:eastAsia="zh-CN"/>
              </w:rPr>
              <w:t>三</w:t>
            </w:r>
            <w:r>
              <w:rPr>
                <w:rFonts w:hint="eastAsia" w:ascii="仿宋_GB2312" w:hAnsi="仿宋_GB2312" w:eastAsia="仿宋_GB2312" w:cs="仿宋_GB2312"/>
                <w:color w:val="000000"/>
                <w:kern w:val="0"/>
                <w:sz w:val="32"/>
                <w:szCs w:val="32"/>
                <w:highlight w:val="none"/>
              </w:rPr>
              <w:t>级指标</w:t>
            </w:r>
          </w:p>
        </w:tc>
        <w:tc>
          <w:tcPr>
            <w:tcW w:w="2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权重</w:t>
            </w:r>
          </w:p>
        </w:tc>
        <w:tc>
          <w:tcPr>
            <w:tcW w:w="2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得分率</w:t>
            </w:r>
          </w:p>
        </w:tc>
        <w:tc>
          <w:tcPr>
            <w:tcW w:w="2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实际得分</w:t>
            </w:r>
          </w:p>
        </w:tc>
      </w:tr>
      <w:tr>
        <w:tblPrEx>
          <w:tblLayout w:type="fixed"/>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eastAsia="zh-CN"/>
              </w:rPr>
              <w:t>经济效益</w:t>
            </w:r>
          </w:p>
        </w:tc>
        <w:tc>
          <w:tcPr>
            <w:tcW w:w="2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5</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5</w:t>
            </w:r>
          </w:p>
        </w:tc>
      </w:tr>
      <w:tr>
        <w:tblPrEx>
          <w:tblLayout w:type="fixed"/>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eastAsia="zh-CN"/>
              </w:rPr>
              <w:t>社会效益</w:t>
            </w:r>
          </w:p>
        </w:tc>
        <w:tc>
          <w:tcPr>
            <w:tcW w:w="2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5</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5</w:t>
            </w:r>
          </w:p>
        </w:tc>
      </w:tr>
      <w:tr>
        <w:tblPrEx>
          <w:tblLayout w:type="fixed"/>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kern w:val="0"/>
                <w:sz w:val="32"/>
                <w:szCs w:val="32"/>
                <w:highlight w:val="none"/>
                <w:lang w:eastAsia="zh-CN"/>
              </w:rPr>
              <w:t>可持续影响</w:t>
            </w:r>
          </w:p>
        </w:tc>
        <w:tc>
          <w:tcPr>
            <w:tcW w:w="2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5</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5</w:t>
            </w:r>
          </w:p>
        </w:tc>
      </w:tr>
      <w:tr>
        <w:tblPrEx>
          <w:tblLayout w:type="fixed"/>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满意度</w:t>
            </w:r>
          </w:p>
        </w:tc>
        <w:tc>
          <w:tcPr>
            <w:tcW w:w="2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5</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5</w:t>
            </w:r>
          </w:p>
        </w:tc>
      </w:tr>
      <w:tr>
        <w:tblPrEx>
          <w:tblLayout w:type="fixed"/>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eastAsia="zh-CN"/>
              </w:rPr>
              <w:t>合计</w:t>
            </w:r>
          </w:p>
        </w:tc>
        <w:tc>
          <w:tcPr>
            <w:tcW w:w="2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20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100%</w:t>
            </w:r>
          </w:p>
        </w:tc>
        <w:tc>
          <w:tcPr>
            <w:tcW w:w="2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20</w:t>
            </w:r>
          </w:p>
        </w:tc>
      </w:tr>
    </w:tbl>
    <w:p>
      <w:pPr>
        <w:pageBreakBefore w:val="0"/>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对于“</w:t>
      </w:r>
      <w:r>
        <w:rPr>
          <w:rFonts w:hint="eastAsia" w:ascii="仿宋_GB2312" w:hAnsi="仿宋_GB2312" w:eastAsia="仿宋_GB2312" w:cs="仿宋_GB2312"/>
          <w:sz w:val="32"/>
          <w:szCs w:val="32"/>
          <w:highlight w:val="none"/>
          <w:lang w:eastAsia="zh-CN"/>
        </w:rPr>
        <w:t>经济效益”，检验周期缩短率，</w:t>
      </w:r>
      <w:r>
        <w:rPr>
          <w:rFonts w:hint="eastAsia" w:ascii="仿宋_GB2312" w:hAnsi="仿宋_GB2312" w:eastAsia="仿宋_GB2312" w:cs="仿宋_GB2312"/>
          <w:sz w:val="32"/>
          <w:szCs w:val="32"/>
          <w:highlight w:val="none"/>
          <w:lang w:val="en-US" w:eastAsia="zh-CN"/>
        </w:rPr>
        <w:t>年度指标值≥5%，</w:t>
      </w:r>
    </w:p>
    <w:p>
      <w:pPr>
        <w:pageBreakBefore w:val="0"/>
        <w:kinsoku/>
        <w:wordWrap/>
        <w:overflowPunct/>
        <w:topLinePunct w:val="0"/>
        <w:autoSpaceDE/>
        <w:autoSpaceDN/>
        <w:bidi w:val="0"/>
        <w:adjustRightInd/>
        <w:snapToGrid/>
        <w:spacing w:line="560" w:lineRule="exact"/>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实际完成值5%</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指标完成率100%。</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对于</w:t>
      </w:r>
      <w:r>
        <w:rPr>
          <w:rFonts w:hint="eastAsia" w:ascii="仿宋_GB2312" w:hAnsi="仿宋_GB2312" w:eastAsia="仿宋_GB2312" w:cs="仿宋_GB2312"/>
          <w:sz w:val="32"/>
          <w:szCs w:val="32"/>
          <w:highlight w:val="none"/>
        </w:rPr>
        <w:t>“社会效益”，产品质量、计量器具受检率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年度指标值≥90%，实际完成值90%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指标完成率100%。</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对于“可持续影响”，推动质量、计量的准确性，</w:t>
      </w:r>
      <w:r>
        <w:rPr>
          <w:rFonts w:hint="eastAsia" w:ascii="仿宋_GB2312" w:hAnsi="仿宋_GB2312" w:eastAsia="仿宋_GB2312" w:cs="仿宋_GB2312"/>
          <w:sz w:val="32"/>
          <w:szCs w:val="32"/>
          <w:highlight w:val="none"/>
          <w:lang w:val="en-US" w:eastAsia="zh-CN"/>
        </w:rPr>
        <w:t>年度指标值持续提高，实际完成值持续提高</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指标完成率100%。</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于“服务对象满意度”，发放的调查问卷中的满意度问题主要包括：你对仪器设备、环境设施、检验、检定及校准技术和方法的满意度，你对检验、检定及校准结果的满意度，你对检验、检定及校准是否按时完成并出具报告的满意度，你对检验、检定及校准人员服务态度的满意度你对处理客户投诉的及时性与客户沟通的满意度五项。对满意度指标分为五档，即“十分满意”、“满意”、“一般”、“不好”、“差”；根据分析结果可知90%以上的企业对我所服务对象满意度为十分满意。</w:t>
      </w:r>
    </w:p>
    <w:p>
      <w:pPr>
        <w:pageBreakBefore w:val="0"/>
        <w:kinsoku/>
        <w:wordWrap/>
        <w:overflowPunct/>
        <w:topLinePunct w:val="0"/>
        <w:autoSpaceDE/>
        <w:autoSpaceDN/>
        <w:bidi w:val="0"/>
        <w:adjustRightInd/>
        <w:snapToGrid/>
        <w:spacing w:line="560" w:lineRule="exact"/>
        <w:ind w:firstLine="640" w:firstLineChars="200"/>
        <w:rPr>
          <w:rStyle w:val="52"/>
          <w:rFonts w:cs="仿宋_GB2312"/>
          <w:color w:val="auto"/>
          <w:szCs w:val="32"/>
          <w:highlight w:val="none"/>
        </w:rPr>
      </w:pPr>
      <w:r>
        <w:rPr>
          <w:rFonts w:hint="eastAsia" w:ascii="黑体" w:hAnsi="黑体" w:eastAsia="黑体"/>
          <w:sz w:val="32"/>
          <w:szCs w:val="32"/>
          <w:highlight w:val="none"/>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（一）主要经验及做法</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执行相关业务制度。我所严格按照《中华人民共和国计量法》、《产品质量法》及其制定的各项业务管理制度和办法开展检定检测检验业务，保障了业务的规范和质量。严格执行财政资金管理制度，不挤占、不挪用。对资金实行财政报账，并接受审计部门的审计，保证资金的使用效益得到最大限度的发挥。加强业务档案和财务档案的管理，建立健全档案管理制度，完善档案资料。</w:t>
      </w:r>
    </w:p>
    <w:p>
      <w:pPr>
        <w:keepNext/>
        <w:keepLines/>
        <w:pageBreakBefore w:val="0"/>
        <w:numPr>
          <w:ilvl w:val="0"/>
          <w:numId w:val="5"/>
        </w:numPr>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存在的问题及原因分析</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①检测专用车缺乏。车辆均为2012所购置，车况较差，存在严重的安全隐患，每年3-11月业务忙季，车辆出现严重短缺，造成多数工作不能及时、有效的开展。②由于前期我所将有限的经费支出优先用于事业发展和检测设备的能力提升方面，造成检测及办公用电脑老旧且数量严重不足，2016年11月，我所通过技改扩能，引进了质检、计量系统管理软件后，绝大多数原有检测、办公用电脑所安装的操作系统（XP）已不能符合管理软件运行的最低要求，造成检测工作严重滞后。③由于本所工作性质特殊且专业性强，所从事的业务职能涉及食品安全、建筑产品质量以及贸易结算、医疗卫生、安全防护、环境监测计量器具使用等社会民生焦点领域。各项计量检定工作需要投入大量的人力、设备、车辆等赴各县市到现场开展工作，各类试验的开展需要具备专用设备，配置专用化学试剂及耗材才能保证各项试验的正常运行以及仪器设备、检测数据的准确可靠。</w:t>
      </w:r>
    </w:p>
    <w:p>
      <w:pPr>
        <w:pageBreakBefore w:val="0"/>
        <w:numPr>
          <w:ilvl w:val="0"/>
          <w:numId w:val="6"/>
        </w:numPr>
        <w:kinsoku/>
        <w:wordWrap/>
        <w:overflowPunct/>
        <w:topLinePunct w:val="0"/>
        <w:autoSpaceDE/>
        <w:autoSpaceDN/>
        <w:bidi w:val="0"/>
        <w:adjustRightInd/>
        <w:snapToGrid/>
        <w:spacing w:line="560" w:lineRule="exact"/>
        <w:ind w:firstLine="641"/>
        <w:rPr>
          <w:rFonts w:ascii="黑体" w:hAnsi="黑体" w:eastAsia="黑体"/>
          <w:sz w:val="32"/>
          <w:szCs w:val="32"/>
          <w:highlight w:val="none"/>
        </w:rPr>
      </w:pPr>
      <w:r>
        <w:rPr>
          <w:rFonts w:hint="eastAsia" w:ascii="黑体" w:hAnsi="黑体" w:eastAsia="黑体"/>
          <w:sz w:val="32"/>
          <w:szCs w:val="32"/>
          <w:highlight w:val="none"/>
        </w:rPr>
        <w:t>有关建议</w:t>
      </w:r>
    </w:p>
    <w:p>
      <w:pPr>
        <w:pageBreakBefore w:val="0"/>
        <w:numPr>
          <w:ilvl w:val="0"/>
          <w:numId w:val="7"/>
        </w:numPr>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w:t>
      </w:r>
      <w:r>
        <w:rPr>
          <w:rFonts w:ascii="仿宋_GB2312" w:hAnsi="仿宋_GB2312" w:eastAsia="仿宋_GB2312" w:cs="仿宋_GB2312"/>
          <w:sz w:val="32"/>
          <w:szCs w:val="32"/>
          <w:highlight w:val="none"/>
        </w:rPr>
        <w:t xml:space="preserve"> </w:t>
      </w:r>
    </w:p>
    <w:p>
      <w:pPr>
        <w:pageBreakBefore w:val="0"/>
        <w:numPr>
          <w:ilvl w:val="0"/>
          <w:numId w:val="7"/>
        </w:numPr>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ageBreakBefore w:val="0"/>
        <w:numPr>
          <w:ilvl w:val="0"/>
          <w:numId w:val="6"/>
        </w:numPr>
        <w:kinsoku/>
        <w:wordWrap/>
        <w:overflowPunct/>
        <w:topLinePunct w:val="0"/>
        <w:autoSpaceDE/>
        <w:autoSpaceDN/>
        <w:bidi w:val="0"/>
        <w:adjustRightInd/>
        <w:snapToGrid/>
        <w:spacing w:line="560" w:lineRule="exact"/>
        <w:ind w:firstLine="641"/>
        <w:rPr>
          <w:rFonts w:ascii="黑体" w:hAnsi="黑体" w:eastAsia="黑体"/>
          <w:sz w:val="32"/>
          <w:szCs w:val="32"/>
          <w:highlight w:val="none"/>
        </w:rPr>
      </w:pPr>
      <w:r>
        <w:rPr>
          <w:rFonts w:hint="eastAsia" w:ascii="黑体" w:hAnsi="黑体" w:eastAsia="黑体"/>
          <w:sz w:val="32"/>
          <w:szCs w:val="32"/>
          <w:highlight w:val="none"/>
        </w:rPr>
        <w:t>其他需要说</w:t>
      </w:r>
      <w:bookmarkStart w:id="1" w:name="page8"/>
      <w:bookmarkEnd w:id="1"/>
      <w:r>
        <w:rPr>
          <w:rFonts w:hint="eastAsia" w:ascii="黑体" w:hAnsi="黑体" w:eastAsia="黑体"/>
          <w:sz w:val="32"/>
          <w:szCs w:val="32"/>
          <w:highlight w:val="none"/>
        </w:rPr>
        <w:t>明的问题</w:t>
      </w:r>
    </w:p>
    <w:p>
      <w:pPr>
        <w:pStyle w:val="2"/>
        <w:pageBreakBefore w:val="0"/>
        <w:kinsoku/>
        <w:wordWrap/>
        <w:overflowPunct/>
        <w:topLinePunct w:val="0"/>
        <w:autoSpaceDE/>
        <w:autoSpaceDN/>
        <w:bidi w:val="0"/>
        <w:adjustRightInd/>
        <w:snapToGrid/>
        <w:spacing w:before="0" w:after="0" w:line="560" w:lineRule="exact"/>
        <w:ind w:firstLine="640" w:firstLineChars="200"/>
        <w:jc w:val="both"/>
        <w:rPr>
          <w:rFonts w:hint="eastAsia" w:ascii="仿宋_GB2312" w:hAnsi="仿宋_GB2312" w:eastAsia="仿宋_GB2312" w:cs="仿宋_GB2312"/>
          <w:b w:val="0"/>
          <w:bCs w:val="0"/>
          <w:kern w:val="2"/>
          <w:highlight w:val="none"/>
        </w:rPr>
      </w:pPr>
      <w:r>
        <w:rPr>
          <w:rFonts w:hint="eastAsia" w:ascii="仿宋_GB2312" w:hAnsi="仿宋_GB2312" w:eastAsia="仿宋_GB2312" w:cs="仿宋_GB2312"/>
          <w:b w:val="0"/>
          <w:bCs w:val="0"/>
          <w:kern w:val="2"/>
          <w:highlight w:val="none"/>
        </w:rPr>
        <w:t>无。</w:t>
      </w:r>
    </w:p>
    <w:p>
      <w:pPr>
        <w:rPr>
          <w:rFonts w:hint="eastAsia" w:ascii="仿宋_GB2312" w:hAnsi="仿宋_GB2312" w:eastAsia="仿宋_GB2312" w:cs="仿宋_GB2312"/>
          <w:b w:val="0"/>
          <w:bCs w:val="0"/>
          <w:kern w:val="2"/>
          <w:highlight w:val="none"/>
        </w:rPr>
      </w:pPr>
    </w:p>
    <w:p>
      <w:pPr>
        <w:pStyle w:val="2"/>
        <w:rPr>
          <w:rFonts w:hint="eastAsia" w:ascii="仿宋_GB2312" w:hAnsi="仿宋_GB2312" w:eastAsia="仿宋_GB2312" w:cs="仿宋_GB2312"/>
          <w:b w:val="0"/>
          <w:bCs w:val="0"/>
          <w:kern w:val="2"/>
          <w:highlight w:val="none"/>
        </w:rPr>
      </w:pPr>
    </w:p>
    <w:p>
      <w:pPr>
        <w:rPr>
          <w:rFonts w:hint="eastAsia" w:ascii="仿宋_GB2312" w:hAnsi="仿宋_GB2312" w:eastAsia="仿宋_GB2312" w:cs="仿宋_GB2312"/>
          <w:b w:val="0"/>
          <w:bCs w:val="0"/>
          <w:kern w:val="2"/>
          <w:highlight w:val="none"/>
        </w:rPr>
      </w:pPr>
    </w:p>
    <w:tbl>
      <w:tblPr>
        <w:tblStyle w:val="19"/>
        <w:tblW w:w="9480" w:type="dxa"/>
        <w:tblInd w:w="0" w:type="dxa"/>
        <w:shd w:val="clear" w:color="auto" w:fill="auto"/>
        <w:tblLayout w:type="fixed"/>
        <w:tblCellMar>
          <w:top w:w="0" w:type="dxa"/>
          <w:left w:w="0" w:type="dxa"/>
          <w:bottom w:w="0" w:type="dxa"/>
          <w:right w:w="0" w:type="dxa"/>
        </w:tblCellMar>
      </w:tblPr>
      <w:tblGrid>
        <w:gridCol w:w="840"/>
        <w:gridCol w:w="840"/>
        <w:gridCol w:w="840"/>
        <w:gridCol w:w="840"/>
        <w:gridCol w:w="840"/>
        <w:gridCol w:w="840"/>
        <w:gridCol w:w="840"/>
        <w:gridCol w:w="1680"/>
        <w:gridCol w:w="1920"/>
      </w:tblGrid>
      <w:tr>
        <w:tblPrEx>
          <w:shd w:val="clear" w:color="auto" w:fill="auto"/>
          <w:tblLayout w:type="fixed"/>
          <w:tblCellMar>
            <w:top w:w="0" w:type="dxa"/>
            <w:left w:w="0" w:type="dxa"/>
            <w:bottom w:w="0" w:type="dxa"/>
            <w:right w:w="0" w:type="dxa"/>
          </w:tblCellMar>
        </w:tblPrEx>
        <w:trPr>
          <w:trHeight w:val="409" w:hRule="atLeast"/>
        </w:trPr>
        <w:tc>
          <w:tcPr>
            <w:tcW w:w="948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b/>
                <w:i w:val="0"/>
                <w:color w:val="000000"/>
                <w:sz w:val="32"/>
                <w:szCs w:val="32"/>
                <w:highlight w:val="none"/>
                <w:u w:val="none"/>
              </w:rPr>
            </w:pPr>
            <w:r>
              <w:rPr>
                <w:rFonts w:hint="eastAsia" w:ascii="方正小标宋简体" w:hAnsi="方正小标宋简体" w:eastAsia="方正小标宋简体" w:cs="方正小标宋简体"/>
                <w:b w:val="0"/>
                <w:bCs/>
                <w:i w:val="0"/>
                <w:color w:val="000000"/>
                <w:kern w:val="0"/>
                <w:sz w:val="44"/>
                <w:szCs w:val="44"/>
                <w:highlight w:val="none"/>
                <w:u w:val="none"/>
                <w:lang w:val="en-US" w:eastAsia="zh-CN" w:bidi="ar"/>
              </w:rPr>
              <w:t>项目支出绩效自评表</w:t>
            </w:r>
          </w:p>
        </w:tc>
      </w:tr>
      <w:tr>
        <w:tblPrEx>
          <w:tblLayout w:type="fixed"/>
          <w:tblCellMar>
            <w:top w:w="0" w:type="dxa"/>
            <w:left w:w="0" w:type="dxa"/>
            <w:bottom w:w="0" w:type="dxa"/>
            <w:right w:w="0" w:type="dxa"/>
          </w:tblCellMar>
        </w:tblPrEx>
        <w:trPr>
          <w:trHeight w:val="409" w:hRule="atLeast"/>
        </w:trPr>
        <w:tc>
          <w:tcPr>
            <w:tcW w:w="948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32"/>
                <w:szCs w:val="32"/>
                <w:highlight w:val="none"/>
                <w:u w:val="none"/>
              </w:rPr>
            </w:pPr>
            <w:r>
              <w:rPr>
                <w:rFonts w:hint="eastAsia" w:ascii="宋体" w:hAnsi="宋体" w:eastAsia="宋体" w:cs="宋体"/>
                <w:i w:val="0"/>
                <w:color w:val="000000"/>
                <w:kern w:val="0"/>
                <w:sz w:val="32"/>
                <w:szCs w:val="32"/>
                <w:highlight w:val="none"/>
                <w:u w:val="none"/>
                <w:lang w:val="en-US" w:eastAsia="zh-CN" w:bidi="ar"/>
              </w:rPr>
              <w:t>（   2020 年度）</w:t>
            </w:r>
            <w:bookmarkStart w:id="2" w:name="_GoBack"/>
            <w:bookmarkEnd w:id="2"/>
          </w:p>
        </w:tc>
      </w:tr>
      <w:tr>
        <w:tblPrEx>
          <w:tblLayout w:type="fixed"/>
          <w:tblCellMar>
            <w:top w:w="0" w:type="dxa"/>
            <w:left w:w="0" w:type="dxa"/>
            <w:bottom w:w="0" w:type="dxa"/>
            <w:right w:w="0" w:type="dxa"/>
          </w:tblCellMar>
        </w:tblPrEx>
        <w:trPr>
          <w:trHeight w:val="270" w:hRule="atLeast"/>
        </w:trPr>
        <w:tc>
          <w:tcPr>
            <w:tcW w:w="9480" w:type="dxa"/>
            <w:gridSpan w:val="9"/>
            <w:tcBorders>
              <w:top w:val="nil"/>
              <w:left w:val="nil"/>
              <w:bottom w:val="nil"/>
              <w:right w:val="nil"/>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22"/>
                <w:szCs w:val="22"/>
                <w:highlight w:val="none"/>
                <w:u w:val="none"/>
              </w:rPr>
            </w:pPr>
          </w:p>
        </w:tc>
      </w:tr>
      <w:tr>
        <w:tblPrEx>
          <w:tblLayout w:type="fixed"/>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项目名称</w:t>
            </w:r>
          </w:p>
        </w:tc>
        <w:tc>
          <w:tcPr>
            <w:tcW w:w="780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食品检验专项经费</w:t>
            </w:r>
          </w:p>
        </w:tc>
      </w:tr>
      <w:tr>
        <w:tblPrEx>
          <w:tblLayout w:type="fixed"/>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实施单位</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塔城地区质量与计量检测所</w:t>
            </w:r>
          </w:p>
        </w:tc>
      </w:tr>
      <w:tr>
        <w:tblPrEx>
          <w:tblLayout w:type="fixed"/>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项目资金</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全年预算数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全年执行数</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执行率</w:t>
            </w:r>
          </w:p>
        </w:tc>
      </w:tr>
      <w:tr>
        <w:tblPrEx>
          <w:tblLayout w:type="fixed"/>
          <w:tblCellMar>
            <w:top w:w="0" w:type="dxa"/>
            <w:left w:w="0" w:type="dxa"/>
            <w:bottom w:w="0" w:type="dxa"/>
            <w:right w:w="0" w:type="dxa"/>
          </w:tblCellMar>
        </w:tblPrEx>
        <w:trPr>
          <w:trHeight w:val="270" w:hRule="atLeast"/>
        </w:trPr>
        <w:tc>
          <w:tcPr>
            <w:tcW w:w="16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300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300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296.46</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98.82%</w:t>
            </w:r>
          </w:p>
        </w:tc>
      </w:tr>
      <w:tr>
        <w:tblPrEx>
          <w:tblLayout w:type="fixed"/>
          <w:tblCellMar>
            <w:top w:w="0" w:type="dxa"/>
            <w:left w:w="0" w:type="dxa"/>
            <w:bottom w:w="0" w:type="dxa"/>
            <w:right w:w="0" w:type="dxa"/>
          </w:tblCellMar>
        </w:tblPrEx>
        <w:trPr>
          <w:trHeight w:val="372"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r>
      <w:tr>
        <w:tblPrEx>
          <w:tblLayout w:type="fixed"/>
          <w:tblCellMar>
            <w:top w:w="0" w:type="dxa"/>
            <w:left w:w="0" w:type="dxa"/>
            <w:bottom w:w="0" w:type="dxa"/>
            <w:right w:w="0" w:type="dxa"/>
          </w:tblCellMar>
        </w:tblPrEx>
        <w:trPr>
          <w:trHeight w:val="433"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r>
      <w:tr>
        <w:tblPrEx>
          <w:tblLayout w:type="fixed"/>
          <w:tblCellMar>
            <w:top w:w="0" w:type="dxa"/>
            <w:left w:w="0" w:type="dxa"/>
            <w:bottom w:w="0" w:type="dxa"/>
            <w:right w:w="0" w:type="dxa"/>
          </w:tblCellMar>
        </w:tblPrEx>
        <w:trPr>
          <w:trHeight w:val="27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300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300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296.46</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r>
      <w:tr>
        <w:tblPrEx>
          <w:tblLayout w:type="fixed"/>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预期目标</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实际完成情况</w:t>
            </w:r>
          </w:p>
        </w:tc>
      </w:tr>
      <w:tr>
        <w:tblPrEx>
          <w:tblLayout w:type="fixed"/>
          <w:tblCellMar>
            <w:top w:w="0" w:type="dxa"/>
            <w:left w:w="0" w:type="dxa"/>
            <w:bottom w:w="0" w:type="dxa"/>
            <w:right w:w="0" w:type="dxa"/>
          </w:tblCellMar>
        </w:tblPrEx>
        <w:trPr>
          <w:trHeight w:val="23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更快、更高效的完成塔城地区各县市、各团场质量检验、计量检测工作。为地区经济发展提供准确、可靠的实验数据。切实服务于地区各类企事业单位节能降耗工作落实的总体要求。满足地区各政府部门及执法单位对于重点产品及民生关注的重点计量器具检测服务需求的提升和能力建设。</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更快、更高效的完成塔城地区各县市、各团场质量检验、计量检测工作。为地区经济发展提供准确、可靠的实验数据。切实服务于地区各类企事业单位节能降耗工作落实的总体要求。满足地区各政府部门及执法单位对于重点产品及民生关注的重点计量器具检测服务需求的提升和能力建设。</w:t>
            </w:r>
          </w:p>
        </w:tc>
      </w:tr>
      <w:tr>
        <w:tblPrEx>
          <w:tblLayout w:type="fixed"/>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年度指标值</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实际完成值</w:t>
            </w:r>
          </w:p>
        </w:tc>
        <w:tc>
          <w:tcPr>
            <w:tcW w:w="19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偏差原因分析及改进措施</w:t>
            </w:r>
          </w:p>
        </w:tc>
      </w:tr>
      <w:tr>
        <w:tblPrEx>
          <w:tblLayout w:type="fixed"/>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19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r>
      <w:tr>
        <w:tblPrEx>
          <w:tblLayout w:type="fixed"/>
          <w:tblCellMar>
            <w:top w:w="0" w:type="dxa"/>
            <w:left w:w="0" w:type="dxa"/>
            <w:bottom w:w="0" w:type="dxa"/>
            <w:right w:w="0" w:type="dxa"/>
          </w:tblCellMar>
        </w:tblPrEx>
        <w:trPr>
          <w:trHeight w:val="1387"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完成产品质量检验批次</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≥100批次</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279批次</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原因：业务量加大。改进措施：提前做好项目调研，合理设置指标值。</w:t>
            </w:r>
          </w:p>
        </w:tc>
      </w:tr>
      <w:tr>
        <w:tblPrEx>
          <w:tblLayout w:type="fixed"/>
          <w:tblCellMar>
            <w:top w:w="0" w:type="dxa"/>
            <w:left w:w="0" w:type="dxa"/>
            <w:bottom w:w="0" w:type="dxa"/>
            <w:right w:w="0" w:type="dxa"/>
          </w:tblCellMar>
        </w:tblPrEx>
        <w:trPr>
          <w:trHeight w:val="148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计量器具检定测试台件数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≥6000台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13344台</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原因：项目增加，业务量加大。改进措施：提前做好项目调研，合理设置指标值。</w:t>
            </w:r>
          </w:p>
        </w:tc>
      </w:tr>
      <w:tr>
        <w:tblPrEx>
          <w:tblLayout w:type="fixed"/>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检验检测数据准确度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r>
      <w:tr>
        <w:tblPrEx>
          <w:tblLayout w:type="fixed"/>
          <w:tblCellMar>
            <w:top w:w="0" w:type="dxa"/>
            <w:left w:w="0" w:type="dxa"/>
            <w:bottom w:w="0" w:type="dxa"/>
            <w:right w:w="0" w:type="dxa"/>
          </w:tblCellMar>
        </w:tblPrEx>
        <w:trPr>
          <w:trHeight w:val="148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出具检验报告份数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≥100份</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279批次</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原因：项目增加，业务量加大。改进措施：提前做好项目调研，合理设置指标值。</w:t>
            </w:r>
          </w:p>
        </w:tc>
      </w:tr>
      <w:tr>
        <w:tblPrEx>
          <w:tblLayout w:type="fixed"/>
          <w:tblCellMar>
            <w:top w:w="0" w:type="dxa"/>
            <w:left w:w="0" w:type="dxa"/>
            <w:bottom w:w="0" w:type="dxa"/>
            <w:right w:w="0" w:type="dxa"/>
          </w:tblCellMar>
        </w:tblPrEx>
        <w:trPr>
          <w:trHeight w:val="1387"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完成并出具计量器具检定测试证书份数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≥2000份</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4885份</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原因：业务量加大。改进措施：提前做好项目调研,合理设置指标值。</w:t>
            </w:r>
          </w:p>
        </w:tc>
      </w:tr>
      <w:tr>
        <w:tblPrEx>
          <w:tblLayout w:type="fixed"/>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检测项目完成时间</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≤20天</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20天</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r>
      <w:tr>
        <w:tblPrEx>
          <w:tblLayout w:type="fixed"/>
          <w:tblCellMar>
            <w:top w:w="0" w:type="dxa"/>
            <w:left w:w="0" w:type="dxa"/>
            <w:bottom w:w="0" w:type="dxa"/>
            <w:right w:w="0" w:type="dxa"/>
          </w:tblCellMar>
        </w:tblPrEx>
        <w:trPr>
          <w:trHeight w:val="1327"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设备购置成本　</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≥200万元&amp;&amp;≤250万元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248.54万元</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r>
      <w:tr>
        <w:tblPrEx>
          <w:tblLayout w:type="fixed"/>
          <w:tblCellMar>
            <w:top w:w="0" w:type="dxa"/>
            <w:left w:w="0" w:type="dxa"/>
            <w:bottom w:w="0" w:type="dxa"/>
            <w:right w:w="0" w:type="dxa"/>
          </w:tblCellMar>
        </w:tblPrEx>
        <w:trPr>
          <w:trHeight w:val="124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检验检测成本</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≤50万元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47.92万元</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原因：节约财政资金。改进措施：加强绩效管理学习。</w:t>
            </w:r>
          </w:p>
        </w:tc>
      </w:tr>
      <w:tr>
        <w:tblPrEx>
          <w:tblLayout w:type="fixed"/>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检验周期缩短率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r>
      <w:tr>
        <w:tblPrEx>
          <w:tblLayout w:type="fixed"/>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产品质量、计量器具受检率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r>
      <w:tr>
        <w:tblPrEx>
          <w:tblLayout w:type="fixed"/>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r>
      <w:tr>
        <w:tblPrEx>
          <w:tblLayout w:type="fixed"/>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推动质量、计量的准确性</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持续提高</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持续提高</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r>
      <w:tr>
        <w:tblPrEx>
          <w:tblLayout w:type="fixed"/>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服务群体满意度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i w:val="0"/>
                <w:color w:val="000000"/>
                <w:sz w:val="18"/>
                <w:szCs w:val="18"/>
                <w:highlight w:val="none"/>
                <w:u w:val="none"/>
              </w:rPr>
            </w:pPr>
          </w:p>
        </w:tc>
      </w:tr>
    </w:tbl>
    <w:p>
      <w:pPr>
        <w:pStyle w:val="2"/>
        <w:pageBreakBefore w:val="0"/>
        <w:kinsoku/>
        <w:wordWrap/>
        <w:overflowPunct/>
        <w:topLinePunct w:val="0"/>
        <w:autoSpaceDE/>
        <w:autoSpaceDN/>
        <w:bidi w:val="0"/>
        <w:adjustRightInd/>
        <w:snapToGrid/>
        <w:spacing w:before="0" w:after="0" w:line="560" w:lineRule="exact"/>
        <w:rPr>
          <w:rFonts w:hint="eastAsia"/>
          <w:highlight w:val="none"/>
        </w:rPr>
        <w:sectPr>
          <w:footerReference r:id="rId3" w:type="default"/>
          <w:pgSz w:w="11906" w:h="16838"/>
          <w:pgMar w:top="1440" w:right="1800"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contextualSpacing/>
        <w:jc w:val="left"/>
        <w:rPr>
          <w:rFonts w:ascii="仿宋" w:hAnsi="仿宋" w:eastAsia="仿宋" w:cs="仿宋"/>
          <w:b/>
          <w:bCs/>
          <w:sz w:val="28"/>
          <w:szCs w:val="28"/>
          <w:highlight w:val="none"/>
        </w:rPr>
      </w:pPr>
      <w:r>
        <w:rPr>
          <w:rFonts w:hint="eastAsia" w:ascii="仿宋" w:hAnsi="仿宋" w:eastAsia="仿宋" w:cs="仿宋"/>
          <w:b/>
          <w:bCs/>
          <w:sz w:val="30"/>
          <w:szCs w:val="30"/>
          <w:highlight w:val="none"/>
        </w:rPr>
        <w:t>附件：塔城地区质量与计量检测所食品检验专项经费</w:t>
      </w:r>
      <w:r>
        <w:rPr>
          <w:rFonts w:hint="eastAsia" w:ascii="仿宋_GB2312" w:hAnsi="仿宋_GB2312" w:eastAsia="仿宋_GB2312" w:cs="仿宋_GB2312"/>
          <w:b/>
          <w:bCs/>
          <w:sz w:val="28"/>
          <w:szCs w:val="28"/>
          <w:highlight w:val="none"/>
        </w:rPr>
        <w:t>项目</w:t>
      </w:r>
      <w:r>
        <w:rPr>
          <w:rFonts w:hint="eastAsia" w:ascii="仿宋" w:hAnsi="仿宋" w:eastAsia="仿宋" w:cs="仿宋"/>
          <w:b/>
          <w:bCs/>
          <w:sz w:val="28"/>
          <w:szCs w:val="28"/>
          <w:highlight w:val="none"/>
        </w:rPr>
        <w:t>绩效评价评分表</w:t>
      </w:r>
    </w:p>
    <w:tbl>
      <w:tblPr>
        <w:tblStyle w:val="19"/>
        <w:tblpPr w:leftFromText="180" w:rightFromText="180" w:vertAnchor="text" w:horzAnchor="page" w:tblpX="1547" w:tblpY="674"/>
        <w:tblOverlap w:val="never"/>
        <w:tblW w:w="1268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trPr>
        <w:tc>
          <w:tcPr>
            <w:tcW w:w="839"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一级指标</w:t>
            </w:r>
          </w:p>
        </w:tc>
        <w:tc>
          <w:tcPr>
            <w:tcW w:w="767"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二级指标</w:t>
            </w:r>
          </w:p>
        </w:tc>
        <w:tc>
          <w:tcPr>
            <w:tcW w:w="87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三级指标</w:t>
            </w:r>
          </w:p>
        </w:tc>
        <w:tc>
          <w:tcPr>
            <w:tcW w:w="235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指标解释</w:t>
            </w:r>
          </w:p>
        </w:tc>
        <w:tc>
          <w:tcPr>
            <w:tcW w:w="5188"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指标说明</w:t>
            </w:r>
          </w:p>
        </w:tc>
        <w:tc>
          <w:tcPr>
            <w:tcW w:w="1300"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权重</w:t>
            </w:r>
          </w:p>
        </w:tc>
        <w:tc>
          <w:tcPr>
            <w:tcW w:w="1363"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pPr>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立项依据</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充分性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项目立项是否符合法律法规、相关政策、发展规划以及部门职责，用以反映和考核项目立项依据情况。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①项目立项是否符合国家法律法规、国民经济发展规划和相关政策；</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②项目立项是否符合行业发展规划和政策要求；</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③项目立项是否与部门职责范围相符，属于部门履职所需；</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④项目是否属于公共财政支持范围，是否符合中央、地方事权支出责任划分原则；</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⑤项目是否与相关部门同类项目或部门内部相关项目重复。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立项程序</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规范性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项目申请、设立过程是否符合相关要求，用以反映和考核项目立项的规范情况。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①项目是否按照规定的程序申请设立；</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②审批文件、材料是否符合相关要求；</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③事前是否已经过必要的可行性研究、专家论证、风险评估、绩效评估、集体决策。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（如未设定预算绩效目标，也可考核其他工作任务目标）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①项目是否有绩效目标；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②项目绩效目标与实际工作内容是否具有相关性；</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③项目预期产出效益和效果是否符合正常的业绩水平；</w:t>
            </w:r>
          </w:p>
          <w:p>
            <w:pPr>
              <w:widowControl/>
              <w:spacing w:line="0" w:lineRule="atLeas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④是否与预算确定的项目投资额或资金量相匹配。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2.5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tc>
        <w:tc>
          <w:tcPr>
            <w:tcW w:w="767"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绩效指标</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明确性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依据绩效目标设定的绩效指标是否清晰、细化、可衡量等，用以反映和考核项目绩效目标的明细化情况。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①是否将项目绩效目标细化分解为具体的绩效指标；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②是否通过清晰、可衡量的指标值予以体现；</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③是否与项目目标任务数或计划数相对应。</w:t>
            </w:r>
            <w:r>
              <w:rPr>
                <w:rFonts w:hint="eastAsia" w:ascii="宋体" w:hAnsi="宋体" w:eastAsia="宋体" w:cs="宋体"/>
                <w:color w:val="000000"/>
                <w:kern w:val="0"/>
                <w:sz w:val="22"/>
                <w:szCs w:val="22"/>
                <w:highlight w:val="none"/>
              </w:rPr>
              <w:br w:type="textWrapping"/>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2.5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资金投入</w:t>
            </w:r>
          </w:p>
          <w:p>
            <w:pPr>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预算编制</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科学性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①预算编制是否经过科学论证；</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②预算内容与项目内容是否匹配；</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③预算额度测算依据是否充分，是否按照标准编制；</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④预算确定的项目投资额或资金量是否与工作任务相匹配。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2.5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资金分配</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①预算资金分配依据是否充分；</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②资金分配额度是否合理，与项目单位或地方实际是否相适应。</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2.5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trPr>
        <w:tc>
          <w:tcPr>
            <w:tcW w:w="839" w:type="dxa"/>
            <w:vMerge w:val="restart"/>
            <w:shd w:val="clear" w:color="auto" w:fill="FFFFFF"/>
            <w:noWrap w:val="0"/>
            <w:vAlign w:val="center"/>
          </w:tcPr>
          <w:p>
            <w:pPr>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w:t>
            </w:r>
          </w:p>
        </w:tc>
        <w:tc>
          <w:tcPr>
            <w:tcW w:w="767" w:type="dxa"/>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实际到位资金与预算资金的比率，用以反映和考核资金落实情况对项目实施的总体保障程度。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资金到位率=（实际到位资金/预算资金）×100%。</w:t>
            </w:r>
          </w:p>
          <w:p>
            <w:pPr>
              <w:widowControl/>
              <w:spacing w:line="0" w:lineRule="atLeas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实际到位资金：一定时期（本年度或项目期）内落实到具体项目的资金。</w:t>
            </w:r>
          </w:p>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预算资金：一定时期（本年度或项目期）内预算安排到具体项目的资金。</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4</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3.95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trPr>
        <w:tc>
          <w:tcPr>
            <w:tcW w:w="839"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highlight w:val="none"/>
              </w:rPr>
            </w:pPr>
          </w:p>
        </w:tc>
        <w:tc>
          <w:tcPr>
            <w:tcW w:w="767"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highlight w:val="none"/>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项目预算资金是否按照计划执行，用以反映或考核项目预算执行情况。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预算执行率=（实际支出资金/实际到位资金）×100%。</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实际支出资金：一定时期（本年度或项目期）内项目实际拨付的资金。</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4</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3.95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pPr>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　</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资金使用</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合规性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项目资金使用是否符合相关的财务管理制度规定，用以反映和考核项目资金的规范运行情况。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①是否符合国家财经法规和财务管理制度以及有关专项资金管理办法的规定；</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②资金的拨付是否有完整的审批程序和手续；</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③是否符合项目预算批复或合同规定的用途；</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④是否存在截留、挤占、挪用、虚列支出等情况。</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lang w:eastAsia="zh-CN"/>
              </w:rPr>
            </w:pPr>
            <w:r>
              <w:rPr>
                <w:rFonts w:hint="eastAsia" w:ascii="宋体" w:hAnsi="宋体" w:cs="宋体"/>
                <w:color w:val="auto"/>
                <w:kern w:val="0"/>
                <w:sz w:val="22"/>
                <w:szCs w:val="22"/>
                <w:highlight w:val="none"/>
                <w:lang w:val="en-US" w:eastAsia="zh-CN"/>
              </w:rPr>
              <w:t>4</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lang w:eastAsia="zh-CN"/>
              </w:rPr>
            </w:pPr>
            <w:r>
              <w:rPr>
                <w:rFonts w:hint="eastAsia" w:ascii="宋体" w:hAnsi="宋体" w:cs="宋体"/>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组织实施</w:t>
            </w:r>
          </w:p>
          <w:p>
            <w:pPr>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管理制度</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健全性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①是否已制定或具有相应的财务和业务管理制度；</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②财务和业务管理制度是否合法、合规、完整。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4</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①是否遵守相关法律法规和相关管理规定；</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②项目调整及支出调整手续是否完备；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③项目合同书、验收报告、技术鉴定等资料是否齐全并及时归档；</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④项目实施的人员条件、场地设备、信息支撑等是否落实到位。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4</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trPr>
        <w:tc>
          <w:tcPr>
            <w:tcW w:w="839"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实际完成率=（实际产出数/计划产出数）×100%。</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实际产出数：一定时期（本年度或项目期）内项目实际产出的产品或提供的服务数量。</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p>
        </w:tc>
        <w:tc>
          <w:tcPr>
            <w:tcW w:w="767" w:type="dxa"/>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完成及时性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实际完成时间：项目实施单位完成该项目实际所耗用的时间。</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成本节约率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成本节约率=[（计划成本-实际成本）/计划成本]×100%。</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实际成本：项目实施单位如期、保质、保量完成既定工作目标实际所耗费的支出。</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实施效益</w:t>
            </w:r>
          </w:p>
        </w:tc>
        <w:tc>
          <w:tcPr>
            <w:tcW w:w="2353" w:type="dxa"/>
            <w:shd w:val="clear" w:color="auto" w:fill="FFFFFF"/>
            <w:noWrap w:val="0"/>
            <w:vAlign w:val="center"/>
          </w:tcPr>
          <w:p>
            <w:pPr>
              <w:widowControl/>
              <w:spacing w:line="0" w:lineRule="atLeas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15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满意度</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2"/>
                <w:szCs w:val="22"/>
                <w:highlight w:val="none"/>
              </w:rPr>
            </w:pPr>
            <w:r>
              <w:rPr>
                <w:rFonts w:hint="eastAsia" w:ascii="宋体" w:hAnsi="宋体" w:cs="宋体"/>
                <w:color w:val="auto"/>
                <w:kern w:val="0"/>
                <w:sz w:val="22"/>
                <w:szCs w:val="22"/>
                <w:highlight w:val="none"/>
                <w:lang w:val="en-US" w:eastAsia="zh-CN"/>
              </w:rPr>
              <w:t>5</w:t>
            </w:r>
          </w:p>
        </w:tc>
      </w:tr>
    </w:tbl>
    <w:p>
      <w:pPr>
        <w:pStyle w:val="2"/>
        <w:rPr>
          <w:rFonts w:hint="default"/>
          <w:highlight w:val="none"/>
          <w:lang w:val="en-US" w:eastAsia="zh-CN"/>
        </w:rPr>
      </w:pPr>
    </w:p>
    <w:p>
      <w:pPr>
        <w:pageBreakBefore w:val="0"/>
        <w:kinsoku/>
        <w:wordWrap/>
        <w:overflowPunct/>
        <w:topLinePunct w:val="0"/>
        <w:autoSpaceDE/>
        <w:autoSpaceDN/>
        <w:bidi w:val="0"/>
        <w:adjustRightInd/>
        <w:snapToGrid/>
        <w:spacing w:line="560" w:lineRule="exact"/>
        <w:rPr>
          <w:rStyle w:val="21"/>
          <w:rFonts w:ascii="仿宋" w:hAnsi="仿宋" w:eastAsia="仿宋"/>
          <w:b w:val="0"/>
          <w:spacing w:val="-4"/>
          <w:sz w:val="32"/>
          <w:szCs w:val="32"/>
          <w:highlight w:val="none"/>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fldChar w:fldCharType="begin"/>
    </w:r>
    <w:r>
      <w:instrText xml:space="preserve">PAGE   \* MERGEFORMAT</w:instrText>
    </w:r>
    <w:r>
      <w:fldChar w:fldCharType="separate"/>
    </w:r>
    <w:r>
      <w:rPr>
        <w:lang w:val="zh-CN"/>
      </w:rPr>
      <w:t>12</w:t>
    </w:r>
    <w:r>
      <w:rPr>
        <w:lang w:val="zh-CN"/>
      </w:rPr>
      <w:fldChar w:fldCharType="end"/>
    </w:r>
  </w:p>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cs="Times New Roman"/>
      </w:rPr>
    </w:lvl>
  </w:abstractNum>
  <w:abstractNum w:abstractNumId="1">
    <w:nsid w:val="EE5C6BF8"/>
    <w:multiLevelType w:val="singleLevel"/>
    <w:tmpl w:val="EE5C6BF8"/>
    <w:lvl w:ilvl="0" w:tentative="0">
      <w:start w:val="2"/>
      <w:numFmt w:val="decimal"/>
      <w:suff w:val="nothing"/>
      <w:lvlText w:val="%1、"/>
      <w:lvlJc w:val="left"/>
      <w:rPr>
        <w:rFonts w:cs="Times New Roman"/>
      </w:rPr>
    </w:lvl>
  </w:abstractNum>
  <w:abstractNum w:abstractNumId="2">
    <w:nsid w:val="FF4BB6DE"/>
    <w:multiLevelType w:val="singleLevel"/>
    <w:tmpl w:val="FF4BB6DE"/>
    <w:lvl w:ilvl="0" w:tentative="0">
      <w:start w:val="1"/>
      <w:numFmt w:val="decimal"/>
      <w:suff w:val="nothing"/>
      <w:lvlText w:val="%1、"/>
      <w:lvlJc w:val="left"/>
      <w:rPr>
        <w:rFonts w:cs="Times New Roman"/>
      </w:rPr>
    </w:lvl>
  </w:abstractNum>
  <w:abstractNum w:abstractNumId="3">
    <w:nsid w:val="FF9379A8"/>
    <w:multiLevelType w:val="singleLevel"/>
    <w:tmpl w:val="FF9379A8"/>
    <w:lvl w:ilvl="0" w:tentative="0">
      <w:start w:val="2"/>
      <w:numFmt w:val="chineseCounting"/>
      <w:suff w:val="nothing"/>
      <w:lvlText w:val="（%1）"/>
      <w:lvlJc w:val="left"/>
      <w:rPr>
        <w:rFonts w:hint="eastAsia" w:cs="Times New Roman"/>
      </w:rPr>
    </w:lvl>
  </w:abstractNum>
  <w:abstractNum w:abstractNumId="4">
    <w:nsid w:val="116B29BF"/>
    <w:multiLevelType w:val="singleLevel"/>
    <w:tmpl w:val="116B29BF"/>
    <w:lvl w:ilvl="0" w:tentative="0">
      <w:start w:val="3"/>
      <w:numFmt w:val="chineseCounting"/>
      <w:suff w:val="nothing"/>
      <w:lvlText w:val="%1、"/>
      <w:lvlJc w:val="left"/>
      <w:rPr>
        <w:rFonts w:hint="eastAsia" w:cs="Times New Roman"/>
      </w:rPr>
    </w:lvl>
  </w:abstractNum>
  <w:abstractNum w:abstractNumId="5">
    <w:nsid w:val="4D0808D1"/>
    <w:multiLevelType w:val="singleLevel"/>
    <w:tmpl w:val="4D0808D1"/>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cs="Times New Roman"/>
      </w:rPr>
    </w:lvl>
  </w:abstractNum>
  <w:num w:numId="1">
    <w:abstractNumId w:val="1"/>
  </w:num>
  <w:num w:numId="2">
    <w:abstractNumId w:val="4"/>
  </w:num>
  <w:num w:numId="3">
    <w:abstractNumId w:val="5"/>
  </w:num>
  <w:num w:numId="4">
    <w:abstractNumId w:val="6"/>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0B5047"/>
    <w:rsid w:val="000E50F0"/>
    <w:rsid w:val="000E586C"/>
    <w:rsid w:val="00121AE4"/>
    <w:rsid w:val="00146AAD"/>
    <w:rsid w:val="001B3A40"/>
    <w:rsid w:val="00384244"/>
    <w:rsid w:val="003C18BC"/>
    <w:rsid w:val="004366A8"/>
    <w:rsid w:val="00464900"/>
    <w:rsid w:val="00502BA7"/>
    <w:rsid w:val="005162F1"/>
    <w:rsid w:val="00535153"/>
    <w:rsid w:val="00554F82"/>
    <w:rsid w:val="0056390D"/>
    <w:rsid w:val="005719B0"/>
    <w:rsid w:val="005D10D6"/>
    <w:rsid w:val="007569CA"/>
    <w:rsid w:val="007806A5"/>
    <w:rsid w:val="00855E3A"/>
    <w:rsid w:val="00922CB9"/>
    <w:rsid w:val="009E5CD9"/>
    <w:rsid w:val="00A26421"/>
    <w:rsid w:val="00A4293B"/>
    <w:rsid w:val="00A67D50"/>
    <w:rsid w:val="00A8691A"/>
    <w:rsid w:val="00AC1946"/>
    <w:rsid w:val="00B40063"/>
    <w:rsid w:val="00B41F61"/>
    <w:rsid w:val="00BA46E6"/>
    <w:rsid w:val="00C56C72"/>
    <w:rsid w:val="00C60B69"/>
    <w:rsid w:val="00CA6457"/>
    <w:rsid w:val="00D17F2E"/>
    <w:rsid w:val="00D30354"/>
    <w:rsid w:val="00DF42A0"/>
    <w:rsid w:val="00DF7C45"/>
    <w:rsid w:val="00E31565"/>
    <w:rsid w:val="00E46C51"/>
    <w:rsid w:val="00E769FE"/>
    <w:rsid w:val="00EA2CBE"/>
    <w:rsid w:val="00F32FEE"/>
    <w:rsid w:val="00F71278"/>
    <w:rsid w:val="00FB10BB"/>
    <w:rsid w:val="00FB7C5D"/>
    <w:rsid w:val="020F7B83"/>
    <w:rsid w:val="025876AC"/>
    <w:rsid w:val="025D46F1"/>
    <w:rsid w:val="03F21322"/>
    <w:rsid w:val="049A48F3"/>
    <w:rsid w:val="051A56F5"/>
    <w:rsid w:val="05C31927"/>
    <w:rsid w:val="066D6EAA"/>
    <w:rsid w:val="08C662D4"/>
    <w:rsid w:val="0930786D"/>
    <w:rsid w:val="09BD4D95"/>
    <w:rsid w:val="0B26635B"/>
    <w:rsid w:val="0B7B72FE"/>
    <w:rsid w:val="0DE214F2"/>
    <w:rsid w:val="0F8D41CB"/>
    <w:rsid w:val="0FDA219D"/>
    <w:rsid w:val="103976F2"/>
    <w:rsid w:val="10C17BD1"/>
    <w:rsid w:val="11C75270"/>
    <w:rsid w:val="11CF53A1"/>
    <w:rsid w:val="12637CC3"/>
    <w:rsid w:val="12E657C5"/>
    <w:rsid w:val="135B794B"/>
    <w:rsid w:val="151B492F"/>
    <w:rsid w:val="16202744"/>
    <w:rsid w:val="167352D2"/>
    <w:rsid w:val="167C7687"/>
    <w:rsid w:val="168B3546"/>
    <w:rsid w:val="16B86F41"/>
    <w:rsid w:val="18D034C8"/>
    <w:rsid w:val="1A2374E0"/>
    <w:rsid w:val="1B0749EA"/>
    <w:rsid w:val="1C317CE2"/>
    <w:rsid w:val="1D1A4494"/>
    <w:rsid w:val="1DC1320C"/>
    <w:rsid w:val="1DC706C4"/>
    <w:rsid w:val="1DD45808"/>
    <w:rsid w:val="1DED42AC"/>
    <w:rsid w:val="1E2334D8"/>
    <w:rsid w:val="20005763"/>
    <w:rsid w:val="20FB313D"/>
    <w:rsid w:val="220B4804"/>
    <w:rsid w:val="251C0447"/>
    <w:rsid w:val="263E7165"/>
    <w:rsid w:val="27BD4928"/>
    <w:rsid w:val="282475E3"/>
    <w:rsid w:val="2A833AB1"/>
    <w:rsid w:val="2C6100C1"/>
    <w:rsid w:val="2D770993"/>
    <w:rsid w:val="2E985ED6"/>
    <w:rsid w:val="302A0E79"/>
    <w:rsid w:val="310C1092"/>
    <w:rsid w:val="3264220D"/>
    <w:rsid w:val="348571A3"/>
    <w:rsid w:val="351F1F57"/>
    <w:rsid w:val="3963178C"/>
    <w:rsid w:val="39E90A87"/>
    <w:rsid w:val="3AF83CC5"/>
    <w:rsid w:val="3C780FF3"/>
    <w:rsid w:val="3DA14213"/>
    <w:rsid w:val="3E4C7199"/>
    <w:rsid w:val="40C75F92"/>
    <w:rsid w:val="419400CF"/>
    <w:rsid w:val="41CC2676"/>
    <w:rsid w:val="46B21672"/>
    <w:rsid w:val="479D27BE"/>
    <w:rsid w:val="47DD1725"/>
    <w:rsid w:val="4A1742D6"/>
    <w:rsid w:val="4A343754"/>
    <w:rsid w:val="4AAF185B"/>
    <w:rsid w:val="4ADF4D79"/>
    <w:rsid w:val="4C6500B9"/>
    <w:rsid w:val="4F552460"/>
    <w:rsid w:val="4F737F0B"/>
    <w:rsid w:val="4FA86E1E"/>
    <w:rsid w:val="4FCC6863"/>
    <w:rsid w:val="500A214A"/>
    <w:rsid w:val="50D43C38"/>
    <w:rsid w:val="50E2184F"/>
    <w:rsid w:val="512E2472"/>
    <w:rsid w:val="51A31753"/>
    <w:rsid w:val="522D604D"/>
    <w:rsid w:val="5297585E"/>
    <w:rsid w:val="52AD7D6F"/>
    <w:rsid w:val="52E30463"/>
    <w:rsid w:val="5549519D"/>
    <w:rsid w:val="5557596B"/>
    <w:rsid w:val="5B596DFC"/>
    <w:rsid w:val="5D2F74CF"/>
    <w:rsid w:val="5DCF1BE1"/>
    <w:rsid w:val="5DF03945"/>
    <w:rsid w:val="5E4A1BED"/>
    <w:rsid w:val="5F5D1F98"/>
    <w:rsid w:val="603375DD"/>
    <w:rsid w:val="6034368C"/>
    <w:rsid w:val="60484C7F"/>
    <w:rsid w:val="60BB030E"/>
    <w:rsid w:val="637C2815"/>
    <w:rsid w:val="68BE2BC1"/>
    <w:rsid w:val="69F733BF"/>
    <w:rsid w:val="6A7E5BCF"/>
    <w:rsid w:val="6DA30332"/>
    <w:rsid w:val="6E33736B"/>
    <w:rsid w:val="722736A6"/>
    <w:rsid w:val="7829708C"/>
    <w:rsid w:val="7A353D0B"/>
    <w:rsid w:val="7D3A5E2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9"/>
    <w:pPr>
      <w:keepNext/>
      <w:widowControl/>
      <w:spacing w:before="240" w:after="60"/>
      <w:jc w:val="left"/>
      <w:outlineLvl w:val="0"/>
    </w:pPr>
    <w:rPr>
      <w:rFonts w:ascii="Cambria" w:hAnsi="Cambria"/>
      <w:b/>
      <w:bCs/>
      <w:kern w:val="32"/>
      <w:sz w:val="32"/>
      <w:szCs w:val="32"/>
    </w:rPr>
  </w:style>
  <w:style w:type="paragraph" w:styleId="4">
    <w:name w:val="heading 2"/>
    <w:basedOn w:val="1"/>
    <w:next w:val="1"/>
    <w:link w:val="24"/>
    <w:qFormat/>
    <w:uiPriority w:val="99"/>
    <w:pPr>
      <w:keepNext/>
      <w:widowControl/>
      <w:spacing w:before="240" w:after="60"/>
      <w:jc w:val="left"/>
      <w:outlineLvl w:val="1"/>
    </w:pPr>
    <w:rPr>
      <w:rFonts w:ascii="Cambria" w:hAnsi="Cambria"/>
      <w:b/>
      <w:bCs/>
      <w:i/>
      <w:iCs/>
      <w:kern w:val="0"/>
      <w:sz w:val="28"/>
      <w:szCs w:val="28"/>
    </w:rPr>
  </w:style>
  <w:style w:type="paragraph" w:styleId="5">
    <w:name w:val="heading 3"/>
    <w:basedOn w:val="1"/>
    <w:next w:val="1"/>
    <w:link w:val="25"/>
    <w:qFormat/>
    <w:uiPriority w:val="99"/>
    <w:pPr>
      <w:keepNext/>
      <w:widowControl/>
      <w:spacing w:before="240" w:after="60"/>
      <w:jc w:val="left"/>
      <w:outlineLvl w:val="2"/>
    </w:pPr>
    <w:rPr>
      <w:rFonts w:ascii="Cambria" w:hAnsi="Cambria"/>
      <w:b/>
      <w:bCs/>
      <w:kern w:val="0"/>
      <w:sz w:val="26"/>
      <w:szCs w:val="26"/>
    </w:rPr>
  </w:style>
  <w:style w:type="paragraph" w:styleId="6">
    <w:name w:val="heading 4"/>
    <w:basedOn w:val="1"/>
    <w:next w:val="1"/>
    <w:link w:val="26"/>
    <w:qFormat/>
    <w:uiPriority w:val="99"/>
    <w:pPr>
      <w:keepNext/>
      <w:widowControl/>
      <w:spacing w:before="240" w:after="60"/>
      <w:jc w:val="left"/>
      <w:outlineLvl w:val="3"/>
    </w:pPr>
    <w:rPr>
      <w:rFonts w:ascii="Calibri" w:hAnsi="Calibri"/>
      <w:b/>
      <w:bCs/>
      <w:kern w:val="0"/>
      <w:sz w:val="28"/>
      <w:szCs w:val="28"/>
    </w:rPr>
  </w:style>
  <w:style w:type="paragraph" w:styleId="7">
    <w:name w:val="heading 5"/>
    <w:basedOn w:val="1"/>
    <w:next w:val="1"/>
    <w:link w:val="27"/>
    <w:qFormat/>
    <w:uiPriority w:val="99"/>
    <w:pPr>
      <w:widowControl/>
      <w:spacing w:before="240" w:after="60"/>
      <w:jc w:val="left"/>
      <w:outlineLvl w:val="4"/>
    </w:pPr>
    <w:rPr>
      <w:rFonts w:ascii="Calibri" w:hAnsi="Calibri"/>
      <w:b/>
      <w:bCs/>
      <w:i/>
      <w:iCs/>
      <w:kern w:val="0"/>
      <w:sz w:val="26"/>
      <w:szCs w:val="26"/>
    </w:rPr>
  </w:style>
  <w:style w:type="paragraph" w:styleId="8">
    <w:name w:val="heading 6"/>
    <w:basedOn w:val="1"/>
    <w:next w:val="1"/>
    <w:link w:val="28"/>
    <w:qFormat/>
    <w:uiPriority w:val="99"/>
    <w:pPr>
      <w:widowControl/>
      <w:spacing w:before="240" w:after="60"/>
      <w:jc w:val="left"/>
      <w:outlineLvl w:val="5"/>
    </w:pPr>
    <w:rPr>
      <w:rFonts w:ascii="Calibri" w:hAnsi="Calibri"/>
      <w:b/>
      <w:bCs/>
      <w:kern w:val="0"/>
      <w:sz w:val="22"/>
      <w:szCs w:val="22"/>
    </w:rPr>
  </w:style>
  <w:style w:type="paragraph" w:styleId="9">
    <w:name w:val="heading 7"/>
    <w:basedOn w:val="1"/>
    <w:next w:val="1"/>
    <w:link w:val="29"/>
    <w:qFormat/>
    <w:uiPriority w:val="99"/>
    <w:pPr>
      <w:widowControl/>
      <w:spacing w:before="240" w:after="60"/>
      <w:jc w:val="left"/>
      <w:outlineLvl w:val="6"/>
    </w:pPr>
    <w:rPr>
      <w:rFonts w:ascii="Calibri" w:hAnsi="Calibri"/>
      <w:kern w:val="0"/>
      <w:sz w:val="24"/>
    </w:rPr>
  </w:style>
  <w:style w:type="paragraph" w:styleId="10">
    <w:name w:val="heading 8"/>
    <w:basedOn w:val="1"/>
    <w:next w:val="1"/>
    <w:link w:val="30"/>
    <w:qFormat/>
    <w:uiPriority w:val="99"/>
    <w:pPr>
      <w:widowControl/>
      <w:spacing w:before="240" w:after="60"/>
      <w:jc w:val="left"/>
      <w:outlineLvl w:val="7"/>
    </w:pPr>
    <w:rPr>
      <w:rFonts w:ascii="Calibri" w:hAnsi="Calibri"/>
      <w:i/>
      <w:iCs/>
      <w:kern w:val="0"/>
      <w:sz w:val="24"/>
    </w:rPr>
  </w:style>
  <w:style w:type="paragraph" w:styleId="11">
    <w:name w:val="heading 9"/>
    <w:basedOn w:val="1"/>
    <w:next w:val="1"/>
    <w:link w:val="31"/>
    <w:qFormat/>
    <w:uiPriority w:val="99"/>
    <w:pPr>
      <w:widowControl/>
      <w:spacing w:before="240" w:after="60"/>
      <w:jc w:val="left"/>
      <w:outlineLvl w:val="8"/>
    </w:pPr>
    <w:rPr>
      <w:rFonts w:ascii="Cambria" w:hAnsi="Cambria"/>
      <w:kern w:val="0"/>
      <w:sz w:val="22"/>
      <w:szCs w:val="22"/>
    </w:rPr>
  </w:style>
  <w:style w:type="character" w:default="1" w:styleId="20">
    <w:name w:val="Default Paragraph Font"/>
    <w:semiHidden/>
    <w:qFormat/>
    <w:uiPriority w:val="99"/>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link w:val="32"/>
    <w:qFormat/>
    <w:uiPriority w:val="99"/>
    <w:pPr>
      <w:widowControl/>
      <w:spacing w:before="240" w:after="60"/>
      <w:jc w:val="center"/>
      <w:outlineLvl w:val="0"/>
    </w:pPr>
    <w:rPr>
      <w:rFonts w:ascii="Cambria" w:hAnsi="Cambr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link w:val="33"/>
    <w:qFormat/>
    <w:uiPriority w:val="99"/>
    <w:pPr>
      <w:spacing w:after="120"/>
    </w:pPr>
  </w:style>
  <w:style w:type="paragraph" w:styleId="14">
    <w:name w:val="Balloon Text"/>
    <w:basedOn w:val="1"/>
    <w:link w:val="35"/>
    <w:semiHidden/>
    <w:qFormat/>
    <w:uiPriority w:val="99"/>
    <w:rPr>
      <w:sz w:val="18"/>
      <w:szCs w:val="18"/>
    </w:rPr>
  </w:style>
  <w:style w:type="paragraph" w:styleId="15">
    <w:name w:val="footer"/>
    <w:basedOn w:val="1"/>
    <w:link w:val="36"/>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37"/>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8"/>
    <w:qFormat/>
    <w:uiPriority w:val="99"/>
    <w:pPr>
      <w:widowControl/>
      <w:spacing w:after="60"/>
      <w:jc w:val="center"/>
      <w:outlineLvl w:val="1"/>
    </w:pPr>
    <w:rPr>
      <w:rFonts w:ascii="Cambria" w:hAnsi="Cambria"/>
      <w:kern w:val="0"/>
      <w:sz w:val="24"/>
    </w:rPr>
  </w:style>
  <w:style w:type="paragraph" w:styleId="18">
    <w:name w:val="Body Text First Indent"/>
    <w:basedOn w:val="13"/>
    <w:link w:val="34"/>
    <w:qFormat/>
    <w:uiPriority w:val="99"/>
    <w:pPr>
      <w:spacing w:after="0"/>
      <w:ind w:firstLine="200" w:firstLineChars="200"/>
    </w:pPr>
  </w:style>
  <w:style w:type="character" w:styleId="21">
    <w:name w:val="Strong"/>
    <w:basedOn w:val="20"/>
    <w:qFormat/>
    <w:uiPriority w:val="99"/>
    <w:rPr>
      <w:rFonts w:cs="Times New Roman"/>
      <w:b/>
      <w:bCs/>
    </w:rPr>
  </w:style>
  <w:style w:type="character" w:styleId="22">
    <w:name w:val="Emphasis"/>
    <w:basedOn w:val="20"/>
    <w:qFormat/>
    <w:uiPriority w:val="99"/>
    <w:rPr>
      <w:rFonts w:ascii="Calibri" w:hAnsi="Calibri" w:cs="Times New Roman"/>
      <w:b/>
      <w:i/>
      <w:iCs/>
    </w:rPr>
  </w:style>
  <w:style w:type="character" w:customStyle="1" w:styleId="23">
    <w:name w:val="Heading 1 Char"/>
    <w:basedOn w:val="20"/>
    <w:link w:val="3"/>
    <w:qFormat/>
    <w:locked/>
    <w:uiPriority w:val="99"/>
    <w:rPr>
      <w:rFonts w:ascii="Cambria" w:hAnsi="Cambria" w:eastAsia="宋体" w:cs="Times New Roman"/>
      <w:b/>
      <w:bCs/>
      <w:kern w:val="32"/>
      <w:sz w:val="32"/>
      <w:szCs w:val="32"/>
    </w:rPr>
  </w:style>
  <w:style w:type="character" w:customStyle="1" w:styleId="24">
    <w:name w:val="Heading 2 Char"/>
    <w:basedOn w:val="20"/>
    <w:link w:val="4"/>
    <w:semiHidden/>
    <w:qFormat/>
    <w:locked/>
    <w:uiPriority w:val="99"/>
    <w:rPr>
      <w:rFonts w:ascii="Cambria" w:hAnsi="Cambria" w:eastAsia="宋体" w:cs="Times New Roman"/>
      <w:b/>
      <w:bCs/>
      <w:i/>
      <w:iCs/>
      <w:sz w:val="28"/>
      <w:szCs w:val="28"/>
    </w:rPr>
  </w:style>
  <w:style w:type="character" w:customStyle="1" w:styleId="25">
    <w:name w:val="Heading 3 Char"/>
    <w:basedOn w:val="20"/>
    <w:link w:val="5"/>
    <w:semiHidden/>
    <w:qFormat/>
    <w:locked/>
    <w:uiPriority w:val="99"/>
    <w:rPr>
      <w:rFonts w:ascii="Cambria" w:hAnsi="Cambria" w:eastAsia="宋体" w:cs="Times New Roman"/>
      <w:b/>
      <w:bCs/>
      <w:sz w:val="26"/>
      <w:szCs w:val="26"/>
    </w:rPr>
  </w:style>
  <w:style w:type="character" w:customStyle="1" w:styleId="26">
    <w:name w:val="Heading 4 Char"/>
    <w:basedOn w:val="20"/>
    <w:link w:val="6"/>
    <w:semiHidden/>
    <w:qFormat/>
    <w:locked/>
    <w:uiPriority w:val="99"/>
    <w:rPr>
      <w:rFonts w:cs="Times New Roman"/>
      <w:b/>
      <w:bCs/>
      <w:sz w:val="28"/>
      <w:szCs w:val="28"/>
    </w:rPr>
  </w:style>
  <w:style w:type="character" w:customStyle="1" w:styleId="27">
    <w:name w:val="Heading 5 Char"/>
    <w:basedOn w:val="20"/>
    <w:link w:val="7"/>
    <w:semiHidden/>
    <w:qFormat/>
    <w:locked/>
    <w:uiPriority w:val="99"/>
    <w:rPr>
      <w:rFonts w:cs="Times New Roman"/>
      <w:b/>
      <w:bCs/>
      <w:i/>
      <w:iCs/>
      <w:sz w:val="26"/>
      <w:szCs w:val="26"/>
    </w:rPr>
  </w:style>
  <w:style w:type="character" w:customStyle="1" w:styleId="28">
    <w:name w:val="Heading 6 Char"/>
    <w:basedOn w:val="20"/>
    <w:link w:val="8"/>
    <w:semiHidden/>
    <w:qFormat/>
    <w:locked/>
    <w:uiPriority w:val="99"/>
    <w:rPr>
      <w:rFonts w:cs="Times New Roman"/>
      <w:b/>
      <w:bCs/>
    </w:rPr>
  </w:style>
  <w:style w:type="character" w:customStyle="1" w:styleId="29">
    <w:name w:val="Heading 7 Char"/>
    <w:basedOn w:val="20"/>
    <w:link w:val="9"/>
    <w:semiHidden/>
    <w:qFormat/>
    <w:locked/>
    <w:uiPriority w:val="99"/>
    <w:rPr>
      <w:rFonts w:cs="Times New Roman"/>
      <w:sz w:val="24"/>
      <w:szCs w:val="24"/>
    </w:rPr>
  </w:style>
  <w:style w:type="character" w:customStyle="1" w:styleId="30">
    <w:name w:val="Heading 8 Char"/>
    <w:basedOn w:val="20"/>
    <w:link w:val="10"/>
    <w:semiHidden/>
    <w:qFormat/>
    <w:locked/>
    <w:uiPriority w:val="99"/>
    <w:rPr>
      <w:rFonts w:cs="Times New Roman"/>
      <w:i/>
      <w:iCs/>
      <w:sz w:val="24"/>
      <w:szCs w:val="24"/>
    </w:rPr>
  </w:style>
  <w:style w:type="character" w:customStyle="1" w:styleId="31">
    <w:name w:val="Heading 9 Char"/>
    <w:basedOn w:val="20"/>
    <w:link w:val="11"/>
    <w:semiHidden/>
    <w:qFormat/>
    <w:locked/>
    <w:uiPriority w:val="99"/>
    <w:rPr>
      <w:rFonts w:ascii="Cambria" w:hAnsi="Cambria" w:eastAsia="宋体" w:cs="Times New Roman"/>
    </w:rPr>
  </w:style>
  <w:style w:type="character" w:customStyle="1" w:styleId="32">
    <w:name w:val="Title Char"/>
    <w:basedOn w:val="20"/>
    <w:link w:val="2"/>
    <w:qFormat/>
    <w:locked/>
    <w:uiPriority w:val="99"/>
    <w:rPr>
      <w:rFonts w:ascii="Cambria" w:hAnsi="Cambria" w:eastAsia="宋体" w:cs="Times New Roman"/>
      <w:b/>
      <w:bCs/>
      <w:kern w:val="28"/>
      <w:sz w:val="32"/>
      <w:szCs w:val="32"/>
    </w:rPr>
  </w:style>
  <w:style w:type="character" w:customStyle="1" w:styleId="33">
    <w:name w:val="Body Text Char"/>
    <w:basedOn w:val="20"/>
    <w:link w:val="13"/>
    <w:semiHidden/>
    <w:qFormat/>
    <w:uiPriority w:val="99"/>
    <w:rPr>
      <w:szCs w:val="24"/>
    </w:rPr>
  </w:style>
  <w:style w:type="character" w:customStyle="1" w:styleId="34">
    <w:name w:val="Body Text First Indent Char"/>
    <w:basedOn w:val="33"/>
    <w:link w:val="18"/>
    <w:semiHidden/>
    <w:qFormat/>
    <w:uiPriority w:val="99"/>
  </w:style>
  <w:style w:type="character" w:customStyle="1" w:styleId="35">
    <w:name w:val="Balloon Text Char"/>
    <w:basedOn w:val="20"/>
    <w:link w:val="14"/>
    <w:semiHidden/>
    <w:qFormat/>
    <w:locked/>
    <w:uiPriority w:val="99"/>
    <w:rPr>
      <w:rFonts w:ascii="Times New Roman" w:hAnsi="Times New Roman" w:eastAsia="宋体" w:cs="Times New Roman"/>
      <w:kern w:val="2"/>
      <w:sz w:val="18"/>
      <w:szCs w:val="18"/>
    </w:rPr>
  </w:style>
  <w:style w:type="character" w:customStyle="1" w:styleId="36">
    <w:name w:val="Footer Char"/>
    <w:basedOn w:val="20"/>
    <w:link w:val="15"/>
    <w:qFormat/>
    <w:locked/>
    <w:uiPriority w:val="99"/>
    <w:rPr>
      <w:rFonts w:ascii="Calibri" w:hAnsi="Calibri" w:eastAsia="宋体" w:cs="Times New Roman"/>
      <w:kern w:val="2"/>
      <w:sz w:val="18"/>
      <w:szCs w:val="18"/>
    </w:rPr>
  </w:style>
  <w:style w:type="character" w:customStyle="1" w:styleId="37">
    <w:name w:val="Header Char"/>
    <w:basedOn w:val="20"/>
    <w:link w:val="16"/>
    <w:qFormat/>
    <w:locked/>
    <w:uiPriority w:val="99"/>
    <w:rPr>
      <w:rFonts w:ascii="Calibri" w:hAnsi="Calibri" w:eastAsia="宋体" w:cs="Times New Roman"/>
      <w:kern w:val="2"/>
      <w:sz w:val="18"/>
      <w:szCs w:val="18"/>
    </w:rPr>
  </w:style>
  <w:style w:type="character" w:customStyle="1" w:styleId="38">
    <w:name w:val="Subtitle Char"/>
    <w:basedOn w:val="20"/>
    <w:link w:val="17"/>
    <w:qFormat/>
    <w:locked/>
    <w:uiPriority w:val="99"/>
    <w:rPr>
      <w:rFonts w:ascii="Cambria" w:hAnsi="Cambria" w:eastAsia="宋体" w:cs="Times New Roman"/>
      <w:sz w:val="24"/>
      <w:szCs w:val="24"/>
    </w:rPr>
  </w:style>
  <w:style w:type="paragraph" w:styleId="39">
    <w:name w:val="No Spacing"/>
    <w:basedOn w:val="1"/>
    <w:qFormat/>
    <w:uiPriority w:val="99"/>
    <w:pPr>
      <w:widowControl/>
      <w:jc w:val="left"/>
    </w:pPr>
    <w:rPr>
      <w:rFonts w:ascii="Calibri" w:hAnsi="Calibri"/>
      <w:kern w:val="0"/>
      <w:sz w:val="24"/>
      <w:szCs w:val="32"/>
      <w:lang w:eastAsia="en-US"/>
    </w:rPr>
  </w:style>
  <w:style w:type="paragraph" w:styleId="40">
    <w:name w:val="List Paragraph"/>
    <w:basedOn w:val="1"/>
    <w:qFormat/>
    <w:uiPriority w:val="99"/>
    <w:pPr>
      <w:widowControl/>
      <w:ind w:left="720"/>
      <w:contextualSpacing/>
      <w:jc w:val="left"/>
    </w:pPr>
    <w:rPr>
      <w:rFonts w:ascii="Calibri" w:hAnsi="Calibri"/>
      <w:kern w:val="0"/>
      <w:sz w:val="24"/>
      <w:lang w:eastAsia="en-US"/>
    </w:rPr>
  </w:style>
  <w:style w:type="paragraph" w:styleId="41">
    <w:name w:val="Quote"/>
    <w:basedOn w:val="1"/>
    <w:next w:val="1"/>
    <w:link w:val="42"/>
    <w:qFormat/>
    <w:uiPriority w:val="99"/>
    <w:pPr>
      <w:widowControl/>
      <w:jc w:val="left"/>
    </w:pPr>
    <w:rPr>
      <w:rFonts w:ascii="Calibri" w:hAnsi="Calibri"/>
      <w:i/>
      <w:kern w:val="0"/>
      <w:sz w:val="24"/>
    </w:rPr>
  </w:style>
  <w:style w:type="character" w:customStyle="1" w:styleId="42">
    <w:name w:val="Quote Char"/>
    <w:basedOn w:val="20"/>
    <w:link w:val="41"/>
    <w:qFormat/>
    <w:locked/>
    <w:uiPriority w:val="99"/>
    <w:rPr>
      <w:rFonts w:cs="Times New Roman"/>
      <w:i/>
      <w:sz w:val="24"/>
      <w:szCs w:val="24"/>
    </w:rPr>
  </w:style>
  <w:style w:type="paragraph" w:styleId="43">
    <w:name w:val="Intense Quote"/>
    <w:basedOn w:val="1"/>
    <w:next w:val="1"/>
    <w:link w:val="44"/>
    <w:qFormat/>
    <w:uiPriority w:val="99"/>
    <w:pPr>
      <w:widowControl/>
      <w:ind w:left="720" w:right="720"/>
      <w:jc w:val="left"/>
    </w:pPr>
    <w:rPr>
      <w:rFonts w:ascii="Calibri" w:hAnsi="Calibri"/>
      <w:b/>
      <w:i/>
      <w:kern w:val="0"/>
      <w:sz w:val="24"/>
      <w:szCs w:val="22"/>
    </w:rPr>
  </w:style>
  <w:style w:type="character" w:customStyle="1" w:styleId="44">
    <w:name w:val="Intense Quote Char"/>
    <w:basedOn w:val="20"/>
    <w:link w:val="43"/>
    <w:qFormat/>
    <w:locked/>
    <w:uiPriority w:val="99"/>
    <w:rPr>
      <w:rFonts w:cs="Times New Roman"/>
      <w:b/>
      <w:i/>
      <w:sz w:val="24"/>
    </w:rPr>
  </w:style>
  <w:style w:type="character" w:customStyle="1" w:styleId="45">
    <w:name w:val="不明显强调1"/>
    <w:qFormat/>
    <w:uiPriority w:val="99"/>
    <w:rPr>
      <w:i/>
      <w:color w:val="595959"/>
    </w:rPr>
  </w:style>
  <w:style w:type="character" w:customStyle="1" w:styleId="46">
    <w:name w:val="明显强调1"/>
    <w:basedOn w:val="20"/>
    <w:qFormat/>
    <w:uiPriority w:val="99"/>
    <w:rPr>
      <w:rFonts w:cs="Times New Roman"/>
      <w:b/>
      <w:i/>
      <w:sz w:val="24"/>
      <w:szCs w:val="24"/>
      <w:u w:val="single"/>
    </w:rPr>
  </w:style>
  <w:style w:type="character" w:customStyle="1" w:styleId="47">
    <w:name w:val="不明显参考1"/>
    <w:basedOn w:val="20"/>
    <w:qFormat/>
    <w:uiPriority w:val="99"/>
    <w:rPr>
      <w:rFonts w:cs="Times New Roman"/>
      <w:sz w:val="24"/>
      <w:szCs w:val="24"/>
      <w:u w:val="single"/>
    </w:rPr>
  </w:style>
  <w:style w:type="character" w:customStyle="1" w:styleId="48">
    <w:name w:val="明显参考1"/>
    <w:basedOn w:val="20"/>
    <w:qFormat/>
    <w:uiPriority w:val="99"/>
    <w:rPr>
      <w:rFonts w:cs="Times New Roman"/>
      <w:b/>
      <w:sz w:val="24"/>
      <w:u w:val="single"/>
    </w:rPr>
  </w:style>
  <w:style w:type="character" w:customStyle="1" w:styleId="49">
    <w:name w:val="书籍标题1"/>
    <w:basedOn w:val="20"/>
    <w:qFormat/>
    <w:uiPriority w:val="99"/>
    <w:rPr>
      <w:rFonts w:ascii="Cambria" w:hAnsi="Cambria" w:eastAsia="宋体" w:cs="Times New Roman"/>
      <w:b/>
      <w:i/>
      <w:sz w:val="24"/>
      <w:szCs w:val="24"/>
    </w:rPr>
  </w:style>
  <w:style w:type="paragraph" w:customStyle="1" w:styleId="50">
    <w:name w:val="TOC 标题1"/>
    <w:basedOn w:val="3"/>
    <w:next w:val="1"/>
    <w:semiHidden/>
    <w:qFormat/>
    <w:uiPriority w:val="99"/>
    <w:pPr>
      <w:outlineLvl w:val="9"/>
    </w:pPr>
    <w:rPr>
      <w:lang w:eastAsia="en-US"/>
    </w:rPr>
  </w:style>
  <w:style w:type="paragraph" w:customStyle="1" w:styleId="51">
    <w:name w:val="Heading2"/>
    <w:next w:val="1"/>
    <w:qFormat/>
    <w:uiPriority w:val="99"/>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99"/>
    <w:rPr>
      <w:rFonts w:ascii="仿宋_GB2312" w:hAnsi="仿宋_GB2312" w:eastAsia="仿宋_GB2312"/>
      <w:color w:val="000000"/>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18</Pages>
  <Words>1549</Words>
  <Characters>8835</Characters>
  <Lines>0</Lines>
  <Paragraphs>0</Paragraphs>
  <TotalTime>2</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2021-04-06T08:22:00Z</cp:lastPrinted>
  <dcterms:modified xsi:type="dcterms:W3CDTF">2021-06-03T08:32:27Z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746D8C33D79E42FF8EE58090C7FDCA9F</vt:lpwstr>
  </property>
  <property fmtid="{D5CDD505-2E9C-101B-9397-08002B2CF9AE}" pid="4" name="KSOSaveFontToCloudKey">
    <vt:lpwstr>390855185_btnclosed</vt:lpwstr>
  </property>
</Properties>
</file>