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contextualSpacing/>
        <w:rPr>
          <w:rFonts w:ascii="方正小标宋_GBK" w:hAnsi="宋体" w:eastAsia="方正小标宋_GBK" w:cs="Arial"/>
          <w:b/>
          <w:bCs/>
          <w:sz w:val="44"/>
          <w:szCs w:val="44"/>
        </w:rPr>
      </w:pPr>
    </w:p>
    <w:p>
      <w:pPr>
        <w:contextualSpacing/>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 xml:space="preserve">塔城地区机关事务管理局人才公寓楼项目支出绩效评价报告 </w:t>
      </w: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ind w:firstLine="640" w:firstLineChars="200"/>
        <w:contextualSpacing/>
        <w:rPr>
          <w:rFonts w:ascii="方正黑体_GBK" w:hAnsi="黑体" w:eastAsia="方正黑体_GBK"/>
          <w:sz w:val="32"/>
          <w:szCs w:val="32"/>
        </w:rPr>
      </w:pPr>
    </w:p>
    <w:p>
      <w:pPr>
        <w:ind w:firstLine="640" w:firstLineChars="200"/>
        <w:contextualSpacing/>
        <w:rPr>
          <w:rFonts w:ascii="方正黑体_GBK" w:hAnsi="黑体" w:eastAsia="方正黑体_GBK"/>
          <w:sz w:val="32"/>
          <w:szCs w:val="32"/>
        </w:rPr>
      </w:pPr>
    </w:p>
    <w:p>
      <w:pPr>
        <w:ind w:firstLine="640" w:firstLineChars="200"/>
        <w:contextualSpacing/>
        <w:rPr>
          <w:rFonts w:ascii="方正黑体_GBK" w:hAnsi="黑体" w:eastAsia="方正黑体_GBK"/>
          <w:sz w:val="32"/>
          <w:szCs w:val="32"/>
        </w:rPr>
      </w:pPr>
    </w:p>
    <w:p>
      <w:pPr>
        <w:ind w:firstLine="640" w:firstLineChars="200"/>
        <w:contextualSpacing/>
        <w:rPr>
          <w:rFonts w:ascii="方正黑体_GBK" w:hAnsi="黑体" w:eastAsia="方正黑体_GBK"/>
          <w:sz w:val="32"/>
          <w:szCs w:val="32"/>
        </w:rPr>
      </w:pPr>
    </w:p>
    <w:p>
      <w:pPr>
        <w:ind w:firstLine="640" w:firstLineChars="200"/>
        <w:contextualSpacing/>
        <w:rPr>
          <w:rFonts w:ascii="方正黑体_GBK" w:hAnsi="黑体" w:eastAsia="方正黑体_GBK"/>
          <w:sz w:val="32"/>
          <w:szCs w:val="32"/>
        </w:rPr>
      </w:pPr>
    </w:p>
    <w:p>
      <w:pPr>
        <w:contextualSpacing/>
        <w:rPr>
          <w:rFonts w:ascii="方正黑体_GBK" w:hAnsi="黑体" w:eastAsia="方正黑体_GBK"/>
          <w:sz w:val="32"/>
          <w:szCs w:val="32"/>
        </w:rPr>
      </w:pPr>
    </w:p>
    <w:p>
      <w:pPr>
        <w:contextualSpacing/>
        <w:rPr>
          <w:rFonts w:ascii="方正黑体_GBK" w:hAnsi="黑体" w:eastAsia="方正黑体_GBK"/>
          <w:sz w:val="32"/>
          <w:szCs w:val="32"/>
        </w:rPr>
      </w:pPr>
    </w:p>
    <w:p>
      <w:pPr>
        <w:contextualSpacing/>
        <w:rPr>
          <w:rFonts w:ascii="方正黑体_GBK" w:hAnsi="黑体" w:eastAsia="方正黑体_GBK"/>
          <w:sz w:val="32"/>
          <w:szCs w:val="32"/>
        </w:rPr>
      </w:pPr>
    </w:p>
    <w:p>
      <w:pPr>
        <w:contextualSpacing/>
        <w:rPr>
          <w:rFonts w:ascii="方正黑体_GBK" w:hAnsi="黑体" w:eastAsia="方正黑体_GBK"/>
          <w:sz w:val="32"/>
          <w:szCs w:val="32"/>
        </w:rPr>
      </w:pPr>
    </w:p>
    <w:p>
      <w:pPr>
        <w:ind w:firstLine="1440" w:firstLineChars="400"/>
        <w:contextualSpacing/>
        <w:jc w:val="center"/>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项目名称：塔城市人才公寓楼及配套设施建设项目</w:t>
      </w:r>
    </w:p>
    <w:p>
      <w:pPr>
        <w:contextualSpacing/>
        <w:jc w:val="center"/>
        <w:rPr>
          <w:rFonts w:hint="eastAsia" w:ascii="仿宋_GB2312" w:hAnsi="仿宋_GB2312" w:eastAsia="仿宋_GB2312" w:cs="仿宋_GB2312"/>
          <w:sz w:val="36"/>
          <w:szCs w:val="36"/>
        </w:rPr>
      </w:pPr>
      <w:r>
        <w:rPr>
          <w:rFonts w:hint="eastAsia" w:ascii="仿宋_GB2312" w:hAnsi="仿宋_GB2312" w:eastAsia="仿宋_GB2312" w:cs="仿宋_GB2312"/>
          <w:sz w:val="36"/>
          <w:szCs w:val="36"/>
          <w:lang w:val="en-US" w:eastAsia="zh-CN"/>
        </w:rPr>
        <w:t xml:space="preserve">      </w:t>
      </w:r>
      <w:r>
        <w:rPr>
          <w:rFonts w:hint="eastAsia" w:ascii="仿宋_GB2312" w:hAnsi="仿宋_GB2312" w:eastAsia="仿宋_GB2312" w:cs="仿宋_GB2312"/>
          <w:sz w:val="36"/>
          <w:szCs w:val="36"/>
        </w:rPr>
        <w:t>项目实施单位：塔城地区机关事务管理局</w:t>
      </w:r>
    </w:p>
    <w:p>
      <w:pPr>
        <w:ind w:firstLine="1440" w:firstLineChars="400"/>
        <w:contextualSpacing/>
        <w:jc w:val="both"/>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单位负责人：肖岩</w:t>
      </w:r>
    </w:p>
    <w:p>
      <w:pPr>
        <w:ind w:firstLine="1440" w:firstLineChars="400"/>
        <w:contextualSpacing/>
        <w:jc w:val="both"/>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项目负责人：李明烜</w:t>
      </w:r>
    </w:p>
    <w:p>
      <w:pPr>
        <w:ind w:firstLine="1440" w:firstLineChars="400"/>
        <w:contextualSpacing/>
        <w:jc w:val="both"/>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二〇二一年四月</w:t>
      </w:r>
    </w:p>
    <w:p>
      <w:pPr>
        <w:ind w:firstLine="640" w:firstLineChars="200"/>
        <w:contextualSpacing/>
        <w:jc w:val="center"/>
        <w:rPr>
          <w:rFonts w:ascii="方正黑体_GBK" w:hAnsi="黑体" w:eastAsia="方正黑体_GBK"/>
          <w:sz w:val="32"/>
          <w:szCs w:val="32"/>
        </w:rPr>
      </w:pPr>
    </w:p>
    <w:p>
      <w:pPr>
        <w:ind w:firstLine="480" w:firstLineChars="150"/>
        <w:contextualSpacing/>
        <w:rPr>
          <w:rFonts w:ascii="方正黑体_GBK" w:hAnsi="黑体" w:eastAsia="方正黑体_GBK"/>
          <w:sz w:val="32"/>
          <w:szCs w:val="32"/>
        </w:rPr>
      </w:pPr>
    </w:p>
    <w:p>
      <w:pPr>
        <w:pageBreakBefore w:val="0"/>
        <w:kinsoku/>
        <w:wordWrap/>
        <w:overflowPunct/>
        <w:topLinePunct w:val="0"/>
        <w:bidi w:val="0"/>
        <w:snapToGrid/>
        <w:spacing w:line="560" w:lineRule="exact"/>
        <w:ind w:firstLine="480" w:firstLineChars="150"/>
        <w:contextualSpacing/>
        <w:rPr>
          <w:rFonts w:hint="eastAsia" w:ascii="仿宋_GB2312" w:hAnsi="仿宋_GB2312" w:eastAsia="仿宋_GB2312" w:cs="仿宋_GB2312"/>
          <w:sz w:val="32"/>
          <w:szCs w:val="32"/>
        </w:rPr>
      </w:pPr>
      <w:r>
        <w:rPr>
          <w:rFonts w:hint="eastAsia" w:ascii="方正黑体_GBK" w:hAnsi="黑体" w:eastAsia="方正黑体_GBK"/>
          <w:sz w:val="32"/>
          <w:szCs w:val="32"/>
        </w:rPr>
        <w:br w:type="page"/>
      </w:r>
      <w:r>
        <w:rPr>
          <w:rFonts w:hint="eastAsia" w:ascii="黑体" w:hAnsi="黑体" w:eastAsia="黑体" w:cs="黑体"/>
          <w:b/>
          <w:bCs/>
          <w:sz w:val="32"/>
          <w:szCs w:val="32"/>
        </w:rPr>
        <w:t>一、基本情况</w:t>
      </w:r>
    </w:p>
    <w:p>
      <w:pPr>
        <w:pageBreakBefore w:val="0"/>
        <w:kinsoku/>
        <w:wordWrap/>
        <w:overflowPunct/>
        <w:topLinePunct w:val="0"/>
        <w:bidi w:val="0"/>
        <w:snapToGrid/>
        <w:spacing w:line="560" w:lineRule="exact"/>
        <w:ind w:firstLine="321" w:firstLineChars="100"/>
        <w:contextualSpacing/>
        <w:rPr>
          <w:rFonts w:hint="eastAsia" w:ascii="楷体" w:hAnsi="楷体" w:eastAsia="楷体" w:cs="楷体"/>
          <w:b/>
          <w:bCs/>
          <w:sz w:val="32"/>
          <w:szCs w:val="32"/>
        </w:rPr>
      </w:pPr>
      <w:r>
        <w:rPr>
          <w:rFonts w:hint="eastAsia" w:ascii="楷体" w:hAnsi="楷体" w:eastAsia="楷体" w:cs="楷体"/>
          <w:b/>
          <w:bCs/>
          <w:sz w:val="32"/>
          <w:szCs w:val="32"/>
        </w:rPr>
        <w:t>（一）项目概况</w:t>
      </w:r>
    </w:p>
    <w:p>
      <w:pPr>
        <w:pageBreakBefore w:val="0"/>
        <w:kinsoku/>
        <w:wordWrap/>
        <w:overflowPunct/>
        <w:topLinePunct w:val="0"/>
        <w:bidi w:val="0"/>
        <w:snapToGrid/>
        <w:spacing w:line="560" w:lineRule="exact"/>
        <w:ind w:firstLine="643" w:firstLineChars="200"/>
        <w:rPr>
          <w:rFonts w:hint="eastAsia" w:ascii="仿宋_GB2312" w:hAnsi="仿宋_GB2312" w:eastAsia="仿宋_GB2312" w:cs="仿宋_GB2312"/>
          <w:b/>
          <w:bCs/>
          <w:sz w:val="32"/>
          <w:szCs w:val="32"/>
        </w:rPr>
      </w:pPr>
      <w:bookmarkStart w:id="0" w:name="_Toc30152830"/>
      <w:r>
        <w:rPr>
          <w:rFonts w:hint="eastAsia" w:ascii="仿宋_GB2312" w:hAnsi="仿宋_GB2312" w:eastAsia="仿宋_GB2312" w:cs="仿宋_GB2312"/>
          <w:b/>
          <w:bCs/>
          <w:sz w:val="32"/>
          <w:szCs w:val="32"/>
        </w:rPr>
        <w:t>1</w:t>
      </w:r>
      <w:bookmarkEnd w:id="0"/>
      <w:r>
        <w:rPr>
          <w:rFonts w:hint="eastAsia" w:ascii="仿宋_GB2312" w:hAnsi="仿宋_GB2312" w:eastAsia="仿宋_GB2312" w:cs="仿宋_GB2312"/>
          <w:b/>
          <w:bCs/>
          <w:sz w:val="32"/>
          <w:szCs w:val="32"/>
        </w:rPr>
        <w:t>、项目背景</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（1）项目实施的政策背景</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7月14日至7月16日，对口支援新疆工作会议在新疆召开，中共中央政治局常委、中央新疆工作协调小组组长汪洋出席会议并讲话。他强调，对口援疆是国家战略，是实现新疆社会稳定与长治久安总目标的重要举措。要以习近平新时代中国特色社会主义思想为指导，完整准确贯彻新时代党的治疆方略，紧紧围绕新疆工作总目标，坚持稳中求进工作总基调，坚持新发展理念，坚持以经济发展和民生改善为基础，坚持以凝聚人心为目的，坚持全面援疆、精准援疆、长期援疆，为建设团结和谐、繁荣富裕、文明进步、安居乐业的中国特色社会主义新疆贡献力量。</w:t>
      </w:r>
    </w:p>
    <w:p>
      <w:pPr>
        <w:pageBreakBefore w:val="0"/>
        <w:kinsoku/>
        <w:wordWrap/>
        <w:overflowPunct/>
        <w:topLinePunct w:val="0"/>
        <w:bidi w:val="0"/>
        <w:snapToGrid/>
        <w:spacing w:line="560" w:lineRule="exact"/>
        <w:ind w:firstLine="720"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汪洋强调，中国特色社会主义进入新时代，新疆工作也面临新形势新任务。对口援疆工作必须认真总结经验，坚持问题导向，不断提高综合效益。要突出抓好干部人才援疆，做到精准选派、科学使用，最大限度发挥作用。要着力促进各民族交往交流交融，支持内地与新疆各族群众多走动，推动新疆少数民族群众到内地交融发展。要把援疆工作作为锻炼和培养干部的平台，健全考核评价机制，加大关心关爱力度，让真情奉献、敢于担当者有干劲、有舞台。</w:t>
      </w:r>
    </w:p>
    <w:p>
      <w:pPr>
        <w:pStyle w:val="2"/>
        <w:pageBreakBefore w:val="0"/>
        <w:numPr>
          <w:ilvl w:val="0"/>
          <w:numId w:val="1"/>
        </w:numPr>
        <w:kinsoku/>
        <w:wordWrap/>
        <w:overflowPunct/>
        <w:topLinePunct w:val="0"/>
        <w:bidi w:val="0"/>
        <w:snapToGrid/>
        <w:spacing w:before="0" w:after="0" w:line="560" w:lineRule="exact"/>
        <w:ind w:firstLine="640" w:firstLineChars="200"/>
        <w:jc w:val="both"/>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项目实施的历史概况</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以来，辽宁第九批援疆工作队深入贯彻落实习近平新时代中国特色社会主义思想、党的十九大精神和党中央治疆方略，贯彻落实第六次全国对口支援新疆工作会议和两省区对口支援工作座谈会精神，紧紧围绕社会稳定和长治久安总目标，将改善民生作为援疆工作主战场，用真情的投入赢得了塔城地区各族群众的称赞。随着人才发展战略的实施，辽塔两地人才交流逐步深入，援疆人才、央企援疆团、博士服务团不断增加，为了留住人才，稳定人才队伍，解决人才团队的后顾之忧，建设人才公寓楼。</w:t>
      </w:r>
    </w:p>
    <w:p>
      <w:pPr>
        <w:pStyle w:val="5"/>
        <w:pageBreakBefore w:val="0"/>
        <w:kinsoku/>
        <w:wordWrap/>
        <w:overflowPunct/>
        <w:topLinePunct w:val="0"/>
        <w:bidi w:val="0"/>
        <w:snapToGrid/>
        <w:spacing w:before="0" w:after="0" w:line="560" w:lineRule="exact"/>
        <w:ind w:firstLine="482" w:firstLineChars="150"/>
        <w:rPr>
          <w:rFonts w:hint="eastAsia" w:ascii="仿宋_GB2312" w:hAnsi="仿宋_GB2312" w:eastAsia="仿宋_GB2312" w:cs="仿宋_GB2312"/>
          <w:b/>
          <w:bCs/>
        </w:rPr>
      </w:pPr>
      <w:r>
        <w:rPr>
          <w:rFonts w:hint="eastAsia" w:ascii="仿宋_GB2312" w:hAnsi="仿宋_GB2312" w:eastAsia="仿宋_GB2312" w:cs="仿宋_GB2312"/>
          <w:b/>
          <w:bCs/>
        </w:rPr>
        <w:t>2、项目主要内容及实施情况</w:t>
      </w:r>
    </w:p>
    <w:p>
      <w:pPr>
        <w:pStyle w:val="5"/>
        <w:pageBreakBefore w:val="0"/>
        <w:kinsoku/>
        <w:wordWrap/>
        <w:overflowPunct/>
        <w:topLinePunct w:val="0"/>
        <w:bidi w:val="0"/>
        <w:snapToGrid/>
        <w:spacing w:before="0" w:after="0" w:line="560" w:lineRule="exact"/>
        <w:ind w:firstLine="480" w:firstLineChars="150"/>
        <w:rPr>
          <w:rFonts w:hint="eastAsia" w:ascii="仿宋_GB2312" w:hAnsi="仿宋_GB2312" w:eastAsia="仿宋_GB2312" w:cs="仿宋_GB2312"/>
          <w:b w:val="0"/>
          <w:bCs w:val="0"/>
        </w:rPr>
      </w:pPr>
      <w:r>
        <w:rPr>
          <w:rFonts w:hint="eastAsia" w:ascii="仿宋_GB2312" w:hAnsi="仿宋_GB2312" w:eastAsia="仿宋_GB2312" w:cs="仿宋_GB2312"/>
          <w:b w:val="0"/>
          <w:bCs w:val="0"/>
        </w:rPr>
        <w:t>项目主要内容：</w:t>
      </w:r>
    </w:p>
    <w:p>
      <w:pPr>
        <w:pageBreakBefore w:val="0"/>
        <w:kinsoku/>
        <w:wordWrap/>
        <w:overflowPunct/>
        <w:topLinePunct w:val="0"/>
        <w:bidi w:val="0"/>
        <w:snapToGrid/>
        <w:spacing w:line="560" w:lineRule="exact"/>
        <w:ind w:firstLine="720"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（1）项目建设用地面积33930平方米,总建筑面积29110平方米，配套水、电、暖等相关设施。</w:t>
      </w:r>
    </w:p>
    <w:p>
      <w:pPr>
        <w:pageBreakBefore w:val="0"/>
        <w:kinsoku/>
        <w:wordWrap/>
        <w:overflowPunct/>
        <w:topLinePunct w:val="0"/>
        <w:bidi w:val="0"/>
        <w:snapToGrid/>
        <w:spacing w:line="560" w:lineRule="exact"/>
        <w:ind w:firstLine="720"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（2）项目预计建设公寓楼4栋，每栋公寓楼10层，共计160户，其中100平米户型80户，130平米户型20户,85平米户型60户。</w:t>
      </w:r>
    </w:p>
    <w:p>
      <w:pPr>
        <w:pageBreakBefore w:val="0"/>
        <w:kinsoku/>
        <w:wordWrap/>
        <w:overflowPunct/>
        <w:topLinePunct w:val="0"/>
        <w:bidi w:val="0"/>
        <w:snapToGrid/>
        <w:spacing w:line="560" w:lineRule="exact"/>
        <w:ind w:firstLine="720"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（3）建设附属餐厅和地下设施用房一栋。</w:t>
      </w:r>
    </w:p>
    <w:p>
      <w:pPr>
        <w:pageBreakBefore w:val="0"/>
        <w:kinsoku/>
        <w:wordWrap/>
        <w:overflowPunct/>
        <w:topLinePunct w:val="0"/>
        <w:bidi w:val="0"/>
        <w:snapToGrid/>
        <w:spacing w:line="560" w:lineRule="exact"/>
        <w:ind w:firstLine="720"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（4）配套水电暖气设施，小区硬化、绿化、亮化及相关附属工程。</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bidi w:val="0"/>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本项目总投资5000万元，其中：财政本级资金5000万元。项目实际支出1887.25万元，支出率为37.74%。2020年到位资金1300万元，实际支出1300万元，支出率100%。</w:t>
      </w:r>
    </w:p>
    <w:p>
      <w:pPr>
        <w:pStyle w:val="5"/>
        <w:pageBreakBefore w:val="0"/>
        <w:kinsoku/>
        <w:wordWrap/>
        <w:overflowPunct/>
        <w:topLinePunct w:val="0"/>
        <w:bidi w:val="0"/>
        <w:snapToGrid/>
        <w:spacing w:before="0" w:after="0" w:line="560" w:lineRule="exact"/>
        <w:ind w:firstLine="482" w:firstLineChars="150"/>
        <w:rPr>
          <w:rFonts w:hint="eastAsia" w:ascii="仿宋_GB2312" w:hAnsi="仿宋_GB2312" w:eastAsia="仿宋_GB2312" w:cs="仿宋_GB2312"/>
          <w:b/>
          <w:bCs/>
        </w:rPr>
      </w:pPr>
      <w:bookmarkStart w:id="1" w:name="_Toc30152831"/>
      <w:r>
        <w:rPr>
          <w:rFonts w:hint="eastAsia" w:ascii="仿宋_GB2312" w:hAnsi="仿宋_GB2312" w:eastAsia="仿宋_GB2312" w:cs="仿宋_GB2312"/>
          <w:b/>
          <w:bCs/>
        </w:rPr>
        <w:t>3、资金投入和使用情况</w:t>
      </w:r>
      <w:bookmarkEnd w:id="1"/>
    </w:p>
    <w:p>
      <w:pPr>
        <w:pageBreakBefore w:val="0"/>
        <w:kinsoku/>
        <w:wordWrap/>
        <w:overflowPunct/>
        <w:topLinePunct w:val="0"/>
        <w:bidi w:val="0"/>
        <w:snapToGrid/>
        <w:spacing w:line="560" w:lineRule="exact"/>
        <w:ind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bidi w:val="0"/>
        <w:snapToGrid/>
        <w:spacing w:line="560" w:lineRule="exact"/>
        <w:ind w:firstLine="736" w:firstLineChars="2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5000万元，按照《大额专项资金管理办法》及单位财务制度等相关规定，资金支出符合大额专项资金费用范围，做到了专款专用。在项目资金拨付和使用过程中，为确保项目资金的安全性，提高项目资金使用效率，严格遵循大额专项资金的拨付程序，认真审核项目实施各阶段的相关材料和手续，根据项目实施进展情况拨付资金。</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2" w:name="page10"/>
      <w:bookmarkEnd w:id="2"/>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项目预算资金来源于塔财预（2020）0907号重点筹集户资金，项目到位资合计1887.25万元，2020年到位资金1300万元，实际支出1300万元，用于支付项目实施进程中的工程款及项目前期各项费用。</w:t>
      </w:r>
    </w:p>
    <w:p>
      <w:pPr>
        <w:pageBreakBefore w:val="0"/>
        <w:kinsoku/>
        <w:wordWrap/>
        <w:overflowPunct/>
        <w:topLinePunct w:val="0"/>
        <w:bidi w:val="0"/>
        <w:snapToGrid/>
        <w:spacing w:line="560" w:lineRule="exact"/>
        <w:ind w:firstLine="641"/>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pStyle w:val="5"/>
        <w:pageBreakBefore w:val="0"/>
        <w:kinsoku/>
        <w:wordWrap/>
        <w:overflowPunct/>
        <w:topLinePunct w:val="0"/>
        <w:bidi w:val="0"/>
        <w:snapToGrid/>
        <w:spacing w:before="0" w:after="0" w:line="560" w:lineRule="exact"/>
        <w:ind w:firstLine="482" w:firstLineChars="150"/>
        <w:rPr>
          <w:rFonts w:hint="eastAsia" w:ascii="仿宋_GB2312" w:hAnsi="仿宋_GB2312" w:eastAsia="仿宋_GB2312" w:cs="仿宋_GB2312"/>
          <w:b/>
          <w:bCs/>
        </w:rPr>
      </w:pPr>
      <w:r>
        <w:rPr>
          <w:rFonts w:hint="eastAsia" w:ascii="仿宋_GB2312" w:hAnsi="仿宋_GB2312" w:eastAsia="仿宋_GB2312" w:cs="仿宋_GB2312"/>
          <w:b/>
          <w:bCs/>
        </w:rPr>
        <w:t>1、总体目标</w:t>
      </w:r>
    </w:p>
    <w:p>
      <w:pPr>
        <w:pageBreakBefore w:val="0"/>
        <w:kinsoku/>
        <w:wordWrap/>
        <w:overflowPunct/>
        <w:topLinePunct w:val="0"/>
        <w:bidi w:val="0"/>
        <w:snapToGrid/>
        <w:spacing w:line="560" w:lineRule="exact"/>
        <w:ind w:firstLine="720" w:firstLineChars="22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人才发展战略的实施，辽塔两地人才交流逐步深入，援疆人才、央企援疆团、博士服务团不断增加，为了留住人才，稳定人才队伍，解决人才团队的后顾之忧，建设人才公寓楼。实现塔城市人才引进，并达到住房办公两点一线，为引进新型人才做好后备力量，节约周转房经费。</w:t>
      </w:r>
    </w:p>
    <w:p>
      <w:pPr>
        <w:pStyle w:val="5"/>
        <w:pageBreakBefore w:val="0"/>
        <w:kinsoku/>
        <w:wordWrap/>
        <w:overflowPunct/>
        <w:topLinePunct w:val="0"/>
        <w:bidi w:val="0"/>
        <w:snapToGrid/>
        <w:spacing w:before="0" w:after="0" w:line="560" w:lineRule="exact"/>
        <w:ind w:firstLine="482" w:firstLineChars="150"/>
        <w:rPr>
          <w:rFonts w:hint="eastAsia" w:ascii="仿宋_GB2312" w:hAnsi="仿宋_GB2312" w:eastAsia="仿宋_GB2312" w:cs="仿宋_GB2312"/>
          <w:b/>
          <w:bCs/>
        </w:rPr>
      </w:pPr>
      <w:r>
        <w:rPr>
          <w:rFonts w:hint="eastAsia" w:ascii="仿宋_GB2312" w:hAnsi="仿宋_GB2312" w:eastAsia="仿宋_GB2312" w:cs="仿宋_GB2312"/>
          <w:b/>
          <w:bCs/>
        </w:rPr>
        <w:t>2、阶段性目标</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（1）前期准备：根据《（新财预〔2019〕37号）》，通过制定项目实施方案，经项目负责人审核通过后，有序开展后续工程。</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塔城市人才公寓楼及配套设施建设方案》要求逐一进行项目部署安排，提高项目质量及效率性。预计2021年11月前完成公寓楼及配套设施建设。</w:t>
      </w:r>
    </w:p>
    <w:p>
      <w:pPr>
        <w:pageBreakBefore w:val="0"/>
        <w:kinsoku/>
        <w:wordWrap/>
        <w:overflowPunct/>
        <w:topLinePunct w:val="0"/>
        <w:bidi w:val="0"/>
        <w:snapToGrid/>
        <w:spacing w:line="560" w:lineRule="exact"/>
        <w:ind w:firstLine="482" w:firstLineChars="150"/>
        <w:contextualSpacing/>
        <w:rPr>
          <w:rFonts w:hint="eastAsia" w:ascii="黑体" w:hAnsi="黑体" w:eastAsia="黑体" w:cs="黑体"/>
          <w:b/>
          <w:bCs/>
          <w:sz w:val="32"/>
          <w:szCs w:val="32"/>
        </w:rPr>
      </w:pPr>
      <w:r>
        <w:rPr>
          <w:rFonts w:hint="eastAsia" w:ascii="黑体" w:hAnsi="黑体" w:eastAsia="黑体" w:cs="黑体"/>
          <w:b/>
          <w:bCs/>
          <w:sz w:val="32"/>
          <w:szCs w:val="32"/>
        </w:rPr>
        <w:t>二、绩效评价工作开展情况</w:t>
      </w:r>
    </w:p>
    <w:p>
      <w:pPr>
        <w:pageBreakBefore w:val="0"/>
        <w:kinsoku/>
        <w:wordWrap/>
        <w:overflowPunct/>
        <w:topLinePunct w:val="0"/>
        <w:bidi w:val="0"/>
        <w:snapToGrid/>
        <w:spacing w:line="560" w:lineRule="exact"/>
        <w:ind w:firstLine="641"/>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pStyle w:val="2"/>
        <w:pageBreakBefore w:val="0"/>
        <w:widowControl w:val="0"/>
        <w:kinsoku/>
        <w:wordWrap/>
        <w:overflowPunct/>
        <w:topLinePunct w:val="0"/>
        <w:bidi w:val="0"/>
        <w:snapToGrid/>
        <w:spacing w:before="0" w:after="0" w:line="560" w:lineRule="exact"/>
        <w:ind w:firstLine="641"/>
        <w:jc w:val="both"/>
        <w:outlineLvl w:val="9"/>
        <w:rPr>
          <w:rFonts w:hint="eastAsia" w:ascii="仿宋_GB2312" w:hAnsi="仿宋_GB2312" w:eastAsia="仿宋_GB2312" w:cs="仿宋_GB2312"/>
          <w:b/>
          <w:bCs/>
          <w:kern w:val="2"/>
        </w:rPr>
      </w:pPr>
      <w:r>
        <w:rPr>
          <w:rFonts w:hint="eastAsia" w:ascii="仿宋_GB2312" w:hAnsi="仿宋_GB2312" w:eastAsia="仿宋_GB2312" w:cs="仿宋_GB2312"/>
          <w:b/>
          <w:bCs/>
          <w:kern w:val="2"/>
        </w:rPr>
        <w:t>1、绩效评价的目的</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旨在通过评价改善预算部门的财政支出管理，优化资源配置及提高公共服务水平。运用科学、规范的绩效评价方法，按照财政部《关于印发&lt;项目支出绩效评价管理办法&gt;的通知》，对《塔城市人才公寓楼及配套设施建设》项目进行科学评价，购置资金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塔城市人才公寓楼及配套设施建设》的有效利用度，进一步提升塔城地区机关事务管理局工作的水平。</w:t>
      </w:r>
    </w:p>
    <w:p>
      <w:pPr>
        <w:pageBreakBefore w:val="0"/>
        <w:numPr>
          <w:ilvl w:val="0"/>
          <w:numId w:val="2"/>
        </w:numPr>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bidi w:val="0"/>
        <w:snapToGrid/>
        <w:spacing w:line="56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（2）项目绩效管理财政支出运行提供及时、有效的信息。综合来看，通过开展有效的财政支出绩效评价管理，达到改进预算管理、控制节约成本，提高预算资金使用效益的目的。</w:t>
      </w:r>
    </w:p>
    <w:p>
      <w:pPr>
        <w:pStyle w:val="2"/>
        <w:pageBreakBefore w:val="0"/>
        <w:widowControl w:val="0"/>
        <w:tabs>
          <w:tab w:val="left" w:pos="5868"/>
        </w:tabs>
        <w:kinsoku/>
        <w:wordWrap/>
        <w:overflowPunct/>
        <w:topLinePunct w:val="0"/>
        <w:bidi w:val="0"/>
        <w:snapToGrid/>
        <w:spacing w:before="0" w:after="0" w:line="560" w:lineRule="exact"/>
        <w:ind w:firstLine="643" w:firstLineChars="200"/>
        <w:jc w:val="both"/>
        <w:outlineLvl w:val="9"/>
        <w:rPr>
          <w:rFonts w:hint="eastAsia" w:ascii="仿宋_GB2312" w:hAnsi="仿宋_GB2312" w:eastAsia="仿宋_GB2312" w:cs="仿宋_GB2312"/>
          <w:b w:val="0"/>
          <w:bCs w:val="0"/>
          <w:kern w:val="2"/>
        </w:rPr>
      </w:pPr>
      <w:r>
        <w:rPr>
          <w:rFonts w:hint="eastAsia" w:ascii="仿宋_GB2312" w:hAnsi="仿宋_GB2312" w:eastAsia="仿宋_GB2312" w:cs="仿宋_GB2312"/>
          <w:b/>
          <w:bCs/>
          <w:kern w:val="2"/>
        </w:rPr>
        <w:t>2绩效评价的对象</w:t>
      </w:r>
      <w:r>
        <w:rPr>
          <w:rFonts w:hint="eastAsia" w:ascii="仿宋_GB2312" w:hAnsi="仿宋_GB2312" w:eastAsia="仿宋_GB2312" w:cs="仿宋_GB2312"/>
          <w:b w:val="0"/>
          <w:bCs w:val="0"/>
          <w:kern w:val="2"/>
        </w:rPr>
        <w:tab/>
      </w:r>
    </w:p>
    <w:p>
      <w:pPr>
        <w:pageBreakBefore w:val="0"/>
        <w:kinsoku/>
        <w:wordWrap/>
        <w:overflowPunct/>
        <w:topLinePunct w:val="0"/>
        <w:bidi w:val="0"/>
        <w:snapToGrid/>
        <w:spacing w:line="56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塔城市人才公寓楼及配套设施建设项目。</w:t>
      </w:r>
    </w:p>
    <w:p>
      <w:pPr>
        <w:pStyle w:val="2"/>
        <w:pageBreakBefore w:val="0"/>
        <w:widowControl w:val="0"/>
        <w:kinsoku/>
        <w:wordWrap/>
        <w:overflowPunct/>
        <w:topLinePunct w:val="0"/>
        <w:bidi w:val="0"/>
        <w:snapToGrid/>
        <w:spacing w:before="0" w:after="0" w:line="560" w:lineRule="exact"/>
        <w:ind w:firstLine="641"/>
        <w:jc w:val="both"/>
        <w:outlineLvl w:val="9"/>
        <w:rPr>
          <w:rFonts w:hint="eastAsia" w:ascii="仿宋_GB2312" w:hAnsi="仿宋_GB2312" w:eastAsia="仿宋_GB2312" w:cs="仿宋_GB2312"/>
          <w:b/>
          <w:bCs/>
          <w:kern w:val="2"/>
        </w:rPr>
      </w:pPr>
      <w:r>
        <w:rPr>
          <w:rFonts w:hint="eastAsia" w:ascii="仿宋_GB2312" w:hAnsi="仿宋_GB2312" w:eastAsia="仿宋_GB2312" w:cs="仿宋_GB2312"/>
          <w:b/>
          <w:bCs/>
          <w:kern w:val="2"/>
        </w:rPr>
        <w:t>3、绩效评价的范围</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从塔城市人才公寓楼及配套设施建设项目的决策、过程、产出、效益等方面进行评价。</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楷体" w:hAnsi="楷体" w:eastAsia="楷体" w:cs="楷体"/>
          <w:b/>
          <w:bCs/>
          <w:sz w:val="32"/>
          <w:szCs w:val="32"/>
        </w:rPr>
        <w:t>（二）绩效评价原则、评价指标体系（详情见表1）</w:t>
      </w:r>
      <w:r>
        <w:rPr>
          <w:rFonts w:hint="eastAsia" w:ascii="仿宋_GB2312" w:hAnsi="仿宋_GB2312" w:eastAsia="仿宋_GB2312" w:cs="仿宋_GB2312"/>
          <w:sz w:val="32"/>
          <w:szCs w:val="32"/>
        </w:rPr>
        <w:t>、评价方法、评价标准。</w:t>
      </w:r>
    </w:p>
    <w:p>
      <w:pPr>
        <w:pStyle w:val="2"/>
        <w:pageBreakBefore w:val="0"/>
        <w:widowControl w:val="0"/>
        <w:kinsoku/>
        <w:wordWrap/>
        <w:overflowPunct/>
        <w:topLinePunct w:val="0"/>
        <w:bidi w:val="0"/>
        <w:snapToGrid/>
        <w:spacing w:before="0" w:after="0" w:line="560" w:lineRule="exact"/>
        <w:jc w:val="both"/>
        <w:outlineLvl w:val="9"/>
        <w:rPr>
          <w:rFonts w:hint="eastAsia" w:ascii="仿宋_GB2312" w:hAnsi="仿宋_GB2312" w:eastAsia="仿宋_GB2312" w:cs="仿宋_GB2312"/>
          <w:b/>
          <w:bCs/>
          <w:kern w:val="2"/>
        </w:rPr>
      </w:pPr>
      <w:bookmarkStart w:id="3" w:name="_Toc407184396"/>
      <w:bookmarkStart w:id="4" w:name="_Toc402181873"/>
      <w:bookmarkStart w:id="5" w:name="_Toc30152846"/>
      <w:r>
        <w:rPr>
          <w:rFonts w:hint="eastAsia" w:ascii="仿宋_GB2312" w:hAnsi="仿宋_GB2312" w:eastAsia="仿宋_GB2312" w:cs="仿宋_GB2312"/>
          <w:b/>
          <w:bCs/>
          <w:kern w:val="2"/>
        </w:rPr>
        <w:t>1、绩效评价原则</w:t>
      </w:r>
    </w:p>
    <w:p>
      <w:pPr>
        <w:pStyle w:val="5"/>
        <w:pageBreakBefore w:val="0"/>
        <w:kinsoku/>
        <w:wordWrap/>
        <w:overflowPunct/>
        <w:topLinePunct w:val="0"/>
        <w:bidi w:val="0"/>
        <w:snapToGrid/>
        <w:spacing w:before="0" w:after="0" w:line="560" w:lineRule="exact"/>
        <w:ind w:firstLine="480" w:firstLineChars="150"/>
        <w:rPr>
          <w:rFonts w:hint="eastAsia"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bookmarkEnd w:id="3"/>
    <w:bookmarkEnd w:id="4"/>
    <w:bookmarkEnd w:id="5"/>
    <w:p>
      <w:pPr>
        <w:pStyle w:val="5"/>
        <w:pageBreakBefore w:val="0"/>
        <w:kinsoku/>
        <w:wordWrap/>
        <w:overflowPunct/>
        <w:topLinePunct w:val="0"/>
        <w:bidi w:val="0"/>
        <w:snapToGrid/>
        <w:spacing w:before="0" w:after="0" w:line="560" w:lineRule="exact"/>
        <w:rPr>
          <w:rFonts w:hint="eastAsia"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（1）确定评价指标</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（2）确定权重</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确定各个指标相对于项目总体绩效的权重分值。在绩效评价指标体系中，项目决策权重占5分，项目过程权重占5分，项目产出权重值占50分，项目效益权重值占40分。</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（3）确定指标标准值</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具体评价指标体系详情见附件1</w:t>
      </w:r>
    </w:p>
    <w:p>
      <w:pPr>
        <w:pStyle w:val="2"/>
        <w:pageBreakBefore w:val="0"/>
        <w:widowControl w:val="0"/>
        <w:kinsoku/>
        <w:wordWrap/>
        <w:overflowPunct/>
        <w:topLinePunct w:val="0"/>
        <w:bidi w:val="0"/>
        <w:snapToGrid/>
        <w:spacing w:before="0" w:after="0" w:line="560" w:lineRule="exact"/>
        <w:jc w:val="both"/>
        <w:outlineLvl w:val="9"/>
        <w:rPr>
          <w:rFonts w:hint="eastAsia" w:ascii="仿宋_GB2312" w:hAnsi="仿宋_GB2312" w:eastAsia="仿宋_GB2312" w:cs="仿宋_GB2312"/>
          <w:b/>
          <w:bCs/>
          <w:kern w:val="2"/>
        </w:rPr>
      </w:pPr>
      <w:r>
        <w:rPr>
          <w:rFonts w:hint="eastAsia" w:ascii="仿宋_GB2312" w:hAnsi="仿宋_GB2312" w:eastAsia="仿宋_GB2312" w:cs="仿宋_GB2312"/>
          <w:b/>
          <w:bCs/>
          <w:kern w:val="2"/>
        </w:rPr>
        <w:t>3、绩效评价方法</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（1）比较法</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（2）因素分析法</w:t>
      </w:r>
    </w:p>
    <w:p>
      <w:pPr>
        <w:pageBreakBefore w:val="0"/>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ageBreakBefore w:val="0"/>
        <w:kinsoku/>
        <w:wordWrap/>
        <w:overflowPunct/>
        <w:topLinePunct w:val="0"/>
        <w:bidi w:val="0"/>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4、绩效评价标准</w:t>
      </w:r>
    </w:p>
    <w:p>
      <w:pPr>
        <w:pageBreakBefore w:val="0"/>
        <w:kinsoku/>
        <w:wordWrap/>
        <w:overflowPunct/>
        <w:topLinePunct w:val="0"/>
        <w:bidi w:val="0"/>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绩效评价标准通常包括计划标准、行业标准、历史标准等，用于对绩效指标完成情况进行比较。本次评价主要采用了计划标准和行业标准。</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（三）绩效评价工作过程</w:t>
      </w:r>
    </w:p>
    <w:p>
      <w:pPr>
        <w:pageBreakBefore w:val="0"/>
        <w:kinsoku/>
        <w:wordWrap/>
        <w:overflowPunct/>
        <w:topLinePunct w:val="0"/>
        <w:bidi w:val="0"/>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bidi w:val="0"/>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bidi w:val="0"/>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bidi w:val="0"/>
        <w:snapToGrid/>
        <w:spacing w:line="560" w:lineRule="exact"/>
        <w:ind w:firstLine="643" w:firstLineChars="200"/>
        <w:contextualSpacing/>
        <w:rPr>
          <w:rFonts w:hint="eastAsia" w:ascii="黑体" w:hAnsi="黑体" w:eastAsia="黑体" w:cs="黑体"/>
          <w:b/>
          <w:bCs/>
          <w:sz w:val="32"/>
          <w:szCs w:val="32"/>
        </w:rPr>
      </w:pPr>
      <w:r>
        <w:rPr>
          <w:rFonts w:hint="eastAsia" w:ascii="黑体" w:hAnsi="黑体" w:eastAsia="黑体" w:cs="黑体"/>
          <w:b/>
          <w:bCs/>
          <w:sz w:val="32"/>
          <w:szCs w:val="32"/>
        </w:rPr>
        <w:t>三、综合评价情况及评价结论</w:t>
      </w:r>
    </w:p>
    <w:p>
      <w:pPr>
        <w:pageBreakBefore w:val="0"/>
        <w:kinsoku/>
        <w:wordWrap/>
        <w:overflowPunct/>
        <w:topLinePunct w:val="0"/>
        <w:bidi w:val="0"/>
        <w:snapToGrid/>
        <w:spacing w:line="560" w:lineRule="exact"/>
        <w:ind w:firstLine="640" w:firstLineChars="200"/>
        <w:contextualSpacing/>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运用由项目组制订评价指标体系及评分标准，通过数据采集、问卷调查及访谈，对塔城市人才公寓楼及配套设施建设项目进行客观评价，最终评分结果：总得分为95.55分，属于“优”。其中：其中：决策类指标权重为5分，得分为4.85分，得分率为97%；过程类指标权重为5分，得分为4.7分，得分率为94%；产出类指标权重为50分，得分为50分，得分率为100%；项目效益类指标权重为40分，得分为36分，得分率90%。</w:t>
      </w:r>
    </w:p>
    <w:p>
      <w:pPr>
        <w:pageBreakBefore w:val="0"/>
        <w:kinsoku/>
        <w:wordWrap/>
        <w:overflowPunct/>
        <w:topLinePunct w:val="0"/>
        <w:bidi w:val="0"/>
        <w:snapToGrid/>
        <w:spacing w:line="560" w:lineRule="exact"/>
        <w:ind w:firstLine="640" w:firstLineChars="200"/>
        <w:contextualSpacing/>
        <w:jc w:val="center"/>
        <w:rPr>
          <w:rFonts w:ascii="方正仿宋_GBK" w:hAnsi="仿宋" w:eastAsia="方正仿宋_GBK" w:cs="宋体"/>
          <w:sz w:val="32"/>
          <w:szCs w:val="32"/>
        </w:rPr>
      </w:pPr>
      <w:r>
        <w:rPr>
          <w:rFonts w:hint="eastAsia" w:ascii="方正仿宋_GBK" w:hAnsi="仿宋" w:eastAsia="方正仿宋_GBK" w:cs="宋体"/>
          <w:sz w:val="32"/>
          <w:szCs w:val="32"/>
        </w:rPr>
        <w:t>表1综合评分表</w:t>
      </w:r>
    </w:p>
    <w:p>
      <w:pPr>
        <w:pageBreakBefore w:val="0"/>
        <w:kinsoku/>
        <w:wordWrap/>
        <w:overflowPunct/>
        <w:topLinePunct w:val="0"/>
        <w:bidi w:val="0"/>
        <w:snapToGrid/>
        <w:spacing w:line="560" w:lineRule="exact"/>
      </w:pPr>
    </w:p>
    <w:p>
      <w:pPr>
        <w:pageBreakBefore w:val="0"/>
        <w:kinsoku/>
        <w:wordWrap/>
        <w:overflowPunct/>
        <w:topLinePunct w:val="0"/>
        <w:bidi w:val="0"/>
        <w:snapToGrid/>
        <w:spacing w:line="560" w:lineRule="exact"/>
      </w:pPr>
    </w:p>
    <w:tbl>
      <w:tblPr>
        <w:tblStyle w:val="24"/>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694"/>
        <w:gridCol w:w="1077"/>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tabs>
                <w:tab w:val="left" w:pos="2536"/>
              </w:tabs>
              <w:kinsoku/>
              <w:wordWrap/>
              <w:overflowPunct/>
              <w:topLinePunct w:val="0"/>
              <w:bidi w:val="0"/>
              <w:snapToGrid/>
              <w:spacing w:line="560" w:lineRule="exact"/>
              <w:rPr>
                <w:rFonts w:ascii="宋体" w:hAnsi="宋体" w:cs="宋体"/>
                <w:b/>
                <w:bCs/>
                <w:color w:val="000000"/>
                <w:kern w:val="0"/>
                <w:sz w:val="22"/>
                <w:szCs w:val="22"/>
              </w:rPr>
            </w:pPr>
            <w:r>
              <w:rPr>
                <w:rFonts w:hint="eastAsia" w:ascii="Times New Roman" w:hAnsi="Times New Roman" w:eastAsia="方正仿宋_GBK"/>
                <w:sz w:val="32"/>
                <w:szCs w:val="32"/>
              </w:rPr>
              <w:tab/>
            </w: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694" w:type="dxa"/>
            <w:shd w:val="clear" w:color="auto" w:fill="BFBFBF"/>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77"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bidi w:val="0"/>
              <w:snapToGri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69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7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69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7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0.95</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69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69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69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0.8</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69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07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924"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27</w:t>
            </w:r>
          </w:p>
        </w:tc>
        <w:tc>
          <w:tcPr>
            <w:tcW w:w="1215"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960"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69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77"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1215"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960" w:type="dxa"/>
            <w:shd w:val="clear" w:color="000000" w:fill="FFFFFF"/>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w:t>
            </w:r>
          </w:p>
        </w:tc>
      </w:tr>
    </w:tbl>
    <w:p>
      <w:pPr>
        <w:pageBreakBefore w:val="0"/>
        <w:kinsoku/>
        <w:wordWrap/>
        <w:overflowPunct/>
        <w:topLinePunct w:val="0"/>
        <w:bidi w:val="0"/>
        <w:snapToGrid/>
        <w:spacing w:line="560" w:lineRule="exact"/>
        <w:ind w:firstLine="482" w:firstLineChars="150"/>
        <w:contextualSpacing/>
        <w:rPr>
          <w:rFonts w:hint="eastAsia" w:ascii="黑体" w:hAnsi="黑体" w:eastAsia="黑体" w:cs="黑体"/>
          <w:b/>
          <w:bCs/>
          <w:sz w:val="32"/>
          <w:szCs w:val="32"/>
        </w:rPr>
      </w:pPr>
      <w:r>
        <w:rPr>
          <w:rFonts w:hint="eastAsia" w:ascii="黑体" w:hAnsi="黑体" w:eastAsia="黑体" w:cs="黑体"/>
          <w:b/>
          <w:bCs/>
          <w:sz w:val="32"/>
          <w:szCs w:val="32"/>
        </w:rPr>
        <w:t>四、绩效评价指标分析</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项目决策指标从项目立项、绩效目标、资金投入3个方面对项目的决策进行考察，项目决策类指标分值5分，实际得分4.85分，得分率97%。项目决策指标得分情况如表所示。</w:t>
      </w:r>
    </w:p>
    <w:tbl>
      <w:tblPr>
        <w:tblStyle w:val="24"/>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bidi w:val="0"/>
              <w:snapToGrid/>
              <w:spacing w:line="560" w:lineRule="exact"/>
              <w:jc w:val="center"/>
              <w:rPr>
                <w:rFonts w:ascii="方正仿宋_GBK" w:hAnsi="仿宋" w:eastAsia="方正仿宋_GBK" w:cs="宋体"/>
                <w:sz w:val="32"/>
                <w:szCs w:val="32"/>
              </w:rPr>
            </w:pPr>
            <w:r>
              <w:rPr>
                <w:rFonts w:hint="eastAsia" w:ascii="方正仿宋_GBK" w:hAnsi="仿宋" w:eastAsia="方正仿宋_GBK" w:cs="宋体"/>
                <w:sz w:val="32"/>
                <w:szCs w:val="32"/>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92.5%</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1.85</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97%</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4.85</w:t>
            </w:r>
          </w:p>
        </w:tc>
      </w:tr>
    </w:tbl>
    <w:p>
      <w:pPr>
        <w:pStyle w:val="5"/>
        <w:keepNext w:val="0"/>
        <w:keepLines w:val="0"/>
        <w:pageBreakBefore w:val="0"/>
        <w:kinsoku/>
        <w:wordWrap/>
        <w:overflowPunct/>
        <w:topLinePunct w:val="0"/>
        <w:bidi w:val="0"/>
        <w:snapToGrid/>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 xml:space="preserve">对于“项目立项”，机关事务管理局《塔城市人才公寓楼及配套设施建设》项目批复等有关要求，在合理工期内完成工程建设任务，保障工程建设质量，有效控制投资概算，实现项目批复要求的经济、社会、可持续影响效益指标。项目的立项符合规划，项目单位的绩效指标设置表述清晰、设置合理、指标设置完整，但是项目立项报告中未包含车库绿化等内容，项目也未开展可行性研究等前期手续。根据评分标准，实际得分率为100%。 </w:t>
      </w:r>
    </w:p>
    <w:p>
      <w:pPr>
        <w:pStyle w:val="5"/>
        <w:keepNext w:val="0"/>
        <w:keepLines w:val="0"/>
        <w:pageBreakBefore w:val="0"/>
        <w:kinsoku/>
        <w:wordWrap/>
        <w:overflowPunct/>
        <w:topLinePunct w:val="0"/>
        <w:bidi w:val="0"/>
        <w:snapToGrid/>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对于“绩效目标”，机关事务管理局针对《塔城市人才公寓楼及配套设施建设》项目，设置了较为详细的项目支出绩效目标，项目绩效目标的设置，满足合理性和明确性的要求，但是分年度目标中分年度目标设置不够详细。根据评分标准，该指标实际得分率92.5%。</w:t>
      </w:r>
    </w:p>
    <w:p>
      <w:pPr>
        <w:pStyle w:val="5"/>
        <w:keepNext w:val="0"/>
        <w:keepLines w:val="0"/>
        <w:pageBreakBefore w:val="0"/>
        <w:kinsoku/>
        <w:wordWrap/>
        <w:overflowPunct/>
        <w:topLinePunct w:val="0"/>
        <w:bidi w:val="0"/>
        <w:snapToGrid/>
        <w:spacing w:before="0" w:after="0" w:line="560" w:lineRule="exact"/>
        <w:ind w:firstLine="640" w:firstLineChars="200"/>
        <w:rPr>
          <w:rFonts w:hint="eastAsia" w:ascii="仿宋_GB2312" w:hAnsi="仿宋_GB2312" w:eastAsia="仿宋_GB2312" w:cs="仿宋_GB2312"/>
          <w:b w:val="0"/>
          <w:bCs w:val="0"/>
        </w:rPr>
      </w:pPr>
      <w:r>
        <w:rPr>
          <w:rFonts w:hint="eastAsia" w:ascii="仿宋_GB2312" w:hAnsi="仿宋_GB2312" w:eastAsia="仿宋_GB2312" w:cs="仿宋_GB2312"/>
          <w:b w:val="0"/>
          <w:bCs w:val="0"/>
        </w:rPr>
        <w:t>对于“资金投入”，机关事务管理局针对《塔城市人才公寓楼及配套设施建设》项目，资金全部投入到位，总投资5000万元。根据评分标准，该指标实际得分率100%。</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（二）项目过程情况。</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管理指标从资金到位率、预算执行率、资金使用合规性、管理制度健全性、制度执行有效性5个方面对项目的管理情况进行考察。项目管理类指标分值5分，实际得分4.7分，得分率为100%。项目管理指标得分情况如表所示。</w:t>
      </w:r>
    </w:p>
    <w:tbl>
      <w:tblPr>
        <w:tblStyle w:val="24"/>
        <w:tblW w:w="8522" w:type="dxa"/>
        <w:tblInd w:w="0" w:type="dxa"/>
        <w:tblLayout w:type="fixed"/>
        <w:tblCellMar>
          <w:top w:w="0" w:type="dxa"/>
          <w:left w:w="108" w:type="dxa"/>
          <w:bottom w:w="0" w:type="dxa"/>
          <w:right w:w="108" w:type="dxa"/>
        </w:tblCellMar>
      </w:tblPr>
      <w:tblGrid>
        <w:gridCol w:w="2232"/>
        <w:gridCol w:w="2407"/>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24"/>
              </w:rPr>
            </w:pPr>
            <w:r>
              <w:rPr>
                <w:rFonts w:hint="eastAsia" w:ascii="宋体" w:hAnsi="宋体" w:cs="宋体"/>
                <w:color w:val="000000"/>
                <w:kern w:val="0"/>
                <w:sz w:val="24"/>
              </w:rPr>
              <w:t>项目管理指标得分情况</w:t>
            </w:r>
          </w:p>
        </w:tc>
      </w:tr>
      <w:tr>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三级指标</w:t>
            </w:r>
          </w:p>
        </w:tc>
        <w:tc>
          <w:tcPr>
            <w:tcW w:w="240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宋体" w:hAnsi="宋体" w:cs="宋体"/>
                <w:b/>
                <w:bCs/>
                <w:color w:val="000000"/>
                <w:kern w:val="0"/>
                <w:sz w:val="24"/>
              </w:rPr>
            </w:pPr>
            <w:r>
              <w:rPr>
                <w:rFonts w:hint="eastAsia" w:ascii="宋体" w:hAnsi="宋体" w:cs="宋体"/>
                <w:b/>
                <w:bCs/>
                <w:color w:val="000000"/>
                <w:kern w:val="0"/>
                <w:sz w:val="24"/>
              </w:rPr>
              <w:t>实际得分</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sz w:val="18"/>
                <w:szCs w:val="18"/>
              </w:rPr>
              <w:t>预算执行率</w:t>
            </w:r>
          </w:p>
        </w:tc>
        <w:tc>
          <w:tcPr>
            <w:tcW w:w="240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sz w:val="18"/>
                <w:szCs w:val="18"/>
              </w:rPr>
              <w:t>资金使用合规性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sz w:val="18"/>
                <w:szCs w:val="18"/>
              </w:rPr>
              <w:t>管理制度健全性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0.8</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制度执行有效性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0.9</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合  计</w:t>
            </w:r>
          </w:p>
        </w:tc>
        <w:tc>
          <w:tcPr>
            <w:tcW w:w="240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94%</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4.7</w:t>
            </w:r>
          </w:p>
        </w:tc>
      </w:tr>
    </w:tbl>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对于“预算执行率”，项目经过向本级财政申请资金，2019-2020年财政拨款资金1887.25万元，项目资金预算经过集体讨论，并经批复。项目预算资金为5000万元，实际使用1887.25万元。</w:t>
      </w:r>
      <w:r>
        <w:rPr>
          <w:rFonts w:hint="eastAsia" w:ascii="仿宋_GB2312" w:hAnsi="仿宋_GB2312" w:eastAsia="仿宋_GB2312" w:cs="仿宋_GB2312"/>
          <w:color w:val="000000"/>
          <w:sz w:val="32"/>
          <w:szCs w:val="32"/>
        </w:rPr>
        <w:t>根据评分标准，该指标实际得分率100%。</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对于“资金到位率”，项目资金到位及时，到位率为100%。根据评分标准，该指标不扣分。</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塔城市人才公寓楼及配套设施建设项目地区机关事务管理局按照专项资金列支的范围使用资金，支出范围合规；资金支出能按财务制度执行，并能按国库集中支付制度规定执行，不存在资金违纪违规使用情况。按评分标准，指标实际得分率100%。</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w:t>
      </w:r>
      <w:r>
        <w:rPr>
          <w:rFonts w:hint="eastAsia" w:ascii="仿宋_GB2312" w:hAnsi="仿宋_GB2312" w:eastAsia="仿宋_GB2312" w:cs="仿宋_GB2312"/>
          <w:color w:val="000000"/>
          <w:sz w:val="32"/>
          <w:szCs w:val="32"/>
        </w:rPr>
        <w:t>机关事务管理局《</w:t>
      </w:r>
      <w:r>
        <w:rPr>
          <w:rFonts w:hint="eastAsia" w:ascii="仿宋_GB2312" w:hAnsi="仿宋_GB2312" w:eastAsia="仿宋_GB2312" w:cs="仿宋_GB2312"/>
          <w:sz w:val="32"/>
          <w:szCs w:val="32"/>
        </w:rPr>
        <w:t>塔城市人才公寓楼及配套设施建设》</w:t>
      </w:r>
      <w:r>
        <w:rPr>
          <w:rFonts w:hint="eastAsia" w:ascii="仿宋_GB2312" w:hAnsi="仿宋_GB2312" w:eastAsia="仿宋_GB2312" w:cs="仿宋_GB2312"/>
          <w:color w:val="000000"/>
          <w:sz w:val="32"/>
          <w:szCs w:val="32"/>
        </w:rPr>
        <w:t>项目</w:t>
      </w:r>
      <w:r>
        <w:rPr>
          <w:rFonts w:hint="eastAsia" w:ascii="仿宋_GB2312" w:hAnsi="仿宋_GB2312" w:eastAsia="仿宋_GB2312" w:cs="仿宋_GB2312"/>
          <w:sz w:val="32"/>
          <w:szCs w:val="32"/>
        </w:rPr>
        <w:t>机关事务管理局机构健全，分工明确，不存在不相容岗位兼任情况。加强项目现场负责人的技术水平，根据评分标准，该指标实际得分率80%。</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对于“制度执行有效性”，塔城地区</w:t>
      </w:r>
      <w:r>
        <w:rPr>
          <w:rFonts w:hint="eastAsia" w:ascii="仿宋_GB2312" w:hAnsi="仿宋_GB2312" w:eastAsia="仿宋_GB2312" w:cs="仿宋_GB2312"/>
          <w:color w:val="000000"/>
          <w:sz w:val="32"/>
          <w:szCs w:val="32"/>
        </w:rPr>
        <w:t>机关事务管理局行署新建车库及维修车间项目</w:t>
      </w:r>
      <w:r>
        <w:rPr>
          <w:rFonts w:hint="eastAsia" w:ascii="仿宋_GB2312" w:hAnsi="仿宋_GB2312" w:eastAsia="仿宋_GB2312" w:cs="仿宋_GB2312"/>
          <w:sz w:val="32"/>
          <w:szCs w:val="32"/>
        </w:rPr>
        <w:t>制定了项目资金管理制度，管理制度包括预算、资产、采购等管理办法；项目建设由地区发改委批复实施内容及规模，塔城地区机关事务管理局遵照实施。项目管理职责不完善，根据评分标准，该指标得分率90%。</w:t>
      </w:r>
    </w:p>
    <w:p>
      <w:pPr>
        <w:pageBreakBefore w:val="0"/>
        <w:kinsoku/>
        <w:wordWrap/>
        <w:overflowPunct/>
        <w:topLinePunct w:val="0"/>
        <w:bidi w:val="0"/>
        <w:snapToGrid/>
        <w:spacing w:line="560" w:lineRule="exact"/>
        <w:ind w:firstLine="643" w:firstLineChars="200"/>
        <w:contextualSpacing/>
        <w:rPr>
          <w:rFonts w:hint="eastAsia" w:ascii="楷体" w:hAnsi="楷体" w:eastAsia="楷体" w:cs="楷体"/>
          <w:b/>
          <w:bCs/>
          <w:sz w:val="32"/>
          <w:szCs w:val="32"/>
        </w:rPr>
      </w:pPr>
      <w:r>
        <w:rPr>
          <w:rFonts w:hint="eastAsia" w:ascii="楷体" w:hAnsi="楷体" w:eastAsia="楷体" w:cs="楷体"/>
          <w:b/>
          <w:bCs/>
          <w:sz w:val="32"/>
          <w:szCs w:val="32"/>
        </w:rPr>
        <w:t>（三）项目产出情况。</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项目绩效主要从项目产出的产出数量、产出质量、产出时效、产出成本情况4个方面对项目的绩效情况进行评价。项目绩效类指标分值50分，实际得分50分，得分率为100%。项目绩效指标得分情况如表所示：</w:t>
      </w:r>
    </w:p>
    <w:tbl>
      <w:tblPr>
        <w:tblStyle w:val="24"/>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三级指标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hint="eastAsia"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p>
            <w:pPr>
              <w:pStyle w:val="2"/>
              <w:pageBreakBefore w:val="0"/>
              <w:kinsoku/>
              <w:wordWrap/>
              <w:overflowPunct/>
              <w:topLinePunct w:val="0"/>
              <w:bidi w:val="0"/>
              <w:snapToGrid/>
              <w:spacing w:before="0" w:after="0" w:line="560" w:lineRule="exact"/>
              <w:jc w:val="center"/>
              <w:rPr>
                <w:rFonts w:hint="eastAsia" w:ascii="宋体" w:hAnsi="宋体" w:eastAsia="宋体" w:cs="宋体"/>
                <w:sz w:val="18"/>
                <w:szCs w:val="18"/>
              </w:rPr>
            </w:pPr>
            <w:r>
              <w:rPr>
                <w:rFonts w:hint="eastAsia" w:ascii="宋体" w:hAnsi="宋体" w:eastAsia="宋体" w:cs="宋体"/>
                <w:sz w:val="18"/>
                <w:szCs w:val="18"/>
              </w:rPr>
              <w:t>5</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r>
    </w:tbl>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对于“产出数量”，又具体分为3个明细指标进行评价，具体见下表：</w:t>
      </w:r>
    </w:p>
    <w:p>
      <w:pPr>
        <w:pStyle w:val="2"/>
        <w:pageBreakBefore w:val="0"/>
        <w:kinsoku/>
        <w:wordWrap/>
        <w:overflowPunct/>
        <w:topLinePunct w:val="0"/>
        <w:bidi w:val="0"/>
        <w:snapToGrid/>
        <w:spacing w:before="0" w:after="0" w:line="560" w:lineRule="exact"/>
        <w:rPr>
          <w:rFonts w:hint="eastAsia"/>
        </w:rPr>
      </w:pPr>
    </w:p>
    <w:tbl>
      <w:tblPr>
        <w:tblStyle w:val="24"/>
        <w:tblW w:w="8556" w:type="dxa"/>
        <w:tblInd w:w="-34" w:type="dxa"/>
        <w:tblLayout w:type="fixed"/>
        <w:tblCellMar>
          <w:top w:w="0" w:type="dxa"/>
          <w:left w:w="108" w:type="dxa"/>
          <w:bottom w:w="0" w:type="dxa"/>
          <w:right w:w="108" w:type="dxa"/>
        </w:tblCellMar>
      </w:tblPr>
      <w:tblGrid>
        <w:gridCol w:w="3828"/>
        <w:gridCol w:w="1701"/>
        <w:gridCol w:w="1416"/>
        <w:gridCol w:w="1611"/>
      </w:tblGrid>
      <w:tr>
        <w:tblPrEx>
          <w:tblCellMar>
            <w:top w:w="0" w:type="dxa"/>
            <w:left w:w="108" w:type="dxa"/>
            <w:bottom w:w="0" w:type="dxa"/>
            <w:right w:w="108" w:type="dxa"/>
          </w:tblCellMar>
        </w:tblPrEx>
        <w:trPr>
          <w:trHeight w:val="555" w:hRule="atLeast"/>
          <w:tblHeader/>
        </w:trPr>
        <w:tc>
          <w:tcPr>
            <w:tcW w:w="8556" w:type="dxa"/>
            <w:gridSpan w:val="4"/>
            <w:tcBorders>
              <w:top w:val="nil"/>
              <w:left w:val="nil"/>
              <w:bottom w:val="nil"/>
              <w:right w:val="nil"/>
            </w:tcBorders>
            <w:noWrap/>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项目产出数量指标得分情况</w:t>
            </w:r>
          </w:p>
        </w:tc>
      </w:tr>
      <w:tr>
        <w:tblPrEx>
          <w:tblCellMar>
            <w:top w:w="0" w:type="dxa"/>
            <w:left w:w="108" w:type="dxa"/>
            <w:bottom w:w="0" w:type="dxa"/>
            <w:right w:w="108" w:type="dxa"/>
          </w:tblCellMar>
        </w:tblPrEx>
        <w:trPr>
          <w:trHeight w:val="510" w:hRule="exact"/>
          <w:tblHeader/>
        </w:trPr>
        <w:tc>
          <w:tcPr>
            <w:tcW w:w="3828" w:type="dxa"/>
            <w:tcBorders>
              <w:top w:val="single" w:color="auto" w:sz="8" w:space="0"/>
              <w:left w:val="single" w:color="auto" w:sz="8" w:space="0"/>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三级明细指标</w:t>
            </w:r>
          </w:p>
        </w:tc>
        <w:tc>
          <w:tcPr>
            <w:tcW w:w="170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416"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611" w:type="dxa"/>
            <w:tcBorders>
              <w:top w:val="single" w:color="auto" w:sz="8" w:space="0"/>
              <w:left w:val="nil"/>
              <w:bottom w:val="nil"/>
              <w:right w:val="single" w:color="auto" w:sz="8" w:space="0"/>
            </w:tcBorders>
            <w:shd w:val="clear" w:color="000000" w:fill="A6A6A6"/>
            <w:vAlign w:val="center"/>
          </w:tcPr>
          <w:p>
            <w:pPr>
              <w:pageBreakBefore w:val="0"/>
              <w:widowControl/>
              <w:kinsoku/>
              <w:wordWrap/>
              <w:overflowPunct/>
              <w:topLinePunct w:val="0"/>
              <w:bidi w:val="0"/>
              <w:snapToGri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3828"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bidi w:val="0"/>
              <w:snapToGrid/>
              <w:spacing w:line="560" w:lineRule="exact"/>
              <w:jc w:val="left"/>
              <w:rPr>
                <w:rFonts w:hint="eastAsia" w:ascii="宋体" w:hAnsi="宋体" w:eastAsia="宋体" w:cs="宋体"/>
                <w:color w:val="000000"/>
                <w:sz w:val="18"/>
                <w:szCs w:val="18"/>
              </w:rPr>
            </w:pPr>
            <w:r>
              <w:rPr>
                <w:rFonts w:hint="eastAsia" w:ascii="宋体" w:hAnsi="宋体" w:eastAsia="宋体" w:cs="宋体"/>
                <w:color w:val="000000"/>
                <w:kern w:val="0"/>
                <w:sz w:val="18"/>
                <w:szCs w:val="18"/>
              </w:rPr>
              <w:t>建筑面积29110㎡</w:t>
            </w:r>
          </w:p>
        </w:tc>
        <w:tc>
          <w:tcPr>
            <w:tcW w:w="170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41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tblPrEx>
          <w:tblCellMar>
            <w:top w:w="0" w:type="dxa"/>
            <w:left w:w="108" w:type="dxa"/>
            <w:bottom w:w="0" w:type="dxa"/>
            <w:right w:w="108" w:type="dxa"/>
          </w:tblCellMar>
        </w:tblPrEx>
        <w:trPr>
          <w:trHeight w:val="510" w:hRule="exact"/>
        </w:trPr>
        <w:tc>
          <w:tcPr>
            <w:tcW w:w="382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新建公寓160套</w:t>
            </w:r>
          </w:p>
        </w:tc>
        <w:tc>
          <w:tcPr>
            <w:tcW w:w="170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41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r>
      <w:tr>
        <w:tblPrEx>
          <w:tblCellMar>
            <w:top w:w="0" w:type="dxa"/>
            <w:left w:w="108" w:type="dxa"/>
            <w:bottom w:w="0" w:type="dxa"/>
            <w:right w:w="108" w:type="dxa"/>
          </w:tblCellMar>
        </w:tblPrEx>
        <w:trPr>
          <w:trHeight w:val="510" w:hRule="exact"/>
        </w:trPr>
        <w:tc>
          <w:tcPr>
            <w:tcW w:w="3828"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70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416" w:type="dxa"/>
            <w:tcBorders>
              <w:top w:val="nil"/>
              <w:left w:val="nil"/>
              <w:bottom w:val="single" w:color="auto" w:sz="4" w:space="0"/>
              <w:right w:val="single" w:color="auto" w:sz="4" w:space="0"/>
            </w:tcBorders>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611" w:type="dxa"/>
            <w:tcBorders>
              <w:top w:val="nil"/>
              <w:left w:val="nil"/>
              <w:bottom w:val="single" w:color="auto" w:sz="4" w:space="0"/>
              <w:right w:val="single" w:color="auto" w:sz="4" w:space="0"/>
            </w:tcBorders>
            <w:noWrap/>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r>
    </w:tbl>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对于“产出数量”，塔城地区机关事务管理局《塔城市人才公寓楼及配套设施建设》项目，数量指标1建筑面积：本年目标值设定为建设施工面积为</w:t>
      </w:r>
      <w:r>
        <w:rPr>
          <w:rFonts w:hint="eastAsia" w:ascii="仿宋_GB2312" w:hAnsi="仿宋_GB2312" w:eastAsia="仿宋_GB2312" w:cs="仿宋_GB2312"/>
          <w:sz w:val="32"/>
          <w:szCs w:val="32"/>
          <w:lang w:val="en-US" w:eastAsia="zh-CN"/>
        </w:rPr>
        <w:t>19970</w:t>
      </w:r>
      <w:r>
        <w:rPr>
          <w:rFonts w:hint="eastAsia" w:ascii="仿宋_GB2312" w:hAnsi="仿宋_GB2312" w:eastAsia="仿宋_GB2312" w:cs="仿宋_GB2312"/>
          <w:sz w:val="32"/>
          <w:szCs w:val="32"/>
        </w:rPr>
        <w:t>㎡，实际完成</w:t>
      </w:r>
      <w:r>
        <w:rPr>
          <w:rFonts w:hint="eastAsia" w:ascii="仿宋_GB2312" w:hAnsi="仿宋_GB2312" w:eastAsia="仿宋_GB2312" w:cs="仿宋_GB2312"/>
          <w:sz w:val="32"/>
          <w:szCs w:val="32"/>
          <w:lang w:val="en-US" w:eastAsia="zh-CN"/>
        </w:rPr>
        <w:t>19970</w:t>
      </w:r>
      <w:r>
        <w:rPr>
          <w:rFonts w:hint="eastAsia" w:ascii="仿宋_GB2312" w:hAnsi="仿宋_GB2312" w:eastAsia="仿宋_GB2312" w:cs="仿宋_GB2312"/>
          <w:sz w:val="32"/>
          <w:szCs w:val="32"/>
        </w:rPr>
        <w:t>㎡，数量指标2新建公寓：本年目标值设定为完成160套公寓，实际完成160套，根据评分标准，该指标实际得分率100%。</w:t>
      </w:r>
    </w:p>
    <w:p>
      <w:pPr>
        <w:pageBreakBefore w:val="0"/>
        <w:kinsoku/>
        <w:wordWrap/>
        <w:overflowPunct/>
        <w:topLinePunct w:val="0"/>
        <w:bidi w:val="0"/>
        <w:snapToGrid/>
        <w:spacing w:line="560" w:lineRule="exact"/>
        <w:ind w:firstLine="627" w:firstLineChars="19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对于“产出质量”，本年质量指标目标值设定为：质量达标率100%，根据合同规定完成工程质量达到工程质量评定标准，实际完成达标率100%，根据评分标准，该指标不扣分。</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对于“产出时效”，指标设定完成及时性：本年目标值设定为100%，实际完成：100%，已按建设合同规定日期完成了工程量，按指标评分标准，该指标不扣分。</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对于“成本情况”，本年质量指标目标值设定为：施工建设成本：1300万元，实际完成投资额：1300万元，当年财政拨付工程资金为1300万元</w:t>
      </w:r>
      <w:r>
        <w:rPr>
          <w:rFonts w:hint="eastAsia" w:ascii="仿宋_GB2312" w:hAnsi="仿宋_GB2312" w:eastAsia="仿宋_GB2312" w:cs="仿宋_GB2312"/>
          <w:sz w:val="32"/>
          <w:szCs w:val="32"/>
          <w:lang w:eastAsia="zh-CN"/>
        </w:rPr>
        <w:t>。</w:t>
      </w:r>
      <w:bookmarkStart w:id="6" w:name="_GoBack"/>
      <w:bookmarkEnd w:id="6"/>
    </w:p>
    <w:p>
      <w:pPr>
        <w:pageBreakBefore w:val="0"/>
        <w:kinsoku/>
        <w:wordWrap/>
        <w:overflowPunct/>
        <w:topLinePunct w:val="0"/>
        <w:bidi w:val="0"/>
        <w:snapToGrid/>
        <w:spacing w:line="560" w:lineRule="exact"/>
        <w:ind w:firstLine="480" w:firstLineChars="15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（四）效益情况。</w:t>
      </w:r>
    </w:p>
    <w:p>
      <w:pPr>
        <w:pageBreakBefore w:val="0"/>
        <w:kinsoku/>
        <w:wordWrap/>
        <w:overflowPunct/>
        <w:topLinePunct w:val="0"/>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项目绩效主要从项目的经济效益、社会效益、可持续影响指标、服务对象满意度4个方面对项目的绩效情况进行评价。项目绩效类指标分值40分，实际得分36分，得分率为90%。项目绩效指标得分情况如表所示：</w:t>
      </w:r>
    </w:p>
    <w:tbl>
      <w:tblPr>
        <w:tblStyle w:val="24"/>
        <w:tblW w:w="8324" w:type="dxa"/>
        <w:tblInd w:w="0" w:type="dxa"/>
        <w:tblLayout w:type="fixed"/>
        <w:tblCellMar>
          <w:top w:w="0" w:type="dxa"/>
          <w:left w:w="0" w:type="dxa"/>
          <w:bottom w:w="0" w:type="dxa"/>
          <w:right w:w="0" w:type="dxa"/>
        </w:tblCellMar>
      </w:tblPr>
      <w:tblGrid>
        <w:gridCol w:w="1509"/>
        <w:gridCol w:w="3133"/>
        <w:gridCol w:w="1639"/>
        <w:gridCol w:w="1021"/>
        <w:gridCol w:w="1022"/>
      </w:tblGrid>
      <w:tr>
        <w:tblPrEx>
          <w:tblCellMar>
            <w:top w:w="0" w:type="dxa"/>
            <w:left w:w="0" w:type="dxa"/>
            <w:bottom w:w="0" w:type="dxa"/>
            <w:right w:w="0" w:type="dxa"/>
          </w:tblCellMar>
        </w:tblPrEx>
        <w:trPr>
          <w:trHeight w:val="260" w:hRule="atLeast"/>
        </w:trPr>
        <w:tc>
          <w:tcPr>
            <w:tcW w:w="46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ascii="宋体" w:hAnsi="宋体" w:cs="宋体"/>
                <w:color w:val="000000"/>
                <w:sz w:val="20"/>
                <w:szCs w:val="20"/>
              </w:rPr>
            </w:pPr>
            <w:r>
              <w:rPr>
                <w:rFonts w:hint="eastAsia" w:ascii="宋体" w:hAnsi="宋体" w:cs="宋体"/>
                <w:color w:val="000000"/>
                <w:kern w:val="0"/>
                <w:sz w:val="20"/>
                <w:szCs w:val="20"/>
              </w:rPr>
              <w:t>三级指标</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ascii="宋体" w:hAnsi="宋体" w:cs="宋体"/>
                <w:color w:val="000000"/>
                <w:sz w:val="20"/>
                <w:szCs w:val="20"/>
              </w:rPr>
            </w:pPr>
            <w:r>
              <w:rPr>
                <w:rFonts w:hint="eastAsia" w:ascii="宋体" w:hAnsi="宋体" w:cs="宋体"/>
                <w:color w:val="000000"/>
                <w:kern w:val="0"/>
                <w:sz w:val="20"/>
                <w:szCs w:val="20"/>
              </w:rPr>
              <w:t>分值</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ascii="宋体" w:hAnsi="宋体" w:cs="宋体"/>
                <w:color w:val="000000"/>
                <w:sz w:val="20"/>
                <w:szCs w:val="20"/>
              </w:rPr>
            </w:pPr>
            <w:r>
              <w:rPr>
                <w:rFonts w:hint="eastAsia" w:ascii="宋体" w:hAnsi="宋体" w:cs="宋体"/>
                <w:color w:val="000000"/>
                <w:kern w:val="0"/>
                <w:sz w:val="20"/>
                <w:szCs w:val="20"/>
              </w:rPr>
              <w:t>得分率</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ascii="宋体" w:hAnsi="宋体" w:cs="宋体"/>
                <w:color w:val="000000"/>
                <w:sz w:val="20"/>
                <w:szCs w:val="20"/>
              </w:rPr>
            </w:pPr>
            <w:r>
              <w:rPr>
                <w:rFonts w:hint="eastAsia" w:ascii="宋体" w:hAnsi="宋体" w:cs="宋体"/>
                <w:color w:val="000000"/>
                <w:kern w:val="0"/>
                <w:sz w:val="20"/>
                <w:szCs w:val="20"/>
              </w:rPr>
              <w:t>得分</w:t>
            </w:r>
          </w:p>
        </w:tc>
      </w:tr>
      <w:tr>
        <w:tblPrEx>
          <w:tblCellMar>
            <w:top w:w="0" w:type="dxa"/>
            <w:left w:w="0" w:type="dxa"/>
            <w:bottom w:w="0" w:type="dxa"/>
            <w:right w:w="0" w:type="dxa"/>
          </w:tblCellMar>
        </w:tblPrEx>
        <w:trPr>
          <w:trHeight w:val="444" w:hRule="atLeast"/>
        </w:trPr>
        <w:tc>
          <w:tcPr>
            <w:tcW w:w="150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实施效益</w:t>
            </w: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经济效益</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w:t>
            </w:r>
          </w:p>
        </w:tc>
      </w:tr>
      <w:tr>
        <w:tblPrEx>
          <w:tblCellMar>
            <w:top w:w="0" w:type="dxa"/>
            <w:left w:w="0" w:type="dxa"/>
            <w:bottom w:w="0" w:type="dxa"/>
            <w:right w:w="0" w:type="dxa"/>
          </w:tblCellMar>
        </w:tblPrEx>
        <w:trPr>
          <w:trHeight w:val="374" w:hRule="atLeast"/>
        </w:trPr>
        <w:tc>
          <w:tcPr>
            <w:tcW w:w="150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社会效益</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w:t>
            </w:r>
          </w:p>
        </w:tc>
      </w:tr>
      <w:tr>
        <w:tblPrEx>
          <w:tblCellMar>
            <w:top w:w="0" w:type="dxa"/>
            <w:left w:w="0" w:type="dxa"/>
            <w:bottom w:w="0" w:type="dxa"/>
            <w:right w:w="0" w:type="dxa"/>
          </w:tblCellMar>
        </w:tblPrEx>
        <w:trPr>
          <w:trHeight w:val="310" w:hRule="atLeast"/>
        </w:trPr>
        <w:tc>
          <w:tcPr>
            <w:tcW w:w="150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可持续影响指标</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w:t>
            </w:r>
          </w:p>
        </w:tc>
      </w:tr>
      <w:tr>
        <w:tblPrEx>
          <w:tblCellMar>
            <w:top w:w="0" w:type="dxa"/>
            <w:left w:w="0" w:type="dxa"/>
            <w:bottom w:w="0" w:type="dxa"/>
            <w:right w:w="0" w:type="dxa"/>
          </w:tblCellMar>
        </w:tblPrEx>
        <w:trPr>
          <w:trHeight w:val="310" w:hRule="atLeast"/>
        </w:trPr>
        <w:tc>
          <w:tcPr>
            <w:tcW w:w="1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满意度</w:t>
            </w: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人员满意度</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w:t>
            </w:r>
          </w:p>
        </w:tc>
      </w:tr>
      <w:tr>
        <w:tblPrEx>
          <w:tblCellMar>
            <w:top w:w="0" w:type="dxa"/>
            <w:left w:w="0" w:type="dxa"/>
            <w:bottom w:w="0" w:type="dxa"/>
            <w:right w:w="0" w:type="dxa"/>
          </w:tblCellMar>
        </w:tblPrEx>
        <w:trPr>
          <w:trHeight w:val="310" w:hRule="atLeast"/>
        </w:trPr>
        <w:tc>
          <w:tcPr>
            <w:tcW w:w="1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合</w:t>
            </w:r>
            <w:r>
              <w:rPr>
                <w:rStyle w:val="48"/>
                <w:rFonts w:hint="eastAsia" w:ascii="宋体" w:hAnsi="宋体" w:eastAsia="宋体" w:cs="宋体"/>
                <w:sz w:val="18"/>
                <w:szCs w:val="18"/>
              </w:rPr>
              <w:t xml:space="preserve">  计</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40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bidi w:val="0"/>
              <w:snapToGrid/>
              <w:spacing w:line="560" w:lineRule="exact"/>
              <w:jc w:val="center"/>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36</w:t>
            </w:r>
          </w:p>
        </w:tc>
      </w:tr>
    </w:tbl>
    <w:p>
      <w:pPr>
        <w:pageBreakBefore w:val="0"/>
        <w:kinsoku/>
        <w:wordWrap/>
        <w:overflowPunct/>
        <w:topLinePunct w:val="0"/>
        <w:bidi w:val="0"/>
        <w:snapToGrid/>
        <w:spacing w:line="560" w:lineRule="exact"/>
        <w:ind w:firstLine="640" w:firstLineChars="200"/>
        <w:contextualSpacing/>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对于“经济效益”，本年经济效益指标目标值设定为：当年完成投资额</w:t>
      </w:r>
      <w:r>
        <w:rPr>
          <w:rFonts w:hint="eastAsia" w:ascii="仿宋_GB2312" w:hAnsi="仿宋_GB2312" w:eastAsia="仿宋_GB2312" w:cs="仿宋_GB2312"/>
          <w:sz w:val="32"/>
          <w:szCs w:val="32"/>
          <w:lang w:val="en-US" w:eastAsia="zh-CN"/>
        </w:rPr>
        <w:t>2000.17</w:t>
      </w:r>
      <w:r>
        <w:rPr>
          <w:rFonts w:hint="eastAsia" w:ascii="仿宋_GB2312" w:hAnsi="仿宋_GB2312" w:eastAsia="仿宋_GB2312" w:cs="仿宋_GB2312"/>
          <w:sz w:val="32"/>
          <w:szCs w:val="32"/>
        </w:rPr>
        <w:t>万元，实际完成投资额为1300万元。2020年项目各项工作按计划实施，工程建设稳步推进，工程质量达到合同要求。通过该项目实施，建筑工程设计和配套设施达到了标准程度，降低成本，节约财政资金，该指标得分率</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w:t>
      </w:r>
    </w:p>
    <w:p>
      <w:pPr>
        <w:pageBreakBefore w:val="0"/>
        <w:kinsoku/>
        <w:wordWrap/>
        <w:overflowPunct/>
        <w:topLinePunct w:val="0"/>
        <w:bidi w:val="0"/>
        <w:snapToGrid/>
        <w:spacing w:line="560" w:lineRule="exact"/>
        <w:ind w:firstLine="640" w:firstLineChars="200"/>
        <w:contextualSpacing/>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社会效益”，本年经社会效益指标目标值设定为：改善干部生活条件，实际该项目还未建设完成，但项目建设完工投入使用后，大大提高了人才住宿环境，加强周转房统一规划管理节约相应的人员成本，人才公寓楼的建设有利于改善地区人才的生活品质，有利于实现城市发展目标，是生活品质的需要。该指标得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2"/>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对于“可持续影响指标” 本年可持续影响指标目标值设定为：持续发挥的作用期限30年，实际完成值为：在使用过程中预计为30年以上。根据指标评分标准，该指标不扣分，该指标分率</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p>
    <w:p>
      <w:pPr>
        <w:pStyle w:val="12"/>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对于“人员满意度”本年人员满意度指标目标值设定为：建设单位对工程管理的满意度</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%，实际完成值：</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%，该项目在施工过程中，管理人员对现场施工人员满意度测评率为</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p>
    <w:p>
      <w:pPr>
        <w:pageBreakBefore w:val="0"/>
        <w:kinsoku/>
        <w:wordWrap/>
        <w:overflowPunct/>
        <w:topLinePunct w:val="0"/>
        <w:bidi w:val="0"/>
        <w:snapToGrid/>
        <w:spacing w:line="560" w:lineRule="exact"/>
        <w:ind w:firstLine="641"/>
        <w:rPr>
          <w:rStyle w:val="50"/>
          <w:rFonts w:hint="eastAsia" w:ascii="仿宋_GB2312" w:hAnsi="仿宋_GB2312" w:eastAsia="仿宋_GB2312" w:cs="仿宋_GB2312"/>
        </w:rPr>
      </w:pPr>
      <w:r>
        <w:rPr>
          <w:rFonts w:hint="eastAsia" w:ascii="仿宋_GB2312" w:hAnsi="仿宋_GB2312" w:eastAsia="仿宋_GB2312" w:cs="仿宋_GB2312"/>
          <w:sz w:val="32"/>
          <w:szCs w:val="32"/>
        </w:rPr>
        <w:t>五、主要经验及做法、存在的问题及原因分析</w:t>
      </w:r>
    </w:p>
    <w:p>
      <w:pPr>
        <w:pageBreakBefore w:val="0"/>
        <w:kinsoku/>
        <w:wordWrap/>
        <w:overflowPunct/>
        <w:topLinePunct w:val="0"/>
        <w:bidi w:val="0"/>
        <w:snapToGrid/>
        <w:spacing w:line="56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（一）主要经验及做法</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bidi w:val="0"/>
        <w:snapToGrid/>
        <w:spacing w:before="0" w:after="0" w:line="560" w:lineRule="exact"/>
        <w:ind w:firstLine="640" w:firstLineChars="200"/>
        <w:jc w:val="left"/>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bidi w:val="0"/>
        <w:snapToGri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存在的问题及原因分析</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存在的问题是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 </w:t>
      </w:r>
    </w:p>
    <w:p>
      <w:pPr>
        <w:pageBreakBefore w:val="0"/>
        <w:kinsoku/>
        <w:wordWrap/>
        <w:overflowPunct/>
        <w:topLinePunct w:val="0"/>
        <w:bidi w:val="0"/>
        <w:snapToGrid/>
        <w:spacing w:line="560" w:lineRule="exact"/>
        <w:ind w:firstLine="480" w:firstLineChars="15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建议加强项目预算审核，要严格按照项目资金年度额度编制预算；项目预算及支出管理的科学性有待进一步提高，做好项目实施过程中资金支出与预算的比较，定期向项目实施人员了解项目执行情况，更好的提高资金使用效率。</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kinsoku/>
        <w:wordWrap/>
        <w:overflowPunct/>
        <w:topLinePunct w:val="0"/>
        <w:bidi w:val="0"/>
        <w:snapToGri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绩效是一项综合性、专业性较强系统工作，财务部门仅对资金的使用情况掌握，对项目具体情况及其实施情况了解甚少。建议绩效工作应当由单位综合部门负责（比如办公室、综合科等），可以协调单位内部各部门，一般对工程建设和资金情况都比较掌握。</w:t>
      </w:r>
    </w:p>
    <w:p>
      <w:pPr>
        <w:pageBreakBefore w:val="0"/>
        <w:kinsoku/>
        <w:wordWrap/>
        <w:overflowPunct/>
        <w:topLinePunct w:val="0"/>
        <w:bidi w:val="0"/>
        <w:snapToGrid/>
        <w:spacing w:line="560" w:lineRule="exac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pPr>
        <w:pageBreakBefore w:val="0"/>
        <w:kinsoku/>
        <w:wordWrap/>
        <w:overflowPunct/>
        <w:topLinePunct w:val="0"/>
        <w:autoSpaceDE w:val="0"/>
        <w:autoSpaceDN w:val="0"/>
        <w:bidi w:val="0"/>
        <w:adjustRightInd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本次预算绩效评价所采集的数据因为采集时间、数据</w:t>
      </w:r>
    </w:p>
    <w:p>
      <w:pPr>
        <w:pageBreakBefore w:val="0"/>
        <w:kinsoku/>
        <w:wordWrap/>
        <w:overflowPunct/>
        <w:topLinePunct w:val="0"/>
        <w:autoSpaceDE w:val="0"/>
        <w:autoSpaceDN w:val="0"/>
        <w:bidi w:val="0"/>
        <w:adjustRightInd w:val="0"/>
        <w:snapToGrid/>
        <w:spacing w:line="560" w:lineRule="exact"/>
        <w:jc w:val="left"/>
        <w:rPr>
          <w:rFonts w:hint="eastAsia"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32"/>
          <w:szCs w:val="32"/>
        </w:rPr>
        <w:t>来源等诸多因素的影响，可能会出现一定的偏差，进而对评价结果存在影响。</w:t>
      </w:r>
    </w:p>
    <w:tbl>
      <w:tblPr>
        <w:tblStyle w:val="24"/>
        <w:tblW w:w="16352" w:type="dxa"/>
        <w:tblInd w:w="0" w:type="dxa"/>
        <w:tblLayout w:type="fixed"/>
        <w:tblCellMar>
          <w:top w:w="0" w:type="dxa"/>
          <w:left w:w="0" w:type="dxa"/>
          <w:bottom w:w="0" w:type="dxa"/>
          <w:right w:w="0" w:type="dxa"/>
        </w:tblCellMar>
      </w:tblPr>
      <w:tblGrid>
        <w:gridCol w:w="818"/>
        <w:gridCol w:w="1146"/>
        <w:gridCol w:w="1470"/>
        <w:gridCol w:w="3732"/>
        <w:gridCol w:w="1159"/>
        <w:gridCol w:w="7222"/>
        <w:gridCol w:w="805"/>
      </w:tblGrid>
      <w:tr>
        <w:tblPrEx>
          <w:tblCellMar>
            <w:top w:w="0" w:type="dxa"/>
            <w:left w:w="0" w:type="dxa"/>
            <w:bottom w:w="0" w:type="dxa"/>
            <w:right w:w="0" w:type="dxa"/>
          </w:tblCellMar>
        </w:tblPrEx>
        <w:trPr>
          <w:cantSplit/>
          <w:trHeight w:val="590" w:hRule="atLeast"/>
          <w:tblHeader/>
        </w:trPr>
        <w:tc>
          <w:tcPr>
            <w:tcW w:w="818"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一级指标</w:t>
            </w:r>
          </w:p>
        </w:tc>
        <w:tc>
          <w:tcPr>
            <w:tcW w:w="114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二级指标</w:t>
            </w:r>
          </w:p>
        </w:tc>
        <w:tc>
          <w:tcPr>
            <w:tcW w:w="14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三级指标</w:t>
            </w:r>
          </w:p>
        </w:tc>
        <w:tc>
          <w:tcPr>
            <w:tcW w:w="373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指标解释</w:t>
            </w:r>
          </w:p>
        </w:tc>
        <w:tc>
          <w:tcPr>
            <w:tcW w:w="1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分值</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指标说明</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b/>
                <w:color w:val="000000"/>
                <w:sz w:val="18"/>
                <w:szCs w:val="18"/>
              </w:rPr>
            </w:pPr>
            <w:r>
              <w:rPr>
                <w:rFonts w:hint="eastAsia" w:ascii="宋体" w:hAnsi="宋体" w:eastAsia="宋体" w:cs="宋体"/>
                <w:b/>
                <w:color w:val="000000"/>
                <w:kern w:val="0"/>
                <w:sz w:val="18"/>
                <w:szCs w:val="18"/>
              </w:rPr>
              <w:t>得分</w:t>
            </w:r>
          </w:p>
        </w:tc>
      </w:tr>
      <w:tr>
        <w:tblPrEx>
          <w:tblCellMar>
            <w:top w:w="0" w:type="dxa"/>
            <w:left w:w="0" w:type="dxa"/>
            <w:bottom w:w="0" w:type="dxa"/>
            <w:right w:w="0" w:type="dxa"/>
          </w:tblCellMar>
        </w:tblPrEx>
        <w:trPr>
          <w:trHeight w:val="280" w:hRule="atLeast"/>
        </w:trPr>
        <w:tc>
          <w:tcPr>
            <w:tcW w:w="8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决策（5）</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项目立项（1）　</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立项依据充分性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（0.5）</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0.5</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①项目立项是否符合国家法律法规、国民经济发展规划和相关政策；</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②项目立项是否符合行业发展规划和政策要求；</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③项目立项是否与部门职责范围相符，属于部门履职所需；</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④项目是否属于公共财政支持范围，是否符合中央、地方事权支出责任划分原则；</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⑤项目是否与相关部门同类项目或部门内部相关项目重复。</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立项程序规范性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（0.5）</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0.5</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5</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①项目是否按照规定的程序申请设立；</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②审批文件、材料是否符合相关要求；</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③事前是否已经过必要的可行性研究、专家论证、风险评估、绩效评估、集体决策。</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　　</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绩效目标合理性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0.95</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（如未设定预算绩效目标，也可考核其他工作任务目标）</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①项目是否有绩效目标；</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②项目绩效目标与实际工作内容是否具有相关性；</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③项目预期产出效益和效果是否符合正常的业绩水平；</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jc w:val="lef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④是否与预算确定的项目投资额或资金量相匹配。</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绩效指标明确性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0.9</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①是否将项目绩效目标细化分解为具体的绩效指标；</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②是否通过清晰、可衡量的指标值予以体现；</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③是否与项目目标任务数或计划数相对应。</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资金投入</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　　</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预算编制科学性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①预算编制是否经过科学论证；</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②预算内容与项目内容是否匹配；</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③预算额度测算依据是否充分，是否按照标准编制；</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④预算确定的项目投资额或资金量是否与工作任务相匹配。</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资金分配合理性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①预算资金分配依据是否充分；</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②资金分配额度是否合理，与项目单位或地方实际是否相适应。</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过程（5）</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资金管理（3）</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资金到位率（1）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资金到位率=（实际到位资金/预算资金）×100%。</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实际到位资金：一定时期（本年度或项目期）内落实到具体项目的资金。</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预算执行率（1）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预算执行率=（实际支出资金/实际到位资金）×100%。</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实际支出资金：一定时期（本年度或项目期）内项目实际拨付的资金。</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资金使用合规性（1）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②资金的拨付是否有完整的审批程序和手续；</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③是否符合项目预算批复或合同规定的用途；</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④是否存在截留、挤占、挪用、虚列支出等情况。</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组织实施</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管理制度健全性（1）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0.8</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①是否已制定或具有相应的财务和业务管理制度；</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②财务和业务管理制度是否合法、合规、完整。</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制度执行有效性（1）</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4</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评价要点：</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0.9</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①是否遵守相关法律法规和相关管理规定；</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②项目调整及支出调整手续是否完备；</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③项目合同书、验收报告、技术鉴定等资料是否齐全并及时归档；</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④项目实施的人员条件、场地设备、信息支撑等是否落实到位。</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产出（50）</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产出数量（15）</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实际完成率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（15）</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实际完成率=（实际产出数/计划产出数）×100%。</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15</w:t>
            </w: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实际产出数：一定时期（本年度或项目期）内项目实际产出的产品或提供的服务数量。</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31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8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产出质量（10）</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质量达标率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质量达标率=（质量达标产出数/实际产出数）×100%。</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CellMar>
            <w:top w:w="0" w:type="dxa"/>
            <w:left w:w="0" w:type="dxa"/>
            <w:bottom w:w="0" w:type="dxa"/>
            <w:right w:w="0" w:type="dxa"/>
          </w:tblCellMar>
        </w:tblPrEx>
        <w:trPr>
          <w:trHeight w:val="876"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547"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产出时效（15）</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完成及时性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（15）</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15</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实际完成时间：项目实施单位完成该项目实际所耗用的时间。</w:t>
            </w: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CellMar>
            <w:top w:w="0" w:type="dxa"/>
            <w:left w:w="0" w:type="dxa"/>
            <w:bottom w:w="0" w:type="dxa"/>
            <w:right w:w="0" w:type="dxa"/>
          </w:tblCellMar>
        </w:tblPrEx>
        <w:trPr>
          <w:trHeight w:val="683"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计划完成时间：按照项目实施计划或相关规定完成该项目所需的时间。</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25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产出成本（10）</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成本节约率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73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115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7222" w:type="dxa"/>
            <w:tcBorders>
              <w:top w:val="single" w:color="000000" w:sz="4" w:space="0"/>
              <w:left w:val="nil"/>
              <w:bottom w:val="single" w:color="000000" w:sz="4" w:space="0"/>
              <w:right w:val="single" w:color="000000" w:sz="4" w:space="0"/>
            </w:tcBorders>
            <w:shd w:val="clear" w:color="auto" w:fill="FFFFFF"/>
            <w:noWrap/>
            <w:tcMar>
              <w:top w:w="10" w:type="dxa"/>
              <w:left w:w="10" w:type="dxa"/>
              <w:right w:w="10" w:type="dxa"/>
            </w:tcMar>
            <w:vAlign w:val="bottom"/>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8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r>
      <w:tr>
        <w:tblPrEx>
          <w:tblCellMar>
            <w:top w:w="0" w:type="dxa"/>
            <w:left w:w="0" w:type="dxa"/>
            <w:bottom w:w="0" w:type="dxa"/>
            <w:right w:w="0" w:type="dxa"/>
          </w:tblCellMar>
        </w:tblPrEx>
        <w:trPr>
          <w:trHeight w:val="50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成本节约率=[（计划成本-实际成本）/计划成本]×100%。</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564"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实际成本：项目实施单位如期、保质、保量完成既定工作目标实际所耗费的支出。</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544"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373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rPr>
                <w:rFonts w:hint="eastAsia" w:ascii="宋体" w:hAnsi="宋体" w:eastAsia="宋体" w:cs="宋体"/>
                <w:color w:val="000000"/>
                <w:sz w:val="18"/>
                <w:szCs w:val="18"/>
              </w:rPr>
            </w:pPr>
          </w:p>
        </w:tc>
        <w:tc>
          <w:tcPr>
            <w:tcW w:w="115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计划成本：项目实施单位为完成工作目标计划安排的支出，一般以项目预算为参考。</w:t>
            </w:r>
          </w:p>
        </w:tc>
        <w:tc>
          <w:tcPr>
            <w:tcW w:w="8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r>
      <w:tr>
        <w:tblPrEx>
          <w:tblCellMar>
            <w:top w:w="0" w:type="dxa"/>
            <w:left w:w="0" w:type="dxa"/>
            <w:bottom w:w="0" w:type="dxa"/>
            <w:right w:w="0" w:type="dxa"/>
          </w:tblCellMar>
        </w:tblPrEx>
        <w:trPr>
          <w:trHeight w:val="560" w:hRule="atLeast"/>
        </w:trPr>
        <w:tc>
          <w:tcPr>
            <w:tcW w:w="8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效益（40）</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项目效益　</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（40）</w:t>
            </w:r>
          </w:p>
        </w:tc>
        <w:tc>
          <w:tcPr>
            <w:tcW w:w="14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实施效益</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（30）</w:t>
            </w:r>
          </w:p>
        </w:tc>
        <w:tc>
          <w:tcPr>
            <w:tcW w:w="373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项目实施所产生的效益。</w:t>
            </w:r>
          </w:p>
        </w:tc>
        <w:tc>
          <w:tcPr>
            <w:tcW w:w="1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27</w:t>
            </w:r>
          </w:p>
        </w:tc>
      </w:tr>
      <w:tr>
        <w:tblPrEx>
          <w:tblCellMar>
            <w:top w:w="0" w:type="dxa"/>
            <w:left w:w="0" w:type="dxa"/>
            <w:bottom w:w="0" w:type="dxa"/>
            <w:right w:w="0"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bidi w:val="0"/>
              <w:snapToGrid/>
              <w:spacing w:line="560" w:lineRule="exact"/>
              <w:jc w:val="center"/>
              <w:rPr>
                <w:rFonts w:hint="eastAsia" w:ascii="宋体" w:hAnsi="宋体" w:eastAsia="宋体" w:cs="宋体"/>
                <w:color w:val="000000"/>
                <w:sz w:val="18"/>
                <w:szCs w:val="18"/>
              </w:rPr>
            </w:pPr>
          </w:p>
        </w:tc>
        <w:tc>
          <w:tcPr>
            <w:tcW w:w="147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满意度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（10）</w:t>
            </w:r>
          </w:p>
        </w:tc>
        <w:tc>
          <w:tcPr>
            <w:tcW w:w="3732"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社会公众或服务对象对项目实施效果的满意程度。</w:t>
            </w:r>
          </w:p>
        </w:tc>
        <w:tc>
          <w:tcPr>
            <w:tcW w:w="1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7222" w:type="dxa"/>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bidi w:val="0"/>
              <w:snapToGrid/>
              <w:spacing w:line="560" w:lineRule="exact"/>
              <w:textAlignment w:val="bottom"/>
              <w:rPr>
                <w:rFonts w:hint="eastAsia" w:ascii="宋体" w:hAnsi="宋体" w:eastAsia="宋体" w:cs="宋体"/>
                <w:color w:val="00000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805"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bidi w:val="0"/>
              <w:snapToGrid/>
              <w:spacing w:line="560" w:lineRule="exact"/>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9</w:t>
            </w:r>
          </w:p>
        </w:tc>
      </w:tr>
    </w:tbl>
    <w:p>
      <w:pPr>
        <w:pStyle w:val="46"/>
        <w:spacing w:line="560" w:lineRule="exact"/>
        <w:ind w:firstLine="0" w:firstLineChars="0"/>
        <w:rPr>
          <w:rFonts w:hint="eastAsia" w:ascii="宋体" w:hAnsi="宋体" w:eastAsia="宋体" w:cs="宋体"/>
          <w:sz w:val="18"/>
          <w:szCs w:val="18"/>
        </w:rPr>
        <w:sectPr>
          <w:pgSz w:w="16838" w:h="11906" w:orient="landscape"/>
          <w:pgMar w:top="1800" w:right="193" w:bottom="1800" w:left="306" w:header="851" w:footer="992" w:gutter="0"/>
          <w:cols w:space="425" w:num="1"/>
          <w:docGrid w:type="lines" w:linePitch="312" w:charSpace="0"/>
        </w:sectPr>
      </w:pPr>
    </w:p>
    <w:tbl>
      <w:tblPr>
        <w:tblStyle w:val="24"/>
        <w:tblW w:w="8865" w:type="dxa"/>
        <w:tblInd w:w="96" w:type="dxa"/>
        <w:tblLayout w:type="autofit"/>
        <w:tblCellMar>
          <w:top w:w="0" w:type="dxa"/>
          <w:left w:w="108" w:type="dxa"/>
          <w:bottom w:w="0" w:type="dxa"/>
          <w:right w:w="108" w:type="dxa"/>
        </w:tblCellMar>
      </w:tblPr>
      <w:tblGrid>
        <w:gridCol w:w="668"/>
        <w:gridCol w:w="669"/>
        <w:gridCol w:w="681"/>
        <w:gridCol w:w="681"/>
        <w:gridCol w:w="846"/>
        <w:gridCol w:w="651"/>
        <w:gridCol w:w="1915"/>
        <w:gridCol w:w="1180"/>
        <w:gridCol w:w="384"/>
        <w:gridCol w:w="1190"/>
      </w:tblGrid>
      <w:tr>
        <w:tblPrEx>
          <w:tblCellMar>
            <w:top w:w="0" w:type="dxa"/>
            <w:left w:w="108" w:type="dxa"/>
            <w:bottom w:w="0" w:type="dxa"/>
            <w:right w:w="108" w:type="dxa"/>
          </w:tblCellMar>
        </w:tblPrEx>
        <w:trPr>
          <w:trHeight w:val="409" w:hRule="atLeast"/>
        </w:trPr>
        <w:tc>
          <w:tcPr>
            <w:tcW w:w="886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sz w:val="32"/>
                <w:szCs w:val="32"/>
              </w:rPr>
            </w:pPr>
            <w:r>
              <w:rPr>
                <w:rFonts w:hint="eastAsia" w:ascii="宋体" w:hAnsi="宋体" w:eastAsia="宋体" w:cs="宋体"/>
                <w:b/>
                <w:i w:val="0"/>
                <w:color w:val="000000"/>
                <w:kern w:val="0"/>
                <w:sz w:val="44"/>
                <w:szCs w:val="44"/>
                <w:u w:val="none"/>
                <w:lang w:val="en-US" w:eastAsia="zh-CN" w:bidi="ar"/>
              </w:rPr>
              <w:t>项目支出绩效自评表</w:t>
            </w:r>
          </w:p>
        </w:tc>
      </w:tr>
      <w:tr>
        <w:tblPrEx>
          <w:tblCellMar>
            <w:top w:w="0" w:type="dxa"/>
            <w:left w:w="108" w:type="dxa"/>
            <w:bottom w:w="0" w:type="dxa"/>
            <w:right w:w="108" w:type="dxa"/>
          </w:tblCellMar>
        </w:tblPrEx>
        <w:trPr>
          <w:trHeight w:val="409" w:hRule="atLeast"/>
        </w:trPr>
        <w:tc>
          <w:tcPr>
            <w:tcW w:w="886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270" w:hRule="atLeast"/>
        </w:trPr>
        <w:tc>
          <w:tcPr>
            <w:tcW w:w="8865" w:type="dxa"/>
            <w:gridSpan w:val="10"/>
            <w:tcBorders>
              <w:top w:val="nil"/>
              <w:left w:val="nil"/>
              <w:bottom w:val="nil"/>
              <w:right w:val="nil"/>
            </w:tcBorders>
            <w:shd w:val="clear" w:color="auto" w:fill="auto"/>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50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塔城人才公寓楼及配套设施建设项目</w:t>
            </w:r>
          </w:p>
        </w:tc>
      </w:tr>
      <w:tr>
        <w:tblPrEx>
          <w:tblCellMar>
            <w:top w:w="0" w:type="dxa"/>
            <w:left w:w="108" w:type="dxa"/>
            <w:bottom w:w="0" w:type="dxa"/>
            <w:right w:w="108" w:type="dxa"/>
          </w:tblCellMar>
        </w:tblPrEx>
        <w:trPr>
          <w:trHeight w:val="270"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6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塔城地区行政公署</w:t>
            </w:r>
          </w:p>
        </w:tc>
      </w:tr>
      <w:tr>
        <w:tblPrEx>
          <w:tblCellMar>
            <w:top w:w="0" w:type="dxa"/>
            <w:left w:w="108" w:type="dxa"/>
            <w:bottom w:w="0" w:type="dxa"/>
            <w:right w:w="108" w:type="dxa"/>
          </w:tblCellMar>
        </w:tblPrEx>
        <w:trPr>
          <w:trHeight w:val="392"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Arial" w:hAnsi="Arial" w:cs="Arial"/>
                <w:color w:val="000000"/>
                <w:sz w:val="20"/>
                <w:szCs w:val="20"/>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473"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2007.17</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1300</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1300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100.00%</w:t>
            </w:r>
          </w:p>
        </w:tc>
      </w:tr>
      <w:tr>
        <w:tblPrEx>
          <w:tblCellMar>
            <w:top w:w="0" w:type="dxa"/>
            <w:left w:w="108" w:type="dxa"/>
            <w:bottom w:w="0" w:type="dxa"/>
            <w:right w:w="108" w:type="dxa"/>
          </w:tblCellMar>
        </w:tblPrEx>
        <w:trPr>
          <w:trHeight w:val="372"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73" w:hRule="atLeast"/>
        </w:trPr>
        <w:tc>
          <w:tcPr>
            <w:tcW w:w="1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2007.17</w:t>
            </w:r>
          </w:p>
        </w:tc>
        <w:tc>
          <w:tcPr>
            <w:tcW w:w="26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1300</w:t>
            </w:r>
          </w:p>
        </w:tc>
        <w:tc>
          <w:tcPr>
            <w:tcW w:w="16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1300</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3"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3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1020" w:hRule="atLeast"/>
        </w:trPr>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53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开展人才公寓楼及配套设施建设，建设期2年，本年度主要建设目标：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1、完成项目主体建设工作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2、完成项目的工程监理及设计。</w:t>
            </w:r>
          </w:p>
        </w:tc>
        <w:tc>
          <w:tcPr>
            <w:tcW w:w="28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开展人才公寓楼及配套设施建设，建设期2年，本年度主要建设目标：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1、完成项目主体建设工作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2、完成项目的工程监理及设计。</w:t>
            </w:r>
          </w:p>
        </w:tc>
      </w:tr>
      <w:tr>
        <w:tblPrEx>
          <w:tblCellMar>
            <w:top w:w="0" w:type="dxa"/>
            <w:left w:w="108" w:type="dxa"/>
            <w:bottom w:w="0" w:type="dxa"/>
            <w:right w:w="108" w:type="dxa"/>
          </w:tblCellMar>
        </w:tblPrEx>
        <w:trPr>
          <w:trHeight w:val="412" w:hRule="atLeast"/>
        </w:trPr>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04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2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6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80" w:hRule="atLeast"/>
        </w:trPr>
        <w:tc>
          <w:tcPr>
            <w:tcW w:w="68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68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68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2044" w:type="dxa"/>
            <w:gridSpan w:val="3"/>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建筑面积</w:t>
            </w:r>
          </w:p>
        </w:tc>
        <w:tc>
          <w:tcPr>
            <w:tcW w:w="196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=19970平方米</w:t>
            </w:r>
          </w:p>
        </w:tc>
        <w:tc>
          <w:tcPr>
            <w:tcW w:w="120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19970平方米</w:t>
            </w:r>
          </w:p>
        </w:tc>
        <w:tc>
          <w:tcPr>
            <w:tcW w:w="1608" w:type="dxa"/>
            <w:gridSpan w:val="2"/>
            <w:tcBorders>
              <w:top w:val="nil"/>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8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分部工程合格率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8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参建单位资质合格率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8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分部工程按期完成率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8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工程拨款及时率</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8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本年度工程量成本</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≤2007.17万元</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1300万元</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当年财政拨付工程资金为1300万元</w:t>
            </w:r>
          </w:p>
        </w:tc>
      </w:tr>
      <w:tr>
        <w:tblPrEx>
          <w:tblCellMar>
            <w:top w:w="0" w:type="dxa"/>
            <w:left w:w="108" w:type="dxa"/>
            <w:bottom w:w="0" w:type="dxa"/>
            <w:right w:w="108" w:type="dxa"/>
          </w:tblCellMar>
        </w:tblPrEx>
        <w:trPr>
          <w:trHeight w:val="64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效益指标</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经济效益指标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当年度完成投资额</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≥2007.17万元</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1300万元</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已完成当年工程量，财政拨付资金为1300万元。</w:t>
            </w:r>
          </w:p>
        </w:tc>
      </w:tr>
      <w:tr>
        <w:tblPrEx>
          <w:tblCellMar>
            <w:top w:w="0" w:type="dxa"/>
            <w:left w:w="108" w:type="dxa"/>
            <w:bottom w:w="0" w:type="dxa"/>
            <w:right w:w="108" w:type="dxa"/>
          </w:tblCellMar>
        </w:tblPrEx>
        <w:trPr>
          <w:trHeight w:val="64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改善干部生活条件</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显著改善</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有所改善</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left"/>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可持续影响指标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持续发挥的作用期限</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≥30年</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30年</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640" w:hRule="atLeast"/>
        </w:trPr>
        <w:tc>
          <w:tcPr>
            <w:tcW w:w="6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建设单位对工程管理的满意度</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0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bl>
    <w:p>
      <w:pPr>
        <w:widowControl/>
        <w:spacing w:line="240" w:lineRule="exact"/>
        <w:jc w:val="left"/>
        <w:rPr>
          <w:rFonts w:ascii="方正仿宋_GBK" w:eastAsia="方正仿宋_GBK"/>
          <w:sz w:val="32"/>
          <w:szCs w:val="32"/>
        </w:rPr>
      </w:pPr>
    </w:p>
    <w:sectPr>
      <w:pgSz w:w="11906" w:h="16838"/>
      <w:pgMar w:top="193" w:right="1800" w:bottom="30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方正黑体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A0000287" w:usb1="28C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fldChar w:fldCharType="begin"/>
    </w:r>
    <w:r>
      <w:instrText xml:space="preserve"> PAGE   \* MERGEFORMAT </w:instrText>
    </w:r>
    <w:r>
      <w:fldChar w:fldCharType="separate"/>
    </w:r>
    <w:r>
      <w:rPr>
        <w:lang w:val="zh-CN"/>
      </w:rPr>
      <w:t>5</w:t>
    </w:r>
    <w:r>
      <w:rPr>
        <w:lang w:val="zh-CN"/>
      </w:rPr>
      <w:fldChar w:fldCharType="end"/>
    </w:r>
  </w:p>
  <w:p>
    <w:pPr>
      <w:pStyle w:val="16"/>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3730CCE4"/>
    <w:multiLevelType w:val="singleLevel"/>
    <w:tmpl w:val="3730CCE4"/>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4B7D"/>
    <w:rsid w:val="00003A4E"/>
    <w:rsid w:val="00004947"/>
    <w:rsid w:val="00006998"/>
    <w:rsid w:val="00014B81"/>
    <w:rsid w:val="000172E4"/>
    <w:rsid w:val="000178C7"/>
    <w:rsid w:val="0002363F"/>
    <w:rsid w:val="00026EAF"/>
    <w:rsid w:val="000339A8"/>
    <w:rsid w:val="0003684D"/>
    <w:rsid w:val="000440B3"/>
    <w:rsid w:val="00052F83"/>
    <w:rsid w:val="000603C6"/>
    <w:rsid w:val="0006087B"/>
    <w:rsid w:val="000614C8"/>
    <w:rsid w:val="000626DA"/>
    <w:rsid w:val="00065AEE"/>
    <w:rsid w:val="00065E72"/>
    <w:rsid w:val="000667CE"/>
    <w:rsid w:val="00071214"/>
    <w:rsid w:val="00074CE2"/>
    <w:rsid w:val="000774F9"/>
    <w:rsid w:val="00081F0F"/>
    <w:rsid w:val="00091ECA"/>
    <w:rsid w:val="00094315"/>
    <w:rsid w:val="00094D2B"/>
    <w:rsid w:val="000A41A8"/>
    <w:rsid w:val="000D25EF"/>
    <w:rsid w:val="000D318D"/>
    <w:rsid w:val="000D43C6"/>
    <w:rsid w:val="000D66E9"/>
    <w:rsid w:val="000D6FA4"/>
    <w:rsid w:val="000E373F"/>
    <w:rsid w:val="000E3AD8"/>
    <w:rsid w:val="000E3C13"/>
    <w:rsid w:val="000E3FD1"/>
    <w:rsid w:val="000F1F38"/>
    <w:rsid w:val="000F2713"/>
    <w:rsid w:val="00106F38"/>
    <w:rsid w:val="00107079"/>
    <w:rsid w:val="00112A3E"/>
    <w:rsid w:val="0011442A"/>
    <w:rsid w:val="001243F9"/>
    <w:rsid w:val="00133881"/>
    <w:rsid w:val="00134F46"/>
    <w:rsid w:val="00136799"/>
    <w:rsid w:val="00142BBA"/>
    <w:rsid w:val="00155097"/>
    <w:rsid w:val="001663FA"/>
    <w:rsid w:val="00180791"/>
    <w:rsid w:val="001816F6"/>
    <w:rsid w:val="00191767"/>
    <w:rsid w:val="001954C0"/>
    <w:rsid w:val="001954FF"/>
    <w:rsid w:val="00197DD1"/>
    <w:rsid w:val="001A1214"/>
    <w:rsid w:val="001A1F6C"/>
    <w:rsid w:val="001A382B"/>
    <w:rsid w:val="001B1FFA"/>
    <w:rsid w:val="001B3E82"/>
    <w:rsid w:val="001B605E"/>
    <w:rsid w:val="001B69FE"/>
    <w:rsid w:val="001C3C6E"/>
    <w:rsid w:val="001C53B2"/>
    <w:rsid w:val="001D0CC8"/>
    <w:rsid w:val="001D0DB8"/>
    <w:rsid w:val="001D2178"/>
    <w:rsid w:val="001D5B39"/>
    <w:rsid w:val="001E40DC"/>
    <w:rsid w:val="0020002E"/>
    <w:rsid w:val="00204526"/>
    <w:rsid w:val="00206A17"/>
    <w:rsid w:val="00222432"/>
    <w:rsid w:val="0022430A"/>
    <w:rsid w:val="00232878"/>
    <w:rsid w:val="002441DD"/>
    <w:rsid w:val="00247B93"/>
    <w:rsid w:val="00251DDE"/>
    <w:rsid w:val="0025223B"/>
    <w:rsid w:val="00253F2C"/>
    <w:rsid w:val="002547E0"/>
    <w:rsid w:val="00254DC6"/>
    <w:rsid w:val="00254E96"/>
    <w:rsid w:val="00257940"/>
    <w:rsid w:val="002629AE"/>
    <w:rsid w:val="00264431"/>
    <w:rsid w:val="00271EE9"/>
    <w:rsid w:val="0027401A"/>
    <w:rsid w:val="00285A9E"/>
    <w:rsid w:val="00287696"/>
    <w:rsid w:val="002936F2"/>
    <w:rsid w:val="00295352"/>
    <w:rsid w:val="002A0DE2"/>
    <w:rsid w:val="002A3109"/>
    <w:rsid w:val="002A5524"/>
    <w:rsid w:val="002B3254"/>
    <w:rsid w:val="002B3E6D"/>
    <w:rsid w:val="002D096F"/>
    <w:rsid w:val="002D380F"/>
    <w:rsid w:val="002E7F65"/>
    <w:rsid w:val="002F33B8"/>
    <w:rsid w:val="002F450E"/>
    <w:rsid w:val="0030104B"/>
    <w:rsid w:val="00301DB8"/>
    <w:rsid w:val="0031226E"/>
    <w:rsid w:val="00320069"/>
    <w:rsid w:val="003205F1"/>
    <w:rsid w:val="00327010"/>
    <w:rsid w:val="0035216A"/>
    <w:rsid w:val="003545D0"/>
    <w:rsid w:val="0036622E"/>
    <w:rsid w:val="00370B9A"/>
    <w:rsid w:val="003736E5"/>
    <w:rsid w:val="00376720"/>
    <w:rsid w:val="00382BBE"/>
    <w:rsid w:val="003837A2"/>
    <w:rsid w:val="00387CD8"/>
    <w:rsid w:val="003B11F2"/>
    <w:rsid w:val="003B3204"/>
    <w:rsid w:val="003C2936"/>
    <w:rsid w:val="003D270B"/>
    <w:rsid w:val="003D3EF5"/>
    <w:rsid w:val="003E678F"/>
    <w:rsid w:val="003F74B1"/>
    <w:rsid w:val="00406A68"/>
    <w:rsid w:val="00414B7D"/>
    <w:rsid w:val="00427588"/>
    <w:rsid w:val="0043476F"/>
    <w:rsid w:val="0044487F"/>
    <w:rsid w:val="00454F7C"/>
    <w:rsid w:val="00456D64"/>
    <w:rsid w:val="00465E0C"/>
    <w:rsid w:val="004715F5"/>
    <w:rsid w:val="0047766F"/>
    <w:rsid w:val="00480C63"/>
    <w:rsid w:val="00481513"/>
    <w:rsid w:val="00481F3E"/>
    <w:rsid w:val="00482700"/>
    <w:rsid w:val="00493188"/>
    <w:rsid w:val="00493D33"/>
    <w:rsid w:val="004976BC"/>
    <w:rsid w:val="004A4934"/>
    <w:rsid w:val="004B50A6"/>
    <w:rsid w:val="004C4573"/>
    <w:rsid w:val="004C67D4"/>
    <w:rsid w:val="004E02AD"/>
    <w:rsid w:val="004E7937"/>
    <w:rsid w:val="004F1CD7"/>
    <w:rsid w:val="00515004"/>
    <w:rsid w:val="005150FE"/>
    <w:rsid w:val="00516AF9"/>
    <w:rsid w:val="00523BFA"/>
    <w:rsid w:val="005329A7"/>
    <w:rsid w:val="00533A1D"/>
    <w:rsid w:val="0053754E"/>
    <w:rsid w:val="00541B5C"/>
    <w:rsid w:val="005506C9"/>
    <w:rsid w:val="0055544A"/>
    <w:rsid w:val="00577BB9"/>
    <w:rsid w:val="00583A12"/>
    <w:rsid w:val="005842A9"/>
    <w:rsid w:val="00593BBD"/>
    <w:rsid w:val="0059751C"/>
    <w:rsid w:val="0059758A"/>
    <w:rsid w:val="00597E23"/>
    <w:rsid w:val="005A1B90"/>
    <w:rsid w:val="005A59CA"/>
    <w:rsid w:val="005A5BE0"/>
    <w:rsid w:val="005A6BD5"/>
    <w:rsid w:val="005B0346"/>
    <w:rsid w:val="005B286F"/>
    <w:rsid w:val="005B4B3A"/>
    <w:rsid w:val="005F2FDE"/>
    <w:rsid w:val="00600A59"/>
    <w:rsid w:val="006012C0"/>
    <w:rsid w:val="00602B9B"/>
    <w:rsid w:val="006076A8"/>
    <w:rsid w:val="00615F60"/>
    <w:rsid w:val="006234C4"/>
    <w:rsid w:val="00624367"/>
    <w:rsid w:val="00624B62"/>
    <w:rsid w:val="00625B3A"/>
    <w:rsid w:val="00634A35"/>
    <w:rsid w:val="006357D6"/>
    <w:rsid w:val="00636606"/>
    <w:rsid w:val="00641E3E"/>
    <w:rsid w:val="006507BC"/>
    <w:rsid w:val="00652138"/>
    <w:rsid w:val="00656DF2"/>
    <w:rsid w:val="0065783A"/>
    <w:rsid w:val="00665C5D"/>
    <w:rsid w:val="00666771"/>
    <w:rsid w:val="0067257B"/>
    <w:rsid w:val="00690866"/>
    <w:rsid w:val="00692B36"/>
    <w:rsid w:val="00692F1A"/>
    <w:rsid w:val="006A0C6F"/>
    <w:rsid w:val="006A291E"/>
    <w:rsid w:val="006A2FEC"/>
    <w:rsid w:val="006B64A8"/>
    <w:rsid w:val="006C7259"/>
    <w:rsid w:val="006D36A3"/>
    <w:rsid w:val="006D7E78"/>
    <w:rsid w:val="006E0D19"/>
    <w:rsid w:val="006F0623"/>
    <w:rsid w:val="006F0E98"/>
    <w:rsid w:val="006F23A2"/>
    <w:rsid w:val="006F31CB"/>
    <w:rsid w:val="00706741"/>
    <w:rsid w:val="007067DC"/>
    <w:rsid w:val="007115C8"/>
    <w:rsid w:val="00716851"/>
    <w:rsid w:val="007211B8"/>
    <w:rsid w:val="00724D20"/>
    <w:rsid w:val="00732EAB"/>
    <w:rsid w:val="007347D1"/>
    <w:rsid w:val="00736C96"/>
    <w:rsid w:val="00744519"/>
    <w:rsid w:val="00755FCC"/>
    <w:rsid w:val="00756401"/>
    <w:rsid w:val="00760247"/>
    <w:rsid w:val="007620C6"/>
    <w:rsid w:val="00792914"/>
    <w:rsid w:val="00794A1D"/>
    <w:rsid w:val="00797F57"/>
    <w:rsid w:val="007B06E2"/>
    <w:rsid w:val="007C4B7F"/>
    <w:rsid w:val="007D370A"/>
    <w:rsid w:val="007E22AF"/>
    <w:rsid w:val="007E73C8"/>
    <w:rsid w:val="007F135E"/>
    <w:rsid w:val="007F506C"/>
    <w:rsid w:val="00803336"/>
    <w:rsid w:val="008046A5"/>
    <w:rsid w:val="00806B15"/>
    <w:rsid w:val="00812F0F"/>
    <w:rsid w:val="00825E86"/>
    <w:rsid w:val="00831A22"/>
    <w:rsid w:val="008350AC"/>
    <w:rsid w:val="0085075C"/>
    <w:rsid w:val="00861AB8"/>
    <w:rsid w:val="00861C63"/>
    <w:rsid w:val="00862861"/>
    <w:rsid w:val="008848E3"/>
    <w:rsid w:val="0088585A"/>
    <w:rsid w:val="0088603C"/>
    <w:rsid w:val="0088681F"/>
    <w:rsid w:val="00887099"/>
    <w:rsid w:val="008874A1"/>
    <w:rsid w:val="00890A53"/>
    <w:rsid w:val="008940B0"/>
    <w:rsid w:val="0089436C"/>
    <w:rsid w:val="00894478"/>
    <w:rsid w:val="00897183"/>
    <w:rsid w:val="00897F4A"/>
    <w:rsid w:val="008A00B8"/>
    <w:rsid w:val="008A24DE"/>
    <w:rsid w:val="008B0D3D"/>
    <w:rsid w:val="008B1B47"/>
    <w:rsid w:val="008B4A81"/>
    <w:rsid w:val="008C3A26"/>
    <w:rsid w:val="008D6F5D"/>
    <w:rsid w:val="008E1B34"/>
    <w:rsid w:val="008F0410"/>
    <w:rsid w:val="008F6B03"/>
    <w:rsid w:val="00911D89"/>
    <w:rsid w:val="00912EDD"/>
    <w:rsid w:val="00914D86"/>
    <w:rsid w:val="00974220"/>
    <w:rsid w:val="00976275"/>
    <w:rsid w:val="00986432"/>
    <w:rsid w:val="00990FCE"/>
    <w:rsid w:val="00992585"/>
    <w:rsid w:val="00996C34"/>
    <w:rsid w:val="009A4B92"/>
    <w:rsid w:val="009A5677"/>
    <w:rsid w:val="009B2869"/>
    <w:rsid w:val="009B2D59"/>
    <w:rsid w:val="009B5AE8"/>
    <w:rsid w:val="009C357F"/>
    <w:rsid w:val="009C67DB"/>
    <w:rsid w:val="009D16A3"/>
    <w:rsid w:val="009D396C"/>
    <w:rsid w:val="009E4629"/>
    <w:rsid w:val="009E4E46"/>
    <w:rsid w:val="009F1B2F"/>
    <w:rsid w:val="009F1FB9"/>
    <w:rsid w:val="009F5B0F"/>
    <w:rsid w:val="009F76EF"/>
    <w:rsid w:val="00A0251C"/>
    <w:rsid w:val="00A02C06"/>
    <w:rsid w:val="00A10229"/>
    <w:rsid w:val="00A17C13"/>
    <w:rsid w:val="00A308A2"/>
    <w:rsid w:val="00A338DF"/>
    <w:rsid w:val="00A357EC"/>
    <w:rsid w:val="00A41120"/>
    <w:rsid w:val="00A426D9"/>
    <w:rsid w:val="00A55AE3"/>
    <w:rsid w:val="00A6554D"/>
    <w:rsid w:val="00A65AA9"/>
    <w:rsid w:val="00A726DE"/>
    <w:rsid w:val="00A7335C"/>
    <w:rsid w:val="00A76219"/>
    <w:rsid w:val="00A76DD0"/>
    <w:rsid w:val="00A82F2F"/>
    <w:rsid w:val="00A93261"/>
    <w:rsid w:val="00AA0E68"/>
    <w:rsid w:val="00AA2E97"/>
    <w:rsid w:val="00AA54AE"/>
    <w:rsid w:val="00AC0F1C"/>
    <w:rsid w:val="00AC7453"/>
    <w:rsid w:val="00AD6A36"/>
    <w:rsid w:val="00AE7455"/>
    <w:rsid w:val="00AF0FE2"/>
    <w:rsid w:val="00B01873"/>
    <w:rsid w:val="00B055D5"/>
    <w:rsid w:val="00B057FB"/>
    <w:rsid w:val="00B05C3B"/>
    <w:rsid w:val="00B13683"/>
    <w:rsid w:val="00B26134"/>
    <w:rsid w:val="00B271BC"/>
    <w:rsid w:val="00B27557"/>
    <w:rsid w:val="00B30BAE"/>
    <w:rsid w:val="00B323F7"/>
    <w:rsid w:val="00B37D58"/>
    <w:rsid w:val="00B40A5B"/>
    <w:rsid w:val="00B514B5"/>
    <w:rsid w:val="00B54402"/>
    <w:rsid w:val="00B5553A"/>
    <w:rsid w:val="00B700CC"/>
    <w:rsid w:val="00B722B6"/>
    <w:rsid w:val="00B75394"/>
    <w:rsid w:val="00B82CA4"/>
    <w:rsid w:val="00B959FD"/>
    <w:rsid w:val="00BA18A3"/>
    <w:rsid w:val="00BC32E5"/>
    <w:rsid w:val="00BC723C"/>
    <w:rsid w:val="00BC72A2"/>
    <w:rsid w:val="00BE0ED9"/>
    <w:rsid w:val="00BE1C1F"/>
    <w:rsid w:val="00BF0BDA"/>
    <w:rsid w:val="00BF21D4"/>
    <w:rsid w:val="00BF61D9"/>
    <w:rsid w:val="00C01D91"/>
    <w:rsid w:val="00C02C5B"/>
    <w:rsid w:val="00C05168"/>
    <w:rsid w:val="00C101E0"/>
    <w:rsid w:val="00C12168"/>
    <w:rsid w:val="00C17DE5"/>
    <w:rsid w:val="00C26468"/>
    <w:rsid w:val="00C41A25"/>
    <w:rsid w:val="00C43444"/>
    <w:rsid w:val="00C501D1"/>
    <w:rsid w:val="00C55830"/>
    <w:rsid w:val="00C558BC"/>
    <w:rsid w:val="00C55BC4"/>
    <w:rsid w:val="00C56E48"/>
    <w:rsid w:val="00C628CC"/>
    <w:rsid w:val="00C71923"/>
    <w:rsid w:val="00C73E9D"/>
    <w:rsid w:val="00C8166B"/>
    <w:rsid w:val="00C82001"/>
    <w:rsid w:val="00C86A88"/>
    <w:rsid w:val="00CA48EA"/>
    <w:rsid w:val="00CB0330"/>
    <w:rsid w:val="00CB4F91"/>
    <w:rsid w:val="00CB7D72"/>
    <w:rsid w:val="00CD529F"/>
    <w:rsid w:val="00CD6E80"/>
    <w:rsid w:val="00CE6897"/>
    <w:rsid w:val="00CE6C7B"/>
    <w:rsid w:val="00CE7209"/>
    <w:rsid w:val="00CF18B4"/>
    <w:rsid w:val="00CF1F29"/>
    <w:rsid w:val="00D00698"/>
    <w:rsid w:val="00D036C4"/>
    <w:rsid w:val="00D12559"/>
    <w:rsid w:val="00D12F25"/>
    <w:rsid w:val="00D2398C"/>
    <w:rsid w:val="00D23C99"/>
    <w:rsid w:val="00D26D27"/>
    <w:rsid w:val="00D36FCE"/>
    <w:rsid w:val="00D4559A"/>
    <w:rsid w:val="00D47E9C"/>
    <w:rsid w:val="00D50DE7"/>
    <w:rsid w:val="00D513A2"/>
    <w:rsid w:val="00D5142C"/>
    <w:rsid w:val="00D67353"/>
    <w:rsid w:val="00D676F1"/>
    <w:rsid w:val="00D71525"/>
    <w:rsid w:val="00D72696"/>
    <w:rsid w:val="00D745B1"/>
    <w:rsid w:val="00D80190"/>
    <w:rsid w:val="00D8213A"/>
    <w:rsid w:val="00D82180"/>
    <w:rsid w:val="00D8417D"/>
    <w:rsid w:val="00D92744"/>
    <w:rsid w:val="00D97172"/>
    <w:rsid w:val="00DA2994"/>
    <w:rsid w:val="00DA2DF3"/>
    <w:rsid w:val="00DA3CDF"/>
    <w:rsid w:val="00DC3762"/>
    <w:rsid w:val="00DC6470"/>
    <w:rsid w:val="00DC6692"/>
    <w:rsid w:val="00DC6C36"/>
    <w:rsid w:val="00DD52CE"/>
    <w:rsid w:val="00DD5996"/>
    <w:rsid w:val="00DF547B"/>
    <w:rsid w:val="00DF7227"/>
    <w:rsid w:val="00E01D81"/>
    <w:rsid w:val="00E02EF1"/>
    <w:rsid w:val="00E037D0"/>
    <w:rsid w:val="00E07B36"/>
    <w:rsid w:val="00E20D25"/>
    <w:rsid w:val="00E30AD7"/>
    <w:rsid w:val="00E34D21"/>
    <w:rsid w:val="00E464FD"/>
    <w:rsid w:val="00E52AFF"/>
    <w:rsid w:val="00E605DB"/>
    <w:rsid w:val="00E66110"/>
    <w:rsid w:val="00E80A49"/>
    <w:rsid w:val="00E87004"/>
    <w:rsid w:val="00E87B44"/>
    <w:rsid w:val="00EA0830"/>
    <w:rsid w:val="00EA2F0A"/>
    <w:rsid w:val="00EA5575"/>
    <w:rsid w:val="00EB0C7B"/>
    <w:rsid w:val="00EB6511"/>
    <w:rsid w:val="00EB6583"/>
    <w:rsid w:val="00EC2CA4"/>
    <w:rsid w:val="00EC6A42"/>
    <w:rsid w:val="00EE0E46"/>
    <w:rsid w:val="00EE1522"/>
    <w:rsid w:val="00EE1853"/>
    <w:rsid w:val="00EF7159"/>
    <w:rsid w:val="00F0041B"/>
    <w:rsid w:val="00F03284"/>
    <w:rsid w:val="00F12440"/>
    <w:rsid w:val="00F1535B"/>
    <w:rsid w:val="00F217E5"/>
    <w:rsid w:val="00F25EFA"/>
    <w:rsid w:val="00F2641D"/>
    <w:rsid w:val="00F30CA8"/>
    <w:rsid w:val="00F319F5"/>
    <w:rsid w:val="00F36B2B"/>
    <w:rsid w:val="00F40F91"/>
    <w:rsid w:val="00F5460F"/>
    <w:rsid w:val="00F5491B"/>
    <w:rsid w:val="00F649A4"/>
    <w:rsid w:val="00F6675A"/>
    <w:rsid w:val="00F75809"/>
    <w:rsid w:val="00F806BF"/>
    <w:rsid w:val="00F845E1"/>
    <w:rsid w:val="00F874E5"/>
    <w:rsid w:val="00F879EB"/>
    <w:rsid w:val="00F87AFA"/>
    <w:rsid w:val="00FA05A9"/>
    <w:rsid w:val="00FA1407"/>
    <w:rsid w:val="00FA60C1"/>
    <w:rsid w:val="00FA7F62"/>
    <w:rsid w:val="00FB3AE4"/>
    <w:rsid w:val="00FB5F2A"/>
    <w:rsid w:val="00FC22AB"/>
    <w:rsid w:val="00FC24FB"/>
    <w:rsid w:val="00FC2CB6"/>
    <w:rsid w:val="00FC48B9"/>
    <w:rsid w:val="00FE160B"/>
    <w:rsid w:val="09D6647F"/>
    <w:rsid w:val="0D190A2F"/>
    <w:rsid w:val="1D986315"/>
    <w:rsid w:val="1F4D22C6"/>
    <w:rsid w:val="26AB4A1A"/>
    <w:rsid w:val="2AE77555"/>
    <w:rsid w:val="2C1A3A80"/>
    <w:rsid w:val="30185E79"/>
    <w:rsid w:val="37177ADE"/>
    <w:rsid w:val="3D9006BE"/>
    <w:rsid w:val="42FD7B29"/>
    <w:rsid w:val="512921C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8"/>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29"/>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30"/>
    <w:qFormat/>
    <w:uiPriority w:val="99"/>
    <w:pPr>
      <w:keepNext/>
      <w:keepLines/>
      <w:spacing w:before="260" w:after="260" w:line="416" w:lineRule="auto"/>
      <w:outlineLvl w:val="2"/>
    </w:pPr>
    <w:rPr>
      <w:b/>
      <w:bCs/>
      <w:sz w:val="32"/>
      <w:szCs w:val="32"/>
    </w:rPr>
  </w:style>
  <w:style w:type="paragraph" w:styleId="6">
    <w:name w:val="heading 4"/>
    <w:basedOn w:val="1"/>
    <w:next w:val="1"/>
    <w:link w:val="31"/>
    <w:qFormat/>
    <w:uiPriority w:val="99"/>
    <w:pPr>
      <w:keepNext/>
      <w:keepLines/>
      <w:spacing w:before="280" w:after="290" w:line="376" w:lineRule="auto"/>
      <w:outlineLvl w:val="3"/>
    </w:pPr>
    <w:rPr>
      <w:rFonts w:ascii="Cambria" w:hAnsi="Cambria"/>
      <w:b/>
      <w:bCs/>
      <w:sz w:val="28"/>
      <w:szCs w:val="28"/>
    </w:rPr>
  </w:style>
  <w:style w:type="character" w:default="1" w:styleId="25">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49"/>
    <w:qFormat/>
    <w:locked/>
    <w:uiPriority w:val="10"/>
    <w:pPr>
      <w:widowControl/>
      <w:spacing w:before="240" w:after="60"/>
      <w:jc w:val="center"/>
      <w:outlineLvl w:val="0"/>
    </w:pPr>
    <w:rPr>
      <w:rFonts w:ascii="Cambria" w:hAnsi="Cambria"/>
      <w:b/>
      <w:bCs/>
      <w:kern w:val="28"/>
      <w:sz w:val="32"/>
      <w:szCs w:val="32"/>
    </w:rPr>
  </w:style>
  <w:style w:type="paragraph" w:styleId="7">
    <w:name w:val="toc 7"/>
    <w:basedOn w:val="1"/>
    <w:next w:val="1"/>
    <w:qFormat/>
    <w:uiPriority w:val="99"/>
    <w:pPr>
      <w:ind w:left="1260"/>
      <w:jc w:val="left"/>
    </w:pPr>
    <w:rPr>
      <w:sz w:val="18"/>
      <w:szCs w:val="18"/>
    </w:rPr>
  </w:style>
  <w:style w:type="paragraph" w:styleId="8">
    <w:name w:val="annotation text"/>
    <w:basedOn w:val="1"/>
    <w:link w:val="32"/>
    <w:semiHidden/>
    <w:qFormat/>
    <w:uiPriority w:val="99"/>
    <w:pPr>
      <w:jc w:val="left"/>
    </w:pPr>
  </w:style>
  <w:style w:type="paragraph" w:styleId="9">
    <w:name w:val="Body Text"/>
    <w:basedOn w:val="1"/>
    <w:link w:val="33"/>
    <w:qFormat/>
    <w:uiPriority w:val="99"/>
    <w:pPr>
      <w:spacing w:after="120"/>
    </w:pPr>
    <w:rPr>
      <w:rFonts w:ascii="Times New Roman" w:hAnsi="Times New Roman"/>
      <w:szCs w:val="20"/>
    </w:rPr>
  </w:style>
  <w:style w:type="paragraph" w:styleId="10">
    <w:name w:val="toc 5"/>
    <w:basedOn w:val="1"/>
    <w:next w:val="1"/>
    <w:qFormat/>
    <w:uiPriority w:val="99"/>
    <w:pPr>
      <w:ind w:left="840"/>
      <w:jc w:val="left"/>
    </w:pPr>
    <w:rPr>
      <w:sz w:val="18"/>
      <w:szCs w:val="18"/>
    </w:rPr>
  </w:style>
  <w:style w:type="paragraph" w:styleId="11">
    <w:name w:val="toc 3"/>
    <w:basedOn w:val="1"/>
    <w:next w:val="1"/>
    <w:qFormat/>
    <w:uiPriority w:val="99"/>
    <w:pPr>
      <w:ind w:left="420"/>
      <w:jc w:val="left"/>
    </w:pPr>
    <w:rPr>
      <w:i/>
      <w:iCs/>
      <w:sz w:val="20"/>
      <w:szCs w:val="20"/>
    </w:rPr>
  </w:style>
  <w:style w:type="paragraph" w:styleId="12">
    <w:name w:val="Plain Text"/>
    <w:basedOn w:val="1"/>
    <w:link w:val="47"/>
    <w:qFormat/>
    <w:uiPriority w:val="99"/>
    <w:rPr>
      <w:rFonts w:ascii="宋体" w:hAnsi="Courier New" w:eastAsia="仿宋_GB2312"/>
      <w:sz w:val="32"/>
      <w:szCs w:val="21"/>
    </w:rPr>
  </w:style>
  <w:style w:type="paragraph" w:styleId="13">
    <w:name w:val="toc 8"/>
    <w:basedOn w:val="1"/>
    <w:next w:val="1"/>
    <w:qFormat/>
    <w:uiPriority w:val="99"/>
    <w:pPr>
      <w:ind w:left="1470"/>
      <w:jc w:val="left"/>
    </w:pPr>
    <w:rPr>
      <w:sz w:val="18"/>
      <w:szCs w:val="18"/>
    </w:rPr>
  </w:style>
  <w:style w:type="paragraph" w:styleId="14">
    <w:name w:val="Date"/>
    <w:basedOn w:val="1"/>
    <w:next w:val="1"/>
    <w:link w:val="34"/>
    <w:semiHidden/>
    <w:qFormat/>
    <w:uiPriority w:val="99"/>
    <w:pPr>
      <w:ind w:left="100" w:leftChars="2500"/>
    </w:pPr>
  </w:style>
  <w:style w:type="paragraph" w:styleId="15">
    <w:name w:val="Balloon Text"/>
    <w:basedOn w:val="1"/>
    <w:link w:val="35"/>
    <w:semiHidden/>
    <w:qFormat/>
    <w:uiPriority w:val="99"/>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99"/>
    <w:pPr>
      <w:spacing w:before="120" w:after="120"/>
      <w:jc w:val="left"/>
    </w:pPr>
    <w:rPr>
      <w:b/>
      <w:bCs/>
      <w:caps/>
      <w:sz w:val="20"/>
      <w:szCs w:val="20"/>
    </w:rPr>
  </w:style>
  <w:style w:type="paragraph" w:styleId="19">
    <w:name w:val="toc 4"/>
    <w:basedOn w:val="1"/>
    <w:next w:val="1"/>
    <w:qFormat/>
    <w:uiPriority w:val="99"/>
    <w:pPr>
      <w:ind w:left="630"/>
      <w:jc w:val="left"/>
    </w:pPr>
    <w:rPr>
      <w:sz w:val="18"/>
      <w:szCs w:val="18"/>
    </w:rPr>
  </w:style>
  <w:style w:type="paragraph" w:styleId="20">
    <w:name w:val="toc 6"/>
    <w:basedOn w:val="1"/>
    <w:next w:val="1"/>
    <w:qFormat/>
    <w:uiPriority w:val="99"/>
    <w:pPr>
      <w:ind w:left="1050"/>
      <w:jc w:val="left"/>
    </w:pPr>
    <w:rPr>
      <w:sz w:val="18"/>
      <w:szCs w:val="18"/>
    </w:rPr>
  </w:style>
  <w:style w:type="paragraph" w:styleId="21">
    <w:name w:val="toc 2"/>
    <w:basedOn w:val="1"/>
    <w:next w:val="1"/>
    <w:qFormat/>
    <w:uiPriority w:val="99"/>
    <w:pPr>
      <w:tabs>
        <w:tab w:val="right" w:leader="dot" w:pos="8296"/>
      </w:tabs>
      <w:spacing w:line="400" w:lineRule="exact"/>
      <w:ind w:left="210"/>
      <w:jc w:val="left"/>
    </w:pPr>
    <w:rPr>
      <w:smallCaps/>
      <w:sz w:val="20"/>
      <w:szCs w:val="20"/>
    </w:rPr>
  </w:style>
  <w:style w:type="paragraph" w:styleId="22">
    <w:name w:val="toc 9"/>
    <w:basedOn w:val="1"/>
    <w:next w:val="1"/>
    <w:qFormat/>
    <w:uiPriority w:val="99"/>
    <w:pPr>
      <w:ind w:left="1680"/>
      <w:jc w:val="left"/>
    </w:pPr>
    <w:rPr>
      <w:sz w:val="18"/>
      <w:szCs w:val="18"/>
    </w:rPr>
  </w:style>
  <w:style w:type="paragraph" w:styleId="23">
    <w:name w:val="annotation subject"/>
    <w:basedOn w:val="8"/>
    <w:next w:val="8"/>
    <w:link w:val="38"/>
    <w:semiHidden/>
    <w:qFormat/>
    <w:uiPriority w:val="99"/>
    <w:rPr>
      <w:b/>
      <w:bCs/>
    </w:rPr>
  </w:style>
  <w:style w:type="character" w:styleId="26">
    <w:name w:val="Hyperlink"/>
    <w:qFormat/>
    <w:uiPriority w:val="99"/>
    <w:rPr>
      <w:rFonts w:cs="Times New Roman"/>
      <w:color w:val="0000FF"/>
      <w:u w:val="single"/>
    </w:rPr>
  </w:style>
  <w:style w:type="character" w:styleId="27">
    <w:name w:val="annotation reference"/>
    <w:semiHidden/>
    <w:qFormat/>
    <w:uiPriority w:val="99"/>
    <w:rPr>
      <w:rFonts w:cs="Times New Roman"/>
      <w:sz w:val="21"/>
      <w:szCs w:val="21"/>
    </w:rPr>
  </w:style>
  <w:style w:type="character" w:customStyle="1" w:styleId="28">
    <w:name w:val="标题 1 字符"/>
    <w:link w:val="3"/>
    <w:qFormat/>
    <w:locked/>
    <w:uiPriority w:val="99"/>
    <w:rPr>
      <w:rFonts w:cs="Times New Roman"/>
      <w:b/>
      <w:bCs/>
      <w:kern w:val="44"/>
      <w:sz w:val="44"/>
      <w:szCs w:val="44"/>
    </w:rPr>
  </w:style>
  <w:style w:type="character" w:customStyle="1" w:styleId="29">
    <w:name w:val="标题 2 字符"/>
    <w:link w:val="4"/>
    <w:qFormat/>
    <w:locked/>
    <w:uiPriority w:val="99"/>
    <w:rPr>
      <w:rFonts w:ascii="Cambria" w:hAnsi="Cambria" w:eastAsia="宋体" w:cs="Times New Roman"/>
      <w:b/>
      <w:bCs/>
      <w:sz w:val="32"/>
      <w:szCs w:val="32"/>
    </w:rPr>
  </w:style>
  <w:style w:type="character" w:customStyle="1" w:styleId="30">
    <w:name w:val="标题 3 字符"/>
    <w:link w:val="5"/>
    <w:qFormat/>
    <w:locked/>
    <w:uiPriority w:val="99"/>
    <w:rPr>
      <w:rFonts w:cs="Times New Roman"/>
      <w:b/>
      <w:bCs/>
      <w:sz w:val="32"/>
      <w:szCs w:val="32"/>
    </w:rPr>
  </w:style>
  <w:style w:type="character" w:customStyle="1" w:styleId="31">
    <w:name w:val="标题 4 字符"/>
    <w:link w:val="6"/>
    <w:qFormat/>
    <w:locked/>
    <w:uiPriority w:val="99"/>
    <w:rPr>
      <w:rFonts w:ascii="Cambria" w:hAnsi="Cambria" w:eastAsia="宋体" w:cs="Times New Roman"/>
      <w:b/>
      <w:bCs/>
      <w:sz w:val="28"/>
      <w:szCs w:val="28"/>
    </w:rPr>
  </w:style>
  <w:style w:type="character" w:customStyle="1" w:styleId="32">
    <w:name w:val="批注文字 字符"/>
    <w:link w:val="8"/>
    <w:semiHidden/>
    <w:qFormat/>
    <w:locked/>
    <w:uiPriority w:val="99"/>
    <w:rPr>
      <w:rFonts w:cs="Times New Roman"/>
      <w:sz w:val="24"/>
      <w:szCs w:val="24"/>
    </w:rPr>
  </w:style>
  <w:style w:type="character" w:customStyle="1" w:styleId="33">
    <w:name w:val="正文文本 字符"/>
    <w:link w:val="9"/>
    <w:qFormat/>
    <w:locked/>
    <w:uiPriority w:val="99"/>
    <w:rPr>
      <w:rFonts w:ascii="Times New Roman" w:hAnsi="Times New Roman" w:cs="Times New Roman"/>
      <w:sz w:val="20"/>
      <w:szCs w:val="20"/>
    </w:rPr>
  </w:style>
  <w:style w:type="character" w:customStyle="1" w:styleId="34">
    <w:name w:val="日期 字符"/>
    <w:link w:val="14"/>
    <w:semiHidden/>
    <w:qFormat/>
    <w:locked/>
    <w:uiPriority w:val="99"/>
    <w:rPr>
      <w:rFonts w:cs="Times New Roman"/>
      <w:sz w:val="24"/>
      <w:szCs w:val="24"/>
    </w:rPr>
  </w:style>
  <w:style w:type="character" w:customStyle="1" w:styleId="35">
    <w:name w:val="批注框文本 字符"/>
    <w:link w:val="15"/>
    <w:semiHidden/>
    <w:qFormat/>
    <w:locked/>
    <w:uiPriority w:val="99"/>
    <w:rPr>
      <w:rFonts w:cs="Times New Roman"/>
      <w:sz w:val="18"/>
      <w:szCs w:val="18"/>
    </w:rPr>
  </w:style>
  <w:style w:type="character" w:customStyle="1" w:styleId="36">
    <w:name w:val="页脚 字符"/>
    <w:link w:val="16"/>
    <w:qFormat/>
    <w:locked/>
    <w:uiPriority w:val="99"/>
    <w:rPr>
      <w:rFonts w:cs="Times New Roman"/>
      <w:sz w:val="18"/>
      <w:szCs w:val="18"/>
    </w:rPr>
  </w:style>
  <w:style w:type="character" w:customStyle="1" w:styleId="37">
    <w:name w:val="页眉 字符"/>
    <w:link w:val="17"/>
    <w:qFormat/>
    <w:locked/>
    <w:uiPriority w:val="99"/>
    <w:rPr>
      <w:rFonts w:cs="Times New Roman"/>
      <w:sz w:val="18"/>
      <w:szCs w:val="18"/>
    </w:rPr>
  </w:style>
  <w:style w:type="character" w:customStyle="1" w:styleId="38">
    <w:name w:val="批注主题 字符"/>
    <w:link w:val="23"/>
    <w:semiHidden/>
    <w:qFormat/>
    <w:locked/>
    <w:uiPriority w:val="99"/>
    <w:rPr>
      <w:rFonts w:cs="Times New Roman"/>
      <w:b/>
      <w:bCs/>
      <w:sz w:val="24"/>
      <w:szCs w:val="24"/>
    </w:rPr>
  </w:style>
  <w:style w:type="paragraph" w:styleId="39">
    <w:name w:val="List Paragraph"/>
    <w:basedOn w:val="1"/>
    <w:link w:val="43"/>
    <w:qFormat/>
    <w:uiPriority w:val="99"/>
    <w:pPr>
      <w:ind w:firstLine="420" w:firstLineChars="200"/>
    </w:pPr>
    <w:rPr>
      <w:rFonts w:ascii="Times New Roman" w:hAnsi="Times New Roman"/>
      <w:kern w:val="0"/>
      <w:sz w:val="24"/>
      <w:szCs w:val="20"/>
    </w:rPr>
  </w:style>
  <w:style w:type="character" w:customStyle="1" w:styleId="40">
    <w:name w:val="闻政标题3 Char"/>
    <w:link w:val="41"/>
    <w:qFormat/>
    <w:locked/>
    <w:uiPriority w:val="99"/>
    <w:rPr>
      <w:rFonts w:ascii="黑体" w:hAnsi="黑体" w:eastAsia="黑体"/>
      <w:sz w:val="32"/>
    </w:rPr>
  </w:style>
  <w:style w:type="paragraph" w:customStyle="1" w:styleId="41">
    <w:name w:val="闻政标题3"/>
    <w:basedOn w:val="5"/>
    <w:link w:val="40"/>
    <w:qFormat/>
    <w:uiPriority w:val="99"/>
    <w:pPr>
      <w:spacing w:before="120" w:after="60" w:line="500" w:lineRule="exact"/>
      <w:jc w:val="left"/>
      <w:outlineLvl w:val="0"/>
    </w:pPr>
    <w:rPr>
      <w:rFonts w:ascii="黑体" w:hAnsi="黑体" w:eastAsia="黑体"/>
      <w:b w:val="0"/>
      <w:bCs w:val="0"/>
      <w:kern w:val="0"/>
      <w:szCs w:val="20"/>
    </w:rPr>
  </w:style>
  <w:style w:type="paragraph" w:customStyle="1" w:styleId="42">
    <w:name w:val="列出段落1"/>
    <w:basedOn w:val="1"/>
    <w:qFormat/>
    <w:uiPriority w:val="99"/>
    <w:pPr>
      <w:ind w:firstLine="420" w:firstLineChars="200"/>
    </w:pPr>
    <w:rPr>
      <w:kern w:val="0"/>
      <w:sz w:val="20"/>
      <w:szCs w:val="20"/>
    </w:rPr>
  </w:style>
  <w:style w:type="character" w:customStyle="1" w:styleId="43">
    <w:name w:val="列出段落 字符"/>
    <w:link w:val="39"/>
    <w:qFormat/>
    <w:locked/>
    <w:uiPriority w:val="99"/>
    <w:rPr>
      <w:sz w:val="24"/>
    </w:rPr>
  </w:style>
  <w:style w:type="paragraph" w:customStyle="1" w:styleId="44">
    <w:name w:val="TOC Heading1"/>
    <w:basedOn w:val="3"/>
    <w:next w:val="1"/>
    <w:semiHidden/>
    <w:uiPriority w:val="99"/>
    <w:pPr>
      <w:widowControl/>
      <w:spacing w:before="480" w:after="0" w:line="276" w:lineRule="auto"/>
      <w:jc w:val="left"/>
      <w:outlineLvl w:val="9"/>
    </w:pPr>
    <w:rPr>
      <w:rFonts w:ascii="Cambria" w:hAnsi="Cambria"/>
      <w:color w:val="365F91"/>
      <w:kern w:val="0"/>
      <w:sz w:val="28"/>
      <w:szCs w:val="28"/>
    </w:rPr>
  </w:style>
  <w:style w:type="character" w:customStyle="1" w:styleId="45">
    <w:name w:val="闻政正文 Char"/>
    <w:link w:val="46"/>
    <w:qFormat/>
    <w:locked/>
    <w:uiPriority w:val="99"/>
    <w:rPr>
      <w:rFonts w:ascii="Times New Roman" w:hAnsi="Times New Roman" w:eastAsia="仿宋_GB2312"/>
      <w:sz w:val="28"/>
    </w:rPr>
  </w:style>
  <w:style w:type="paragraph" w:customStyle="1" w:styleId="46">
    <w:name w:val="闻政正文"/>
    <w:basedOn w:val="1"/>
    <w:link w:val="45"/>
    <w:qFormat/>
    <w:uiPriority w:val="99"/>
    <w:pPr>
      <w:spacing w:line="500" w:lineRule="exact"/>
      <w:ind w:firstLine="560" w:firstLineChars="200"/>
    </w:pPr>
    <w:rPr>
      <w:rFonts w:ascii="Times New Roman" w:hAnsi="Times New Roman" w:eastAsia="仿宋_GB2312"/>
      <w:kern w:val="0"/>
      <w:sz w:val="28"/>
      <w:szCs w:val="20"/>
    </w:rPr>
  </w:style>
  <w:style w:type="character" w:customStyle="1" w:styleId="47">
    <w:name w:val="纯文本 字符"/>
    <w:link w:val="12"/>
    <w:qFormat/>
    <w:locked/>
    <w:uiPriority w:val="99"/>
    <w:rPr>
      <w:rFonts w:ascii="宋体" w:hAnsi="Courier New" w:eastAsia="仿宋_GB2312" w:cs="Times New Roman"/>
      <w:kern w:val="2"/>
      <w:sz w:val="21"/>
      <w:szCs w:val="21"/>
      <w:lang w:val="en-US" w:eastAsia="zh-CN" w:bidi="ar-SA"/>
    </w:rPr>
  </w:style>
  <w:style w:type="character" w:customStyle="1" w:styleId="48">
    <w:name w:val="font31"/>
    <w:qFormat/>
    <w:uiPriority w:val="0"/>
    <w:rPr>
      <w:rFonts w:hint="eastAsia" w:ascii="方正仿宋_GBK" w:hAnsi="方正仿宋_GBK" w:eastAsia="方正仿宋_GBK" w:cs="方正仿宋_GBK"/>
      <w:color w:val="000000"/>
      <w:sz w:val="24"/>
      <w:szCs w:val="24"/>
      <w:u w:val="none"/>
    </w:rPr>
  </w:style>
  <w:style w:type="character" w:customStyle="1" w:styleId="49">
    <w:name w:val="标题 字符"/>
    <w:link w:val="2"/>
    <w:qFormat/>
    <w:uiPriority w:val="10"/>
    <w:rPr>
      <w:rFonts w:ascii="Cambria" w:hAnsi="Cambria" w:eastAsia="宋体"/>
      <w:b/>
      <w:bCs/>
      <w:kern w:val="28"/>
      <w:sz w:val="32"/>
      <w:szCs w:val="32"/>
    </w:rPr>
  </w:style>
  <w:style w:type="character" w:customStyle="1" w:styleId="5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33D650-08F0-4AA1-BC11-D39D4214BA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1771</Words>
  <Characters>10095</Characters>
  <Lines>84</Lines>
  <Paragraphs>23</Paragraphs>
  <TotalTime>4</TotalTime>
  <ScaleCrop>false</ScaleCrop>
  <LinksUpToDate>false</LinksUpToDate>
  <CharactersWithSpaces>11843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2020-03-26T06:43:00Z</dcterms:created>
  <dc:creator>jc</dc:creator>
  <cp:lastModifiedBy>dell-dell</cp:lastModifiedBy>
  <cp:lastPrinted>2020-04-17T04:08:00Z</cp:lastPrinted>
  <dcterms:modified xsi:type="dcterms:W3CDTF">2021-05-29T12:33:09Z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0_btnclosed</vt:lpwstr>
  </property>
  <property fmtid="{D5CDD505-2E9C-101B-9397-08002B2CF9AE}" pid="4" name="ICV">
    <vt:lpwstr>C46A435BCA814B838EAC311CAF5F5874</vt:lpwstr>
  </property>
</Properties>
</file>