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lang w:eastAsia="zh-CN"/>
        </w:rPr>
      </w:pPr>
    </w:p>
    <w:p>
      <w:pPr>
        <w:spacing w:line="540" w:lineRule="exact"/>
        <w:jc w:val="center"/>
        <w:rPr>
          <w:rFonts w:hint="eastAsia" w:ascii="方正小标宋简体" w:hAnsi="方正小标宋简体" w:eastAsia="方正小标宋简体" w:cs="方正小标宋简体"/>
          <w:b/>
          <w:bCs/>
          <w:kern w:val="0"/>
          <w:sz w:val="44"/>
          <w:szCs w:val="44"/>
          <w:lang w:eastAsia="zh-CN"/>
        </w:rPr>
      </w:pPr>
      <w:r>
        <w:rPr>
          <w:rFonts w:hint="eastAsia" w:ascii="方正小标宋简体" w:hAnsi="方正小标宋简体" w:eastAsia="方正小标宋简体" w:cs="方正小标宋简体"/>
          <w:b/>
          <w:bCs/>
          <w:kern w:val="0"/>
          <w:sz w:val="44"/>
          <w:szCs w:val="44"/>
          <w:lang w:eastAsia="zh-CN"/>
        </w:rPr>
        <w:t>2020年中央财政森林生态效益补偿基金－营造林（退化林修复）资金项目支出绩效评价报告</w:t>
      </w:r>
    </w:p>
    <w:p>
      <w:pPr>
        <w:spacing w:line="540" w:lineRule="exact"/>
        <w:jc w:val="center"/>
        <w:rPr>
          <w:rFonts w:ascii="华文中宋" w:hAnsi="华文中宋" w:eastAsia="华文中宋" w:cs="宋体"/>
          <w:b/>
          <w:bCs/>
          <w:kern w:val="0"/>
          <w:sz w:val="52"/>
          <w:szCs w:val="52"/>
        </w:rPr>
      </w:pPr>
    </w:p>
    <w:p>
      <w:pPr>
        <w:spacing w:line="540" w:lineRule="exact"/>
        <w:jc w:val="center"/>
        <w:rPr>
          <w:rFonts w:hint="eastAsia" w:ascii="仿宋_GB2312" w:hAnsi="仿宋_GB2312" w:eastAsia="仿宋_GB2312" w:cs="仿宋_GB2312"/>
          <w:b/>
          <w:bCs/>
          <w:kern w:val="0"/>
          <w:sz w:val="36"/>
          <w:szCs w:val="36"/>
        </w:rPr>
      </w:pPr>
      <w:r>
        <w:rPr>
          <w:rFonts w:hint="eastAsia" w:ascii="仿宋_GB2312" w:hAnsi="仿宋_GB2312" w:eastAsia="仿宋_GB2312" w:cs="仿宋_GB2312"/>
          <w:b/>
          <w:bCs/>
          <w:kern w:val="0"/>
          <w:sz w:val="36"/>
          <w:szCs w:val="36"/>
        </w:rPr>
        <w:t>（ 20</w:t>
      </w:r>
      <w:r>
        <w:rPr>
          <w:rFonts w:hint="eastAsia" w:ascii="仿宋_GB2312" w:hAnsi="仿宋_GB2312" w:eastAsia="仿宋_GB2312" w:cs="仿宋_GB2312"/>
          <w:b/>
          <w:bCs/>
          <w:kern w:val="0"/>
          <w:sz w:val="36"/>
          <w:szCs w:val="36"/>
          <w:lang w:val="en-US" w:eastAsia="zh-CN"/>
        </w:rPr>
        <w:t>20</w:t>
      </w:r>
      <w:r>
        <w:rPr>
          <w:rFonts w:hint="eastAsia" w:ascii="仿宋_GB2312" w:hAnsi="仿宋_GB2312" w:eastAsia="仿宋_GB2312" w:cs="仿宋_GB2312"/>
          <w:b/>
          <w:bCs/>
          <w:kern w:val="0"/>
          <w:sz w:val="36"/>
          <w:szCs w:val="36"/>
        </w:rPr>
        <w:t>年度）</w:t>
      </w: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480" w:lineRule="auto"/>
        <w:ind w:left="1800" w:hanging="1800" w:hangingChars="5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eastAsia="zh-CN"/>
        </w:rPr>
        <w:t>2020年中央财政森林生态效益补偿基金－营造林（退化林修复）</w:t>
      </w:r>
    </w:p>
    <w:p>
      <w:pPr>
        <w:spacing w:line="480" w:lineRule="auto"/>
        <w:ind w:left="1800" w:hanging="1800" w:hangingChars="5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lang w:eastAsia="zh-CN"/>
        </w:rPr>
        <w:t>实施单位（公章）：塔城地区老风口生态建设工程管理中心</w:t>
      </w:r>
    </w:p>
    <w:p>
      <w:pPr>
        <w:spacing w:line="480" w:lineRule="auto"/>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主管部门（公章）：塔城地区林业和草原局</w:t>
      </w:r>
    </w:p>
    <w:p>
      <w:pPr>
        <w:spacing w:line="480" w:lineRule="auto"/>
        <w:ind w:left="1800" w:hanging="1800" w:hangingChars="5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项目负责人（签章）：邵仰文 （塔城地区老风口</w:t>
      </w: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生态建设管理中心办公室主任）</w:t>
      </w:r>
    </w:p>
    <w:p>
      <w:pPr>
        <w:spacing w:line="700" w:lineRule="exact"/>
        <w:ind w:firstLine="1080" w:firstLineChars="3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7</w:t>
      </w:r>
      <w:r>
        <w:rPr>
          <w:rFonts w:hint="eastAsia" w:ascii="仿宋_GB2312" w:hAnsi="仿宋_GB2312" w:eastAsia="仿宋_GB2312" w:cs="仿宋_GB2312"/>
          <w:kern w:val="0"/>
          <w:sz w:val="36"/>
          <w:szCs w:val="36"/>
        </w:rPr>
        <w:t>日</w:t>
      </w:r>
    </w:p>
    <w:p>
      <w:pPr>
        <w:spacing w:line="540" w:lineRule="exact"/>
        <w:jc w:val="center"/>
        <w:rPr>
          <w:rFonts w:hint="eastAsia" w:ascii="仿宋_GB2312" w:hAnsi="仿宋_GB2312" w:eastAsia="仿宋_GB2312" w:cs="仿宋_GB2312"/>
          <w:kern w:val="0"/>
          <w:sz w:val="36"/>
          <w:szCs w:val="36"/>
        </w:rPr>
      </w:pPr>
    </w:p>
    <w:p>
      <w:pPr>
        <w:spacing w:line="540" w:lineRule="exact"/>
        <w:rPr>
          <w:rStyle w:val="21"/>
          <w:rFonts w:hint="eastAsia" w:ascii="方正小标宋简体" w:hAnsi="方正小标宋简体" w:eastAsia="方正小标宋简体" w:cs="方正小标宋简体"/>
          <w:b w:val="0"/>
          <w:spacing w:val="-4"/>
          <w:sz w:val="30"/>
          <w:szCs w:val="30"/>
        </w:rPr>
      </w:pPr>
    </w:p>
    <w:p>
      <w:pPr>
        <w:pStyle w:val="2"/>
        <w:rPr>
          <w:rFonts w:hint="eastAsia"/>
        </w:rPr>
      </w:pPr>
    </w:p>
    <w:sdt>
      <w:sdtPr>
        <w:rPr>
          <w:rFonts w:hint="eastAsia" w:ascii="黑体" w:hAnsi="黑体" w:eastAsia="黑体" w:cs="黑体"/>
          <w:b/>
          <w:bCs/>
          <w:kern w:val="2"/>
          <w:sz w:val="44"/>
          <w:szCs w:val="44"/>
          <w:lang w:val="en-US" w:eastAsia="zh-CN" w:bidi="ar-SA"/>
        </w:rPr>
        <w:id w:val="147457260"/>
        <w:docPartObj>
          <w:docPartGallery w:val="Table of Contents"/>
          <w:docPartUnique/>
        </w:docPartObj>
      </w:sdtPr>
      <w:sdtEndPr>
        <w:rPr>
          <w:rFonts w:hint="eastAsia" w:ascii="方正小标宋简体" w:hAnsi="方正小标宋简体" w:eastAsia="方正小标宋简体" w:cs="方正小标宋简体"/>
          <w:b/>
          <w:bCs/>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bCs/>
              <w:sz w:val="44"/>
              <w:szCs w:val="44"/>
            </w:rPr>
          </w:pPr>
          <w:bookmarkStart w:id="0" w:name="_Toc4470_WPSOffice_Type2"/>
          <w:r>
            <w:rPr>
              <w:rFonts w:hint="eastAsia" w:ascii="黑体" w:hAnsi="黑体" w:eastAsia="黑体" w:cs="黑体"/>
              <w:b/>
              <w:bCs/>
              <w:sz w:val="44"/>
              <w:szCs w:val="44"/>
            </w:rPr>
            <w:t>目录</w:t>
          </w:r>
        </w:p>
        <w:p>
          <w:pPr>
            <w:pStyle w:val="51"/>
            <w:tabs>
              <w:tab w:val="right" w:leader="dot" w:pos="8548"/>
            </w:tabs>
            <w:rPr>
              <w:rFonts w:hint="eastAsia" w:ascii="楷体" w:hAnsi="楷体" w:eastAsia="楷体" w:cs="楷体"/>
              <w:sz w:val="30"/>
              <w:szCs w:val="30"/>
            </w:rPr>
          </w:pPr>
          <w:r>
            <w:rPr>
              <w:rFonts w:hint="eastAsia" w:ascii="楷体" w:hAnsi="楷体" w:eastAsia="楷体" w:cs="楷体"/>
              <w:b/>
              <w:bCs/>
              <w:sz w:val="30"/>
              <w:szCs w:val="30"/>
            </w:rPr>
            <w:fldChar w:fldCharType="begin"/>
          </w:r>
          <w:r>
            <w:rPr>
              <w:rFonts w:hint="eastAsia" w:ascii="楷体" w:hAnsi="楷体" w:eastAsia="楷体" w:cs="楷体"/>
              <w:sz w:val="30"/>
              <w:szCs w:val="30"/>
            </w:rPr>
            <w:instrText xml:space="preserve"> HYPERLINK \l _Toc7488_WPSOffice_Level1 </w:instrText>
          </w:r>
          <w:r>
            <w:rPr>
              <w:rFonts w:hint="eastAsia" w:ascii="楷体" w:hAnsi="楷体" w:eastAsia="楷体" w:cs="楷体"/>
              <w:b/>
              <w:bCs/>
              <w:sz w:val="30"/>
              <w:szCs w:val="30"/>
            </w:rPr>
            <w:fldChar w:fldCharType="separate"/>
          </w:r>
          <w:sdt>
            <w:sdtPr>
              <w:rPr>
                <w:rFonts w:hint="eastAsia" w:ascii="楷体" w:hAnsi="楷体" w:eastAsia="楷体" w:cs="楷体"/>
                <w:b/>
                <w:bCs/>
                <w:kern w:val="2"/>
                <w:sz w:val="30"/>
                <w:szCs w:val="30"/>
                <w:lang w:val="en-US" w:eastAsia="zh-CN" w:bidi="ar-SA"/>
              </w:rPr>
              <w:id w:val="147457260"/>
              <w:placeholder>
                <w:docPart w:val="{51d09a43-936e-4bfc-b271-87dd62bb6f35}"/>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一、基本情况</w:t>
              </w:r>
            </w:sdtContent>
          </w:sdt>
          <w:r>
            <w:rPr>
              <w:rFonts w:hint="eastAsia" w:ascii="楷体" w:hAnsi="楷体" w:eastAsia="楷体" w:cs="楷体"/>
              <w:b/>
              <w:bCs/>
              <w:sz w:val="30"/>
              <w:szCs w:val="30"/>
            </w:rPr>
            <w:tab/>
          </w:r>
          <w:bookmarkStart w:id="1" w:name="_Toc7488_WPSOffice_Level1Page"/>
          <w:r>
            <w:rPr>
              <w:rFonts w:hint="eastAsia" w:ascii="楷体" w:hAnsi="楷体" w:eastAsia="楷体" w:cs="楷体"/>
              <w:b/>
              <w:bCs/>
              <w:sz w:val="30"/>
              <w:szCs w:val="30"/>
            </w:rPr>
            <w:t>3</w:t>
          </w:r>
          <w:bookmarkEnd w:id="1"/>
          <w:r>
            <w:rPr>
              <w:rFonts w:hint="eastAsia" w:ascii="楷体" w:hAnsi="楷体" w:eastAsia="楷体" w:cs="楷体"/>
              <w:b/>
              <w:bCs/>
              <w:sz w:val="30"/>
              <w:szCs w:val="30"/>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_Toc4470_WPSOffice_Level2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d14e9f88-9af3-4dc7-b1a6-78510a22923b}"/>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（一）项目概况</w:t>
              </w:r>
            </w:sdtContent>
          </w:sdt>
          <w:r>
            <w:rPr>
              <w:rFonts w:hint="eastAsia" w:ascii="仿宋_GB2312" w:hAnsi="仿宋_GB2312" w:eastAsia="仿宋_GB2312" w:cs="仿宋_GB2312"/>
              <w:sz w:val="32"/>
              <w:szCs w:val="32"/>
            </w:rPr>
            <w:tab/>
          </w:r>
          <w:bookmarkStart w:id="2" w:name="_Toc4470_WPSOffice_Level2Page"/>
          <w:r>
            <w:rPr>
              <w:rFonts w:hint="eastAsia" w:ascii="仿宋_GB2312" w:hAnsi="仿宋_GB2312" w:eastAsia="仿宋_GB2312" w:cs="仿宋_GB2312"/>
              <w:sz w:val="32"/>
              <w:szCs w:val="32"/>
            </w:rPr>
            <w:t>3</w:t>
          </w:r>
          <w:bookmarkEnd w:id="2"/>
          <w:r>
            <w:rPr>
              <w:rFonts w:hint="eastAsia" w:ascii="仿宋_GB2312" w:hAnsi="仿宋_GB2312" w:eastAsia="仿宋_GB2312" w:cs="仿宋_GB2312"/>
              <w:sz w:val="32"/>
              <w:szCs w:val="32"/>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_Toc16013_WPSOffice_Level2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b693e22c-e889-432c-bfa2-c5362827b836}"/>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（二）项目绩效目标</w:t>
              </w:r>
            </w:sdtContent>
          </w:sdt>
          <w:r>
            <w:rPr>
              <w:rFonts w:hint="eastAsia" w:ascii="仿宋_GB2312" w:hAnsi="仿宋_GB2312" w:eastAsia="仿宋_GB2312" w:cs="仿宋_GB2312"/>
              <w:sz w:val="32"/>
              <w:szCs w:val="32"/>
            </w:rPr>
            <w:tab/>
          </w:r>
          <w:bookmarkStart w:id="3" w:name="_Toc16013_WPSOffice_Level2Page"/>
          <w:r>
            <w:rPr>
              <w:rFonts w:hint="eastAsia" w:ascii="仿宋_GB2312" w:hAnsi="仿宋_GB2312" w:eastAsia="仿宋_GB2312" w:cs="仿宋_GB2312"/>
              <w:sz w:val="32"/>
              <w:szCs w:val="32"/>
            </w:rPr>
            <w:t>6</w:t>
          </w:r>
          <w:bookmarkEnd w:id="3"/>
          <w:r>
            <w:rPr>
              <w:rFonts w:hint="eastAsia" w:ascii="仿宋_GB2312" w:hAnsi="仿宋_GB2312" w:eastAsia="仿宋_GB2312" w:cs="仿宋_GB2312"/>
              <w:sz w:val="32"/>
              <w:szCs w:val="32"/>
            </w:rPr>
            <w:fldChar w:fldCharType="end"/>
          </w:r>
        </w:p>
        <w:p>
          <w:pPr>
            <w:pStyle w:val="51"/>
            <w:tabs>
              <w:tab w:val="right" w:leader="dot" w:pos="8548"/>
            </w:tabs>
            <w:rPr>
              <w:rFonts w:hint="eastAsia" w:ascii="楷体" w:hAnsi="楷体" w:eastAsia="楷体" w:cs="楷体"/>
              <w:sz w:val="30"/>
              <w:szCs w:val="30"/>
            </w:rPr>
          </w:pPr>
          <w:r>
            <w:rPr>
              <w:rFonts w:hint="eastAsia" w:ascii="楷体" w:hAnsi="楷体" w:eastAsia="楷体" w:cs="楷体"/>
              <w:b/>
              <w:bCs/>
              <w:sz w:val="30"/>
              <w:szCs w:val="30"/>
            </w:rPr>
            <w:fldChar w:fldCharType="begin"/>
          </w:r>
          <w:r>
            <w:rPr>
              <w:rFonts w:hint="eastAsia" w:ascii="楷体" w:hAnsi="楷体" w:eastAsia="楷体" w:cs="楷体"/>
              <w:sz w:val="30"/>
              <w:szCs w:val="30"/>
            </w:rPr>
            <w:instrText xml:space="preserve"> HYPERLINK \l _Toc4470_WPSOffice_Level1 </w:instrText>
          </w:r>
          <w:r>
            <w:rPr>
              <w:rFonts w:hint="eastAsia" w:ascii="楷体" w:hAnsi="楷体" w:eastAsia="楷体" w:cs="楷体"/>
              <w:b/>
              <w:bCs/>
              <w:sz w:val="30"/>
              <w:szCs w:val="30"/>
            </w:rPr>
            <w:fldChar w:fldCharType="separate"/>
          </w:r>
          <w:sdt>
            <w:sdtPr>
              <w:rPr>
                <w:rFonts w:hint="eastAsia" w:ascii="楷体" w:hAnsi="楷体" w:eastAsia="楷体" w:cs="楷体"/>
                <w:b/>
                <w:bCs/>
                <w:kern w:val="2"/>
                <w:sz w:val="30"/>
                <w:szCs w:val="30"/>
                <w:lang w:val="en-US" w:eastAsia="zh-CN" w:bidi="ar-SA"/>
              </w:rPr>
              <w:id w:val="147457260"/>
              <w:placeholder>
                <w:docPart w:val="{b74d5c83-7ed9-4949-85cb-439a5f5a8a18}"/>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二、绩效评价工作开展情况</w:t>
              </w:r>
            </w:sdtContent>
          </w:sdt>
          <w:r>
            <w:rPr>
              <w:rFonts w:hint="eastAsia" w:ascii="楷体" w:hAnsi="楷体" w:eastAsia="楷体" w:cs="楷体"/>
              <w:b/>
              <w:bCs/>
              <w:sz w:val="30"/>
              <w:szCs w:val="30"/>
            </w:rPr>
            <w:tab/>
          </w:r>
          <w:bookmarkStart w:id="4" w:name="_Toc4470_WPSOffice_Level1Page"/>
          <w:r>
            <w:rPr>
              <w:rFonts w:hint="eastAsia" w:ascii="楷体" w:hAnsi="楷体" w:eastAsia="楷体" w:cs="楷体"/>
              <w:b/>
              <w:bCs/>
              <w:sz w:val="30"/>
              <w:szCs w:val="30"/>
            </w:rPr>
            <w:t>6</w:t>
          </w:r>
          <w:bookmarkEnd w:id="4"/>
          <w:r>
            <w:rPr>
              <w:rFonts w:hint="eastAsia" w:ascii="楷体" w:hAnsi="楷体" w:eastAsia="楷体" w:cs="楷体"/>
              <w:b/>
              <w:bCs/>
              <w:sz w:val="30"/>
              <w:szCs w:val="30"/>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_Toc15608_WPSOffice_Level2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968f661e-06d3-4052-92e7-d9e1d6a981ce}"/>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1、绩效评价的目的</w:t>
              </w:r>
            </w:sdtContent>
          </w:sdt>
          <w:r>
            <w:rPr>
              <w:rFonts w:hint="eastAsia" w:ascii="仿宋_GB2312" w:hAnsi="仿宋_GB2312" w:eastAsia="仿宋_GB2312" w:cs="仿宋_GB2312"/>
              <w:sz w:val="32"/>
              <w:szCs w:val="32"/>
            </w:rPr>
            <w:tab/>
          </w:r>
          <w:bookmarkStart w:id="5" w:name="_Toc15608_WPSOffice_Level2Page"/>
          <w:r>
            <w:rPr>
              <w:rFonts w:hint="eastAsia" w:ascii="仿宋_GB2312" w:hAnsi="仿宋_GB2312" w:eastAsia="仿宋_GB2312" w:cs="仿宋_GB2312"/>
              <w:sz w:val="32"/>
              <w:szCs w:val="32"/>
            </w:rPr>
            <w:t>6</w:t>
          </w:r>
          <w:bookmarkEnd w:id="5"/>
          <w:r>
            <w:rPr>
              <w:rFonts w:hint="eastAsia" w:ascii="仿宋_GB2312" w:hAnsi="仿宋_GB2312" w:eastAsia="仿宋_GB2312" w:cs="仿宋_GB2312"/>
              <w:sz w:val="32"/>
              <w:szCs w:val="32"/>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_Toc20820_WPSOffice_Level2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6c6eb738-cc0c-40a8-b188-0ef4f591d233}"/>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2、绩效评价的对象</w:t>
              </w:r>
            </w:sdtContent>
          </w:sdt>
          <w:r>
            <w:rPr>
              <w:rFonts w:hint="eastAsia" w:ascii="仿宋_GB2312" w:hAnsi="仿宋_GB2312" w:eastAsia="仿宋_GB2312" w:cs="仿宋_GB2312"/>
              <w:sz w:val="32"/>
              <w:szCs w:val="32"/>
            </w:rPr>
            <w:tab/>
          </w:r>
          <w:bookmarkStart w:id="6" w:name="_Toc20820_WPSOffice_Level2Page"/>
          <w:r>
            <w:rPr>
              <w:rFonts w:hint="eastAsia" w:ascii="仿宋_GB2312" w:hAnsi="仿宋_GB2312" w:eastAsia="仿宋_GB2312" w:cs="仿宋_GB2312"/>
              <w:sz w:val="32"/>
              <w:szCs w:val="32"/>
            </w:rPr>
            <w:t>7</w:t>
          </w:r>
          <w:bookmarkEnd w:id="6"/>
          <w:r>
            <w:rPr>
              <w:rFonts w:hint="eastAsia" w:ascii="仿宋_GB2312" w:hAnsi="仿宋_GB2312" w:eastAsia="仿宋_GB2312" w:cs="仿宋_GB2312"/>
              <w:sz w:val="32"/>
              <w:szCs w:val="32"/>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_Toc17236_WPSOffice_Level2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b95ffe92-6d9c-44f6-b418-7d9e53ac77a2}"/>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3、绩效评价的范围</w:t>
              </w:r>
            </w:sdtContent>
          </w:sdt>
          <w:r>
            <w:rPr>
              <w:rFonts w:hint="eastAsia" w:ascii="仿宋_GB2312" w:hAnsi="仿宋_GB2312" w:eastAsia="仿宋_GB2312" w:cs="仿宋_GB2312"/>
              <w:sz w:val="32"/>
              <w:szCs w:val="32"/>
            </w:rPr>
            <w:tab/>
          </w:r>
          <w:bookmarkStart w:id="7" w:name="_Toc17236_WPSOffice_Level2Page"/>
          <w:r>
            <w:rPr>
              <w:rFonts w:hint="eastAsia" w:ascii="仿宋_GB2312" w:hAnsi="仿宋_GB2312" w:eastAsia="仿宋_GB2312" w:cs="仿宋_GB2312"/>
              <w:sz w:val="32"/>
              <w:szCs w:val="32"/>
            </w:rPr>
            <w:t>7</w:t>
          </w:r>
          <w:bookmarkEnd w:id="7"/>
          <w:r>
            <w:rPr>
              <w:rFonts w:hint="eastAsia" w:ascii="仿宋_GB2312" w:hAnsi="仿宋_GB2312" w:eastAsia="仿宋_GB2312" w:cs="仿宋_GB2312"/>
              <w:sz w:val="32"/>
              <w:szCs w:val="32"/>
            </w:rPr>
            <w:fldChar w:fldCharType="end"/>
          </w:r>
        </w:p>
        <w:p>
          <w:pPr>
            <w:pStyle w:val="51"/>
            <w:tabs>
              <w:tab w:val="right" w:leader="dot" w:pos="8548"/>
            </w:tabs>
            <w:rPr>
              <w:rFonts w:hint="eastAsia" w:ascii="方正小标宋简体" w:hAnsi="方正小标宋简体" w:eastAsia="方正小标宋简体" w:cs="方正小标宋简体"/>
              <w:sz w:val="30"/>
              <w:szCs w:val="30"/>
            </w:rPr>
          </w:pPr>
          <w:r>
            <w:rPr>
              <w:rFonts w:hint="eastAsia" w:ascii="楷体" w:hAnsi="楷体" w:eastAsia="楷体" w:cs="楷体"/>
              <w:b/>
              <w:bCs/>
              <w:sz w:val="30"/>
              <w:szCs w:val="30"/>
            </w:rPr>
            <w:fldChar w:fldCharType="begin"/>
          </w:r>
          <w:r>
            <w:rPr>
              <w:rFonts w:hint="eastAsia" w:ascii="楷体" w:hAnsi="楷体" w:eastAsia="楷体" w:cs="楷体"/>
              <w:sz w:val="30"/>
              <w:szCs w:val="30"/>
            </w:rPr>
            <w:instrText xml:space="preserve"> HYPERLINK \l _Toc16013_WPSOffice_Level1 </w:instrText>
          </w:r>
          <w:r>
            <w:rPr>
              <w:rFonts w:hint="eastAsia" w:ascii="楷体" w:hAnsi="楷体" w:eastAsia="楷体" w:cs="楷体"/>
              <w:b/>
              <w:bCs/>
              <w:sz w:val="30"/>
              <w:szCs w:val="30"/>
            </w:rPr>
            <w:fldChar w:fldCharType="separate"/>
          </w:r>
          <w:sdt>
            <w:sdtPr>
              <w:rPr>
                <w:rFonts w:hint="eastAsia" w:ascii="楷体" w:hAnsi="楷体" w:eastAsia="楷体" w:cs="楷体"/>
                <w:b/>
                <w:bCs/>
                <w:kern w:val="2"/>
                <w:sz w:val="30"/>
                <w:szCs w:val="30"/>
                <w:lang w:val="en-US" w:eastAsia="zh-CN" w:bidi="ar-SA"/>
              </w:rPr>
              <w:id w:val="147457260"/>
              <w:placeholder>
                <w:docPart w:val="{33cdcdca-a87d-40d5-9801-4ba88b2fae33}"/>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三、 综合评价情况及评价结论（附相关评分表）</w:t>
              </w:r>
            </w:sdtContent>
          </w:sdt>
          <w:r>
            <w:rPr>
              <w:rFonts w:hint="eastAsia" w:ascii="楷体" w:hAnsi="楷体" w:eastAsia="楷体" w:cs="楷体"/>
              <w:b/>
              <w:bCs/>
              <w:sz w:val="30"/>
              <w:szCs w:val="30"/>
            </w:rPr>
            <w:tab/>
          </w:r>
          <w:bookmarkStart w:id="8" w:name="_Toc16013_WPSOffice_Level1Page"/>
          <w:r>
            <w:rPr>
              <w:rFonts w:hint="eastAsia" w:ascii="楷体" w:hAnsi="楷体" w:eastAsia="楷体" w:cs="楷体"/>
              <w:b/>
              <w:bCs/>
              <w:sz w:val="30"/>
              <w:szCs w:val="30"/>
            </w:rPr>
            <w:t>10</w:t>
          </w:r>
          <w:bookmarkEnd w:id="8"/>
          <w:r>
            <w:rPr>
              <w:rFonts w:hint="eastAsia" w:ascii="楷体" w:hAnsi="楷体" w:eastAsia="楷体" w:cs="楷体"/>
              <w:b/>
              <w:bCs/>
              <w:sz w:val="30"/>
              <w:szCs w:val="30"/>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_Toc1611_WPSOffice_Level2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d0db5020-1c48-4fca-a247-774a1144651a}"/>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表1综合评分表</w:t>
              </w:r>
            </w:sdtContent>
          </w:sdt>
          <w:r>
            <w:rPr>
              <w:rFonts w:hint="eastAsia" w:ascii="仿宋_GB2312" w:hAnsi="仿宋_GB2312" w:eastAsia="仿宋_GB2312" w:cs="仿宋_GB2312"/>
              <w:sz w:val="32"/>
              <w:szCs w:val="32"/>
            </w:rPr>
            <w:tab/>
          </w:r>
          <w:bookmarkStart w:id="9" w:name="_Toc1611_WPSOffice_Level2Page"/>
          <w:r>
            <w:rPr>
              <w:rFonts w:hint="eastAsia" w:ascii="仿宋_GB2312" w:hAnsi="仿宋_GB2312" w:eastAsia="仿宋_GB2312" w:cs="仿宋_GB2312"/>
              <w:sz w:val="32"/>
              <w:szCs w:val="32"/>
            </w:rPr>
            <w:t>11</w:t>
          </w:r>
          <w:bookmarkEnd w:id="9"/>
          <w:r>
            <w:rPr>
              <w:rFonts w:hint="eastAsia" w:ascii="仿宋_GB2312" w:hAnsi="仿宋_GB2312" w:eastAsia="仿宋_GB2312" w:cs="仿宋_GB2312"/>
              <w:sz w:val="32"/>
              <w:szCs w:val="32"/>
            </w:rPr>
            <w:fldChar w:fldCharType="end"/>
          </w:r>
        </w:p>
        <w:p>
          <w:pPr>
            <w:pStyle w:val="51"/>
            <w:tabs>
              <w:tab w:val="right" w:leader="dot" w:pos="8548"/>
            </w:tabs>
            <w:rPr>
              <w:rFonts w:hint="eastAsia" w:ascii="方正小标宋简体" w:hAnsi="方正小标宋简体" w:eastAsia="方正小标宋简体" w:cs="方正小标宋简体"/>
              <w:sz w:val="30"/>
              <w:szCs w:val="30"/>
            </w:rPr>
          </w:pPr>
          <w:r>
            <w:rPr>
              <w:rFonts w:hint="eastAsia" w:ascii="楷体" w:hAnsi="楷体" w:eastAsia="楷体" w:cs="楷体"/>
              <w:b/>
              <w:bCs/>
              <w:sz w:val="30"/>
              <w:szCs w:val="30"/>
            </w:rPr>
            <w:fldChar w:fldCharType="begin"/>
          </w:r>
          <w:r>
            <w:rPr>
              <w:rFonts w:hint="eastAsia" w:ascii="楷体" w:hAnsi="楷体" w:eastAsia="楷体" w:cs="楷体"/>
              <w:sz w:val="30"/>
              <w:szCs w:val="30"/>
            </w:rPr>
            <w:instrText xml:space="preserve"> HYPERLINK \l _Toc15608_WPSOffice_Level1 </w:instrText>
          </w:r>
          <w:r>
            <w:rPr>
              <w:rFonts w:hint="eastAsia" w:ascii="楷体" w:hAnsi="楷体" w:eastAsia="楷体" w:cs="楷体"/>
              <w:b/>
              <w:bCs/>
              <w:sz w:val="30"/>
              <w:szCs w:val="30"/>
            </w:rPr>
            <w:fldChar w:fldCharType="separate"/>
          </w:r>
          <w:sdt>
            <w:sdtPr>
              <w:rPr>
                <w:rFonts w:hint="eastAsia" w:ascii="楷体" w:hAnsi="楷体" w:eastAsia="楷体" w:cs="楷体"/>
                <w:b/>
                <w:bCs/>
                <w:kern w:val="2"/>
                <w:sz w:val="30"/>
                <w:szCs w:val="30"/>
                <w:lang w:val="en-US" w:eastAsia="zh-CN" w:bidi="ar-SA"/>
              </w:rPr>
              <w:id w:val="147457260"/>
              <w:placeholder>
                <w:docPart w:val="{679fa152-e22a-4c42-81fc-4439f105f387}"/>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四、 绩效评价指标分析</w:t>
              </w:r>
            </w:sdtContent>
          </w:sdt>
          <w:r>
            <w:rPr>
              <w:rFonts w:hint="eastAsia" w:ascii="楷体" w:hAnsi="楷体" w:eastAsia="楷体" w:cs="楷体"/>
              <w:b/>
              <w:bCs/>
              <w:sz w:val="30"/>
              <w:szCs w:val="30"/>
            </w:rPr>
            <w:tab/>
          </w:r>
          <w:bookmarkStart w:id="10" w:name="_Toc15608_WPSOffice_Level1Page"/>
          <w:r>
            <w:rPr>
              <w:rFonts w:hint="eastAsia" w:ascii="楷体" w:hAnsi="楷体" w:eastAsia="楷体" w:cs="楷体"/>
              <w:b/>
              <w:bCs/>
              <w:sz w:val="30"/>
              <w:szCs w:val="30"/>
            </w:rPr>
            <w:t>12</w:t>
          </w:r>
          <w:bookmarkEnd w:id="10"/>
          <w:r>
            <w:rPr>
              <w:rFonts w:hint="eastAsia" w:ascii="楷体" w:hAnsi="楷体" w:eastAsia="楷体" w:cs="楷体"/>
              <w:b/>
              <w:bCs/>
              <w:sz w:val="30"/>
              <w:szCs w:val="30"/>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_Toc16375_WPSOffice_Level2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325da95c-d023-4898-b193-1bfa9e468f90}"/>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（一）项目决策情况</w:t>
              </w:r>
            </w:sdtContent>
          </w:sdt>
          <w:r>
            <w:rPr>
              <w:rFonts w:hint="eastAsia" w:ascii="仿宋_GB2312" w:hAnsi="仿宋_GB2312" w:eastAsia="仿宋_GB2312" w:cs="仿宋_GB2312"/>
              <w:sz w:val="32"/>
              <w:szCs w:val="32"/>
            </w:rPr>
            <w:tab/>
          </w:r>
          <w:bookmarkStart w:id="11" w:name="_Toc16375_WPSOffice_Level2Page"/>
          <w:r>
            <w:rPr>
              <w:rFonts w:hint="eastAsia" w:ascii="仿宋_GB2312" w:hAnsi="仿宋_GB2312" w:eastAsia="仿宋_GB2312" w:cs="仿宋_GB2312"/>
              <w:sz w:val="32"/>
              <w:szCs w:val="32"/>
            </w:rPr>
            <w:t>12</w:t>
          </w:r>
          <w:bookmarkEnd w:id="11"/>
          <w:r>
            <w:rPr>
              <w:rFonts w:hint="eastAsia" w:ascii="仿宋_GB2312" w:hAnsi="仿宋_GB2312" w:eastAsia="仿宋_GB2312" w:cs="仿宋_GB2312"/>
              <w:sz w:val="32"/>
              <w:szCs w:val="32"/>
            </w:rPr>
            <w:fldChar w:fldCharType="end"/>
          </w:r>
        </w:p>
        <w:p>
          <w:pPr>
            <w:pStyle w:val="51"/>
            <w:tabs>
              <w:tab w:val="right" w:leader="dot" w:pos="8548"/>
            </w:tabs>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b/>
              <w:bCs/>
              <w:sz w:val="30"/>
              <w:szCs w:val="30"/>
            </w:rPr>
            <w:fldChar w:fldCharType="begin"/>
          </w:r>
          <w:r>
            <w:rPr>
              <w:rFonts w:hint="eastAsia" w:ascii="方正小标宋简体" w:hAnsi="方正小标宋简体" w:eastAsia="方正小标宋简体" w:cs="方正小标宋简体"/>
              <w:sz w:val="30"/>
              <w:szCs w:val="30"/>
            </w:rPr>
            <w:instrText xml:space="preserve"> HYPERLINK \l _Toc20820_WPSOffice_Level1 </w:instrText>
          </w:r>
          <w:r>
            <w:rPr>
              <w:rFonts w:hint="eastAsia" w:ascii="方正小标宋简体" w:hAnsi="方正小标宋简体" w:eastAsia="方正小标宋简体" w:cs="方正小标宋简体"/>
              <w:b/>
              <w:bCs/>
              <w:sz w:val="30"/>
              <w:szCs w:val="30"/>
            </w:rPr>
            <w:fldChar w:fldCharType="separate"/>
          </w:r>
          <w:sdt>
            <w:sdtPr>
              <w:rPr>
                <w:rFonts w:hint="eastAsia" w:ascii="方正小标宋简体" w:hAnsi="方正小标宋简体" w:eastAsia="方正小标宋简体" w:cs="方正小标宋简体"/>
                <w:b/>
                <w:bCs/>
                <w:kern w:val="2"/>
                <w:sz w:val="30"/>
                <w:szCs w:val="30"/>
                <w:lang w:val="en-US" w:eastAsia="zh-CN" w:bidi="ar-SA"/>
              </w:rPr>
              <w:id w:val="147457260"/>
              <w:placeholder>
                <w:docPart w:val="{65b70be6-30bc-44a1-906d-7107728bf044}"/>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五、主要经验及做法、存在的问题及原因分析</w:t>
              </w:r>
            </w:sdtContent>
          </w:sdt>
          <w:r>
            <w:rPr>
              <w:rFonts w:hint="eastAsia" w:ascii="楷体" w:hAnsi="楷体" w:eastAsia="楷体" w:cs="楷体"/>
              <w:b/>
              <w:bCs/>
              <w:sz w:val="30"/>
              <w:szCs w:val="30"/>
            </w:rPr>
            <w:tab/>
          </w:r>
          <w:bookmarkStart w:id="12" w:name="_Toc20820_WPSOffice_Level1Page"/>
          <w:r>
            <w:rPr>
              <w:rFonts w:hint="eastAsia" w:ascii="楷体" w:hAnsi="楷体" w:eastAsia="楷体" w:cs="楷体"/>
              <w:b/>
              <w:bCs/>
              <w:sz w:val="30"/>
              <w:szCs w:val="30"/>
            </w:rPr>
            <w:t>15</w:t>
          </w:r>
          <w:bookmarkEnd w:id="12"/>
          <w:r>
            <w:rPr>
              <w:rFonts w:hint="eastAsia" w:ascii="方正小标宋简体" w:hAnsi="方正小标宋简体" w:eastAsia="方正小标宋简体" w:cs="方正小标宋简体"/>
              <w:b/>
              <w:bCs/>
              <w:sz w:val="30"/>
              <w:szCs w:val="30"/>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_Toc25324_WPSOffice_Level2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cc8199e3-34f8-4e05-9c86-2fd89b13edce}"/>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（一）主要经验及做法</w:t>
              </w:r>
            </w:sdtContent>
          </w:sdt>
          <w:r>
            <w:rPr>
              <w:rFonts w:hint="eastAsia" w:ascii="仿宋_GB2312" w:hAnsi="仿宋_GB2312" w:eastAsia="仿宋_GB2312" w:cs="仿宋_GB2312"/>
              <w:sz w:val="32"/>
              <w:szCs w:val="32"/>
            </w:rPr>
            <w:tab/>
          </w:r>
          <w:bookmarkStart w:id="13" w:name="_Toc25324_WPSOffice_Level2Page"/>
          <w:r>
            <w:rPr>
              <w:rFonts w:hint="eastAsia" w:ascii="仿宋_GB2312" w:hAnsi="仿宋_GB2312" w:eastAsia="仿宋_GB2312" w:cs="仿宋_GB2312"/>
              <w:sz w:val="32"/>
              <w:szCs w:val="32"/>
            </w:rPr>
            <w:t>15</w:t>
          </w:r>
          <w:bookmarkEnd w:id="13"/>
          <w:r>
            <w:rPr>
              <w:rFonts w:hint="eastAsia" w:ascii="仿宋_GB2312" w:hAnsi="仿宋_GB2312" w:eastAsia="仿宋_GB2312" w:cs="仿宋_GB2312"/>
              <w:sz w:val="32"/>
              <w:szCs w:val="32"/>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_Toc17170_WPSOffice_Level2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df6744e1-fec5-4237-9dec-bc425ee1f326}"/>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 存在的问题及原因分析</w:t>
              </w:r>
            </w:sdtContent>
          </w:sdt>
          <w:r>
            <w:rPr>
              <w:rFonts w:hint="eastAsia" w:ascii="仿宋_GB2312" w:hAnsi="仿宋_GB2312" w:eastAsia="仿宋_GB2312" w:cs="仿宋_GB2312"/>
              <w:sz w:val="32"/>
              <w:szCs w:val="32"/>
            </w:rPr>
            <w:tab/>
          </w:r>
          <w:bookmarkStart w:id="14" w:name="_Toc17170_WPSOffice_Level2Page"/>
          <w:r>
            <w:rPr>
              <w:rFonts w:hint="eastAsia" w:ascii="仿宋_GB2312" w:hAnsi="仿宋_GB2312" w:eastAsia="仿宋_GB2312" w:cs="仿宋_GB2312"/>
              <w:sz w:val="32"/>
              <w:szCs w:val="32"/>
            </w:rPr>
            <w:t>16</w:t>
          </w:r>
          <w:bookmarkEnd w:id="14"/>
          <w:r>
            <w:rPr>
              <w:rFonts w:hint="eastAsia" w:ascii="仿宋_GB2312" w:hAnsi="仿宋_GB2312" w:eastAsia="仿宋_GB2312" w:cs="仿宋_GB2312"/>
              <w:sz w:val="32"/>
              <w:szCs w:val="32"/>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_Toc23749_WPSOffice_Level2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84b1ffa7-43c5-421d-9c82-6de592da0261}"/>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（一）主要经验及做法：</w:t>
              </w:r>
            </w:sdtContent>
          </w:sdt>
          <w:r>
            <w:rPr>
              <w:rFonts w:hint="eastAsia" w:ascii="仿宋_GB2312" w:hAnsi="仿宋_GB2312" w:eastAsia="仿宋_GB2312" w:cs="仿宋_GB2312"/>
              <w:sz w:val="32"/>
              <w:szCs w:val="32"/>
            </w:rPr>
            <w:tab/>
          </w:r>
          <w:bookmarkStart w:id="15" w:name="_Toc23749_WPSOffice_Level2Page"/>
          <w:r>
            <w:rPr>
              <w:rFonts w:hint="eastAsia" w:ascii="仿宋_GB2312" w:hAnsi="仿宋_GB2312" w:eastAsia="仿宋_GB2312" w:cs="仿宋_GB2312"/>
              <w:sz w:val="32"/>
              <w:szCs w:val="32"/>
            </w:rPr>
            <w:t>16</w:t>
          </w:r>
          <w:bookmarkEnd w:id="15"/>
          <w:r>
            <w:rPr>
              <w:rFonts w:hint="eastAsia" w:ascii="仿宋_GB2312" w:hAnsi="仿宋_GB2312" w:eastAsia="仿宋_GB2312" w:cs="仿宋_GB2312"/>
              <w:sz w:val="32"/>
              <w:szCs w:val="32"/>
            </w:rPr>
            <w:fldChar w:fldCharType="end"/>
          </w:r>
        </w:p>
        <w:p>
          <w:pPr>
            <w:pStyle w:val="52"/>
            <w:tabs>
              <w:tab w:val="right" w:leader="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_Toc25004_WPSOffice_Level2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147457260"/>
              <w:placeholder>
                <w:docPart w:val="{b0a59711-3177-4b81-9a4f-d19e8f4483b8}"/>
              </w:placeholder>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（二）存在的问题及原因：</w:t>
              </w:r>
            </w:sdtContent>
          </w:sdt>
          <w:r>
            <w:rPr>
              <w:rFonts w:hint="eastAsia" w:ascii="仿宋_GB2312" w:hAnsi="仿宋_GB2312" w:eastAsia="仿宋_GB2312" w:cs="仿宋_GB2312"/>
              <w:sz w:val="32"/>
              <w:szCs w:val="32"/>
            </w:rPr>
            <w:tab/>
          </w:r>
          <w:bookmarkStart w:id="16" w:name="_Toc25004_WPSOffice_Level2Page"/>
          <w:r>
            <w:rPr>
              <w:rFonts w:hint="eastAsia" w:ascii="仿宋_GB2312" w:hAnsi="仿宋_GB2312" w:eastAsia="仿宋_GB2312" w:cs="仿宋_GB2312"/>
              <w:sz w:val="32"/>
              <w:szCs w:val="32"/>
            </w:rPr>
            <w:t>17</w:t>
          </w:r>
          <w:bookmarkEnd w:id="16"/>
          <w:r>
            <w:rPr>
              <w:rFonts w:hint="eastAsia" w:ascii="仿宋_GB2312" w:hAnsi="仿宋_GB2312" w:eastAsia="仿宋_GB2312" w:cs="仿宋_GB2312"/>
              <w:sz w:val="32"/>
              <w:szCs w:val="32"/>
            </w:rPr>
            <w:fldChar w:fldCharType="end"/>
          </w:r>
        </w:p>
        <w:p>
          <w:pPr>
            <w:pStyle w:val="51"/>
            <w:tabs>
              <w:tab w:val="right" w:leader="dot" w:pos="8548"/>
            </w:tabs>
            <w:rPr>
              <w:rFonts w:hint="eastAsia" w:ascii="楷体" w:hAnsi="楷体" w:eastAsia="楷体" w:cs="楷体"/>
              <w:sz w:val="30"/>
              <w:szCs w:val="30"/>
            </w:rPr>
          </w:pPr>
          <w:r>
            <w:rPr>
              <w:rFonts w:hint="eastAsia" w:ascii="楷体" w:hAnsi="楷体" w:eastAsia="楷体" w:cs="楷体"/>
              <w:b/>
              <w:bCs/>
              <w:sz w:val="30"/>
              <w:szCs w:val="30"/>
            </w:rPr>
            <w:fldChar w:fldCharType="begin"/>
          </w:r>
          <w:r>
            <w:rPr>
              <w:rFonts w:hint="eastAsia" w:ascii="楷体" w:hAnsi="楷体" w:eastAsia="楷体" w:cs="楷体"/>
              <w:sz w:val="30"/>
              <w:szCs w:val="30"/>
            </w:rPr>
            <w:instrText xml:space="preserve"> HYPERLINK \l _Toc17236_WPSOffice_Level1 </w:instrText>
          </w:r>
          <w:r>
            <w:rPr>
              <w:rFonts w:hint="eastAsia" w:ascii="楷体" w:hAnsi="楷体" w:eastAsia="楷体" w:cs="楷体"/>
              <w:b/>
              <w:bCs/>
              <w:sz w:val="30"/>
              <w:szCs w:val="30"/>
            </w:rPr>
            <w:fldChar w:fldCharType="separate"/>
          </w:r>
          <w:sdt>
            <w:sdtPr>
              <w:rPr>
                <w:rFonts w:hint="eastAsia" w:ascii="楷体" w:hAnsi="楷体" w:eastAsia="楷体" w:cs="楷体"/>
                <w:b/>
                <w:bCs/>
                <w:kern w:val="2"/>
                <w:sz w:val="30"/>
                <w:szCs w:val="30"/>
                <w:lang w:val="en-US" w:eastAsia="zh-CN" w:bidi="ar-SA"/>
              </w:rPr>
              <w:id w:val="147457260"/>
              <w:placeholder>
                <w:docPart w:val="{b9ccd878-038d-4482-b5b5-0fd5327cb495}"/>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六、 有关建议</w:t>
              </w:r>
            </w:sdtContent>
          </w:sdt>
          <w:r>
            <w:rPr>
              <w:rFonts w:hint="eastAsia" w:ascii="楷体" w:hAnsi="楷体" w:eastAsia="楷体" w:cs="楷体"/>
              <w:b/>
              <w:bCs/>
              <w:sz w:val="30"/>
              <w:szCs w:val="30"/>
            </w:rPr>
            <w:tab/>
          </w:r>
          <w:bookmarkStart w:id="17" w:name="_Toc17236_WPSOffice_Level1Page"/>
          <w:r>
            <w:rPr>
              <w:rFonts w:hint="eastAsia" w:ascii="楷体" w:hAnsi="楷体" w:eastAsia="楷体" w:cs="楷体"/>
              <w:b/>
              <w:bCs/>
              <w:sz w:val="30"/>
              <w:szCs w:val="30"/>
            </w:rPr>
            <w:t>17</w:t>
          </w:r>
          <w:bookmarkEnd w:id="17"/>
          <w:r>
            <w:rPr>
              <w:rFonts w:hint="eastAsia" w:ascii="楷体" w:hAnsi="楷体" w:eastAsia="楷体" w:cs="楷体"/>
              <w:b/>
              <w:bCs/>
              <w:sz w:val="30"/>
              <w:szCs w:val="30"/>
            </w:rPr>
            <w:fldChar w:fldCharType="end"/>
          </w:r>
        </w:p>
        <w:p>
          <w:pPr>
            <w:pStyle w:val="51"/>
            <w:tabs>
              <w:tab w:val="right" w:leader="dot" w:pos="8548"/>
            </w:tabs>
            <w:rPr>
              <w:rFonts w:hint="eastAsia" w:ascii="方正小标宋简体" w:hAnsi="方正小标宋简体" w:eastAsia="方正小标宋简体" w:cs="方正小标宋简体"/>
            </w:rPr>
          </w:pPr>
          <w:r>
            <w:rPr>
              <w:rFonts w:hint="eastAsia" w:ascii="楷体" w:hAnsi="楷体" w:eastAsia="楷体" w:cs="楷体"/>
              <w:b/>
              <w:bCs/>
              <w:sz w:val="30"/>
              <w:szCs w:val="30"/>
            </w:rPr>
            <w:fldChar w:fldCharType="begin"/>
          </w:r>
          <w:r>
            <w:rPr>
              <w:rFonts w:hint="eastAsia" w:ascii="楷体" w:hAnsi="楷体" w:eastAsia="楷体" w:cs="楷体"/>
              <w:sz w:val="30"/>
              <w:szCs w:val="30"/>
            </w:rPr>
            <w:instrText xml:space="preserve"> HYPERLINK \l _Toc1611_WPSOffice_Level1 </w:instrText>
          </w:r>
          <w:r>
            <w:rPr>
              <w:rFonts w:hint="eastAsia" w:ascii="楷体" w:hAnsi="楷体" w:eastAsia="楷体" w:cs="楷体"/>
              <w:b/>
              <w:bCs/>
              <w:sz w:val="30"/>
              <w:szCs w:val="30"/>
            </w:rPr>
            <w:fldChar w:fldCharType="separate"/>
          </w:r>
          <w:sdt>
            <w:sdtPr>
              <w:rPr>
                <w:rFonts w:hint="eastAsia" w:ascii="楷体" w:hAnsi="楷体" w:eastAsia="楷体" w:cs="楷体"/>
                <w:b/>
                <w:bCs/>
                <w:kern w:val="2"/>
                <w:sz w:val="30"/>
                <w:szCs w:val="30"/>
                <w:lang w:val="en-US" w:eastAsia="zh-CN" w:bidi="ar-SA"/>
              </w:rPr>
              <w:id w:val="147457260"/>
              <w:placeholder>
                <w:docPart w:val="{dba845e8-e2a5-469f-8e6f-282882ef8bb9}"/>
              </w:placeholder>
            </w:sdtPr>
            <w:sdtEndPr>
              <w:rPr>
                <w:rFonts w:hint="eastAsia" w:ascii="楷体" w:hAnsi="楷体" w:eastAsia="楷体" w:cs="楷体"/>
                <w:b/>
                <w:bCs/>
                <w:kern w:val="2"/>
                <w:sz w:val="30"/>
                <w:szCs w:val="30"/>
                <w:lang w:val="en-US" w:eastAsia="zh-CN" w:bidi="ar-SA"/>
              </w:rPr>
            </w:sdtEndPr>
            <w:sdtContent>
              <w:r>
                <w:rPr>
                  <w:rFonts w:hint="eastAsia" w:ascii="楷体" w:hAnsi="楷体" w:eastAsia="楷体" w:cs="楷体"/>
                  <w:b/>
                  <w:bCs/>
                  <w:sz w:val="30"/>
                  <w:szCs w:val="30"/>
                </w:rPr>
                <w:t>七、 其他需要说明的问题</w:t>
              </w:r>
            </w:sdtContent>
          </w:sdt>
          <w:r>
            <w:rPr>
              <w:rFonts w:hint="eastAsia" w:ascii="楷体" w:hAnsi="楷体" w:eastAsia="楷体" w:cs="楷体"/>
              <w:b/>
              <w:bCs/>
              <w:sz w:val="30"/>
              <w:szCs w:val="30"/>
            </w:rPr>
            <w:tab/>
          </w:r>
          <w:bookmarkStart w:id="18" w:name="_Toc1611_WPSOffice_Level1Page"/>
          <w:r>
            <w:rPr>
              <w:rFonts w:hint="eastAsia" w:ascii="楷体" w:hAnsi="楷体" w:eastAsia="楷体" w:cs="楷体"/>
              <w:b/>
              <w:bCs/>
              <w:sz w:val="30"/>
              <w:szCs w:val="30"/>
            </w:rPr>
            <w:t>17</w:t>
          </w:r>
          <w:bookmarkEnd w:id="18"/>
          <w:r>
            <w:rPr>
              <w:rFonts w:hint="eastAsia" w:ascii="楷体" w:hAnsi="楷体" w:eastAsia="楷体" w:cs="楷体"/>
              <w:b/>
              <w:bCs/>
              <w:sz w:val="30"/>
              <w:szCs w:val="30"/>
            </w:rPr>
            <w:fldChar w:fldCharType="end"/>
          </w:r>
          <w:bookmarkEnd w:id="0"/>
        </w:p>
      </w:sdtContent>
    </w:sdt>
    <w:p>
      <w:pPr>
        <w:spacing w:line="600" w:lineRule="exact"/>
        <w:rPr>
          <w:rFonts w:hint="eastAsia" w:ascii="方正小标宋简体" w:hAnsi="方正小标宋简体" w:eastAsia="方正小标宋简体" w:cs="方正小标宋简体"/>
          <w:bCs/>
          <w:sz w:val="32"/>
          <w:szCs w:val="32"/>
        </w:rPr>
      </w:pPr>
    </w:p>
    <w:p>
      <w:pPr>
        <w:spacing w:line="600" w:lineRule="exact"/>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bookmarkStart w:id="19" w:name="_Toc7488_WPSOffice_Level1"/>
      <w:r>
        <w:rPr>
          <w:rFonts w:hint="eastAsia" w:ascii="黑体" w:hAnsi="黑体" w:eastAsia="黑体" w:cs="黑体"/>
          <w:b/>
          <w:bCs w:val="0"/>
          <w:sz w:val="32"/>
          <w:szCs w:val="32"/>
        </w:rPr>
        <w:t>一、基本情况</w:t>
      </w:r>
      <w:bookmarkEnd w:id="19"/>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bookmarkStart w:id="20" w:name="_Toc4470_WPSOffice_Level2"/>
      <w:r>
        <w:rPr>
          <w:rFonts w:hint="eastAsia" w:ascii="楷体_GB2312" w:hAnsi="楷体_GB2312" w:eastAsia="楷体_GB2312" w:cs="楷体_GB2312"/>
          <w:b/>
          <w:bCs/>
          <w:sz w:val="32"/>
          <w:szCs w:val="32"/>
        </w:rPr>
        <w:t>（一）项目概况</w:t>
      </w:r>
      <w:bookmarkEnd w:id="20"/>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1、项目背景</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（1）项目实施的政策背景</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按照《中华人民共和国林准（三北防护林退化林分修复技术规程</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《关于下达2020年第一批中央财政林业改革发展资金（森林资源管护支出、森林资源培育、生态保护体系建设、林业产业发展支出）任务的通知》</w:t>
      </w:r>
      <w:r>
        <w:rPr>
          <w:rFonts w:hint="eastAsia" w:ascii="仿宋_GB2312" w:hAnsi="仿宋_GB2312" w:eastAsia="仿宋_GB2312" w:cs="仿宋_GB2312"/>
          <w:sz w:val="32"/>
          <w:szCs w:val="32"/>
          <w:lang w:val="en-US" w:eastAsia="zh-CN"/>
        </w:rPr>
        <w:t>等文件，</w:t>
      </w:r>
      <w:r>
        <w:rPr>
          <w:rFonts w:hint="eastAsia" w:ascii="仿宋_GB2312" w:hAnsi="仿宋_GB2312" w:eastAsia="仿宋_GB2312" w:cs="仿宋_GB2312"/>
          <w:sz w:val="32"/>
          <w:szCs w:val="32"/>
          <w:lang w:eastAsia="zh-CN"/>
        </w:rPr>
        <w:t>对生态林区的树木健康状况、林分质量和生态环境质量进行退化情况综合评价和科学修复，</w:t>
      </w:r>
      <w:r>
        <w:rPr>
          <w:rFonts w:hint="eastAsia" w:ascii="仿宋_GB2312" w:hAnsi="仿宋_GB2312" w:eastAsia="仿宋_GB2312" w:cs="仿宋_GB2312"/>
          <w:sz w:val="32"/>
          <w:szCs w:val="32"/>
          <w:lang w:val="en-US" w:eastAsia="zh-CN"/>
        </w:rPr>
        <w:t>依法依规立项</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结合老风口生态区实际情况，依据</w:t>
      </w:r>
      <w:r>
        <w:rPr>
          <w:rFonts w:hint="eastAsia" w:ascii="仿宋_GB2312" w:hAnsi="仿宋_GB2312" w:eastAsia="仿宋_GB2312" w:cs="仿宋_GB2312"/>
          <w:sz w:val="32"/>
          <w:szCs w:val="32"/>
          <w:lang w:eastAsia="zh-CN"/>
        </w:rPr>
        <w:t>《中华人民共和国林业行业标准（三北防护林退化林分修复技术规程）》；《新疆主要造林树种苗木质量分级》；《森林抚育规程》；《森林资源规划调查设计技术规程》；《关于下达2020年第一批中央财政林业改革发展资金（森林资源管护支出、森林资源培育、生态保护体系建设、林业产业发展支出）任务的通知》；《关于印发〈新疆维吾尔自治区林业改革发展资金管理实施细则〉的通知》</w:t>
      </w:r>
      <w:r>
        <w:rPr>
          <w:rFonts w:hint="eastAsia" w:ascii="仿宋_GB2312" w:hAnsi="仿宋_GB2312" w:eastAsia="仿宋_GB2312" w:cs="仿宋_GB2312"/>
          <w:sz w:val="32"/>
          <w:szCs w:val="32"/>
          <w:lang w:val="en-US" w:eastAsia="zh-CN"/>
        </w:rPr>
        <w:t>等退化林修复相关文件确定</w:t>
      </w:r>
      <w:r>
        <w:rPr>
          <w:rFonts w:hint="eastAsia" w:ascii="仿宋_GB2312" w:hAnsi="仿宋_GB2312" w:eastAsia="仿宋_GB2312" w:cs="仿宋_GB2312"/>
          <w:sz w:val="32"/>
          <w:szCs w:val="32"/>
          <w:lang w:eastAsia="zh-CN"/>
        </w:rPr>
        <w:t>绩效目标合理性、绩效指标明确性、预算编制科学性、资金分配合理性。</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）项目实施的历史概况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老风口生态工程位于托里谷地，为平原荒漠区地势平坦。自1993年开工建设以来，经过20多年来的建设和抚育管护，已形成沿托里县至额敏县S221沿线两侧46228.5亩的人工生态林，郁闭度在0.5以上林地总面积已有38300亩。林木平均胸径8厘米，平均树高6米，平均年龄20年，郁闭度0.5。发挥了老风口生态区森林防风固雪、降低风速，防止和减轻冬季S221线（托里至塔城公路）路面积雪，减轻风吹雪的生态功能，有力保障老风口沿线公路畅通。同时老风口生态区林分固土保表、减轻土地沙漠化、荒漠化等生态作用也十分重要。</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老风口生态林区通过乔灌草结合、以乔为主，宽窄林带交错分布、紧密林与疏片林结合，速生树种与长寿命树种混交等多种措施，取得了巨大的工程、生态、经济与社会效益。随着社会经济发展水平的提高，特别是人们对生活环境质量要求的提高，在今后较长时间内，亟需维系与提升这片重点生态工程区的工程与生态效益，这对于保障地区交通安全、提升地区经济发展和营造青山绿水的良好生态环境等均具有极其重要的作用。</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项目主要内容及实施情况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主要内容：补植补造更新林木，调整林分树种结构、层次结构和林分密度，增强林分稳定性；清理林地内枯死木、枯枝，改善林分生境，消除病虫害及森林火灾隐患，提高林分生态防护功能；对林区内水渠进行清淤，提高灌溉效率及水资源利用率，满足灌溉需求；对项目区实施林地清理和架设隔离围栏，实施生态区林地封闭管护，杜绝一切外来因素对生态区的林木损害，极大提高林木管护力度。</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本项目总投资</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lang w:eastAsia="zh-CN"/>
        </w:rPr>
        <w:t>万元，其中：财政本级资金</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lang w:eastAsia="zh-CN"/>
        </w:rPr>
        <w:t>万元。项目实际支出</w:t>
      </w:r>
      <w:r>
        <w:rPr>
          <w:rFonts w:hint="eastAsia" w:ascii="仿宋_GB2312" w:hAnsi="仿宋_GB2312" w:eastAsia="仿宋_GB2312" w:cs="仿宋_GB2312"/>
          <w:sz w:val="32"/>
          <w:szCs w:val="32"/>
          <w:lang w:val="en-US" w:eastAsia="zh-CN"/>
        </w:rPr>
        <w:t>142.78</w:t>
      </w:r>
      <w:r>
        <w:rPr>
          <w:rFonts w:hint="eastAsia" w:ascii="仿宋_GB2312" w:hAnsi="仿宋_GB2312" w:eastAsia="仿宋_GB2312" w:cs="仿宋_GB2312"/>
          <w:sz w:val="32"/>
          <w:szCs w:val="32"/>
          <w:lang w:eastAsia="zh-CN"/>
        </w:rPr>
        <w:t>万元， 支出率为</w:t>
      </w:r>
      <w:r>
        <w:rPr>
          <w:rFonts w:hint="eastAsia" w:ascii="仿宋_GB2312" w:hAnsi="仿宋_GB2312" w:eastAsia="仿宋_GB2312" w:cs="仿宋_GB2312"/>
          <w:sz w:val="32"/>
          <w:szCs w:val="32"/>
          <w:lang w:val="en-US" w:eastAsia="zh-CN"/>
        </w:rPr>
        <w:t>95.18</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3、资金投入和使用情况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（1）资金安排</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项目总投资</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lang w:eastAsia="zh-CN"/>
        </w:rPr>
        <w:t>万元，按照</w:t>
      </w:r>
      <w:r>
        <w:rPr>
          <w:rFonts w:hint="eastAsia" w:ascii="仿宋_GB2312" w:hAnsi="仿宋_GB2312" w:eastAsia="仿宋_GB2312" w:cs="仿宋_GB2312"/>
          <w:sz w:val="32"/>
          <w:szCs w:val="32"/>
          <w:lang w:val="en-US" w:eastAsia="zh-CN"/>
        </w:rPr>
        <w:t>项目资金管理办法</w:t>
      </w:r>
      <w:r>
        <w:rPr>
          <w:rFonts w:hint="eastAsia" w:ascii="仿宋_GB2312" w:hAnsi="仿宋_GB2312" w:eastAsia="仿宋_GB2312" w:cs="仿宋_GB2312"/>
          <w:sz w:val="32"/>
          <w:szCs w:val="32"/>
          <w:lang w:eastAsia="zh-CN"/>
        </w:rPr>
        <w:t>《关于印发〈新疆维吾尔自治区林业改革发展资金管理实施细则〉的通知》，资金支出符合中央财政林业改革发展资金专项资金费用范围，做到了专款专用。在项目资金拨付和使用过程中，为确保项目资金的安全性，提高项目资金使用效率，严格遵循中央财政林业改革发展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（2）预算资金来源及使用情况</w:t>
      </w:r>
      <w:bookmarkStart w:id="21" w:name="page10"/>
      <w:bookmarkEnd w:id="21"/>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项目预算资金来源于《关于提前下达2020年林业改革发展资 金预算的通知》文件中批复的资金，项目资金到位</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lang w:eastAsia="zh-CN"/>
        </w:rPr>
        <w:t>万元，实际支出142.78万元，用于支付项目实施进程中的各项费用。</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bookmarkStart w:id="22" w:name="_Toc16013_WPSOffice_Level2"/>
      <w:r>
        <w:rPr>
          <w:rFonts w:hint="eastAsia" w:ascii="楷体_GB2312" w:hAnsi="楷体_GB2312" w:eastAsia="楷体_GB2312" w:cs="楷体_GB2312"/>
          <w:b/>
          <w:bCs/>
          <w:sz w:val="32"/>
          <w:szCs w:val="32"/>
        </w:rPr>
        <w:t>（二）项目绩效目标</w:t>
      </w:r>
      <w:bookmarkEnd w:id="22"/>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1、总体目标</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（1）增强老风口生态林防风阻雪的功能</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进一步发挥老风口生态区森林防风阻雪、降低风速，防止和减轻冬季S221线（托里至塔城公路）路面积雪，减轻风吹雪的生态功能，有力保障老风口沿线公路畅通。同时老风口生态区林分固土保表、减轻土地沙漠化、荒漠化等生态作用也十分重要。</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（2）改善林分生长环境，有效提高林木生长量和质量</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有效改善林分结构，提高森林质量，而且有利于改善林分的卫生状况，增强抗御自然灾害的能力。由于森林抚育改善了林分的卫生状况，病虫害可下降50%以上，增强了林分抗灾的能力。林木生长空间得到扩展后，林木胸径和树高连年生长量将达到或超过同等立地条件未修复改造的林分，林分的蓄积量将进一步增加。</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（3）防止风蚀、阻拦沙尘危害</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防护林带具有强大的防止风蚀和阻沙拦尘作用，它能充分降低近地层的风速，因而可以把风对地表层的吹失作用减轻到所需要的程度，可以有效地防止风蚀和沙埋。</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（4）水土保持</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森林对降雨起着有效的再分配作用，林冠能够截留降水10～30%，经过叶面蒸发至空中，增加了大气湿度。50～80%的降水透过林冠缓慢渗入林地，削弱雨水冲击力量，减弱了降落地面的速度，补充地下径流，最大限度地减少了地表径流，有效遏制了水土流失。</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（5）净化大气和防治污染</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森林和其他绿色植物在净化大气和防治污染方面作用十分显著，具有吸碳、制氧、吸尘、吸毒、杀菌和消除噪音作用，能促进人体新陈代谢，降低血压，消除疲劳，增强免疫能力，与人们生存和农牧业生产有着密切关系。</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）增加工程实施参与人员的收入</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给项目实施人带来的直接经济效益非常可观。本次退化修复项目总计用工大于10000个工日，就近吸纳当地及周边建档立卡贫困户和农牧民群众，直接带动增收200万以上，为改善周边农牧民的生活有着非常大的实际意义，对森林资源管理和保护提供了坚实的物质基础，稳定了林区的治安和创造了和谐的林区环境。</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）增加活立木蓄积</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lang w:eastAsia="zh-CN"/>
        </w:rPr>
      </w:pPr>
      <w:r>
        <w:rPr>
          <w:rFonts w:hint="eastAsia" w:ascii="仿宋_GB2312" w:hAnsi="仿宋_GB2312" w:eastAsia="仿宋_GB2312" w:cs="仿宋_GB2312"/>
          <w:sz w:val="32"/>
          <w:szCs w:val="32"/>
          <w:lang w:eastAsia="zh-CN"/>
        </w:rPr>
        <w:t>项目区防护基干林总面积3000亩，通过枯死树清理、林地清理等抚育的实施可优化林分结构，明显改善林木的生长环境，促进林木快速生长，将比不抚育林地的活立木蓄积有所提高。</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（1）前期准备：根</w:t>
      </w:r>
      <w:r>
        <w:rPr>
          <w:rFonts w:hint="eastAsia" w:ascii="仿宋_GB2312" w:hAnsi="仿宋_GB2312" w:eastAsia="仿宋_GB2312" w:cs="仿宋_GB2312"/>
          <w:sz w:val="32"/>
          <w:szCs w:val="32"/>
          <w:lang w:eastAsia="zh-CN"/>
        </w:rPr>
        <w:t>据《</w:t>
      </w:r>
      <w:r>
        <w:rPr>
          <w:rFonts w:hint="eastAsia" w:ascii="仿宋_GB2312" w:hAnsi="仿宋_GB2312" w:eastAsia="仿宋_GB2312" w:cs="仿宋_GB2312"/>
          <w:sz w:val="32"/>
          <w:szCs w:val="32"/>
          <w:lang w:val="en-US" w:eastAsia="zh-CN"/>
        </w:rPr>
        <w:t xml:space="preserve"> 塔城地区老风口生态监管中心2020年度中央财政森林生态效益补偿基金－营造林（退化林修复）实施方案</w:t>
      </w:r>
      <w:r>
        <w:rPr>
          <w:rFonts w:hint="eastAsia" w:ascii="仿宋_GB2312" w:hAnsi="仿宋_GB2312" w:eastAsia="仿宋_GB2312" w:cs="仿宋_GB2312"/>
          <w:sz w:val="32"/>
          <w:szCs w:val="32"/>
          <w:lang w:eastAsia="zh-CN"/>
        </w:rPr>
        <w:t>》，通过制定项目实施方案，经项目负责人审核通过后，有序开展后续工程。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（2）组织实施：资金一到位，立即根据项目要求实施项目。项目责任人按照《</w:t>
      </w:r>
      <w:r>
        <w:rPr>
          <w:rFonts w:hint="eastAsia" w:ascii="仿宋_GB2312" w:hAnsi="仿宋_GB2312" w:eastAsia="仿宋_GB2312" w:cs="仿宋_GB2312"/>
          <w:sz w:val="32"/>
          <w:szCs w:val="32"/>
          <w:lang w:val="en-US" w:eastAsia="zh-CN"/>
        </w:rPr>
        <w:t xml:space="preserve"> 塔城地区老风口生态监管中心2020年度中央财政森林生态效益补偿基金－营造林（退化林修复）实施方案</w:t>
      </w:r>
      <w:r>
        <w:rPr>
          <w:rFonts w:hint="eastAsia" w:ascii="仿宋_GB2312" w:hAnsi="仿宋_GB2312" w:eastAsia="仿宋_GB2312" w:cs="仿宋_GB2312"/>
          <w:sz w:val="32"/>
          <w:szCs w:val="32"/>
          <w:lang w:eastAsia="zh-CN"/>
        </w:rPr>
        <w:t>》要求逐一进行项目部署安排，提高项目质量及效率性。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bookmarkStart w:id="23" w:name="_Toc4470_WPSOffice_Level1"/>
      <w:r>
        <w:rPr>
          <w:rFonts w:hint="eastAsia" w:ascii="黑体" w:hAnsi="黑体" w:eastAsia="黑体"/>
          <w:b/>
          <w:bCs/>
          <w:sz w:val="32"/>
          <w:szCs w:val="32"/>
        </w:rPr>
        <w:t>二、绩效评价工作开展情况</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bookmarkStart w:id="24" w:name="_Toc15608_WPSOffice_Level2"/>
      <w:r>
        <w:rPr>
          <w:rFonts w:hint="eastAsia" w:ascii="仿宋_GB2312" w:hAnsi="仿宋_GB2312" w:eastAsia="仿宋_GB2312" w:cs="仿宋_GB2312"/>
          <w:b/>
          <w:bCs/>
          <w:kern w:val="2"/>
          <w:sz w:val="32"/>
          <w:szCs w:val="32"/>
          <w:lang w:val="en-US" w:eastAsia="zh-CN" w:bidi="ar-SA"/>
        </w:rPr>
        <w:t>1、绩效评价的目的</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exact"/>
        <w:ind w:left="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综合来看，通过开展有效的财政支出绩效评价管理，达到改进预算管理、控制节约成本，提高预算资金使用效益的目的。</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kern w:val="2"/>
          <w:sz w:val="32"/>
          <w:szCs w:val="32"/>
          <w:lang w:val="en-US" w:eastAsia="zh-CN" w:bidi="ar-SA"/>
        </w:rPr>
      </w:pPr>
      <w:bookmarkStart w:id="25" w:name="_Toc20820_WPSOffice_Level2"/>
      <w:r>
        <w:rPr>
          <w:rFonts w:hint="eastAsia" w:ascii="仿宋_GB2312" w:hAnsi="仿宋_GB2312" w:eastAsia="仿宋_GB2312" w:cs="仿宋_GB2312"/>
          <w:b/>
          <w:bCs/>
          <w:kern w:val="2"/>
          <w:sz w:val="32"/>
          <w:szCs w:val="32"/>
          <w:lang w:val="en-US" w:eastAsia="zh-CN" w:bidi="ar-SA"/>
        </w:rPr>
        <w:t>2、绩效评价的对象</w:t>
      </w:r>
      <w:bookmarkEnd w:id="25"/>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2020年中央财政森林生态效益补偿基金－营造林（退化林修复）项目。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bookmarkStart w:id="26" w:name="_Toc17236_WPSOffice_Level2"/>
      <w:r>
        <w:rPr>
          <w:rFonts w:hint="eastAsia" w:ascii="仿宋_GB2312" w:hAnsi="仿宋_GB2312" w:eastAsia="仿宋_GB2312" w:cs="仿宋_GB2312"/>
          <w:b/>
          <w:bCs/>
          <w:kern w:val="2"/>
          <w:sz w:val="32"/>
          <w:szCs w:val="32"/>
          <w:lang w:val="en-US" w:eastAsia="zh-CN" w:bidi="ar-SA"/>
        </w:rPr>
        <w:t>3、绩效评价的范围</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从2020年中央财政森林生态效益补偿基金－营造林（退化林修复）项目的决策、过程、产出、效益等方面进行评价。</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1、绩效评价原则</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本次项目绩效评价遵循以下基本原则：</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（1）科学公正。绩效评价应当运用科学合理的方法，按照规范的程序，对项目绩效进行客观、公正的反映。</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（3）激励约束。绩效评价结果应与预算安排、政策调整、改进管理实质性挂钩，体现奖优罚劣和激励相容导向，有效要安排、低效要压减、无效要问责。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2、评价指标体系</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绩效评价框架是开展绩效评价的核心。绩效评价框架包括评价准则、关键评价问题、评价指标、数据来源、数据收集方法等。指标体系建立过程如下：</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（1）确定评价指标</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采用成分分析，建立评价指标体系。绩效评价将指标分为项目决策指标、项目过程指标、项目产出指标、项目效益指标四个维度指标、项目产出指标、项目效益指标、项目满意度指标四个维度，最终形成一个由多个相互联系的指标组成的多层次指标体系。</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（2）确定权重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确定各个指标相对于项目总体绩效的权重分值。在绩效评价指标体系中，项目决策权重占5分，项目过程权重占5分，项目产出权重值占50分，项目效益权重值占40分。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（3）确定指标标准值</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3、绩效评价方法</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绩效评价从项目决策、项目过程、项目产出、项目效益四个维度进行评价。评价对象为项目目标实施情况，  评价核心为资金的支出完成情况和项目的产出效益。</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（1）比较法</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通过对绩效目标与实施效果、历史与当期情况，综合分析绩效目标实现程度。对项目最终验收情况与年度绩效目标对比、预算资金执行情况等相关因素进行比较。</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（2）因素分析法</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4、绩效评价标准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绩效评价标准通常包括计划标准、行业标准、历史标准等，用于对绩效指标完成情况进行比较。本次评价主要采用了计划标准和行业标准。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1、前期准备。首先成立评价工作组，开展前期调研；其次明确项目绩效目标，设计绩效评价指标体系并确定绩效评价方法；接着确定现场和非现场评价范围，设计资料清单；最后制定评价实施方案并进行论证。</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组织实施。制定绩效评价工作方案，具体包括项目概况、评价思路、方法手段、组织实施、进度安排等。收集项目立项依据、相关会议纪要、实施方案、财政资金分配方案、支付管理情况等相关评价资料并进行梳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bookmarkStart w:id="27" w:name="_Toc16013_WPSOffice_Level1"/>
      <w:r>
        <w:rPr>
          <w:rFonts w:hint="eastAsia" w:ascii="黑体" w:hAnsi="黑体" w:eastAsia="黑体" w:cs="黑体"/>
          <w:b/>
          <w:bCs/>
          <w:sz w:val="32"/>
          <w:szCs w:val="32"/>
        </w:rPr>
        <w:t>综合评价情况及评价结论（附相关评分表）</w:t>
      </w:r>
      <w:bookmarkEnd w:id="27"/>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对塔城地区老风口生态监管中心2020年度中央财政森林生态效益补偿基金－营造林（退化林修复）项目进行客观评价，最终评分结果：总得分为 99.95分，属于“优”。其中，项目决策类指标权重为5分，得分为 5分，得分率为 100%。项目过程类指标权重为5分，得分为4.95分，得分率为 99.03%。项目产出类指标权重为50分，得分为50分，得分率为 100%。项目效益类指标权重为40分，得分为40分，得分率为 100%。</w:t>
      </w:r>
    </w:p>
    <w:p>
      <w:pPr>
        <w:pStyle w:val="2"/>
        <w:keepNext w:val="0"/>
        <w:keepLines w:val="0"/>
        <w:pageBreakBefore w:val="0"/>
        <w:widowControl/>
        <w:kinsoku/>
        <w:wordWrap/>
        <w:overflowPunct/>
        <w:topLinePunct w:val="0"/>
        <w:autoSpaceDE/>
        <w:autoSpaceDN/>
        <w:bidi w:val="0"/>
        <w:adjustRightInd/>
        <w:snapToGrid/>
        <w:spacing w:before="0" w:after="0" w:line="560" w:lineRule="exact"/>
        <w:jc w:val="center"/>
        <w:textAlignment w:val="auto"/>
        <w:rPr>
          <w:rFonts w:ascii="仿宋_GB2312" w:hAnsi="仿宋_GB2312" w:eastAsia="仿宋_GB2312" w:cs="仿宋_GB2312"/>
          <w:sz w:val="30"/>
          <w:szCs w:val="30"/>
        </w:rPr>
      </w:pPr>
      <w:bookmarkStart w:id="28" w:name="_Toc1611_WPSOffice_Level2"/>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bookmarkEnd w:id="28"/>
    </w:p>
    <w:tbl>
      <w:tblPr>
        <w:tblStyle w:val="19"/>
        <w:tblpPr w:leftFromText="180" w:rightFromText="180" w:vertAnchor="text" w:horzAnchor="page" w:tblpX="1492" w:tblpY="14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0.95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95%</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0.95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bl>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b/>
          <w:bCs/>
        </w:rPr>
      </w:pPr>
      <w:bookmarkStart w:id="29" w:name="_Toc15608_WPSOffice_Level1"/>
      <w:r>
        <w:rPr>
          <w:rFonts w:hint="eastAsia" w:ascii="黑体" w:hAnsi="黑体" w:eastAsia="黑体"/>
          <w:b/>
          <w:bCs/>
          <w:sz w:val="32"/>
          <w:szCs w:val="32"/>
          <w:lang w:val="en-US" w:eastAsia="zh-CN"/>
        </w:rPr>
        <w:t>四、</w:t>
      </w:r>
      <w:r>
        <w:rPr>
          <w:rFonts w:hint="eastAsia" w:ascii="黑体" w:hAnsi="黑体" w:eastAsia="黑体"/>
          <w:b/>
          <w:bCs/>
          <w:sz w:val="32"/>
          <w:szCs w:val="32"/>
        </w:rPr>
        <w:t>绩效评价指标分析</w:t>
      </w:r>
      <w:bookmarkEnd w:id="29"/>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pPr>
      <w:bookmarkStart w:id="30" w:name="_Toc16375_WPSOffice_Level2"/>
      <w:r>
        <w:rPr>
          <w:rFonts w:hint="eastAsia" w:ascii="楷体_GB2312" w:hAnsi="楷体_GB2312" w:eastAsia="楷体_GB2312" w:cs="楷体_GB2312"/>
        </w:rPr>
        <w:t>（一）项目决策情况</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按照《中华人民共和国林业行业标准（三北防护林退化林分修复技术规程）》和《关于下达2020年第一批中央财政林业改革发展资金（森林资源管护支出、森林资源培育、生态保护体系建设、林业产业发展支出）任务的通知》等文件，对生态林区的树木健康状况、林分质量和生态环境质量进行退化情况综合评价和科学修复，依法依规立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结合老风口生态区实际情况，依据《中华人民共和国林业行业标准（三北防护林退化林分修复技术规程）》；《新疆主要造林树种苗木质量分级》；《森林抚育规程》；《森林资源规划调查设计技术规程》；《关于下达2020年第一批中央财政林业改革发展资金（森林资源管护支出、森林资源培育、生态保护体系建设、林业产业发展支出）任务的通知》；《关于印发〈新疆维吾尔自治区林业改革发展资金管理实施细则〉的通知》等退化林修复相关文件确定绩效目标合理性、绩效指标明确性、预算编制科学性、资金分配合理性</w:t>
      </w:r>
    </w:p>
    <w:p>
      <w:pPr>
        <w:pStyle w:val="18"/>
        <w:keepNext w:val="0"/>
        <w:keepLines w:val="0"/>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项目资金到位率100%、预算执行率95.2%、资金使用依据《关于印发〈新疆维吾尔自治区林业改革发展资金管理实施细则〉的通知》依法依规使用、管理制度健全、制度执行有效。</w:t>
      </w:r>
    </w:p>
    <w:p>
      <w:pPr>
        <w:pStyle w:val="18"/>
        <w:keepNext w:val="0"/>
        <w:keepLines w:val="0"/>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bookmarkStart w:id="37" w:name="_GoBack"/>
      <w:bookmarkEnd w:id="37"/>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仿宋" w:hAnsi="仿宋" w:eastAsia="仿宋" w:cs="仿宋"/>
          <w:b w:val="0"/>
          <w:bCs/>
          <w:spacing w:val="-4"/>
          <w:sz w:val="32"/>
          <w:szCs w:val="32"/>
        </w:rPr>
      </w:pPr>
      <w:r>
        <w:rPr>
          <w:rStyle w:val="21"/>
          <w:rFonts w:hint="eastAsia" w:ascii="仿宋" w:hAnsi="仿宋" w:eastAsia="仿宋" w:cs="仿宋"/>
          <w:b w:val="0"/>
          <w:bCs/>
          <w:spacing w:val="-4"/>
          <w:sz w:val="32"/>
          <w:szCs w:val="32"/>
        </w:rPr>
        <w:t>数量指标方面：</w:t>
      </w:r>
      <w:r>
        <w:rPr>
          <w:rStyle w:val="21"/>
          <w:rFonts w:hint="eastAsia" w:ascii="仿宋" w:hAnsi="仿宋" w:eastAsia="仿宋" w:cs="仿宋"/>
          <w:b w:val="0"/>
          <w:bCs/>
          <w:spacing w:val="-4"/>
          <w:sz w:val="32"/>
          <w:szCs w:val="32"/>
          <w:lang w:val="en-US" w:eastAsia="zh-CN"/>
        </w:rPr>
        <w:t>完成度指标，年度指标值≥2900亩，实际完成值3000亩，完成率100%；</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仿宋" w:hAnsi="仿宋" w:eastAsia="仿宋" w:cs="仿宋"/>
          <w:b w:val="0"/>
          <w:bCs/>
          <w:spacing w:val="-4"/>
          <w:sz w:val="32"/>
          <w:szCs w:val="32"/>
        </w:rPr>
      </w:pPr>
      <w:r>
        <w:rPr>
          <w:rStyle w:val="21"/>
          <w:rFonts w:hint="eastAsia" w:ascii="仿宋" w:hAnsi="仿宋" w:eastAsia="仿宋" w:cs="仿宋"/>
          <w:b w:val="0"/>
          <w:bCs/>
          <w:spacing w:val="-4"/>
          <w:sz w:val="32"/>
          <w:szCs w:val="32"/>
        </w:rPr>
        <w:t>质量指标方面：</w:t>
      </w:r>
      <w:r>
        <w:rPr>
          <w:rStyle w:val="21"/>
          <w:rFonts w:hint="eastAsia" w:ascii="仿宋" w:hAnsi="仿宋" w:eastAsia="仿宋" w:cs="仿宋"/>
          <w:b w:val="0"/>
          <w:bCs/>
          <w:spacing w:val="-4"/>
          <w:sz w:val="32"/>
          <w:szCs w:val="32"/>
          <w:lang w:val="en-US" w:eastAsia="zh-CN"/>
        </w:rPr>
        <w:t>亩株数指标，年度目标值每亩≥85棵，实际完成值每亩85棵，完成率100%；</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lang w:val="en-US" w:eastAsia="zh-CN"/>
        </w:rPr>
      </w:pPr>
      <w:r>
        <w:rPr>
          <w:rStyle w:val="21"/>
          <w:rFonts w:hint="eastAsia" w:ascii="仿宋" w:hAnsi="仿宋" w:eastAsia="仿宋" w:cs="仿宋"/>
          <w:b w:val="0"/>
          <w:bCs/>
          <w:spacing w:val="-4"/>
          <w:sz w:val="32"/>
          <w:szCs w:val="32"/>
          <w:lang w:val="en-US" w:eastAsia="zh-CN"/>
        </w:rPr>
        <w:t>时效指标方面：资金执行率指标，年度目标值≥60%，实际完成值95.18%，完成率100%。</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default" w:ascii="仿宋" w:hAnsi="仿宋" w:eastAsia="仿宋" w:cs="仿宋"/>
          <w:b w:val="0"/>
          <w:bCs/>
          <w:spacing w:val="-4"/>
          <w:sz w:val="32"/>
          <w:szCs w:val="32"/>
          <w:lang w:val="en-US" w:eastAsia="zh-CN"/>
        </w:rPr>
      </w:pPr>
      <w:r>
        <w:rPr>
          <w:rStyle w:val="21"/>
          <w:rFonts w:hint="eastAsia" w:ascii="仿宋" w:hAnsi="仿宋" w:eastAsia="仿宋" w:cs="仿宋"/>
          <w:b w:val="0"/>
          <w:bCs/>
          <w:spacing w:val="-4"/>
          <w:sz w:val="32"/>
          <w:szCs w:val="32"/>
          <w:lang w:val="en-US" w:eastAsia="zh-CN"/>
        </w:rPr>
        <w:t>成本指标方面：亩成本指标，年度目标值每亩≤500元，实际完成值500元，完成率100%。成本节约率100%。</w:t>
      </w:r>
    </w:p>
    <w:p>
      <w:pPr>
        <w:pStyle w:val="18"/>
        <w:keepNext w:val="0"/>
        <w:keepLines w:val="0"/>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bookmarkStart w:id="31" w:name="_Toc20820_WPSOffice_Level1"/>
      <w:r>
        <w:rPr>
          <w:rFonts w:hint="eastAsia" w:ascii="仿宋_GB2312" w:hAnsi="仿宋_GB2312" w:eastAsia="仿宋_GB2312" w:cs="仿宋_GB2312"/>
          <w:b w:val="0"/>
          <w:bCs w:val="0"/>
          <w:kern w:val="2"/>
          <w:sz w:val="32"/>
          <w:szCs w:val="32"/>
          <w:lang w:val="en-US" w:eastAsia="zh-CN" w:bidi="ar-SA"/>
        </w:rPr>
        <w:t>经济效益指标：蓄积量增加指标，年度指标值</w:t>
      </w:r>
      <w:r>
        <w:rPr>
          <w:rStyle w:val="21"/>
          <w:rFonts w:hint="eastAsia" w:ascii="仿宋" w:hAnsi="仿宋" w:eastAsia="仿宋" w:cs="仿宋"/>
          <w:b w:val="0"/>
          <w:bCs/>
          <w:spacing w:val="-4"/>
          <w:sz w:val="32"/>
          <w:szCs w:val="32"/>
          <w:lang w:val="en-US" w:eastAsia="zh-CN"/>
        </w:rPr>
        <w:t>≥</w:t>
      </w:r>
      <w:r>
        <w:rPr>
          <w:rFonts w:hint="eastAsia" w:ascii="仿宋_GB2312" w:hAnsi="仿宋_GB2312" w:eastAsia="仿宋_GB2312" w:cs="仿宋_GB2312"/>
          <w:b w:val="0"/>
          <w:bCs w:val="0"/>
          <w:kern w:val="2"/>
          <w:sz w:val="32"/>
          <w:szCs w:val="32"/>
          <w:lang w:val="en-US" w:eastAsia="zh-CN" w:bidi="ar-SA"/>
        </w:rPr>
        <w:t>1000立方米，实际完成值1000立方米，完成率100%。</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社会效益指标：带动周边农牧民人数指标，年度指标值</w:t>
      </w:r>
      <w:r>
        <w:rPr>
          <w:rStyle w:val="21"/>
          <w:rFonts w:hint="eastAsia" w:ascii="仿宋" w:hAnsi="仿宋" w:eastAsia="仿宋" w:cs="仿宋"/>
          <w:b w:val="0"/>
          <w:bCs/>
          <w:spacing w:val="-4"/>
          <w:sz w:val="32"/>
          <w:szCs w:val="32"/>
          <w:lang w:val="en-US" w:eastAsia="zh-CN"/>
        </w:rPr>
        <w:t>≥</w:t>
      </w:r>
      <w:r>
        <w:rPr>
          <w:rFonts w:hint="eastAsia" w:ascii="仿宋_GB2312" w:hAnsi="仿宋_GB2312" w:eastAsia="仿宋_GB2312" w:cs="仿宋_GB2312"/>
          <w:b w:val="0"/>
          <w:bCs w:val="0"/>
          <w:kern w:val="2"/>
          <w:sz w:val="32"/>
          <w:szCs w:val="32"/>
          <w:lang w:val="en-US" w:eastAsia="zh-CN" w:bidi="ar-SA"/>
        </w:rPr>
        <w:t>1000人，实际完成值1000人，完成率100%。</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生态效益指标：林木卫生环境改善指标，年度指标值</w:t>
      </w:r>
      <w:r>
        <w:rPr>
          <w:rStyle w:val="21"/>
          <w:rFonts w:hint="eastAsia" w:ascii="仿宋" w:hAnsi="仿宋" w:eastAsia="仿宋" w:cs="仿宋"/>
          <w:b w:val="0"/>
          <w:bCs/>
          <w:spacing w:val="-4"/>
          <w:sz w:val="32"/>
          <w:szCs w:val="32"/>
          <w:lang w:val="en-US" w:eastAsia="zh-CN"/>
        </w:rPr>
        <w:t>≥</w:t>
      </w:r>
      <w:r>
        <w:rPr>
          <w:rFonts w:hint="eastAsia" w:ascii="仿宋_GB2312" w:hAnsi="仿宋_GB2312" w:eastAsia="仿宋_GB2312" w:cs="仿宋_GB2312"/>
          <w:b w:val="0"/>
          <w:bCs w:val="0"/>
          <w:kern w:val="2"/>
          <w:sz w:val="32"/>
          <w:szCs w:val="32"/>
          <w:lang w:val="en-US" w:eastAsia="zh-CN" w:bidi="ar-SA"/>
        </w:rPr>
        <w:t>50%，实际完成值70%，完成率100%。</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可持续影响指标：可持续发展力指标，年度指标值</w:t>
      </w:r>
      <w:r>
        <w:rPr>
          <w:rStyle w:val="21"/>
          <w:rFonts w:hint="eastAsia" w:ascii="仿宋" w:hAnsi="仿宋" w:eastAsia="仿宋" w:cs="仿宋"/>
          <w:b w:val="0"/>
          <w:bCs/>
          <w:spacing w:val="-4"/>
          <w:sz w:val="32"/>
          <w:szCs w:val="32"/>
          <w:lang w:val="en-US" w:eastAsia="zh-CN"/>
        </w:rPr>
        <w:t>≥</w:t>
      </w:r>
      <w:r>
        <w:rPr>
          <w:rFonts w:hint="eastAsia" w:ascii="仿宋_GB2312" w:hAnsi="仿宋_GB2312" w:eastAsia="仿宋_GB2312" w:cs="仿宋_GB2312"/>
          <w:b w:val="0"/>
          <w:bCs w:val="0"/>
          <w:kern w:val="2"/>
          <w:sz w:val="32"/>
          <w:szCs w:val="32"/>
          <w:lang w:val="en-US" w:eastAsia="zh-CN" w:bidi="ar-SA"/>
        </w:rPr>
        <w:t>3年，实际完成值3年，完成率100%。</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满意度指标：对退化林修复满意度指标，年度指标值</w:t>
      </w:r>
      <w:r>
        <w:rPr>
          <w:rStyle w:val="21"/>
          <w:rFonts w:hint="eastAsia" w:ascii="仿宋" w:hAnsi="仿宋" w:eastAsia="仿宋" w:cs="仿宋"/>
          <w:b w:val="0"/>
          <w:bCs/>
          <w:spacing w:val="-4"/>
          <w:sz w:val="32"/>
          <w:szCs w:val="32"/>
          <w:lang w:val="en-US" w:eastAsia="zh-CN"/>
        </w:rPr>
        <w:t>≥</w:t>
      </w:r>
      <w:r>
        <w:rPr>
          <w:rFonts w:hint="eastAsia" w:ascii="仿宋_GB2312" w:hAnsi="仿宋_GB2312" w:eastAsia="仿宋_GB2312" w:cs="仿宋_GB2312"/>
          <w:b w:val="0"/>
          <w:bCs w:val="0"/>
          <w:kern w:val="2"/>
          <w:sz w:val="32"/>
          <w:szCs w:val="32"/>
          <w:lang w:val="en-US" w:eastAsia="zh-CN" w:bidi="ar-SA"/>
        </w:rPr>
        <w:t>95%，实际完成值98%，完成率100%。</w:t>
      </w:r>
    </w:p>
    <w:p>
      <w:pPr>
        <w:keepNext w:val="0"/>
        <w:keepLines w:val="0"/>
        <w:pageBreakBefore w:val="0"/>
        <w:kinsoku/>
        <w:wordWrap/>
        <w:overflowPunct/>
        <w:topLinePunct w:val="0"/>
        <w:autoSpaceDE/>
        <w:autoSpaceDN/>
        <w:bidi w:val="0"/>
        <w:adjustRightInd/>
        <w:snapToGrid/>
        <w:spacing w:line="560" w:lineRule="exact"/>
        <w:ind w:firstLine="641"/>
        <w:textAlignment w:val="auto"/>
        <w:rPr>
          <w:rStyle w:val="50"/>
          <w:b/>
          <w:bCs/>
          <w:color w:val="auto"/>
        </w:rPr>
      </w:pPr>
      <w:r>
        <w:rPr>
          <w:rFonts w:hint="eastAsia" w:ascii="黑体" w:hAnsi="黑体" w:eastAsia="黑体"/>
          <w:b/>
          <w:bCs/>
          <w:sz w:val="32"/>
          <w:szCs w:val="32"/>
        </w:rPr>
        <w:t>五、主要经验及做法、存在的问题及原因分析</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bookmarkStart w:id="32" w:name="_Toc23749_WPSOffice_Level2"/>
      <w:r>
        <w:rPr>
          <w:rFonts w:hint="eastAsia" w:ascii="楷体" w:hAnsi="楷体" w:eastAsia="楷体" w:cs="楷体"/>
          <w:b/>
          <w:bCs/>
          <w:kern w:val="2"/>
          <w:sz w:val="32"/>
          <w:szCs w:val="32"/>
          <w:lang w:val="en-US" w:eastAsia="zh-CN" w:bidi="ar-SA"/>
        </w:rPr>
        <w:t>（一）主要经验及做法</w:t>
      </w:r>
      <w:r>
        <w:rPr>
          <w:rFonts w:hint="eastAsia" w:ascii="仿宋_GB2312" w:hAnsi="仿宋_GB2312" w:eastAsia="仿宋_GB2312" w:cs="仿宋_GB2312"/>
          <w:b w:val="0"/>
          <w:bCs w:val="0"/>
          <w:kern w:val="2"/>
          <w:sz w:val="32"/>
          <w:szCs w:val="32"/>
          <w:lang w:val="en-US" w:eastAsia="zh-CN" w:bidi="ar-SA"/>
        </w:rPr>
        <w:t>：</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做好林地清理工作，减少林木病腐枝的发生和蔓延，也可有效防止林木火灾和森林有害生物的发生，提高林木的经济利用价值以及森林的稳定性和抗逆性。项目实施清理濒死树，不但能改善林分结构，提高森林质量，而且有利于改善林分卫生状况，增强抵御自然灾害的能力，病虫害下降90%以上，森林火灾发生的概率大大降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对项目区林木进行清枯、林地清理，以优化林分结构，改善林木生长环境，促进林木生长，培育健康稳定的森林生态系统，大大减少了人为因素对森林生态系统的破坏，有效保护了珍稀动植物、昆虫资源，恢复自然生态系统，维护森林生态平衡，全面提升林分的生态、社会和经济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促进生态林业发展、提供就业、促进社会稳定。抚育修复工程壮大了林业产业，增加了林农收入。项目投入资金的70%以上可转化为劳务收入，吸纳了剩余劳动力，社会效益显著。工程的实施，促进了林业可持续发展，森林林分质量得到改善，带动经济发展，缓解了当地的就业压力，为当地社会稳定作出了贡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bookmarkStart w:id="33" w:name="_Toc25004_WPSOffice_Level2"/>
      <w:r>
        <w:rPr>
          <w:rFonts w:hint="eastAsia" w:ascii="楷体" w:hAnsi="楷体" w:eastAsia="楷体" w:cs="楷体"/>
          <w:b/>
          <w:bCs/>
          <w:kern w:val="2"/>
          <w:sz w:val="32"/>
          <w:szCs w:val="32"/>
          <w:lang w:val="en-US" w:eastAsia="zh-CN" w:bidi="ar-SA"/>
        </w:rPr>
        <w:t>（二）存在的问题及原因：</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1、项目的建设时间要求紧，业务人员少，监督、检查验收压力大，完成任务有难度。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2、我单位林业管理人员对该项目的管理、验收等处于学习状态，建议主管部门多举办专项培训班，加大培训力度，进一步提高林业管理人员的工作能力和水平。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3、因人员技术操作和JPS设备差异，JPS坐标数据存在较大误差，给项目的实施和验收增加了不确定因素。</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bookmarkStart w:id="34" w:name="_Toc17236_WPSOffice_Level1"/>
      <w:r>
        <w:rPr>
          <w:rFonts w:hint="eastAsia" w:ascii="黑体" w:hAnsi="黑体" w:eastAsia="黑体"/>
          <w:b/>
          <w:bCs/>
          <w:sz w:val="32"/>
          <w:szCs w:val="32"/>
        </w:rPr>
        <w:t>有关建议</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老风口建管中心在林业专项资金的使用上依照财务制度和其他各项有关制度严格执行，但仍存在问题。问题主要是1、资金到位不及时，依程序执行延误项目执行时限性，导致资金支出拖后、滞留。2、各部门对此项目规章制度和业务知识一知半解，业务执行力和资金执行率无法统一协调，资金使用工作事倍功半，效率低下。</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bookmarkStart w:id="35" w:name="_Toc1611_WPSOffice_Level1"/>
      <w:r>
        <w:rPr>
          <w:rFonts w:hint="eastAsia" w:ascii="黑体" w:hAnsi="黑体" w:eastAsia="黑体"/>
          <w:b/>
          <w:bCs/>
          <w:sz w:val="32"/>
          <w:szCs w:val="32"/>
        </w:rPr>
        <w:t>其他需要说</w:t>
      </w:r>
      <w:bookmarkStart w:id="36" w:name="page8"/>
      <w:bookmarkEnd w:id="36"/>
      <w:r>
        <w:rPr>
          <w:rFonts w:hint="eastAsia" w:ascii="黑体" w:hAnsi="黑体" w:eastAsia="黑体"/>
          <w:b/>
          <w:bCs/>
          <w:sz w:val="32"/>
          <w:szCs w:val="32"/>
        </w:rPr>
        <w:t>明的问题</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无。</w:t>
      </w:r>
    </w:p>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黑体" w:hAnsi="黑体" w:eastAsia="黑体"/>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pPr>
    </w:p>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黑体" w:hAnsi="黑体" w:eastAsia="黑体"/>
          <w:sz w:val="32"/>
          <w:szCs w:val="32"/>
        </w:rPr>
      </w:pPr>
    </w:p>
    <w:p>
      <w:pPr>
        <w:pStyle w:val="2"/>
        <w:keepNext w:val="0"/>
        <w:keepLines w:val="0"/>
        <w:pageBreakBefore w:val="0"/>
        <w:kinsoku/>
        <w:wordWrap/>
        <w:overflowPunct/>
        <w:topLinePunct w:val="0"/>
        <w:autoSpaceDE/>
        <w:autoSpaceDN/>
        <w:bidi w:val="0"/>
        <w:adjustRightInd/>
        <w:snapToGrid/>
        <w:spacing w:before="0" w:after="0" w:line="560" w:lineRule="exact"/>
        <w:jc w:val="both"/>
        <w:textAlignment w:val="auto"/>
        <w:sectPr>
          <w:footerReference r:id="rId3" w:type="default"/>
          <w:pgSz w:w="11906" w:h="16838"/>
          <w:pgMar w:top="1440" w:right="1558"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19"/>
        <w:tblW w:w="9060" w:type="dxa"/>
        <w:tblInd w:w="0" w:type="dxa"/>
        <w:shd w:val="clear" w:color="auto" w:fill="auto"/>
        <w:tblLayout w:type="fixed"/>
        <w:tblCellMar>
          <w:top w:w="0" w:type="dxa"/>
          <w:left w:w="0" w:type="dxa"/>
          <w:bottom w:w="0" w:type="dxa"/>
          <w:right w:w="0" w:type="dxa"/>
        </w:tblCellMar>
      </w:tblPr>
      <w:tblGrid>
        <w:gridCol w:w="696"/>
        <w:gridCol w:w="697"/>
        <w:gridCol w:w="696"/>
        <w:gridCol w:w="696"/>
        <w:gridCol w:w="696"/>
        <w:gridCol w:w="696"/>
        <w:gridCol w:w="2009"/>
        <w:gridCol w:w="1231"/>
        <w:gridCol w:w="411"/>
        <w:gridCol w:w="1232"/>
      </w:tblGrid>
      <w:tr>
        <w:tblPrEx>
          <w:shd w:val="clear" w:color="auto" w:fill="auto"/>
          <w:tblCellMar>
            <w:top w:w="0" w:type="dxa"/>
            <w:left w:w="0" w:type="dxa"/>
            <w:bottom w:w="0" w:type="dxa"/>
            <w:right w:w="0" w:type="dxa"/>
          </w:tblCellMar>
        </w:tblPrEx>
        <w:trPr>
          <w:trHeight w:val="409" w:hRule="atLeast"/>
        </w:trPr>
        <w:tc>
          <w:tcPr>
            <w:tcW w:w="906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06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060"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3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7" w:type="dxa"/>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2020年中央财政森林生态效益补偿基金－营造林（退化林修复）</w:t>
            </w:r>
          </w:p>
        </w:tc>
      </w:tr>
      <w:tr>
        <w:tblPrEx>
          <w:shd w:val="clear" w:color="auto" w:fill="auto"/>
          <w:tblCellMar>
            <w:top w:w="0" w:type="dxa"/>
            <w:left w:w="0" w:type="dxa"/>
            <w:bottom w:w="0" w:type="dxa"/>
            <w:right w:w="0" w:type="dxa"/>
          </w:tblCellMar>
        </w:tblPrEx>
        <w:trPr>
          <w:trHeight w:val="270" w:hRule="atLeast"/>
        </w:trPr>
        <w:tc>
          <w:tcPr>
            <w:tcW w:w="1393" w:type="dxa"/>
            <w:gridSpan w:val="2"/>
            <w:tcBorders>
              <w:top w:val="single" w:color="000000" w:sz="4" w:space="0"/>
              <w:left w:val="single" w:color="000000"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793"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4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实施单位</w:t>
            </w:r>
          </w:p>
        </w:tc>
        <w:tc>
          <w:tcPr>
            <w:tcW w:w="12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塔城地区老风口生态建设工程管理中心</w:t>
            </w:r>
          </w:p>
        </w:tc>
      </w:tr>
      <w:tr>
        <w:tblPrEx>
          <w:shd w:val="clear" w:color="auto" w:fill="auto"/>
          <w:tblCellMar>
            <w:top w:w="0" w:type="dxa"/>
            <w:left w:w="0" w:type="dxa"/>
            <w:bottom w:w="0" w:type="dxa"/>
            <w:right w:w="0" w:type="dxa"/>
          </w:tblCellMar>
        </w:tblPrEx>
        <w:trPr>
          <w:trHeight w:val="392" w:hRule="atLeast"/>
        </w:trPr>
        <w:tc>
          <w:tcPr>
            <w:tcW w:w="1393" w:type="dxa"/>
            <w:gridSpan w:val="2"/>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96"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96"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tc>
        <w:tc>
          <w:tcPr>
            <w:tcW w:w="6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705"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42"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23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393" w:type="dxa"/>
            <w:gridSpan w:val="2"/>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27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142.78</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95.18%</w:t>
            </w:r>
          </w:p>
        </w:tc>
      </w:tr>
      <w:tr>
        <w:tblPrEx>
          <w:shd w:val="clear" w:color="auto" w:fill="auto"/>
          <w:tblCellMar>
            <w:top w:w="0" w:type="dxa"/>
            <w:left w:w="0" w:type="dxa"/>
            <w:bottom w:w="0" w:type="dxa"/>
            <w:right w:w="0" w:type="dxa"/>
          </w:tblCellMar>
        </w:tblPrEx>
        <w:trPr>
          <w:trHeight w:val="433" w:hRule="atLeast"/>
        </w:trPr>
        <w:tc>
          <w:tcPr>
            <w:tcW w:w="1393" w:type="dxa"/>
            <w:gridSpan w:val="2"/>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w:t>
            </w:r>
          </w:p>
        </w:tc>
        <w:tc>
          <w:tcPr>
            <w:tcW w:w="27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142.78</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393" w:type="dxa"/>
            <w:gridSpan w:val="2"/>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7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393" w:type="dxa"/>
            <w:gridSpan w:val="2"/>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7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49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预期目标</w:t>
            </w:r>
          </w:p>
        </w:tc>
        <w:tc>
          <w:tcPr>
            <w:tcW w:w="28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6623"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9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生态效益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（1）增强老风口生态林防风阻雪的功能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进一步发挥老风口生态区森林防风阻雪、降低风速，防止和减轻冬季S221线（托里至塔城公路）路面积雪，减轻风吹雪的生态功能，有力保障老风口沿线公路畅通。同时老风口生态区林分固土保表、减轻土地沙漠化、荒漠化等生态作用也十分重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（2）改善林分生长环境，有效提高林木生长量和质量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有效改善林分结构，提高森林质量，而且有利于改善林分的卫生状况，增强抗御自然灾害的能力。由于森林抚育改善了林分的卫生状况，病虫害可下降50%以上，增强了林分抗灾的能力。林木生长空间得到扩展后，林木胸径和树高连年生长量将达到或超过同等立地条件未修复改造的林分，林分的蓄积量将进一步增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（3）防止风蚀、阻拦沙尘危害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防护林带具有强大的防止风蚀和阻沙拦尘作用，它能充分降低近地层的风速，因而可以把风对地表层的吹失作用减轻到所需要的程度，可以有效地防止风蚀和沙埋。</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（4）水土保持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森林对降雨起着有效的再分配作用，林冠能够截留降水10～30%，经过叶面蒸发至空中，增加了大气湿度。50～80%的降水透过林冠缓慢渗入林地，削弱雨水冲击力量，减弱了降落地面的速度，补充地下径流，最大限度地减少了地表径流，有效遏制了水土流失。</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（5）净化大气和防治污染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森林和其它绿色植物在净化大气和防治污染方面作用十分显著，具有吸碳、制氧、吸尘、吸毒、杀菌和消除噪音作用，能促进人体新陈代谢，降低血压，消除疲劳，增强免疫能力，与人们生存和农牧业生产有着密切关系。</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经济效益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1、增加工程实施参与人员的收入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项目给项目实施人带来的直接经济效益非常可观。本次退化修复项目总计用工大于10000个工日，就近吸纳当地及周边建档立卡贫困户和农牧民群众，直接带动增收200万以上，为改善周边农牧民的生活有着非常大的实际意义，对森林资源管理和保护提供了坚实的物质基础，稳定了林区的治安和创造了和谐的林区环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2、增加活立木蓄积</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项目区防护基干林总面积3000亩，通过枯死树清理、林地清理等抚育的实施可优化林分结构，明显改善林木的生长环境，促进林木快速生长，将比不抚育林地的活立木蓄积有所提高。</w:t>
            </w:r>
          </w:p>
        </w:tc>
        <w:tc>
          <w:tcPr>
            <w:tcW w:w="28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（1）增强老风口生态林防风阻雪的功能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进一步发挥老风口生态区森林防风阻雪、降低风速，防止和减轻冬季S221线（托里至塔城公路）路面积雪，减轻风吹雪的生态功能，有力保障老风口沿线公路畅通。同时老风口生态区林分固土保表、减轻土地沙漠化、荒漠化等生态作用也十分重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（2）改善林分生长环境，有效提高林木生长量和质量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有效改善林分结构，提高森林质量，而且有利于改善林分的卫生状况，增强抗御自然灾害的能力。由于森林抚育改善了林分的卫生状况，病虫害可下降50%以上，增强了林分抗灾的能力。林木生长空间得到扩展后，林木胸径和树高连年生长量将达到或超过同等立地条件未修复改造的林分，林分的蓄积量将进一步增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（3）防止风蚀、阻拦沙尘危害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防护林带具有强大的防止风蚀和阻沙拦尘作用，它能充分降低近地层的风速，因而可以把风对地表层的吹失作用减轻到所需要的程度，可以有效地防止风蚀和沙埋。</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（4）水土保持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森林对降雨起着有效的再分配作用，林冠能够截留降水10～30%，经过叶面蒸发至空中，增加了大气湿度。50～80%的降水透过林冠缓慢渗入林地，削弱雨水冲击力量，减弱了降落地面的速度，补充地下径流，最大限度地减少了地表径流，有效遏制了水土流失。</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（5）净化大气和防治污染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森林和其它绿色植物在净化大气和防治污染方面作用十分显著，具有吸碳、制氧、吸尘、吸毒、杀菌和消除噪音作用，能促进人体新陈代谢，降低血压，消除疲劳，增强免疫能力，与人们生存和农牧业生产有着密切关系。</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经济效益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1、增加工程实施参与人员的收入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项目给项目实施人带来的直接经济效益非常可观。本次退化修复项目总计用工大于10000个工日，就近吸纳当地及周边建档立卡贫困户和农牧民群众，直接带动增收200万以上，为改善周边农牧民的生活有着非常大的实际意义，对森林资源管理和保护提供了坚实的物质基础，稳定了林区的治安和创造了和谐的林区环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2、增加活立木蓄积</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项目区防护基干林总面积3000亩，通过枯死树清理、林地清理等抚育的实施可优化林分结构，明显改善林木的生长环境，促进林木快速生长，将比不抚育林地的活立木蓄积有所提高。</w:t>
            </w:r>
          </w:p>
        </w:tc>
      </w:tr>
      <w:tr>
        <w:tblPrEx>
          <w:shd w:val="clear" w:color="auto" w:fill="auto"/>
          <w:tblCellMar>
            <w:top w:w="0" w:type="dxa"/>
            <w:left w:w="0" w:type="dxa"/>
            <w:bottom w:w="0" w:type="dxa"/>
            <w:right w:w="0" w:type="dxa"/>
          </w:tblCellMar>
        </w:tblPrEx>
        <w:trPr>
          <w:trHeight w:val="412"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完成度</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≥2900亩</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3000亩</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678"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亩株数</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≥85棵</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≥85棵</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533"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资金执行率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95.18%</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521"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亩成本</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≤500元</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≤500元</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463"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蓄积量增加</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≥1000立方米</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＞1000立方米</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638"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带动周边农牧民人数</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≥1000人次</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＞1000人次</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676"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林木卫生环境改善</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70%</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shd w:val="clear" w:color="auto" w:fill="auto"/>
          <w:tblCellMar>
            <w:top w:w="0" w:type="dxa"/>
            <w:left w:w="0" w:type="dxa"/>
            <w:bottom w:w="0" w:type="dxa"/>
            <w:right w:w="0" w:type="dxa"/>
          </w:tblCellMar>
        </w:tblPrEx>
        <w:trPr>
          <w:trHeight w:val="588"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可持续发展力</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≥3年</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≥3年</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652"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0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对退化林修复满意度</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98%</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bl>
    <w:p>
      <w:pPr>
        <w:spacing w:line="540" w:lineRule="exact"/>
        <w:rPr>
          <w:rStyle w:val="21"/>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8C662D4"/>
    <w:rsid w:val="095516C9"/>
    <w:rsid w:val="09BD4D95"/>
    <w:rsid w:val="0BD24A3E"/>
    <w:rsid w:val="0F8D41CB"/>
    <w:rsid w:val="11C75270"/>
    <w:rsid w:val="12637CC3"/>
    <w:rsid w:val="12E657C5"/>
    <w:rsid w:val="167C7687"/>
    <w:rsid w:val="168B3546"/>
    <w:rsid w:val="1A2374E0"/>
    <w:rsid w:val="1C317CE2"/>
    <w:rsid w:val="1DD45808"/>
    <w:rsid w:val="1DED372A"/>
    <w:rsid w:val="1DED42AC"/>
    <w:rsid w:val="20005763"/>
    <w:rsid w:val="20FB313D"/>
    <w:rsid w:val="220B4804"/>
    <w:rsid w:val="22F67BAB"/>
    <w:rsid w:val="26F93DD3"/>
    <w:rsid w:val="282475E3"/>
    <w:rsid w:val="2C6100C1"/>
    <w:rsid w:val="2E1E0CA8"/>
    <w:rsid w:val="2F634FF8"/>
    <w:rsid w:val="300D0239"/>
    <w:rsid w:val="3091150E"/>
    <w:rsid w:val="318C6F36"/>
    <w:rsid w:val="3264220D"/>
    <w:rsid w:val="38125A5F"/>
    <w:rsid w:val="3963178C"/>
    <w:rsid w:val="3D0F6D31"/>
    <w:rsid w:val="3D532872"/>
    <w:rsid w:val="3FBA34A6"/>
    <w:rsid w:val="41CC2676"/>
    <w:rsid w:val="4582317C"/>
    <w:rsid w:val="46B21672"/>
    <w:rsid w:val="49BF376C"/>
    <w:rsid w:val="4F552460"/>
    <w:rsid w:val="4FCC6863"/>
    <w:rsid w:val="500A214A"/>
    <w:rsid w:val="522D604D"/>
    <w:rsid w:val="5297585E"/>
    <w:rsid w:val="52AD7D6F"/>
    <w:rsid w:val="5549519D"/>
    <w:rsid w:val="5557596B"/>
    <w:rsid w:val="59EC1681"/>
    <w:rsid w:val="5B087B09"/>
    <w:rsid w:val="5B596DFC"/>
    <w:rsid w:val="5DC15B5E"/>
    <w:rsid w:val="5DF03945"/>
    <w:rsid w:val="5EC554CA"/>
    <w:rsid w:val="5F550F15"/>
    <w:rsid w:val="600E2C2B"/>
    <w:rsid w:val="637C2815"/>
    <w:rsid w:val="6396295C"/>
    <w:rsid w:val="6C014734"/>
    <w:rsid w:val="6C94704C"/>
    <w:rsid w:val="6FE36E58"/>
    <w:rsid w:val="74527C7E"/>
    <w:rsid w:val="7668186B"/>
    <w:rsid w:val="7A353D0B"/>
    <w:rsid w:val="7BF15AD6"/>
    <w:rsid w:val="7D3A5E2F"/>
    <w:rsid w:val="7FC62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8"/>
    <w:semiHidden/>
    <w:unhideWhenUsed/>
    <w:qFormat/>
    <w:uiPriority w:val="99"/>
    <w:rPr>
      <w:sz w:val="18"/>
      <w:szCs w:val="18"/>
    </w:rPr>
  </w:style>
  <w:style w:type="paragraph" w:styleId="15">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7"/>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6"/>
    <w:qFormat/>
    <w:uiPriority w:val="99"/>
    <w:rPr>
      <w:rFonts w:ascii="Calibri" w:hAnsi="Calibri" w:eastAsia="宋体"/>
      <w:kern w:val="2"/>
      <w:sz w:val="18"/>
      <w:szCs w:val="18"/>
    </w:rPr>
  </w:style>
  <w:style w:type="character" w:customStyle="1" w:styleId="47">
    <w:name w:val="页脚 字符"/>
    <w:basedOn w:val="20"/>
    <w:link w:val="15"/>
    <w:qFormat/>
    <w:uiPriority w:val="99"/>
    <w:rPr>
      <w:rFonts w:ascii="Calibri" w:hAnsi="Calibri" w:eastAsia="宋体"/>
      <w:kern w:val="2"/>
      <w:sz w:val="18"/>
      <w:szCs w:val="18"/>
    </w:rPr>
  </w:style>
  <w:style w:type="character" w:customStyle="1" w:styleId="48">
    <w:name w:val="批注框文本 字符"/>
    <w:basedOn w:val="20"/>
    <w:link w:val="14"/>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WPSOffice手动目录 1"/>
    <w:qFormat/>
    <w:uiPriority w:val="0"/>
    <w:pPr>
      <w:ind w:leftChars="0"/>
    </w:pPr>
    <w:rPr>
      <w:rFonts w:ascii="Times New Roman" w:hAnsi="Times New Roman" w:eastAsia="宋体" w:cs="Times New Roman"/>
      <w:sz w:val="20"/>
      <w:szCs w:val="20"/>
    </w:rPr>
  </w:style>
  <w:style w:type="paragraph" w:customStyle="1" w:styleId="5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1d09a43-936e-4bfc-b271-87dd62bb6f35}"/>
        <w:style w:val=""/>
        <w:category>
          <w:name w:val="常规"/>
          <w:gallery w:val="placeholder"/>
        </w:category>
        <w:types>
          <w:type w:val="bbPlcHdr"/>
        </w:types>
        <w:behaviors>
          <w:behavior w:val="content"/>
        </w:behaviors>
        <w:description w:val=""/>
        <w:guid w:val="{51d09a43-936e-4bfc-b271-87dd62bb6f35}"/>
      </w:docPartPr>
      <w:docPartBody>
        <w:p>
          <w:r>
            <w:rPr>
              <w:color w:val="808080"/>
            </w:rPr>
            <w:t>单击此处输入文字。</w:t>
          </w:r>
        </w:p>
      </w:docPartBody>
    </w:docPart>
    <w:docPart>
      <w:docPartPr>
        <w:name w:val="{d14e9f88-9af3-4dc7-b1a6-78510a22923b}"/>
        <w:style w:val=""/>
        <w:category>
          <w:name w:val="常规"/>
          <w:gallery w:val="placeholder"/>
        </w:category>
        <w:types>
          <w:type w:val="bbPlcHdr"/>
        </w:types>
        <w:behaviors>
          <w:behavior w:val="content"/>
        </w:behaviors>
        <w:description w:val=""/>
        <w:guid w:val="{d14e9f88-9af3-4dc7-b1a6-78510a22923b}"/>
      </w:docPartPr>
      <w:docPartBody>
        <w:p>
          <w:r>
            <w:rPr>
              <w:color w:val="808080"/>
            </w:rPr>
            <w:t>单击此处输入文字。</w:t>
          </w:r>
        </w:p>
      </w:docPartBody>
    </w:docPart>
    <w:docPart>
      <w:docPartPr>
        <w:name w:val="{b693e22c-e889-432c-bfa2-c5362827b836}"/>
        <w:style w:val=""/>
        <w:category>
          <w:name w:val="常规"/>
          <w:gallery w:val="placeholder"/>
        </w:category>
        <w:types>
          <w:type w:val="bbPlcHdr"/>
        </w:types>
        <w:behaviors>
          <w:behavior w:val="content"/>
        </w:behaviors>
        <w:description w:val=""/>
        <w:guid w:val="{b693e22c-e889-432c-bfa2-c5362827b836}"/>
      </w:docPartPr>
      <w:docPartBody>
        <w:p>
          <w:r>
            <w:rPr>
              <w:color w:val="808080"/>
            </w:rPr>
            <w:t>单击此处输入文字。</w:t>
          </w:r>
        </w:p>
      </w:docPartBody>
    </w:docPart>
    <w:docPart>
      <w:docPartPr>
        <w:name w:val="{b74d5c83-7ed9-4949-85cb-439a5f5a8a18}"/>
        <w:style w:val=""/>
        <w:category>
          <w:name w:val="常规"/>
          <w:gallery w:val="placeholder"/>
        </w:category>
        <w:types>
          <w:type w:val="bbPlcHdr"/>
        </w:types>
        <w:behaviors>
          <w:behavior w:val="content"/>
        </w:behaviors>
        <w:description w:val=""/>
        <w:guid w:val="{b74d5c83-7ed9-4949-85cb-439a5f5a8a18}"/>
      </w:docPartPr>
      <w:docPartBody>
        <w:p>
          <w:r>
            <w:rPr>
              <w:color w:val="808080"/>
            </w:rPr>
            <w:t>单击此处输入文字。</w:t>
          </w:r>
        </w:p>
      </w:docPartBody>
    </w:docPart>
    <w:docPart>
      <w:docPartPr>
        <w:name w:val="{968f661e-06d3-4052-92e7-d9e1d6a981ce}"/>
        <w:style w:val=""/>
        <w:category>
          <w:name w:val="常规"/>
          <w:gallery w:val="placeholder"/>
        </w:category>
        <w:types>
          <w:type w:val="bbPlcHdr"/>
        </w:types>
        <w:behaviors>
          <w:behavior w:val="content"/>
        </w:behaviors>
        <w:description w:val=""/>
        <w:guid w:val="{968f661e-06d3-4052-92e7-d9e1d6a981ce}"/>
      </w:docPartPr>
      <w:docPartBody>
        <w:p>
          <w:r>
            <w:rPr>
              <w:color w:val="808080"/>
            </w:rPr>
            <w:t>单击此处输入文字。</w:t>
          </w:r>
        </w:p>
      </w:docPartBody>
    </w:docPart>
    <w:docPart>
      <w:docPartPr>
        <w:name w:val="{6c6eb738-cc0c-40a8-b188-0ef4f591d233}"/>
        <w:style w:val=""/>
        <w:category>
          <w:name w:val="常规"/>
          <w:gallery w:val="placeholder"/>
        </w:category>
        <w:types>
          <w:type w:val="bbPlcHdr"/>
        </w:types>
        <w:behaviors>
          <w:behavior w:val="content"/>
        </w:behaviors>
        <w:description w:val=""/>
        <w:guid w:val="{6c6eb738-cc0c-40a8-b188-0ef4f591d233}"/>
      </w:docPartPr>
      <w:docPartBody>
        <w:p>
          <w:r>
            <w:rPr>
              <w:color w:val="808080"/>
            </w:rPr>
            <w:t>单击此处输入文字。</w:t>
          </w:r>
        </w:p>
      </w:docPartBody>
    </w:docPart>
    <w:docPart>
      <w:docPartPr>
        <w:name w:val="{b95ffe92-6d9c-44f6-b418-7d9e53ac77a2}"/>
        <w:style w:val=""/>
        <w:category>
          <w:name w:val="常规"/>
          <w:gallery w:val="placeholder"/>
        </w:category>
        <w:types>
          <w:type w:val="bbPlcHdr"/>
        </w:types>
        <w:behaviors>
          <w:behavior w:val="content"/>
        </w:behaviors>
        <w:description w:val=""/>
        <w:guid w:val="{b95ffe92-6d9c-44f6-b418-7d9e53ac77a2}"/>
      </w:docPartPr>
      <w:docPartBody>
        <w:p>
          <w:r>
            <w:rPr>
              <w:color w:val="808080"/>
            </w:rPr>
            <w:t>单击此处输入文字。</w:t>
          </w:r>
        </w:p>
      </w:docPartBody>
    </w:docPart>
    <w:docPart>
      <w:docPartPr>
        <w:name w:val="{33cdcdca-a87d-40d5-9801-4ba88b2fae33}"/>
        <w:style w:val=""/>
        <w:category>
          <w:name w:val="常规"/>
          <w:gallery w:val="placeholder"/>
        </w:category>
        <w:types>
          <w:type w:val="bbPlcHdr"/>
        </w:types>
        <w:behaviors>
          <w:behavior w:val="content"/>
        </w:behaviors>
        <w:description w:val=""/>
        <w:guid w:val="{33cdcdca-a87d-40d5-9801-4ba88b2fae33}"/>
      </w:docPartPr>
      <w:docPartBody>
        <w:p>
          <w:r>
            <w:rPr>
              <w:color w:val="808080"/>
            </w:rPr>
            <w:t>单击此处输入文字。</w:t>
          </w:r>
        </w:p>
      </w:docPartBody>
    </w:docPart>
    <w:docPart>
      <w:docPartPr>
        <w:name w:val="{d0db5020-1c48-4fca-a247-774a1144651a}"/>
        <w:style w:val=""/>
        <w:category>
          <w:name w:val="常规"/>
          <w:gallery w:val="placeholder"/>
        </w:category>
        <w:types>
          <w:type w:val="bbPlcHdr"/>
        </w:types>
        <w:behaviors>
          <w:behavior w:val="content"/>
        </w:behaviors>
        <w:description w:val=""/>
        <w:guid w:val="{d0db5020-1c48-4fca-a247-774a1144651a}"/>
      </w:docPartPr>
      <w:docPartBody>
        <w:p>
          <w:r>
            <w:rPr>
              <w:color w:val="808080"/>
            </w:rPr>
            <w:t>单击此处输入文字。</w:t>
          </w:r>
        </w:p>
      </w:docPartBody>
    </w:docPart>
    <w:docPart>
      <w:docPartPr>
        <w:name w:val="{679fa152-e22a-4c42-81fc-4439f105f387}"/>
        <w:style w:val=""/>
        <w:category>
          <w:name w:val="常规"/>
          <w:gallery w:val="placeholder"/>
        </w:category>
        <w:types>
          <w:type w:val="bbPlcHdr"/>
        </w:types>
        <w:behaviors>
          <w:behavior w:val="content"/>
        </w:behaviors>
        <w:description w:val=""/>
        <w:guid w:val="{679fa152-e22a-4c42-81fc-4439f105f387}"/>
      </w:docPartPr>
      <w:docPartBody>
        <w:p>
          <w:r>
            <w:rPr>
              <w:color w:val="808080"/>
            </w:rPr>
            <w:t>单击此处输入文字。</w:t>
          </w:r>
        </w:p>
      </w:docPartBody>
    </w:docPart>
    <w:docPart>
      <w:docPartPr>
        <w:name w:val="{325da95c-d023-4898-b193-1bfa9e468f90}"/>
        <w:style w:val=""/>
        <w:category>
          <w:name w:val="常规"/>
          <w:gallery w:val="placeholder"/>
        </w:category>
        <w:types>
          <w:type w:val="bbPlcHdr"/>
        </w:types>
        <w:behaviors>
          <w:behavior w:val="content"/>
        </w:behaviors>
        <w:description w:val=""/>
        <w:guid w:val="{325da95c-d023-4898-b193-1bfa9e468f90}"/>
      </w:docPartPr>
      <w:docPartBody>
        <w:p>
          <w:r>
            <w:rPr>
              <w:color w:val="808080"/>
            </w:rPr>
            <w:t>单击此处输入文字。</w:t>
          </w:r>
        </w:p>
      </w:docPartBody>
    </w:docPart>
    <w:docPart>
      <w:docPartPr>
        <w:name w:val="{65b70be6-30bc-44a1-906d-7107728bf044}"/>
        <w:style w:val=""/>
        <w:category>
          <w:name w:val="常规"/>
          <w:gallery w:val="placeholder"/>
        </w:category>
        <w:types>
          <w:type w:val="bbPlcHdr"/>
        </w:types>
        <w:behaviors>
          <w:behavior w:val="content"/>
        </w:behaviors>
        <w:description w:val=""/>
        <w:guid w:val="{65b70be6-30bc-44a1-906d-7107728bf044}"/>
      </w:docPartPr>
      <w:docPartBody>
        <w:p>
          <w:r>
            <w:rPr>
              <w:color w:val="808080"/>
            </w:rPr>
            <w:t>单击此处输入文字。</w:t>
          </w:r>
        </w:p>
      </w:docPartBody>
    </w:docPart>
    <w:docPart>
      <w:docPartPr>
        <w:name w:val="{cc8199e3-34f8-4e05-9c86-2fd89b13edce}"/>
        <w:style w:val=""/>
        <w:category>
          <w:name w:val="常规"/>
          <w:gallery w:val="placeholder"/>
        </w:category>
        <w:types>
          <w:type w:val="bbPlcHdr"/>
        </w:types>
        <w:behaviors>
          <w:behavior w:val="content"/>
        </w:behaviors>
        <w:description w:val=""/>
        <w:guid w:val="{cc8199e3-34f8-4e05-9c86-2fd89b13edce}"/>
      </w:docPartPr>
      <w:docPartBody>
        <w:p>
          <w:r>
            <w:rPr>
              <w:color w:val="808080"/>
            </w:rPr>
            <w:t>单击此处输入文字。</w:t>
          </w:r>
        </w:p>
      </w:docPartBody>
    </w:docPart>
    <w:docPart>
      <w:docPartPr>
        <w:name w:val="{df6744e1-fec5-4237-9dec-bc425ee1f326}"/>
        <w:style w:val=""/>
        <w:category>
          <w:name w:val="常规"/>
          <w:gallery w:val="placeholder"/>
        </w:category>
        <w:types>
          <w:type w:val="bbPlcHdr"/>
        </w:types>
        <w:behaviors>
          <w:behavior w:val="content"/>
        </w:behaviors>
        <w:description w:val=""/>
        <w:guid w:val="{df6744e1-fec5-4237-9dec-bc425ee1f326}"/>
      </w:docPartPr>
      <w:docPartBody>
        <w:p>
          <w:r>
            <w:rPr>
              <w:color w:val="808080"/>
            </w:rPr>
            <w:t>单击此处输入文字。</w:t>
          </w:r>
        </w:p>
      </w:docPartBody>
    </w:docPart>
    <w:docPart>
      <w:docPartPr>
        <w:name w:val="{84b1ffa7-43c5-421d-9c82-6de592da0261}"/>
        <w:style w:val=""/>
        <w:category>
          <w:name w:val="常规"/>
          <w:gallery w:val="placeholder"/>
        </w:category>
        <w:types>
          <w:type w:val="bbPlcHdr"/>
        </w:types>
        <w:behaviors>
          <w:behavior w:val="content"/>
        </w:behaviors>
        <w:description w:val=""/>
        <w:guid w:val="{84b1ffa7-43c5-421d-9c82-6de592da0261}"/>
      </w:docPartPr>
      <w:docPartBody>
        <w:p>
          <w:r>
            <w:rPr>
              <w:color w:val="808080"/>
            </w:rPr>
            <w:t>单击此处输入文字。</w:t>
          </w:r>
        </w:p>
      </w:docPartBody>
    </w:docPart>
    <w:docPart>
      <w:docPartPr>
        <w:name w:val="{b0a59711-3177-4b81-9a4f-d19e8f4483b8}"/>
        <w:style w:val=""/>
        <w:category>
          <w:name w:val="常规"/>
          <w:gallery w:val="placeholder"/>
        </w:category>
        <w:types>
          <w:type w:val="bbPlcHdr"/>
        </w:types>
        <w:behaviors>
          <w:behavior w:val="content"/>
        </w:behaviors>
        <w:description w:val=""/>
        <w:guid w:val="{b0a59711-3177-4b81-9a4f-d19e8f4483b8}"/>
      </w:docPartPr>
      <w:docPartBody>
        <w:p>
          <w:r>
            <w:rPr>
              <w:color w:val="808080"/>
            </w:rPr>
            <w:t>单击此处输入文字。</w:t>
          </w:r>
        </w:p>
      </w:docPartBody>
    </w:docPart>
    <w:docPart>
      <w:docPartPr>
        <w:name w:val="{b9ccd878-038d-4482-b5b5-0fd5327cb495}"/>
        <w:style w:val=""/>
        <w:category>
          <w:name w:val="常规"/>
          <w:gallery w:val="placeholder"/>
        </w:category>
        <w:types>
          <w:type w:val="bbPlcHdr"/>
        </w:types>
        <w:behaviors>
          <w:behavior w:val="content"/>
        </w:behaviors>
        <w:description w:val=""/>
        <w:guid w:val="{b9ccd878-038d-4482-b5b5-0fd5327cb495}"/>
      </w:docPartPr>
      <w:docPartBody>
        <w:p>
          <w:r>
            <w:rPr>
              <w:color w:val="808080"/>
            </w:rPr>
            <w:t>单击此处输入文字。</w:t>
          </w:r>
        </w:p>
      </w:docPartBody>
    </w:docPart>
    <w:docPart>
      <w:docPartPr>
        <w:name w:val="{dba845e8-e2a5-469f-8e6f-282882ef8bb9}"/>
        <w:style w:val=""/>
        <w:category>
          <w:name w:val="常规"/>
          <w:gallery w:val="placeholder"/>
        </w:category>
        <w:types>
          <w:type w:val="bbPlcHdr"/>
        </w:types>
        <w:behaviors>
          <w:behavior w:val="content"/>
        </w:behaviors>
        <w:description w:val=""/>
        <w:guid w:val="{dba845e8-e2a5-469f-8e6f-282882ef8bb9}"/>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3</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2025-09-08T09:38:31Z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717246451CC047E1942D423F400836A9</vt:lpwstr>
  </property>
  <property fmtid="{D5CDD505-2E9C-101B-9397-08002B2CF9AE}" pid="4" name="KSOSaveFontToCloudKey">
    <vt:lpwstr>229835342_cloud</vt:lpwstr>
  </property>
</Properties>
</file>