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实验室公证检验</w:t>
      </w:r>
      <w:r>
        <w:rPr>
          <w:rFonts w:hint="eastAsia" w:ascii="方正小标宋简体" w:hAnsi="方正小标宋简体" w:eastAsia="方正小标宋简体" w:cs="方正小标宋简体"/>
          <w:kern w:val="0"/>
          <w:sz w:val="44"/>
          <w:szCs w:val="44"/>
        </w:rPr>
        <w:t>项目支出绩效评价报告</w:t>
      </w:r>
    </w:p>
    <w:p>
      <w:pPr>
        <w:spacing w:line="540" w:lineRule="exact"/>
        <w:jc w:val="center"/>
        <w:rPr>
          <w:rFonts w:hint="eastAsia" w:ascii="方正小标宋简体" w:hAnsi="方正小标宋简体" w:eastAsia="方正小标宋简体" w:cs="方正小标宋简体"/>
          <w:b/>
          <w:kern w:val="0"/>
          <w:sz w:val="44"/>
          <w:szCs w:val="44"/>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实验室公证检验</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塔城地区纤维检验所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塔城地区市场监督管理局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李金伟</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7</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0"/>
          <w:rFonts w:ascii="黑体" w:hAnsi="黑体" w:eastAsia="黑体"/>
          <w:b w:val="0"/>
          <w:spacing w:val="-4"/>
          <w:sz w:val="32"/>
          <w:szCs w:val="32"/>
        </w:rPr>
      </w:pPr>
    </w:p>
    <w:p>
      <w:pPr>
        <w:spacing w:line="540" w:lineRule="exact"/>
        <w:ind w:firstLine="640"/>
        <w:rPr>
          <w:rStyle w:val="20"/>
          <w:rFonts w:ascii="黑体" w:hAnsi="黑体" w:eastAsia="黑体"/>
          <w:b w:val="0"/>
          <w:spacing w:val="-4"/>
          <w:sz w:val="32"/>
          <w:szCs w:val="32"/>
        </w:rPr>
      </w:pPr>
    </w:p>
    <w:p>
      <w:pPr>
        <w:spacing w:line="600" w:lineRule="exact"/>
        <w:jc w:val="both"/>
        <w:rPr>
          <w:rFonts w:hint="eastAsia" w:ascii="黑体" w:hAnsi="黑体" w:eastAsia="黑体" w:cs="黑体"/>
          <w:bCs/>
          <w:sz w:val="32"/>
          <w:szCs w:val="32"/>
          <w:lang w:val="en-US" w:eastAsia="zh-CN"/>
        </w:rPr>
      </w:pPr>
    </w:p>
    <w:p>
      <w:pPr>
        <w:spacing w:line="600" w:lineRule="exact"/>
        <w:ind w:firstLine="3520" w:firstLineChars="1100"/>
        <w:jc w:val="both"/>
        <w:rPr>
          <w:rFonts w:hint="eastAsia" w:ascii="黑体" w:hAnsi="黑体" w:eastAsia="黑体" w:cs="黑体"/>
          <w:bCs/>
          <w:sz w:val="32"/>
          <w:szCs w:val="32"/>
          <w:lang w:val="en-US" w:eastAsia="zh-CN"/>
        </w:rPr>
      </w:pPr>
    </w:p>
    <w:p>
      <w:pPr>
        <w:spacing w:line="600" w:lineRule="exact"/>
        <w:ind w:firstLine="3520" w:firstLineChars="1100"/>
        <w:jc w:val="both"/>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目  录</w:t>
      </w:r>
    </w:p>
    <w:p>
      <w:pPr>
        <w:ind w:firstLine="480" w:firstLineChars="200"/>
        <w:jc w:val="left"/>
        <w:rPr>
          <w:rFonts w:hint="default" w:ascii="黑体" w:hAnsi="黑体" w:eastAsia="黑体" w:cs="黑体"/>
          <w:kern w:val="0"/>
          <w:sz w:val="21"/>
          <w:szCs w:val="21"/>
          <w:lang w:val="en-US" w:eastAsia="zh-CN"/>
        </w:rPr>
      </w:pPr>
      <w:r>
        <w:rPr>
          <w:rFonts w:hint="eastAsia" w:ascii="黑体" w:hAnsi="黑体" w:eastAsia="黑体" w:cs="黑体"/>
          <w:kern w:val="0"/>
          <w:sz w:val="24"/>
          <w:szCs w:val="24"/>
          <w:lang w:val="en-US" w:eastAsia="zh-CN"/>
        </w:rPr>
        <w:t>一、基本情况</w:t>
      </w:r>
      <w:r>
        <w:rPr>
          <w:rFonts w:hint="eastAsia" w:ascii="黑体" w:hAnsi="黑体" w:eastAsia="黑体" w:cs="黑体"/>
          <w:kern w:val="0"/>
          <w:sz w:val="21"/>
          <w:szCs w:val="21"/>
          <w:lang w:val="en-US" w:eastAsia="zh-CN"/>
        </w:rPr>
        <w:t xml:space="preserve">                                                          3</w:t>
      </w:r>
    </w:p>
    <w:p>
      <w:pPr>
        <w:ind w:firstLine="420" w:firstLineChars="2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（一）项目概况                                                              3</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1.项目背景                                                                3</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2.项目主要内容及实施情况                                                  4</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3.资金投入和使用情况                                                      5</w:t>
      </w:r>
    </w:p>
    <w:p>
      <w:pPr>
        <w:ind w:firstLine="420" w:firstLineChars="2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（二）项目绩效目标                                                          5</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1.总体目标                                                                5</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2.阶段性目标                                                              5</w:t>
      </w:r>
    </w:p>
    <w:p>
      <w:pPr>
        <w:ind w:firstLine="480" w:firstLineChars="200"/>
        <w:jc w:val="left"/>
        <w:rPr>
          <w:rFonts w:hint="eastAsia" w:ascii="黑体" w:hAnsi="黑体" w:eastAsia="黑体" w:cs="黑体"/>
          <w:kern w:val="0"/>
          <w:sz w:val="24"/>
          <w:szCs w:val="24"/>
          <w:lang w:val="en-US" w:eastAsia="zh-CN"/>
        </w:rPr>
      </w:pPr>
      <w:r>
        <w:rPr>
          <w:rFonts w:hint="eastAsia" w:ascii="黑体" w:hAnsi="黑体" w:eastAsia="黑体" w:cs="黑体"/>
          <w:kern w:val="0"/>
          <w:sz w:val="24"/>
          <w:szCs w:val="24"/>
          <w:lang w:val="en-US" w:eastAsia="zh-CN"/>
        </w:rPr>
        <w:t>二、绩效评价工作开展情况</w:t>
      </w:r>
    </w:p>
    <w:p>
      <w:pPr>
        <w:ind w:firstLine="420" w:firstLineChars="2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（一）绩效评价目的、对象和范围                                              6</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1.绩效评价的目的                                                          6 </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2.绩效评价的对象                                                          6  </w:t>
      </w:r>
    </w:p>
    <w:p>
      <w:pPr>
        <w:ind w:firstLine="630" w:firstLineChars="3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 xml:space="preserve">3.绩效评价的范围                                                          6  </w:t>
      </w:r>
    </w:p>
    <w:p>
      <w:pPr>
        <w:ind w:firstLine="420" w:firstLineChars="200"/>
        <w:jc w:val="left"/>
        <w:rPr>
          <w:rFonts w:hint="eastAsia"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（二）绩效评价原则、评价指标体系（详情见表1）、评价方法、评价标准           7</w:t>
      </w:r>
    </w:p>
    <w:p>
      <w:pPr>
        <w:ind w:firstLine="630" w:firstLineChars="3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1、绩效评价原则                                                            7</w:t>
      </w:r>
    </w:p>
    <w:p>
      <w:pPr>
        <w:ind w:firstLine="630" w:firstLineChars="3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2、评价指标体系                                                            7</w:t>
      </w:r>
    </w:p>
    <w:p>
      <w:pPr>
        <w:ind w:firstLine="630" w:firstLineChars="3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3、绩效评价方法                                                            8</w:t>
      </w:r>
    </w:p>
    <w:p>
      <w:pPr>
        <w:ind w:firstLine="480" w:firstLineChars="200"/>
        <w:jc w:val="left"/>
        <w:rPr>
          <w:rFonts w:hint="default" w:ascii="黑体" w:hAnsi="黑体" w:eastAsia="黑体" w:cs="黑体"/>
          <w:kern w:val="0"/>
          <w:sz w:val="24"/>
          <w:szCs w:val="24"/>
          <w:lang w:val="en-US" w:eastAsia="zh-CN"/>
        </w:rPr>
      </w:pPr>
      <w:r>
        <w:rPr>
          <w:rFonts w:hint="eastAsia" w:ascii="黑体" w:hAnsi="黑体" w:eastAsia="黑体" w:cs="黑体"/>
          <w:kern w:val="0"/>
          <w:sz w:val="24"/>
          <w:szCs w:val="24"/>
          <w:lang w:val="en-US" w:eastAsia="zh-CN"/>
        </w:rPr>
        <w:t>三、综合评价情况及评价结论（附相关评分表）                         9</w:t>
      </w:r>
    </w:p>
    <w:p>
      <w:pPr>
        <w:ind w:firstLine="480" w:firstLineChars="200"/>
        <w:jc w:val="left"/>
        <w:rPr>
          <w:rFonts w:hint="default" w:ascii="黑体" w:hAnsi="黑体" w:eastAsia="黑体" w:cs="黑体"/>
          <w:kern w:val="0"/>
          <w:sz w:val="24"/>
          <w:szCs w:val="24"/>
          <w:lang w:val="en-US" w:eastAsia="zh-CN"/>
        </w:rPr>
      </w:pPr>
      <w:r>
        <w:rPr>
          <w:rFonts w:hint="eastAsia" w:ascii="黑体" w:hAnsi="黑体" w:eastAsia="黑体" w:cs="黑体"/>
          <w:kern w:val="0"/>
          <w:sz w:val="24"/>
          <w:szCs w:val="24"/>
          <w:lang w:val="en-US" w:eastAsia="zh-CN"/>
        </w:rPr>
        <w:t>四、绩效评价指标分析                                              10</w:t>
      </w:r>
    </w:p>
    <w:p>
      <w:pPr>
        <w:ind w:firstLine="420" w:firstLineChars="2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（一）项目决策情况                                                          10</w:t>
      </w:r>
    </w:p>
    <w:p>
      <w:pPr>
        <w:ind w:firstLine="420" w:firstLineChars="2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（二）项目过程情况                                                          11</w:t>
      </w:r>
    </w:p>
    <w:p>
      <w:pPr>
        <w:ind w:firstLine="420" w:firstLineChars="2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（三）项目产出                                                              12</w:t>
      </w:r>
    </w:p>
    <w:p>
      <w:pPr>
        <w:ind w:firstLine="420" w:firstLineChars="2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（四）效益情况                                                              12</w:t>
      </w:r>
    </w:p>
    <w:p>
      <w:pPr>
        <w:ind w:firstLine="480" w:firstLineChars="200"/>
        <w:jc w:val="left"/>
        <w:rPr>
          <w:rFonts w:hint="default" w:ascii="黑体" w:hAnsi="黑体" w:eastAsia="黑体" w:cs="黑体"/>
          <w:kern w:val="0"/>
          <w:sz w:val="24"/>
          <w:szCs w:val="24"/>
          <w:lang w:val="en-US" w:eastAsia="zh-CN"/>
        </w:rPr>
      </w:pPr>
      <w:r>
        <w:rPr>
          <w:rFonts w:hint="eastAsia" w:ascii="黑体" w:hAnsi="黑体" w:eastAsia="黑体" w:cs="黑体"/>
          <w:kern w:val="0"/>
          <w:sz w:val="24"/>
          <w:szCs w:val="24"/>
          <w:lang w:val="en-US" w:eastAsia="zh-CN"/>
        </w:rPr>
        <w:t>五、主要经验及做法、存在的问题及原因分析                          13</w:t>
      </w:r>
    </w:p>
    <w:p>
      <w:pPr>
        <w:ind w:firstLine="420" w:firstLineChars="2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（一）主要经验及做法                                                        13</w:t>
      </w:r>
    </w:p>
    <w:p>
      <w:pPr>
        <w:ind w:firstLine="420" w:firstLineChars="2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（二）存在的问题及原因分析                                                  13</w:t>
      </w:r>
    </w:p>
    <w:p>
      <w:pPr>
        <w:ind w:firstLine="630" w:firstLineChars="3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1.存在的问题                                                             13</w:t>
      </w:r>
    </w:p>
    <w:p>
      <w:pPr>
        <w:ind w:firstLine="630" w:firstLineChars="300"/>
        <w:jc w:val="left"/>
        <w:rPr>
          <w:rFonts w:hint="default" w:ascii="黑体" w:hAnsi="黑体" w:eastAsia="黑体" w:cs="黑体"/>
          <w:kern w:val="0"/>
          <w:sz w:val="21"/>
          <w:szCs w:val="21"/>
          <w:lang w:val="en-US" w:eastAsia="zh-CN"/>
        </w:rPr>
      </w:pPr>
      <w:r>
        <w:rPr>
          <w:rFonts w:hint="eastAsia" w:ascii="黑体" w:hAnsi="黑体" w:eastAsia="黑体" w:cs="黑体"/>
          <w:kern w:val="0"/>
          <w:sz w:val="21"/>
          <w:szCs w:val="21"/>
          <w:lang w:val="en-US" w:eastAsia="zh-CN"/>
        </w:rPr>
        <w:t>2.原因分析                                                               13</w:t>
      </w:r>
    </w:p>
    <w:p>
      <w:pPr>
        <w:ind w:firstLine="480" w:firstLineChars="200"/>
        <w:jc w:val="left"/>
        <w:rPr>
          <w:rFonts w:hint="default" w:ascii="黑体" w:hAnsi="黑体" w:eastAsia="黑体" w:cs="黑体"/>
          <w:kern w:val="0"/>
          <w:sz w:val="24"/>
          <w:szCs w:val="24"/>
          <w:lang w:val="en-US" w:eastAsia="zh-CN"/>
        </w:rPr>
      </w:pPr>
      <w:r>
        <w:rPr>
          <w:rFonts w:hint="eastAsia" w:ascii="黑体" w:hAnsi="黑体" w:eastAsia="黑体" w:cs="黑体"/>
          <w:kern w:val="0"/>
          <w:sz w:val="24"/>
          <w:szCs w:val="24"/>
          <w:lang w:val="en-US" w:eastAsia="zh-CN"/>
        </w:rPr>
        <w:t>六、有关建议                                                     13</w:t>
      </w:r>
    </w:p>
    <w:p>
      <w:pPr>
        <w:ind w:firstLine="480" w:firstLineChars="200"/>
        <w:jc w:val="left"/>
        <w:rPr>
          <w:rFonts w:hint="default" w:ascii="黑体" w:hAnsi="黑体" w:eastAsia="黑体" w:cs="黑体"/>
          <w:kern w:val="0"/>
          <w:sz w:val="24"/>
          <w:szCs w:val="24"/>
          <w:lang w:val="en-US" w:eastAsia="zh-CN"/>
        </w:rPr>
      </w:pPr>
      <w:r>
        <w:rPr>
          <w:rFonts w:hint="eastAsia" w:ascii="黑体" w:hAnsi="黑体" w:eastAsia="黑体" w:cs="黑体"/>
          <w:kern w:val="0"/>
          <w:sz w:val="24"/>
          <w:szCs w:val="24"/>
          <w:lang w:val="en-US" w:eastAsia="zh-CN"/>
        </w:rPr>
        <w:t>七、其他需要说明的问题                                           14</w:t>
      </w:r>
    </w:p>
    <w:p>
      <w:pPr>
        <w:ind w:firstLine="420" w:firstLineChars="200"/>
        <w:jc w:val="left"/>
        <w:rPr>
          <w:rFonts w:hint="eastAsia" w:ascii="宋体" w:hAnsi="宋体" w:eastAsia="宋体" w:cs="宋体"/>
          <w:kern w:val="0"/>
          <w:sz w:val="21"/>
          <w:szCs w:val="21"/>
          <w:lang w:val="en-US" w:eastAsia="zh-CN"/>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spacing w:line="600" w:lineRule="exact"/>
        <w:rPr>
          <w:rFonts w:hint="eastAsia" w:ascii="黑体" w:hAnsi="黑体" w:eastAsia="黑体" w:cs="黑体"/>
          <w:bCs/>
          <w:sz w:val="32"/>
          <w:szCs w:val="32"/>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（1）项目实施的政策背景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塔城地区纤维检验所（中国</w:t>
      </w:r>
      <w:bookmarkStart w:id="2" w:name="_GoBack"/>
      <w:bookmarkEnd w:id="2"/>
      <w:r>
        <w:rPr>
          <w:rFonts w:hint="eastAsia" w:ascii="仿宋_GB2312" w:hAnsi="仿宋_GB2312" w:eastAsia="仿宋_GB2312" w:cs="仿宋_GB2312"/>
          <w:kern w:val="0"/>
          <w:sz w:val="32"/>
          <w:szCs w:val="32"/>
          <w:lang w:val="en-US" w:eastAsia="zh-CN"/>
        </w:rPr>
        <w:t>纤维仪器化公证检验乌苏实验室）于2015年新建搬迁至乌苏市常州路53号,资产总投资6000多万元,其中专业检验设备固定资产4000余万元，主要承担塔城地区辖区五县二市纤维加工企业的纤维仪器化公证检验任务，对辖区内的纤维质量、数量进行检验并出具纤维公证检验证书，在检验过程中严格执行纤维仪器化公证检验的国家标准及其检验规程、技术规范和实验室管理制度等。纤维公证检验经费实行据实结算，由中央财政依据《国家纤维等纤维公证检验经费管理暂行办法》的通知【财行（2019）276号】的规定核算各地专业纤维检验上一纤维年度（9月1日至次年8月31日）承担的纤维公证检验任务量，以及上一纤维年度工作质量考核系数，再按年度据实分配下达地方财政。2020年结转2019年公检经费2151万元，因疫情等原因原定实验室培训、实验室升级改造等未按期完成，资金未使用，剩余604万元，结转下年使用。经费使用范围包括：基建、人工费、耗材费、水电供暖费、劳保费、电信邮资费、实验室及检验仪器设备配置及运输费、信息网络建设及运维费、仪器设备检定费、</w:t>
      </w:r>
      <w:r>
        <w:rPr>
          <w:rFonts w:hint="eastAsia" w:ascii="仿宋_GB2312" w:hAnsi="仿宋_GB2312" w:eastAsia="仿宋_GB2312" w:cs="仿宋_GB2312"/>
          <w:b w:val="0"/>
          <w:bCs w:val="0"/>
          <w:kern w:val="0"/>
          <w:sz w:val="32"/>
          <w:szCs w:val="32"/>
          <w:lang w:val="en-US" w:eastAsia="zh-CN"/>
        </w:rPr>
        <w:t>差旅费、培训费、标准校准样品费、样品运输费、业务管理以</w:t>
      </w:r>
      <w:r>
        <w:rPr>
          <w:rFonts w:hint="eastAsia" w:ascii="仿宋_GB2312" w:hAnsi="仿宋_GB2312" w:eastAsia="仿宋_GB2312" w:cs="仿宋_GB2312"/>
          <w:kern w:val="0"/>
          <w:sz w:val="32"/>
          <w:szCs w:val="32"/>
          <w:lang w:val="en-US" w:eastAsia="zh-CN"/>
        </w:rPr>
        <w:t>及其他直接用于公证检验方面的开支。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val="0"/>
          <w:bCs w:val="0"/>
          <w:kern w:val="0"/>
          <w:sz w:val="32"/>
          <w:szCs w:val="32"/>
          <w:lang w:val="en-US" w:eastAsia="zh-CN"/>
        </w:rPr>
        <w:t>（2）项目实施的历史概况</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随着我国纤维产业结构调整和国家种粮补贴及粮食最低收购价保护政策的实施,自2014年起启动纤维目标价格补贴试点。经国务院批准,国家发展改革委、财政部联合颁布《关于印发纤维目标价格改革试点方案的通知》(发改价格[2014]1524号),确定新疆作为棉农直补政策的唯一试点区域,同时停止已连续实行三年的纤维临时收儲政策。由于家调整了纤维补贴政策,内地纤维种植面积和产量呈逐年递减趋势,而新疆作为我国纤维主产区,种植面积及产量占我国纤维总量的80%以上,因此,纤维仪器化公证检验工作随之做了相应调整,对纤维检验实施仓储重量检验和仪器化品质检验。各地纤维检验机构作为承担国家第三方纤维仪器化公证品质检验的承检机构,是这项改革的重要执行者。</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2、项目主要内容及实施情况</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项目主要内容：</w:t>
      </w:r>
      <w:r>
        <w:rPr>
          <w:rFonts w:hint="default" w:ascii="仿宋_GB2312" w:hAnsi="仿宋_GB2312" w:eastAsia="仿宋_GB2312" w:cs="仿宋_GB2312"/>
          <w:kern w:val="0"/>
          <w:sz w:val="32"/>
          <w:szCs w:val="32"/>
          <w:highlight w:val="none"/>
          <w:lang w:val="en-US" w:eastAsia="zh-CN"/>
        </w:rPr>
        <w:t>塔城地区纤维检验所乌苏实验室2020年承担的</w:t>
      </w:r>
      <w:r>
        <w:rPr>
          <w:rFonts w:hint="eastAsia" w:ascii="仿宋_GB2312" w:hAnsi="仿宋_GB2312" w:eastAsia="仿宋_GB2312" w:cs="仿宋_GB2312"/>
          <w:kern w:val="0"/>
          <w:sz w:val="32"/>
          <w:szCs w:val="32"/>
          <w:highlight w:val="none"/>
          <w:lang w:val="en-US" w:eastAsia="zh-CN"/>
        </w:rPr>
        <w:t>纤维</w:t>
      </w:r>
      <w:r>
        <w:rPr>
          <w:rFonts w:hint="default" w:ascii="仿宋_GB2312" w:hAnsi="仿宋_GB2312" w:eastAsia="仿宋_GB2312" w:cs="仿宋_GB2312"/>
          <w:kern w:val="0"/>
          <w:sz w:val="32"/>
          <w:szCs w:val="32"/>
          <w:highlight w:val="none"/>
          <w:lang w:val="en-US" w:eastAsia="zh-CN"/>
        </w:rPr>
        <w:t>公证检验任务，覆盖塔城辖区所有技改企业，预计完成45万吨</w:t>
      </w:r>
      <w:r>
        <w:rPr>
          <w:rFonts w:hint="eastAsia" w:ascii="仿宋_GB2312" w:hAnsi="仿宋_GB2312" w:eastAsia="仿宋_GB2312" w:cs="仿宋_GB2312"/>
          <w:kern w:val="0"/>
          <w:sz w:val="32"/>
          <w:szCs w:val="32"/>
          <w:highlight w:val="none"/>
          <w:lang w:val="en-US" w:eastAsia="zh-CN"/>
        </w:rPr>
        <w:t>纤维</w:t>
      </w:r>
      <w:r>
        <w:rPr>
          <w:rFonts w:hint="default" w:ascii="仿宋_GB2312" w:hAnsi="仿宋_GB2312" w:eastAsia="仿宋_GB2312" w:cs="仿宋_GB2312"/>
          <w:kern w:val="0"/>
          <w:sz w:val="32"/>
          <w:szCs w:val="32"/>
          <w:highlight w:val="none"/>
          <w:lang w:val="en-US" w:eastAsia="zh-CN"/>
        </w:rPr>
        <w:t>检验量。</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本项目总投资2437.73万元，其中：财政本级资金0万元。项目实际支出1905.82万元， 支出率为78.18%。</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3、资金投入和使用情况</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（1）资金安排</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总投资2437.73万元，按照《国家纤维公证检验专项经费管理暂行办法》及单位财务制度等相关规定，资金支出符合公检经费专项资金费用范围，做到了专款专用。在项目资金拨付和使用过程中，为确保项目资金的安全性，提高项目资金使用效率，严格遵循公检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（2）预算资金来源及使用情况</w:t>
      </w:r>
      <w:bookmarkStart w:id="0" w:name="page10"/>
      <w:bookmarkEnd w:id="0"/>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项目预算资金来源于塔地财行（2020）2文件中批复的资金，项目资金到位2437.73万元，用于支付项目实施进程中的各项费用。</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（二）项目绩效目标</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1、总体目标</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塔城地区纤维检验所乌苏实验室2020年承担的</w:t>
      </w:r>
      <w:r>
        <w:rPr>
          <w:rFonts w:hint="eastAsia" w:ascii="仿宋_GB2312" w:hAnsi="仿宋_GB2312" w:eastAsia="仿宋_GB2312" w:cs="仿宋_GB2312"/>
          <w:kern w:val="0"/>
          <w:sz w:val="32"/>
          <w:szCs w:val="32"/>
          <w:lang w:val="en-US" w:eastAsia="zh-CN"/>
        </w:rPr>
        <w:t>纤维</w:t>
      </w:r>
      <w:r>
        <w:rPr>
          <w:rFonts w:hint="default" w:ascii="仿宋_GB2312" w:hAnsi="仿宋_GB2312" w:eastAsia="仿宋_GB2312" w:cs="仿宋_GB2312"/>
          <w:kern w:val="0"/>
          <w:sz w:val="32"/>
          <w:szCs w:val="32"/>
          <w:lang w:val="en-US" w:eastAsia="zh-CN"/>
        </w:rPr>
        <w:t>公证检验任务，覆盖塔城辖区所有技改企业，预计完成45万吨</w:t>
      </w:r>
      <w:r>
        <w:rPr>
          <w:rFonts w:hint="eastAsia" w:ascii="仿宋_GB2312" w:hAnsi="仿宋_GB2312" w:eastAsia="仿宋_GB2312" w:cs="仿宋_GB2312"/>
          <w:kern w:val="0"/>
          <w:sz w:val="32"/>
          <w:szCs w:val="32"/>
          <w:lang w:val="en-US" w:eastAsia="zh-CN"/>
        </w:rPr>
        <w:t>纤维</w:t>
      </w:r>
      <w:r>
        <w:rPr>
          <w:rFonts w:hint="default" w:ascii="仿宋_GB2312" w:hAnsi="仿宋_GB2312" w:eastAsia="仿宋_GB2312" w:cs="仿宋_GB2312"/>
          <w:kern w:val="0"/>
          <w:sz w:val="32"/>
          <w:szCs w:val="32"/>
          <w:lang w:val="en-US" w:eastAsia="zh-CN"/>
        </w:rPr>
        <w:t>检验量。</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2、阶段性目标</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（1）前期准备：根据《公检经费使用方案》，通过制定项目实施方案，经项目负责人审核通过后，有序开展后续工程。</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（2）组织实施：资金一到位，立即根据项目要求实施项目。项目责任人按照《公检经费使用方案》要求逐一进行项目部署安排，提高项目质量及效率性。</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二、绩效评价工作开展情况</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（一）绩效评价目的、对象和范围</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1、绩效评价的目的</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综合来看，通过开展有效的财政支出绩效评价管理，达到改进预算管理、控制节约成本，提高预算资金使用效益的目的。</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2、绩效评价的对象和范围</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塔城地区纤维检验所乌苏实验室2020年承担的</w:t>
      </w:r>
      <w:r>
        <w:rPr>
          <w:rFonts w:hint="eastAsia" w:ascii="仿宋_GB2312" w:hAnsi="仿宋_GB2312" w:eastAsia="仿宋_GB2312" w:cs="仿宋_GB2312"/>
          <w:kern w:val="0"/>
          <w:sz w:val="32"/>
          <w:szCs w:val="32"/>
          <w:lang w:val="en-US" w:eastAsia="zh-CN"/>
        </w:rPr>
        <w:t>纤维</w:t>
      </w:r>
      <w:r>
        <w:rPr>
          <w:rFonts w:hint="default" w:ascii="仿宋_GB2312" w:hAnsi="仿宋_GB2312" w:eastAsia="仿宋_GB2312" w:cs="仿宋_GB2312"/>
          <w:kern w:val="0"/>
          <w:sz w:val="32"/>
          <w:szCs w:val="32"/>
          <w:lang w:val="en-US" w:eastAsia="zh-CN"/>
        </w:rPr>
        <w:t>公证检验任务</w:t>
      </w:r>
      <w:r>
        <w:rPr>
          <w:rFonts w:hint="eastAsia" w:ascii="仿宋_GB2312" w:hAnsi="仿宋_GB2312" w:eastAsia="仿宋_GB2312" w:cs="仿宋_GB2312"/>
          <w:kern w:val="0"/>
          <w:sz w:val="32"/>
          <w:szCs w:val="32"/>
          <w:lang w:val="en-US" w:eastAsia="zh-CN"/>
        </w:rPr>
        <w:t>。</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（二）绩效评价原则、评价指标体系（详情见表1）、评价方法、评价标准。</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highlight w:val="none"/>
          <w:lang w:val="en-US" w:eastAsia="zh-CN"/>
        </w:rPr>
      </w:pPr>
      <w:r>
        <w:rPr>
          <w:rFonts w:hint="eastAsia" w:ascii="仿宋_GB2312" w:hAnsi="仿宋_GB2312" w:eastAsia="仿宋_GB2312" w:cs="仿宋_GB2312"/>
          <w:b/>
          <w:bCs/>
          <w:kern w:val="0"/>
          <w:sz w:val="32"/>
          <w:szCs w:val="32"/>
          <w:highlight w:val="none"/>
          <w:lang w:val="en-US" w:eastAsia="zh-CN"/>
        </w:rPr>
        <w:t>1、绩效评价原则</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本次项目绩效评价遵循以下基本原则：</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highlight w:val="none"/>
          <w:lang w:val="en-US" w:eastAsia="zh-CN"/>
        </w:rPr>
        <w:t>（2）统筹兼顾。单位自评</w:t>
      </w:r>
      <w:r>
        <w:rPr>
          <w:rFonts w:hint="eastAsia" w:ascii="仿宋_GB2312" w:hAnsi="仿宋_GB2312" w:eastAsia="仿宋_GB2312" w:cs="仿宋_GB2312"/>
          <w:kern w:val="0"/>
          <w:sz w:val="32"/>
          <w:szCs w:val="32"/>
          <w:lang w:val="en-US" w:eastAsia="zh-CN"/>
        </w:rPr>
        <w:t>、部门评价和财政评价应职责明确，各有侧重，相互衔接。单位自评应由项目单位自主实施，即“谁支出、谁自评”。部门评价和财政评价应在单位自评的基础上开展。</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（4）公开透明。绩效评价结果应依法依规公开，并自觉接受社会监督。</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2、评价指标体系</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（1）确定评价指标</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采用层次分析法，建立评价指标体系。绩效评价将指标分为项目决策、项目产出、项目效益、项目过程指标四个维度，最终形成一个由多个相互联系的指标组成的多层次指标体系。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（2）确定权重</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确定各个指标相对于项目总体绩效的权重分值。在绩效评价指标体系中，项目决策权重为5分，项目过程权重值占5分，项目产出权重值占50分，项目效益权重占40分。</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（3）确定指标标准值</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指标标准值是绩效评价指标的尺度，既要反映同类项目的先进水平，又要符合项目的实际绩效水平。具体采用计划标准等确定此次绩效评价指标标准值。</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具体评价指标体系详情见附件1</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lang w:val="en-US" w:eastAsia="zh-CN"/>
        </w:rPr>
        <w:t>3、绩效评价方法</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lang w:val="en-US" w:eastAsia="zh-CN"/>
        </w:rPr>
        <w:t>本次评价指标中，</w:t>
      </w:r>
      <w:r>
        <w:rPr>
          <w:rFonts w:hint="eastAsia" w:ascii="仿宋_GB2312" w:hAnsi="仿宋_GB2312" w:eastAsia="仿宋_GB2312" w:cs="仿宋_GB2312"/>
          <w:kern w:val="0"/>
          <w:sz w:val="32"/>
          <w:szCs w:val="32"/>
          <w:highlight w:val="none"/>
          <w:lang w:val="en-US" w:eastAsia="zh-CN"/>
        </w:rPr>
        <w:t>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（1）比较法</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通过对绩效目标与实施效果、历史与当期情况，综合分析绩效目标实现程度。对项目最终验收情况与年度绩效目标对比、预算资金执行情况等相关因素进行比较。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（2）因素分析法</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val="0"/>
          <w:bCs w:val="0"/>
          <w:highlight w:val="none"/>
          <w:lang w:val="en-US" w:eastAsia="zh-CN"/>
        </w:rPr>
      </w:pPr>
      <w:r>
        <w:rPr>
          <w:rFonts w:hint="eastAsia" w:ascii="仿宋_GB2312" w:hAnsi="仿宋_GB2312" w:eastAsia="仿宋_GB2312" w:cs="仿宋_GB2312"/>
          <w:b w:val="0"/>
          <w:bCs w:val="0"/>
          <w:highlight w:val="none"/>
          <w:lang w:val="en-US" w:eastAsia="zh-CN"/>
        </w:rPr>
        <w:t>4、评价标准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default" w:ascii="仿宋_GB2312" w:hAnsi="仿宋_GB2312" w:eastAsia="仿宋_GB2312" w:cs="仿宋_GB2312"/>
          <w:color w:val="000000"/>
          <w:spacing w:val="17"/>
          <w:sz w:val="32"/>
          <w:szCs w:val="32"/>
          <w:highlight w:val="none"/>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1"/>
        </w:numPr>
        <w:kinsoku/>
        <w:wordWrap/>
        <w:overflowPunct/>
        <w:topLinePunct w:val="0"/>
        <w:autoSpaceDE/>
        <w:autoSpaceDN/>
        <w:bidi w:val="0"/>
        <w:adjustRightInd/>
        <w:snapToGrid/>
        <w:spacing w:before="0" w:after="0" w:line="560" w:lineRule="atLeast"/>
        <w:jc w:val="both"/>
        <w:textAlignment w:val="auto"/>
        <w:rPr>
          <w:rFonts w:hint="eastAsia"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rPr>
          <w:rFonts w:hint="eastAsia"/>
          <w:highlight w:val="none"/>
          <w:lang w:val="en-US" w:eastAsia="zh-CN"/>
        </w:rPr>
      </w:pPr>
      <w:r>
        <w:rPr>
          <w:rFonts w:hint="eastAsia" w:ascii="仿宋_GB2312" w:hAnsi="仿宋_GB2312" w:eastAsia="仿宋_GB2312" w:cs="仿宋_GB2312"/>
          <w:color w:val="000000"/>
          <w:spacing w:val="17"/>
          <w:sz w:val="32"/>
          <w:szCs w:val="32"/>
          <w:highlight w:val="none"/>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b/>
          <w:bCs/>
          <w:kern w:val="0"/>
          <w:sz w:val="32"/>
          <w:szCs w:val="32"/>
          <w:lang w:val="en-US" w:eastAsia="zh-CN"/>
        </w:rPr>
        <w:t>三、综合评价情况及评价结论（附相关评分表）</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对实验室公证检验项目进行客观评价，最终评分结果：总得分为 95.9分，属于“优”。其中，项目决策类指标权重为5分，得分为5分，得分率为 100%。项目过程类指标权重为5分，得分为4.78分，得分率为 95.6%。项目产出类指标权重为50分，得分为46.53分，得分率为 93.06%。项目效益类指标权重为40分，得分为39.57分，得分率为 98.9%。表1综合评分表</w:t>
      </w:r>
    </w:p>
    <w:tbl>
      <w:tblPr>
        <w:tblStyle w:val="18"/>
        <w:tblpPr w:leftFromText="180" w:rightFromText="180" w:vertAnchor="text" w:horzAnchor="page" w:tblpX="1160" w:tblpY="82"/>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0.78</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78.18%</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w:t>
            </w:r>
            <w:r>
              <w:rPr>
                <w:rFonts w:hint="eastAsia" w:ascii="宋体" w:hAnsi="宋体" w:cs="宋体"/>
                <w:color w:val="000000"/>
                <w:kern w:val="0"/>
                <w:sz w:val="22"/>
                <w:szCs w:val="22"/>
                <w:lang w:val="en-US" w:eastAsia="zh-CN"/>
              </w:rPr>
              <w:t>45万吨</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59万吨</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w:t>
            </w:r>
            <w:r>
              <w:rPr>
                <w:rFonts w:hint="eastAsia" w:ascii="宋体" w:hAnsi="宋体" w:cs="宋体"/>
                <w:color w:val="000000"/>
                <w:kern w:val="0"/>
                <w:sz w:val="22"/>
                <w:szCs w:val="22"/>
                <w:lang w:val="en-US" w:eastAsia="zh-CN"/>
              </w:rPr>
              <w:t>95%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w:t>
            </w:r>
            <w:r>
              <w:rPr>
                <w:rFonts w:hint="eastAsia" w:ascii="宋体" w:hAnsi="宋体" w:cs="宋体"/>
                <w:color w:val="000000"/>
                <w:kern w:val="0"/>
                <w:sz w:val="22"/>
                <w:szCs w:val="22"/>
                <w:lang w:val="en-US" w:eastAsia="zh-CN"/>
              </w:rPr>
              <w:t>90%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w:t>
            </w:r>
            <w:r>
              <w:rPr>
                <w:rFonts w:hint="eastAsia" w:ascii="宋体" w:hAnsi="宋体" w:cs="宋体"/>
                <w:color w:val="000000"/>
                <w:kern w:val="0"/>
                <w:sz w:val="22"/>
                <w:szCs w:val="22"/>
                <w:lang w:val="en-US" w:eastAsia="zh-CN"/>
              </w:rPr>
              <w:t>680万元</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916万元</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65.3%</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6.53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》140人</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138</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98.57%</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29.57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w:t>
            </w:r>
            <w:r>
              <w:rPr>
                <w:rFonts w:hint="eastAsia" w:ascii="宋体" w:hAnsi="宋体" w:cs="宋体"/>
                <w:color w:val="000000"/>
                <w:kern w:val="0"/>
                <w:sz w:val="22"/>
                <w:szCs w:val="22"/>
                <w:lang w:val="en-US" w:eastAsia="zh-CN"/>
              </w:rPr>
              <w:t>95%</w:t>
            </w:r>
          </w:p>
        </w:tc>
        <w:tc>
          <w:tcPr>
            <w:tcW w:w="924" w:type="dxa"/>
            <w:shd w:val="clear" w:color="000000" w:fill="FFFFFF"/>
            <w:vAlign w:val="center"/>
          </w:tcPr>
          <w:p>
            <w:pPr>
              <w:pageBreakBefore w:val="0"/>
              <w:widowControl/>
              <w:tabs>
                <w:tab w:val="left" w:pos="221"/>
              </w:tabs>
              <w:kinsoku/>
              <w:wordWrap/>
              <w:overflowPunct/>
              <w:topLinePunct w:val="0"/>
              <w:autoSpaceDE/>
              <w:autoSpaceDN/>
              <w:bidi w:val="0"/>
              <w:adjustRightInd/>
              <w:snapToGrid/>
              <w:spacing w:line="560" w:lineRule="atLeast"/>
              <w:jc w:val="left"/>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eastAsia="zh-CN"/>
              </w:rPr>
              <w:tab/>
            </w:r>
            <w:r>
              <w:rPr>
                <w:rFonts w:hint="eastAsia" w:ascii="宋体" w:hAnsi="宋体" w:cs="宋体"/>
                <w:color w:val="000000"/>
                <w:kern w:val="0"/>
                <w:sz w:val="22"/>
                <w:szCs w:val="22"/>
                <w:lang w:val="en-US" w:eastAsia="zh-CN"/>
              </w:rPr>
              <w:t>100%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atLeast"/>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依据《国家纤维等纤维公证检验经费管理暂行办法》的通知【财行（2019）276号】及各级财政预算绩效管理相关制度, 结合本所纤维检验实际情况,制定年度项目预算和预期目标，确保纤维仪器化顺利检验，为企业及时提供检验报告，为他们在商品交易中提供数据支撑。2020年度中国纤维公证检验乌苏实验室承检塔城地区4个涉棉县（市）128家经自治区公示的纤维加工企业的皮棉检验，截止2020年12月31日检验纤维265.29万包、检验量59.28万吨，突破历史新高，资金使用做到专款专用。</w:t>
      </w:r>
    </w:p>
    <w:p>
      <w:pPr>
        <w:pageBreakBefore w:val="0"/>
        <w:numPr>
          <w:ilvl w:val="0"/>
          <w:numId w:val="2"/>
        </w:numPr>
        <w:kinsoku/>
        <w:wordWrap/>
        <w:overflowPunct/>
        <w:topLinePunct w:val="0"/>
        <w:autoSpaceDE/>
        <w:autoSpaceDN/>
        <w:bidi w:val="0"/>
        <w:adjustRightInd/>
        <w:snapToGrid/>
        <w:spacing w:line="560" w:lineRule="atLeas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项目过程情况</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纤维仪器化公证检验乌苏实验室整体建筑面积5300平米（一层），并且具备美国进口的世界先进检验设备纤维大容量快速测试仪（简称HVI）24台，拥有高精度恒温恒湿机组控制1800平米恒温恒湿实验区域确保实验室环境始终保持20℃±2℃,湿度65%±3%，实验室检验季节24小时三班连续运转，短期聘用人员138人左右，检验高峰期实验室每天完成24000只样品的检验，合计日检验纤维6000吨左右。</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lang w:val="en-US" w:eastAsia="zh-CN"/>
        </w:rPr>
      </w:pPr>
      <w:r>
        <w:rPr>
          <w:rFonts w:hint="eastAsia" w:ascii="仿宋_GB2312" w:hAnsi="仿宋_GB2312" w:eastAsia="仿宋_GB2312" w:cs="仿宋_GB2312"/>
          <w:kern w:val="0"/>
          <w:sz w:val="32"/>
          <w:szCs w:val="32"/>
          <w:lang w:val="en-US" w:eastAsia="zh-CN"/>
        </w:rPr>
        <w:t>每年在检验季节首先做好设备的检修维保配件储备试验标注物资采购和新购置设备的安装调试等工作，确保纤维检验硬件设施运行正常；其次加大人员培训力度提高检验业务水平和效率，同时在检验过程中加大监督机制质量控制检验流程的管理做到样品检验不积压检验数据时效性/使检验数量和检验质量齐头并进，坚决杜绝因样品检验滞后和工作质量下降上级部门扣减检验金费事件发生。</w:t>
      </w:r>
      <w:r>
        <w:rPr>
          <w:rFonts w:hint="eastAsia" w:ascii="仿宋_GB2312" w:hAnsi="仿宋_GB2312" w:eastAsia="仿宋_GB2312" w:cs="仿宋_GB2312"/>
          <w:kern w:val="0"/>
          <w:sz w:val="32"/>
          <w:szCs w:val="32"/>
          <w:lang w:val="en-US" w:eastAsia="zh-CN"/>
        </w:rPr>
        <w:tab/>
      </w:r>
    </w:p>
    <w:p>
      <w:pPr>
        <w:pStyle w:val="17"/>
        <w:pageBreakBefore w:val="0"/>
        <w:numPr>
          <w:ilvl w:val="0"/>
          <w:numId w:val="0"/>
        </w:numPr>
        <w:kinsoku/>
        <w:wordWrap/>
        <w:overflowPunct/>
        <w:topLinePunct w:val="0"/>
        <w:autoSpaceDE/>
        <w:autoSpaceDN/>
        <w:bidi w:val="0"/>
        <w:adjustRightInd/>
        <w:snapToGrid/>
        <w:spacing w:after="0" w:line="560" w:lineRule="atLeas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rPr>
        <w:t>项目产出</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数量指标方面：检验完成量，预期指标值为≥45万吨，实际完成值为59万吨，完成率为131%。</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设备购置台数，预期完成值≥2台，实际完成值为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3台，完成率为150%。</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临时聘用检验人员，预期完成值为≥140人，实际完成值为138人，完成率为98.6%。</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纤检管理软件，预期完成值=1套，实际完成值为1套，完成率为100%.</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质量指标：完成各项工作质量系</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，预期完成值为≥95%</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，实际完成值100%，完成率100%。</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设备验收合格率，预期完成值</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≥95%，实际完成值为100%</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，完成率为100%。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时效指标：资金支付及时率，预期完成值为≥90%，实际完成值为100%，完成率为100%。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检验任务完成率，预期完成值为100%</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，实际完成值为100%，完成率100%。</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成本指标：政府采购设备金额，预期完成值为≤680万元</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，实际完成值916万元，完成率为134.7%。</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楷体_GB2312" w:hAnsi="楷体_GB2312" w:eastAsia="楷体_GB2312" w:cs="楷体_GB2312"/>
          <w:b/>
          <w:bCs/>
          <w:sz w:val="32"/>
          <w:szCs w:val="32"/>
          <w:lang w:eastAsia="zh-CN"/>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实验室管理系统软件，预期完成值≤40万元，实际完成值为39.8万元</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，完成率为99.5%。</w:t>
      </w:r>
    </w:p>
    <w:p>
      <w:pPr>
        <w:pStyle w:val="17"/>
        <w:pageBreakBefore w:val="0"/>
        <w:numPr>
          <w:ilvl w:val="0"/>
          <w:numId w:val="0"/>
        </w:numPr>
        <w:kinsoku/>
        <w:wordWrap/>
        <w:overflowPunct/>
        <w:topLinePunct w:val="0"/>
        <w:autoSpaceDE/>
        <w:autoSpaceDN/>
        <w:bidi w:val="0"/>
        <w:adjustRightInd/>
        <w:snapToGrid/>
        <w:spacing w:after="0" w:line="560" w:lineRule="atLeas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四）项目</w:t>
      </w: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经济效益指标：周边群众增收，预期完成值为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≥5000元/月，实际完成值为5000，完成率100%。</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color w:val="000000" w:themeColor="text1"/>
          <w:kern w:val="0"/>
          <w:sz w:val="13"/>
          <w:szCs w:val="13"/>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社会效益指标方面：解决就业，预期完成值为</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≥140人，实际完成值为138人，完成率98.57%。</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可持续影响指标：</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ab/>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实现规范化管理，预期完成值为≥95%，实际完成值为95%，完成率为100%。</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服务对象满意度指标：轧花企业、棉农、用棉企业满意率，预期完成值为≥90%，实际完成值为100%，完成率100%。</w:t>
      </w:r>
    </w:p>
    <w:p>
      <w:pPr>
        <w:pageBreakBefore w:val="0"/>
        <w:kinsoku/>
        <w:wordWrap/>
        <w:overflowPunct/>
        <w:topLinePunct w:val="0"/>
        <w:autoSpaceDE/>
        <w:autoSpaceDN/>
        <w:bidi w:val="0"/>
        <w:adjustRightInd/>
        <w:snapToGrid/>
        <w:spacing w:line="560" w:lineRule="atLeast"/>
        <w:ind w:firstLine="641"/>
        <w:textAlignment w:val="auto"/>
        <w:rPr>
          <w:rStyle w:val="49"/>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3"/>
        </w:numPr>
        <w:kinsoku/>
        <w:wordWrap/>
        <w:overflowPunct/>
        <w:topLinePunct w:val="0"/>
        <w:autoSpaceDE/>
        <w:autoSpaceDN/>
        <w:bidi w:val="0"/>
        <w:adjustRightInd/>
        <w:snapToGrid/>
        <w:spacing w:line="560" w:lineRule="atLeast"/>
        <w:ind w:firstLine="641"/>
        <w:textAlignment w:val="auto"/>
        <w:rPr>
          <w:rFonts w:hint="eastAsia" w:ascii="仿宋_GB2312" w:eastAsia="仿宋_GB2312"/>
          <w:sz w:val="30"/>
          <w:szCs w:val="30"/>
          <w:lang w:eastAsia="zh-CN"/>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1.存在的问题</w:t>
      </w:r>
    </w:p>
    <w:p>
      <w:pPr>
        <w:pStyle w:val="2"/>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lang w:eastAsia="zh-CN"/>
        </w:rPr>
      </w:pPr>
      <w:r>
        <w:rPr>
          <w:rFonts w:hint="eastAsia" w:ascii="仿宋_GB2312" w:hAnsi="仿宋_GB2312" w:eastAsia="仿宋_GB2312" w:cs="仿宋_GB2312"/>
          <w:b w:val="0"/>
          <w:bCs w:val="0"/>
          <w:kern w:val="2"/>
        </w:rPr>
        <w:t>纤维检验所仪器化公检季节性很强，检验量逐年递增</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rPr>
        <w:t>检验季节劳务人员用工量大，设备维护和人员管理问题一直</w:t>
      </w:r>
      <w:r>
        <w:rPr>
          <w:rFonts w:hint="eastAsia" w:ascii="仿宋_GB2312" w:hAnsi="仿宋_GB2312" w:eastAsia="仿宋_GB2312" w:cs="仿宋_GB2312"/>
          <w:b w:val="0"/>
          <w:bCs w:val="0"/>
          <w:kern w:val="2"/>
          <w:lang w:val="en-US" w:eastAsia="zh-CN"/>
        </w:rPr>
        <w:t>都</w:t>
      </w:r>
      <w:r>
        <w:rPr>
          <w:rFonts w:hint="eastAsia" w:ascii="仿宋_GB2312" w:hAnsi="仿宋_GB2312" w:eastAsia="仿宋_GB2312" w:cs="仿宋_GB2312"/>
          <w:b w:val="0"/>
          <w:bCs w:val="0"/>
          <w:kern w:val="2"/>
        </w:rPr>
        <w:t>是</w:t>
      </w:r>
      <w:r>
        <w:rPr>
          <w:rFonts w:hint="eastAsia" w:ascii="仿宋_GB2312" w:hAnsi="仿宋_GB2312" w:eastAsia="仿宋_GB2312" w:cs="仿宋_GB2312"/>
          <w:b w:val="0"/>
          <w:bCs w:val="0"/>
          <w:kern w:val="2"/>
          <w:lang w:val="en-US" w:eastAsia="zh-CN"/>
        </w:rPr>
        <w:t>实</w:t>
      </w:r>
      <w:r>
        <w:rPr>
          <w:rFonts w:hint="eastAsia" w:ascii="仿宋_GB2312" w:hAnsi="仿宋_GB2312" w:eastAsia="仿宋_GB2312" w:cs="仿宋_GB2312"/>
          <w:b w:val="0"/>
          <w:bCs w:val="0"/>
          <w:kern w:val="2"/>
        </w:rPr>
        <w:t>验室最突出的问题</w:t>
      </w:r>
      <w:r>
        <w:rPr>
          <w:rFonts w:hint="eastAsia" w:ascii="仿宋_GB2312" w:hAnsi="仿宋_GB2312" w:eastAsia="仿宋_GB2312" w:cs="仿宋_GB2312"/>
          <w:b w:val="0"/>
          <w:bCs w:val="0"/>
          <w:kern w:val="2"/>
          <w:lang w:eastAsia="zh-CN"/>
        </w:rPr>
        <w:t>。</w:t>
      </w:r>
    </w:p>
    <w:p>
      <w:pPr>
        <w:pStyle w:val="2"/>
        <w:pageBreakBefore w:val="0"/>
        <w:kinsoku/>
        <w:wordWrap/>
        <w:overflowPunct/>
        <w:topLinePunct w:val="0"/>
        <w:autoSpaceDE/>
        <w:autoSpaceDN/>
        <w:bidi w:val="0"/>
        <w:adjustRightInd/>
        <w:snapToGrid/>
        <w:spacing w:before="0" w:after="0" w:line="560" w:lineRule="atLeas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lang w:val="en-US" w:eastAsia="zh-CN"/>
        </w:rPr>
        <w:t>2.</w:t>
      </w:r>
      <w:r>
        <w:rPr>
          <w:rFonts w:hint="eastAsia" w:ascii="仿宋_GB2312" w:hAnsi="仿宋_GB2312" w:eastAsia="仿宋_GB2312" w:cs="仿宋_GB2312"/>
          <w:b/>
          <w:bCs/>
          <w:kern w:val="2"/>
        </w:rPr>
        <w:t>原因分析</w:t>
      </w:r>
    </w:p>
    <w:p>
      <w:pPr>
        <w:pStyle w:val="2"/>
        <w:pageBreakBefore w:val="0"/>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lang w:val="en-US" w:eastAsia="zh-CN"/>
        </w:rPr>
        <w:t>2020</w:t>
      </w:r>
      <w:r>
        <w:rPr>
          <w:rFonts w:hint="eastAsia" w:ascii="仿宋_GB2312" w:hAnsi="仿宋_GB2312" w:eastAsia="仿宋_GB2312" w:cs="仿宋_GB2312"/>
          <w:b w:val="0"/>
          <w:bCs w:val="0"/>
          <w:kern w:val="2"/>
        </w:rPr>
        <w:t>自然年度公检量达到</w:t>
      </w:r>
      <w:r>
        <w:rPr>
          <w:rFonts w:hint="eastAsia" w:ascii="仿宋_GB2312" w:hAnsi="仿宋_GB2312" w:eastAsia="仿宋_GB2312" w:cs="仿宋_GB2312"/>
          <w:b w:val="0"/>
          <w:bCs w:val="0"/>
          <w:kern w:val="2"/>
          <w:lang w:val="en-US" w:eastAsia="zh-CN"/>
        </w:rPr>
        <w:t>59.3万多</w:t>
      </w:r>
      <w:r>
        <w:rPr>
          <w:rFonts w:hint="eastAsia" w:ascii="仿宋_GB2312" w:hAnsi="仿宋_GB2312" w:eastAsia="仿宋_GB2312" w:cs="仿宋_GB2312"/>
          <w:b w:val="0"/>
          <w:bCs w:val="0"/>
          <w:kern w:val="2"/>
        </w:rPr>
        <w:t>吨，工作量大</w:t>
      </w:r>
      <w:r>
        <w:rPr>
          <w:rFonts w:hint="eastAsia" w:ascii="仿宋_GB2312" w:hAnsi="仿宋_GB2312" w:eastAsia="仿宋_GB2312" w:cs="仿宋_GB2312"/>
          <w:b w:val="0"/>
          <w:bCs w:val="0"/>
          <w:kern w:val="2"/>
          <w:lang w:eastAsia="zh-CN"/>
        </w:rPr>
        <w:t>，</w:t>
      </w:r>
      <w:r>
        <w:rPr>
          <w:rFonts w:hint="eastAsia" w:ascii="仿宋_GB2312" w:hAnsi="仿宋_GB2312" w:eastAsia="仿宋_GB2312" w:cs="仿宋_GB2312"/>
          <w:b w:val="0"/>
          <w:bCs w:val="0"/>
          <w:kern w:val="2"/>
          <w:lang w:val="en-US" w:eastAsia="zh-CN"/>
        </w:rPr>
        <w:t>劳动</w:t>
      </w:r>
      <w:r>
        <w:rPr>
          <w:rFonts w:hint="eastAsia" w:ascii="仿宋_GB2312" w:hAnsi="仿宋_GB2312" w:eastAsia="仿宋_GB2312" w:cs="仿宋_GB2312"/>
          <w:b w:val="0"/>
          <w:bCs w:val="0"/>
          <w:kern w:val="2"/>
        </w:rPr>
        <w:t>强度大，</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eastAsia="黑体"/>
          <w:lang w:val="en-US" w:eastAsia="zh-CN"/>
        </w:rPr>
      </w:pPr>
      <w:r>
        <w:rPr>
          <w:rFonts w:hint="eastAsia" w:ascii="黑体" w:hAnsi="黑体" w:eastAsia="黑体"/>
          <w:sz w:val="32"/>
          <w:szCs w:val="32"/>
          <w:lang w:val="en-US" w:eastAsia="zh-CN"/>
        </w:rPr>
        <w:t>七、</w:t>
      </w: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eastAsia="黑体"/>
          <w:lang w:val="en-US" w:eastAsia="zh-CN"/>
        </w:rPr>
      </w:pPr>
      <w:r>
        <w:rPr>
          <w:rFonts w:hint="eastAsia" w:ascii="黑体" w:hAnsi="黑体" w:eastAsia="黑体"/>
          <w:sz w:val="32"/>
          <w:szCs w:val="32"/>
          <w:lang w:val="en-US" w:eastAsia="zh-CN"/>
        </w:rPr>
        <w:t>无</w:t>
      </w:r>
    </w:p>
    <w:p>
      <w:pPr>
        <w:pStyle w:val="2"/>
        <w:rPr>
          <w:rFonts w:hint="eastAsia" w:ascii="黑体" w:hAnsi="黑体" w:eastAsia="黑体"/>
          <w:sz w:val="32"/>
          <w:szCs w:val="32"/>
        </w:rPr>
      </w:pPr>
    </w:p>
    <w:p>
      <w:pPr>
        <w:rPr>
          <w:rFonts w:hint="eastAsia" w:ascii="黑体" w:hAnsi="黑体" w:eastAsia="黑体"/>
          <w:sz w:val="32"/>
          <w:szCs w:val="32"/>
        </w:rPr>
      </w:pPr>
    </w:p>
    <w:tbl>
      <w:tblPr>
        <w:tblStyle w:val="18"/>
        <w:tblW w:w="8989" w:type="dxa"/>
        <w:tblInd w:w="96" w:type="dxa"/>
        <w:shd w:val="clear" w:color="auto" w:fill="auto"/>
        <w:tblLayout w:type="fixed"/>
        <w:tblCellMar>
          <w:top w:w="0" w:type="dxa"/>
          <w:left w:w="108" w:type="dxa"/>
          <w:bottom w:w="0" w:type="dxa"/>
          <w:right w:w="108" w:type="dxa"/>
        </w:tblCellMar>
      </w:tblPr>
      <w:tblGrid>
        <w:gridCol w:w="679"/>
        <w:gridCol w:w="679"/>
        <w:gridCol w:w="370"/>
        <w:gridCol w:w="1200"/>
        <w:gridCol w:w="1005"/>
        <w:gridCol w:w="120"/>
        <w:gridCol w:w="1140"/>
        <w:gridCol w:w="1470"/>
        <w:gridCol w:w="2326"/>
      </w:tblGrid>
      <w:tr>
        <w:tblPrEx>
          <w:shd w:val="clear" w:color="auto" w:fill="auto"/>
          <w:tblCellMar>
            <w:top w:w="0" w:type="dxa"/>
            <w:left w:w="108" w:type="dxa"/>
            <w:bottom w:w="0" w:type="dxa"/>
            <w:right w:w="108" w:type="dxa"/>
          </w:tblCellMar>
        </w:tblPrEx>
        <w:trPr>
          <w:trHeight w:val="409" w:hRule="atLeast"/>
        </w:trPr>
        <w:tc>
          <w:tcPr>
            <w:tcW w:w="898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898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8989" w:type="dxa"/>
            <w:gridSpan w:val="9"/>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631" w:type="dxa"/>
            <w:gridSpan w:val="7"/>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实验室公证检验</w:t>
            </w:r>
          </w:p>
        </w:tc>
      </w:tr>
      <w:tr>
        <w:tblPrEx>
          <w:shd w:val="clear" w:color="auto" w:fill="auto"/>
          <w:tblCellMar>
            <w:top w:w="0" w:type="dxa"/>
            <w:left w:w="108" w:type="dxa"/>
            <w:bottom w:w="0" w:type="dxa"/>
            <w:right w:w="108" w:type="dxa"/>
          </w:tblCellMar>
        </w:tblPrEx>
        <w:trPr>
          <w:trHeight w:val="270"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835" w:type="dxa"/>
            <w:gridSpan w:val="5"/>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3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塔城地区纤维检验所</w:t>
            </w:r>
          </w:p>
        </w:tc>
      </w:tr>
      <w:tr>
        <w:tblPrEx>
          <w:shd w:val="clear" w:color="auto" w:fill="auto"/>
          <w:tblCellMar>
            <w:top w:w="0" w:type="dxa"/>
            <w:left w:w="108" w:type="dxa"/>
            <w:bottom w:w="0" w:type="dxa"/>
            <w:right w:w="108" w:type="dxa"/>
          </w:tblCellMar>
        </w:tblPrEx>
        <w:trPr>
          <w:trHeight w:val="392"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370" w:type="dxa"/>
            <w:tcBorders>
              <w:top w:val="nil"/>
              <w:left w:val="nil"/>
              <w:bottom w:val="nil"/>
              <w:right w:val="nil"/>
            </w:tcBorders>
            <w:shd w:val="clear" w:color="auto" w:fill="auto"/>
            <w:noWrap/>
            <w:vAlign w:val="bottom"/>
          </w:tcPr>
          <w:p>
            <w:pPr>
              <w:rPr>
                <w:rFonts w:hint="eastAsia" w:ascii="Arial" w:hAnsi="Arial" w:cs="Arial"/>
                <w:i w:val="0"/>
                <w:iCs w:val="0"/>
                <w:color w:val="000000"/>
                <w:sz w:val="20"/>
                <w:szCs w:val="20"/>
                <w:u w:val="none"/>
              </w:rPr>
            </w:pPr>
          </w:p>
        </w:tc>
        <w:tc>
          <w:tcPr>
            <w:tcW w:w="1200" w:type="dxa"/>
            <w:tcBorders>
              <w:top w:val="nil"/>
              <w:left w:val="nil"/>
              <w:bottom w:val="nil"/>
              <w:right w:val="single" w:color="auto" w:sz="4" w:space="0"/>
            </w:tcBorders>
            <w:shd w:val="clear" w:color="auto" w:fill="auto"/>
            <w:noWrap/>
            <w:vAlign w:val="bottom"/>
          </w:tcPr>
          <w:p>
            <w:pPr>
              <w:rPr>
                <w:rFonts w:hint="default" w:ascii="Arial" w:hAnsi="Arial" w:cs="Arial"/>
                <w:i w:val="0"/>
                <w:iCs w:val="0"/>
                <w:color w:val="000000"/>
                <w:sz w:val="20"/>
                <w:szCs w:val="20"/>
                <w:u w:val="none"/>
              </w:rPr>
            </w:pPr>
          </w:p>
        </w:tc>
        <w:tc>
          <w:tcPr>
            <w:tcW w:w="1005" w:type="dxa"/>
            <w:tcBorders>
              <w:top w:val="nil"/>
              <w:left w:val="single" w:color="auto" w:sz="4" w:space="0"/>
              <w:bottom w:val="nil"/>
              <w:right w:val="nil"/>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470" w:type="dxa"/>
            <w:tcBorders>
              <w:top w:val="single" w:color="auto"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326"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473"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2437.73</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2437.73</w:t>
            </w:r>
          </w:p>
        </w:tc>
        <w:tc>
          <w:tcPr>
            <w:tcW w:w="147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1905.82</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78.18%</w:t>
            </w:r>
          </w:p>
        </w:tc>
      </w:tr>
      <w:tr>
        <w:tblPrEx>
          <w:shd w:val="clear" w:color="auto" w:fill="auto"/>
          <w:tblCellMar>
            <w:top w:w="0" w:type="dxa"/>
            <w:left w:w="108" w:type="dxa"/>
            <w:bottom w:w="0" w:type="dxa"/>
            <w:right w:w="108" w:type="dxa"/>
          </w:tblCellMar>
        </w:tblPrEx>
        <w:trPr>
          <w:trHeight w:val="473"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2437.73</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2437.73</w:t>
            </w:r>
          </w:p>
        </w:tc>
        <w:tc>
          <w:tcPr>
            <w:tcW w:w="147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1905.82</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rPr>
                <w:rFonts w:hint="eastAsia" w:ascii="宋体" w:hAnsi="宋体" w:eastAsia="宋体" w:cs="宋体"/>
                <w:i w:val="0"/>
                <w:color w:val="000000"/>
                <w:kern w:val="0"/>
                <w:sz w:val="18"/>
                <w:szCs w:val="18"/>
                <w:u w:val="none"/>
                <w:lang w:val="en-US" w:eastAsia="zh-CN" w:bidi="ar"/>
              </w:rPr>
              <w:t>—</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47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3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2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470" w:type="dxa"/>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32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514"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588"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514"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塔城地区纤维检验所乌苏实验室2020年承担的</w:t>
            </w:r>
            <w:r>
              <w:rPr>
                <w:rFonts w:hint="eastAsia" w:ascii="宋体" w:hAnsi="宋体" w:cs="宋体"/>
                <w:i w:val="0"/>
                <w:color w:val="000000"/>
                <w:kern w:val="0"/>
                <w:sz w:val="18"/>
                <w:szCs w:val="18"/>
                <w:u w:val="none"/>
                <w:lang w:val="en-US" w:eastAsia="zh-CN" w:bidi="ar"/>
              </w:rPr>
              <w:t>纤维</w:t>
            </w:r>
            <w:r>
              <w:rPr>
                <w:rFonts w:hint="eastAsia" w:ascii="宋体" w:hAnsi="宋体" w:eastAsia="宋体" w:cs="宋体"/>
                <w:i w:val="0"/>
                <w:color w:val="000000"/>
                <w:kern w:val="0"/>
                <w:sz w:val="18"/>
                <w:szCs w:val="18"/>
                <w:u w:val="none"/>
                <w:lang w:val="en-US" w:eastAsia="zh-CN" w:bidi="ar"/>
              </w:rPr>
              <w:t>公证检验任务，覆盖塔城辖区所有技改企业，预计完成45万吨</w:t>
            </w:r>
            <w:r>
              <w:rPr>
                <w:rFonts w:hint="eastAsia" w:ascii="宋体" w:hAnsi="宋体" w:cs="宋体"/>
                <w:i w:val="0"/>
                <w:color w:val="000000"/>
                <w:kern w:val="0"/>
                <w:sz w:val="18"/>
                <w:szCs w:val="18"/>
                <w:u w:val="none"/>
                <w:lang w:val="en-US" w:eastAsia="zh-CN" w:bidi="ar"/>
              </w:rPr>
              <w:t>纤维</w:t>
            </w:r>
            <w:r>
              <w:rPr>
                <w:rFonts w:hint="eastAsia" w:ascii="宋体" w:hAnsi="宋体" w:eastAsia="宋体" w:cs="宋体"/>
                <w:i w:val="0"/>
                <w:color w:val="000000"/>
                <w:kern w:val="0"/>
                <w:sz w:val="18"/>
                <w:szCs w:val="18"/>
                <w:u w:val="none"/>
                <w:lang w:val="en-US" w:eastAsia="zh-CN" w:bidi="ar"/>
              </w:rPr>
              <w:t>检验量。</w:t>
            </w:r>
          </w:p>
        </w:tc>
        <w:tc>
          <w:tcPr>
            <w:tcW w:w="37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塔城地区纤维检验所乌苏实验室2020年承担的</w:t>
            </w:r>
            <w:r>
              <w:rPr>
                <w:rFonts w:hint="eastAsia" w:ascii="宋体" w:hAnsi="宋体" w:cs="宋体"/>
                <w:i w:val="0"/>
                <w:color w:val="000000"/>
                <w:kern w:val="0"/>
                <w:sz w:val="18"/>
                <w:szCs w:val="18"/>
                <w:u w:val="none"/>
                <w:lang w:val="en-US" w:eastAsia="zh-CN" w:bidi="ar"/>
              </w:rPr>
              <w:t>纤维</w:t>
            </w:r>
            <w:r>
              <w:rPr>
                <w:rFonts w:hint="eastAsia" w:ascii="宋体" w:hAnsi="宋体" w:eastAsia="宋体" w:cs="宋体"/>
                <w:i w:val="0"/>
                <w:color w:val="000000"/>
                <w:kern w:val="0"/>
                <w:sz w:val="18"/>
                <w:szCs w:val="18"/>
                <w:u w:val="none"/>
                <w:lang w:val="en-US" w:eastAsia="zh-CN" w:bidi="ar"/>
              </w:rPr>
              <w:t>公证检验任务，覆盖塔城辖区所有技改企业，预计完成45万吨</w:t>
            </w:r>
            <w:r>
              <w:rPr>
                <w:rFonts w:hint="eastAsia" w:ascii="宋体" w:hAnsi="宋体" w:cs="宋体"/>
                <w:i w:val="0"/>
                <w:color w:val="000000"/>
                <w:kern w:val="0"/>
                <w:sz w:val="18"/>
                <w:szCs w:val="18"/>
                <w:u w:val="none"/>
                <w:lang w:val="en-US" w:eastAsia="zh-CN" w:bidi="ar"/>
              </w:rPr>
              <w:t>纤维</w:t>
            </w:r>
            <w:r>
              <w:rPr>
                <w:rFonts w:hint="eastAsia" w:ascii="宋体" w:hAnsi="宋体" w:eastAsia="宋体" w:cs="宋体"/>
                <w:i w:val="0"/>
                <w:color w:val="000000"/>
                <w:kern w:val="0"/>
                <w:sz w:val="18"/>
                <w:szCs w:val="18"/>
                <w:u w:val="none"/>
                <w:lang w:val="en-US" w:eastAsia="zh-CN" w:bidi="ar"/>
              </w:rPr>
              <w:t>检验量。</w:t>
            </w:r>
          </w:p>
        </w:tc>
      </w:tr>
      <w:tr>
        <w:tblPrEx>
          <w:shd w:val="clear" w:color="auto" w:fill="auto"/>
          <w:tblCellMar>
            <w:top w:w="0" w:type="dxa"/>
            <w:left w:w="108" w:type="dxa"/>
            <w:bottom w:w="0" w:type="dxa"/>
            <w:right w:w="108" w:type="dxa"/>
          </w:tblCellMar>
        </w:tblPrEx>
        <w:trPr>
          <w:trHeight w:val="412"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12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40"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3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40"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3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65" w:hRule="atLeast"/>
        </w:trPr>
        <w:tc>
          <w:tcPr>
            <w:tcW w:w="6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10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检验完成量</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≥45万吨</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59万吨</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w:t>
            </w:r>
            <w:r>
              <w:rPr>
                <w:rFonts w:hint="eastAsia" w:ascii="宋体" w:hAnsi="宋体" w:cs="宋体"/>
                <w:i w:val="0"/>
                <w:color w:val="000000"/>
                <w:kern w:val="0"/>
                <w:sz w:val="18"/>
                <w:szCs w:val="18"/>
                <w:u w:val="none"/>
                <w:lang w:val="en-US" w:eastAsia="zh-CN" w:bidi="ar"/>
              </w:rPr>
              <w:t>纤维</w:t>
            </w:r>
            <w:r>
              <w:rPr>
                <w:rFonts w:hint="eastAsia" w:ascii="宋体" w:hAnsi="宋体" w:eastAsia="宋体" w:cs="宋体"/>
                <w:i w:val="0"/>
                <w:color w:val="000000"/>
                <w:kern w:val="0"/>
                <w:sz w:val="18"/>
                <w:szCs w:val="18"/>
                <w:u w:val="none"/>
                <w:lang w:val="en-US" w:eastAsia="zh-CN" w:bidi="ar"/>
              </w:rPr>
              <w:t>产量高，检验量大</w:t>
            </w:r>
          </w:p>
        </w:tc>
      </w:tr>
      <w:tr>
        <w:tblPrEx>
          <w:shd w:val="clear" w:color="auto" w:fill="auto"/>
          <w:tblCellMar>
            <w:top w:w="0" w:type="dxa"/>
            <w:left w:w="108" w:type="dxa"/>
            <w:bottom w:w="0" w:type="dxa"/>
            <w:right w:w="108" w:type="dxa"/>
          </w:tblCellMar>
        </w:tblPrEx>
        <w:trPr>
          <w:trHeight w:val="8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设备购置台数</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≥2台</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3台</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2020年因</w:t>
            </w:r>
            <w:r>
              <w:rPr>
                <w:rFonts w:hint="eastAsia" w:ascii="宋体" w:hAnsi="宋体" w:cs="宋体"/>
                <w:i w:val="0"/>
                <w:color w:val="000000"/>
                <w:kern w:val="0"/>
                <w:sz w:val="18"/>
                <w:szCs w:val="18"/>
                <w:u w:val="none"/>
                <w:lang w:val="en-US" w:eastAsia="zh-CN" w:bidi="ar"/>
              </w:rPr>
              <w:t>纤维</w:t>
            </w:r>
            <w:r>
              <w:rPr>
                <w:rFonts w:hint="eastAsia" w:ascii="宋体" w:hAnsi="宋体" w:eastAsia="宋体" w:cs="宋体"/>
                <w:i w:val="0"/>
                <w:color w:val="000000"/>
                <w:kern w:val="0"/>
                <w:sz w:val="18"/>
                <w:szCs w:val="18"/>
                <w:u w:val="none"/>
                <w:lang w:val="en-US" w:eastAsia="zh-CN" w:bidi="ar"/>
              </w:rPr>
              <w:t>产量高，设备购置增加</w:t>
            </w:r>
          </w:p>
        </w:tc>
      </w:tr>
      <w:tr>
        <w:tblPrEx>
          <w:shd w:val="clear" w:color="auto" w:fill="auto"/>
          <w:tblCellMar>
            <w:top w:w="0" w:type="dxa"/>
            <w:left w:w="108" w:type="dxa"/>
            <w:bottom w:w="0" w:type="dxa"/>
            <w:right w:w="108" w:type="dxa"/>
          </w:tblCellMar>
        </w:tblPrEx>
        <w:trPr>
          <w:trHeight w:val="962"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临时聘用检验人员</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≥140人</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138人</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原因：临时聘用人员流动较大。措施：与劳务公司协调，减少临时聘用人员流动性。</w:t>
            </w:r>
          </w:p>
        </w:tc>
      </w:tr>
      <w:tr>
        <w:tblPrEx>
          <w:shd w:val="clear" w:color="auto" w:fill="auto"/>
          <w:tblCellMar>
            <w:top w:w="0" w:type="dxa"/>
            <w:left w:w="108" w:type="dxa"/>
            <w:bottom w:w="0" w:type="dxa"/>
            <w:right w:w="108" w:type="dxa"/>
          </w:tblCellMar>
        </w:tblPrEx>
        <w:trPr>
          <w:trHeight w:val="8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纤检管理软件</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=1套</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1套</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完成各项工作质量系</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设备验收合格率</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资金支付及时率</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检验任务完成率</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0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政府采购设备金额</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≤680万元</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916万元</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原因：实验室空调系统升级改造，列入政府采购。措施：加强预算学习，做好年初预算。</w:t>
            </w:r>
          </w:p>
        </w:tc>
      </w:tr>
      <w:tr>
        <w:tblPrEx>
          <w:shd w:val="clear" w:color="auto" w:fill="auto"/>
          <w:tblCellMar>
            <w:top w:w="0" w:type="dxa"/>
            <w:left w:w="108" w:type="dxa"/>
            <w:bottom w:w="0" w:type="dxa"/>
            <w:right w:w="108" w:type="dxa"/>
          </w:tblCellMar>
        </w:tblPrEx>
        <w:trPr>
          <w:trHeight w:val="100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实验室管理系统软件</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≤40万元</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39.8万元</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原因:实验室一体化软件实际采购节约资金措施：加强预算学习</w:t>
            </w:r>
          </w:p>
        </w:tc>
      </w:tr>
      <w:tr>
        <w:tblPrEx>
          <w:shd w:val="clear" w:color="auto" w:fill="auto"/>
          <w:tblCellMar>
            <w:top w:w="0" w:type="dxa"/>
            <w:left w:w="108" w:type="dxa"/>
            <w:bottom w:w="0" w:type="dxa"/>
            <w:right w:w="108" w:type="dxa"/>
          </w:tblCellMar>
        </w:tblPrEx>
        <w:trPr>
          <w:trHeight w:val="1084"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周边群众增收</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≥5000元/月</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5000</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00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解决就业</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≥140人</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138</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原因：临时聘用人员流动较大。措施：与劳务公司协调，减少临时聘用人员流动性。</w:t>
            </w:r>
          </w:p>
        </w:tc>
      </w:tr>
      <w:tr>
        <w:tblPrEx>
          <w:shd w:val="clear" w:color="auto" w:fill="auto"/>
          <w:tblCellMar>
            <w:top w:w="0" w:type="dxa"/>
            <w:left w:w="108" w:type="dxa"/>
            <w:bottom w:w="0" w:type="dxa"/>
            <w:right w:w="108" w:type="dxa"/>
          </w:tblCellMar>
        </w:tblPrEx>
        <w:trPr>
          <w:trHeight w:val="1003" w:hRule="atLeast"/>
        </w:trPr>
        <w:tc>
          <w:tcPr>
            <w:tcW w:w="6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实现规范化管理</w:t>
            </w:r>
          </w:p>
        </w:tc>
        <w:tc>
          <w:tcPr>
            <w:tcW w:w="1140"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32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43" w:hRule="atLeast"/>
        </w:trPr>
        <w:tc>
          <w:tcPr>
            <w:tcW w:w="679"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49"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125" w:type="dxa"/>
            <w:gridSpan w:val="2"/>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轧花企业、棉农、用棉企业满意率</w:t>
            </w:r>
          </w:p>
        </w:tc>
        <w:tc>
          <w:tcPr>
            <w:tcW w:w="1140" w:type="dxa"/>
            <w:tcBorders>
              <w:top w:val="single" w:color="000000" w:sz="4" w:space="0"/>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47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326"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124" w:hRule="atLeast"/>
        </w:trPr>
        <w:tc>
          <w:tcPr>
            <w:tcW w:w="898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pPr>
        <w:pStyle w:val="2"/>
        <w:rPr>
          <w:rFonts w:hint="eastAsia" w:ascii="黑体" w:hAnsi="黑体" w:eastAsia="黑体"/>
          <w:sz w:val="32"/>
          <w:szCs w:val="32"/>
        </w:rPr>
      </w:pPr>
    </w:p>
    <w:p/>
    <w:p>
      <w:pPr>
        <w:pStyle w:val="2"/>
        <w:rPr>
          <w:rFonts w:hint="eastAsia" w:ascii="黑体" w:hAnsi="黑体" w:eastAsia="黑体"/>
          <w:sz w:val="32"/>
          <w:szCs w:val="32"/>
        </w:rPr>
      </w:pPr>
    </w:p>
    <w:p>
      <w:pPr>
        <w:rPr>
          <w:rFonts w:hint="eastAsia" w:ascii="黑体" w:hAnsi="黑体" w:eastAsia="黑体"/>
          <w:sz w:val="32"/>
          <w:szCs w:val="32"/>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立项依据充分性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立项程序规范性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③项目预期产出效益和效果是否符合正常的业绩水平；④是否与预算确定的项目投资额或资金量相匹配。</w:t>
            </w:r>
          </w:p>
        </w:tc>
        <w:tc>
          <w:tcPr>
            <w:tcW w:w="1300" w:type="dxa"/>
            <w:shd w:val="clear" w:color="000000"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绩效指标明确性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预算编制科学性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资金分配合理性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资金到位率=（实际到位资金/预算资金）×100%。实际到位资金：一定时期（本年度或项目期）内落实到具体项目的资金。预算资金：一定时期（本年度或项目期）内预算安排到具体项目的资金。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0.78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资金使用合规性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管理制度健全性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制度执行有效性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6.53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29.57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rPr>
          <w:rFonts w:hint="default"/>
          <w:lang w:val="en-US" w:eastAsia="zh-CN"/>
        </w:rPr>
      </w:pPr>
    </w:p>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ind w:firstLine="640"/>
        <w:rPr>
          <w:rStyle w:val="20"/>
          <w:rFonts w:ascii="黑体" w:hAnsi="黑体" w:eastAsia="黑体"/>
          <w:bCs w:val="0"/>
          <w:spacing w:val="-4"/>
          <w:sz w:val="32"/>
          <w:szCs w:val="32"/>
        </w:rPr>
      </w:pPr>
    </w:p>
    <w:p>
      <w:pPr>
        <w:spacing w:line="540" w:lineRule="exact"/>
        <w:rPr>
          <w:rStyle w:val="20"/>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FF4BB6DE"/>
    <w:multiLevelType w:val="singleLevel"/>
    <w:tmpl w:val="FF4BB6DE"/>
    <w:lvl w:ilvl="0" w:tentative="0">
      <w:start w:val="1"/>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8620E4A"/>
    <w:multiLevelType w:val="singleLevel"/>
    <w:tmpl w:val="68620E4A"/>
    <w:lvl w:ilvl="0" w:tentative="0">
      <w:start w:val="2"/>
      <w:numFmt w:val="chineseCounting"/>
      <w:suff w:val="nothing"/>
      <w:lvlText w:val="（%1）"/>
      <w:lvlJc w:val="left"/>
      <w:rPr>
        <w:rFonts w:hint="eastAsia"/>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3685D4F"/>
    <w:rsid w:val="051A56F5"/>
    <w:rsid w:val="066D6EAA"/>
    <w:rsid w:val="08A025C5"/>
    <w:rsid w:val="08C662D4"/>
    <w:rsid w:val="09BD4D95"/>
    <w:rsid w:val="0BA561E7"/>
    <w:rsid w:val="0D6E1E24"/>
    <w:rsid w:val="0F8D41CB"/>
    <w:rsid w:val="11C75270"/>
    <w:rsid w:val="12637CC3"/>
    <w:rsid w:val="12E657C5"/>
    <w:rsid w:val="167C7687"/>
    <w:rsid w:val="168B3546"/>
    <w:rsid w:val="1A2374E0"/>
    <w:rsid w:val="1C317CE2"/>
    <w:rsid w:val="1DD45808"/>
    <w:rsid w:val="1DED42AC"/>
    <w:rsid w:val="20005763"/>
    <w:rsid w:val="20FB313D"/>
    <w:rsid w:val="220B4804"/>
    <w:rsid w:val="24F472B1"/>
    <w:rsid w:val="282475E3"/>
    <w:rsid w:val="2A6451F5"/>
    <w:rsid w:val="2C6100C1"/>
    <w:rsid w:val="31D5660C"/>
    <w:rsid w:val="3264220D"/>
    <w:rsid w:val="340D4A34"/>
    <w:rsid w:val="345370A3"/>
    <w:rsid w:val="3963178C"/>
    <w:rsid w:val="3BC20098"/>
    <w:rsid w:val="3DC9017A"/>
    <w:rsid w:val="3F68760B"/>
    <w:rsid w:val="41CC2676"/>
    <w:rsid w:val="45CB2D99"/>
    <w:rsid w:val="46B21672"/>
    <w:rsid w:val="47626EE4"/>
    <w:rsid w:val="4D22791D"/>
    <w:rsid w:val="4F552460"/>
    <w:rsid w:val="4FCC6863"/>
    <w:rsid w:val="500A214A"/>
    <w:rsid w:val="522D604D"/>
    <w:rsid w:val="5297585E"/>
    <w:rsid w:val="52AD7D6F"/>
    <w:rsid w:val="5549519D"/>
    <w:rsid w:val="5557596B"/>
    <w:rsid w:val="5B596DFC"/>
    <w:rsid w:val="5DF03945"/>
    <w:rsid w:val="637C2815"/>
    <w:rsid w:val="70B20DE9"/>
    <w:rsid w:val="776313A8"/>
    <w:rsid w:val="79433575"/>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3"/>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4"/>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5"/>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6"/>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7"/>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8"/>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29"/>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0"/>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7"/>
    <w:semiHidden/>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character" w:styleId="20">
    <w:name w:val="Strong"/>
    <w:basedOn w:val="19"/>
    <w:qFormat/>
    <w:uiPriority w:val="0"/>
    <w:rPr>
      <w:b/>
      <w:bCs/>
    </w:rPr>
  </w:style>
  <w:style w:type="character" w:styleId="21">
    <w:name w:val="Emphasis"/>
    <w:basedOn w:val="19"/>
    <w:qFormat/>
    <w:uiPriority w:val="20"/>
    <w:rPr>
      <w:rFonts w:asciiTheme="minorHAnsi" w:hAnsiTheme="minorHAnsi"/>
      <w:b/>
      <w:i/>
      <w:iCs/>
    </w:rPr>
  </w:style>
  <w:style w:type="character" w:customStyle="1" w:styleId="22">
    <w:name w:val="标题 1 字符"/>
    <w:basedOn w:val="19"/>
    <w:link w:val="3"/>
    <w:qFormat/>
    <w:uiPriority w:val="9"/>
    <w:rPr>
      <w:rFonts w:asciiTheme="majorHAnsi" w:hAnsiTheme="majorHAnsi" w:eastAsiaTheme="majorEastAsia"/>
      <w:b/>
      <w:bCs/>
      <w:kern w:val="32"/>
      <w:sz w:val="32"/>
      <w:szCs w:val="32"/>
    </w:rPr>
  </w:style>
  <w:style w:type="character" w:customStyle="1" w:styleId="23">
    <w:name w:val="标题 2 字符"/>
    <w:basedOn w:val="19"/>
    <w:link w:val="4"/>
    <w:semiHidden/>
    <w:qFormat/>
    <w:uiPriority w:val="9"/>
    <w:rPr>
      <w:rFonts w:asciiTheme="majorHAnsi" w:hAnsiTheme="majorHAnsi" w:eastAsiaTheme="majorEastAsia"/>
      <w:b/>
      <w:bCs/>
      <w:i/>
      <w:iCs/>
      <w:sz w:val="28"/>
      <w:szCs w:val="28"/>
    </w:rPr>
  </w:style>
  <w:style w:type="character" w:customStyle="1" w:styleId="24">
    <w:name w:val="标题 3 字符"/>
    <w:basedOn w:val="19"/>
    <w:link w:val="5"/>
    <w:semiHidden/>
    <w:qFormat/>
    <w:uiPriority w:val="9"/>
    <w:rPr>
      <w:rFonts w:asciiTheme="majorHAnsi" w:hAnsiTheme="majorHAnsi" w:eastAsiaTheme="majorEastAsia"/>
      <w:b/>
      <w:bCs/>
      <w:sz w:val="26"/>
      <w:szCs w:val="26"/>
    </w:rPr>
  </w:style>
  <w:style w:type="character" w:customStyle="1" w:styleId="25">
    <w:name w:val="标题 4 字符"/>
    <w:basedOn w:val="19"/>
    <w:link w:val="6"/>
    <w:semiHidden/>
    <w:qFormat/>
    <w:uiPriority w:val="9"/>
    <w:rPr>
      <w:b/>
      <w:bCs/>
      <w:sz w:val="28"/>
      <w:szCs w:val="28"/>
    </w:rPr>
  </w:style>
  <w:style w:type="character" w:customStyle="1" w:styleId="26">
    <w:name w:val="标题 5 字符"/>
    <w:basedOn w:val="19"/>
    <w:link w:val="7"/>
    <w:semiHidden/>
    <w:qFormat/>
    <w:uiPriority w:val="9"/>
    <w:rPr>
      <w:b/>
      <w:bCs/>
      <w:i/>
      <w:iCs/>
      <w:sz w:val="26"/>
      <w:szCs w:val="26"/>
    </w:rPr>
  </w:style>
  <w:style w:type="character" w:customStyle="1" w:styleId="27">
    <w:name w:val="标题 6 字符"/>
    <w:basedOn w:val="19"/>
    <w:link w:val="8"/>
    <w:semiHidden/>
    <w:qFormat/>
    <w:uiPriority w:val="9"/>
    <w:rPr>
      <w:b/>
      <w:bCs/>
    </w:rPr>
  </w:style>
  <w:style w:type="character" w:customStyle="1" w:styleId="28">
    <w:name w:val="标题 7 字符"/>
    <w:basedOn w:val="19"/>
    <w:link w:val="9"/>
    <w:semiHidden/>
    <w:qFormat/>
    <w:uiPriority w:val="9"/>
    <w:rPr>
      <w:sz w:val="24"/>
      <w:szCs w:val="24"/>
    </w:rPr>
  </w:style>
  <w:style w:type="character" w:customStyle="1" w:styleId="29">
    <w:name w:val="标题 8 字符"/>
    <w:basedOn w:val="19"/>
    <w:link w:val="10"/>
    <w:semiHidden/>
    <w:qFormat/>
    <w:uiPriority w:val="9"/>
    <w:rPr>
      <w:i/>
      <w:iCs/>
      <w:sz w:val="24"/>
      <w:szCs w:val="24"/>
    </w:rPr>
  </w:style>
  <w:style w:type="character" w:customStyle="1" w:styleId="30">
    <w:name w:val="标题 9 字符"/>
    <w:basedOn w:val="19"/>
    <w:link w:val="11"/>
    <w:semiHidden/>
    <w:qFormat/>
    <w:uiPriority w:val="9"/>
    <w:rPr>
      <w:rFonts w:asciiTheme="majorHAnsi" w:hAnsiTheme="majorHAnsi" w:eastAsiaTheme="majorEastAsia"/>
    </w:rPr>
  </w:style>
  <w:style w:type="character" w:customStyle="1" w:styleId="31">
    <w:name w:val="标题 字符"/>
    <w:basedOn w:val="19"/>
    <w:link w:val="2"/>
    <w:qFormat/>
    <w:uiPriority w:val="10"/>
    <w:rPr>
      <w:rFonts w:asciiTheme="majorHAnsi" w:hAnsiTheme="majorHAnsi" w:eastAsiaTheme="majorEastAsia"/>
      <w:b/>
      <w:bCs/>
      <w:kern w:val="28"/>
      <w:sz w:val="32"/>
      <w:szCs w:val="32"/>
    </w:rPr>
  </w:style>
  <w:style w:type="character" w:customStyle="1" w:styleId="32">
    <w:name w:val="副标题 字符"/>
    <w:basedOn w:val="19"/>
    <w:link w:val="16"/>
    <w:qFormat/>
    <w:uiPriority w:val="11"/>
    <w:rPr>
      <w:rFonts w:asciiTheme="majorHAnsi" w:hAnsiTheme="majorHAnsi" w:eastAsiaTheme="majorEastAsia"/>
      <w:sz w:val="24"/>
      <w:szCs w:val="24"/>
    </w:rPr>
  </w:style>
  <w:style w:type="paragraph" w:styleId="33">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4">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5">
    <w:name w:val="Quote"/>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字符"/>
    <w:basedOn w:val="19"/>
    <w:link w:val="35"/>
    <w:qFormat/>
    <w:uiPriority w:val="29"/>
    <w:rPr>
      <w:i/>
      <w:sz w:val="24"/>
      <w:szCs w:val="24"/>
    </w:rPr>
  </w:style>
  <w:style w:type="paragraph" w:styleId="37">
    <w:name w:val="Intense Quote"/>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字符"/>
    <w:basedOn w:val="19"/>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9"/>
    <w:qFormat/>
    <w:uiPriority w:val="21"/>
    <w:rPr>
      <w:b/>
      <w:i/>
      <w:sz w:val="24"/>
      <w:szCs w:val="24"/>
      <w:u w:val="single"/>
    </w:rPr>
  </w:style>
  <w:style w:type="character" w:customStyle="1" w:styleId="41">
    <w:name w:val="不明显参考1"/>
    <w:basedOn w:val="19"/>
    <w:qFormat/>
    <w:uiPriority w:val="31"/>
    <w:rPr>
      <w:sz w:val="24"/>
      <w:szCs w:val="24"/>
      <w:u w:val="single"/>
    </w:rPr>
  </w:style>
  <w:style w:type="character" w:customStyle="1" w:styleId="42">
    <w:name w:val="明显参考1"/>
    <w:basedOn w:val="19"/>
    <w:qFormat/>
    <w:uiPriority w:val="32"/>
    <w:rPr>
      <w:b/>
      <w:sz w:val="24"/>
      <w:u w:val="single"/>
    </w:rPr>
  </w:style>
  <w:style w:type="character" w:customStyle="1" w:styleId="43">
    <w:name w:val="书籍标题1"/>
    <w:basedOn w:val="19"/>
    <w:qFormat/>
    <w:uiPriority w:val="33"/>
    <w:rPr>
      <w:rFonts w:asciiTheme="majorHAnsi" w:hAnsiTheme="majorHAnsi" w:eastAsiaTheme="majorEastAsia"/>
      <w:b/>
      <w:i/>
      <w:sz w:val="24"/>
      <w:szCs w:val="24"/>
    </w:rPr>
  </w:style>
  <w:style w:type="paragraph" w:customStyle="1" w:styleId="44">
    <w:name w:val="TOC 标题1"/>
    <w:basedOn w:val="3"/>
    <w:next w:val="1"/>
    <w:semiHidden/>
    <w:unhideWhenUsed/>
    <w:qFormat/>
    <w:uiPriority w:val="39"/>
    <w:pPr>
      <w:outlineLvl w:val="9"/>
    </w:pPr>
    <w:rPr>
      <w:lang w:eastAsia="en-US" w:bidi="en-US"/>
    </w:rPr>
  </w:style>
  <w:style w:type="character" w:customStyle="1" w:styleId="45">
    <w:name w:val="页眉 字符"/>
    <w:basedOn w:val="19"/>
    <w:link w:val="15"/>
    <w:qFormat/>
    <w:uiPriority w:val="99"/>
    <w:rPr>
      <w:rFonts w:ascii="Calibri" w:hAnsi="Calibri" w:eastAsia="宋体"/>
      <w:kern w:val="2"/>
      <w:sz w:val="18"/>
      <w:szCs w:val="18"/>
    </w:rPr>
  </w:style>
  <w:style w:type="character" w:customStyle="1" w:styleId="46">
    <w:name w:val="页脚 字符"/>
    <w:basedOn w:val="19"/>
    <w:link w:val="14"/>
    <w:qFormat/>
    <w:uiPriority w:val="99"/>
    <w:rPr>
      <w:rFonts w:ascii="Calibri" w:hAnsi="Calibri" w:eastAsia="宋体"/>
      <w:kern w:val="2"/>
      <w:sz w:val="18"/>
      <w:szCs w:val="18"/>
    </w:rPr>
  </w:style>
  <w:style w:type="character" w:customStyle="1" w:styleId="47">
    <w:name w:val="批注框文本 字符"/>
    <w:basedOn w:val="19"/>
    <w:link w:val="13"/>
    <w:semiHidden/>
    <w:qFormat/>
    <w:uiPriority w:val="99"/>
    <w:rPr>
      <w:rFonts w:ascii="Times New Roman" w:hAnsi="Times New Roman" w:eastAsia="宋体"/>
      <w:kern w:val="2"/>
      <w:sz w:val="18"/>
      <w:szCs w:val="18"/>
    </w:rPr>
  </w:style>
  <w:style w:type="paragraph" w:customStyle="1" w:styleId="48">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49">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8820</Words>
  <Characters>9421</Characters>
  <Lines>63</Lines>
  <Paragraphs>17</Paragraphs>
  <TotalTime>5</TotalTime>
  <ScaleCrop>false</ScaleCrop>
  <LinksUpToDate>false</LinksUpToDate>
  <CharactersWithSpaces>11039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2025-09-18T08:07:38Z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98D4C02C09B54C24954176173C11724B</vt:lpwstr>
  </property>
  <property fmtid="{D5CDD505-2E9C-101B-9397-08002B2CF9AE}" pid="4" name="KSOTemplateDocerSaveRecord">
    <vt:lpwstr>eyJoZGlkIjoiN2VjMGM4YTNmZTY1NDFjMWFjNmVmZmU0NDA2ZTk0ZmMiLCJ1c2VySWQiOiI4NjI1NDMxNDkifQ==</vt:lpwstr>
  </property>
</Properties>
</file>