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683A8">
      <w:pPr>
        <w:spacing w:line="540" w:lineRule="exact"/>
        <w:jc w:val="center"/>
        <w:rPr>
          <w:rFonts w:ascii="华文中宋" w:eastAsia="华文中宋" w:cs="宋体"/>
          <w:b/>
          <w:kern w:val="0"/>
          <w:sz w:val="52"/>
          <w:szCs w:val="52"/>
        </w:rPr>
      </w:pPr>
    </w:p>
    <w:p w14:paraId="779D1BA5">
      <w:pPr>
        <w:spacing w:line="540" w:lineRule="exact"/>
        <w:jc w:val="center"/>
        <w:rPr>
          <w:rFonts w:ascii="华文中宋" w:eastAsia="华文中宋" w:cs="宋体"/>
          <w:b/>
          <w:kern w:val="0"/>
          <w:sz w:val="52"/>
          <w:szCs w:val="52"/>
        </w:rPr>
      </w:pPr>
    </w:p>
    <w:p w14:paraId="34169D14">
      <w:pPr>
        <w:spacing w:line="540" w:lineRule="exact"/>
        <w:jc w:val="center"/>
        <w:rPr>
          <w:rFonts w:ascii="华文中宋" w:eastAsia="华文中宋" w:cs="宋体"/>
          <w:b/>
          <w:kern w:val="0"/>
          <w:sz w:val="52"/>
          <w:szCs w:val="52"/>
        </w:rPr>
      </w:pPr>
    </w:p>
    <w:p w14:paraId="2C633C42">
      <w:pPr>
        <w:spacing w:line="540" w:lineRule="exact"/>
        <w:jc w:val="center"/>
        <w:rPr>
          <w:rFonts w:ascii="华文中宋" w:eastAsia="华文中宋" w:cs="宋体"/>
          <w:b/>
          <w:kern w:val="0"/>
          <w:sz w:val="52"/>
          <w:szCs w:val="52"/>
        </w:rPr>
      </w:pPr>
    </w:p>
    <w:p w14:paraId="74389379">
      <w:pPr>
        <w:spacing w:line="540" w:lineRule="exact"/>
        <w:jc w:val="center"/>
        <w:rPr>
          <w:rFonts w:ascii="华文中宋" w:eastAsia="华文中宋" w:cs="宋体"/>
          <w:b/>
          <w:kern w:val="0"/>
          <w:sz w:val="52"/>
          <w:szCs w:val="52"/>
        </w:rPr>
      </w:pPr>
    </w:p>
    <w:p w14:paraId="0AAC92E7">
      <w:pPr>
        <w:spacing w:line="540" w:lineRule="exact"/>
        <w:jc w:val="both"/>
        <w:rPr>
          <w:rFonts w:hint="eastAsia" w:ascii="方正小标宋简体" w:hAnsi="方正小标宋简体" w:eastAsia="方正小标宋简体" w:cs="方正小标宋简体"/>
          <w:b/>
          <w:bCs/>
          <w:kern w:val="0"/>
          <w:sz w:val="44"/>
          <w:szCs w:val="44"/>
          <w:lang w:eastAsia="zh-CN"/>
        </w:rPr>
      </w:pPr>
    </w:p>
    <w:p w14:paraId="76FB86B6">
      <w:pPr>
        <w:spacing w:line="540" w:lineRule="exact"/>
        <w:jc w:val="center"/>
        <w:rPr>
          <w:rFonts w:hint="eastAsia" w:ascii="方正小标宋简体" w:hAnsi="方正小标宋简体" w:eastAsia="方正小标宋简体" w:cs="方正小标宋简体"/>
          <w:b/>
          <w:bCs/>
          <w:spacing w:val="-11"/>
          <w:kern w:val="0"/>
          <w:sz w:val="44"/>
          <w:szCs w:val="44"/>
        </w:rPr>
      </w:pPr>
      <w:r>
        <w:rPr>
          <w:rFonts w:hint="eastAsia" w:ascii="方正小标宋简体" w:hAnsi="方正小标宋简体" w:eastAsia="方正小标宋简体" w:cs="方正小标宋简体"/>
          <w:b/>
          <w:bCs/>
          <w:spacing w:val="-11"/>
          <w:kern w:val="0"/>
          <w:sz w:val="44"/>
          <w:szCs w:val="44"/>
          <w:lang w:eastAsia="zh-CN"/>
        </w:rPr>
        <w:t>红十字会应急体系</w:t>
      </w:r>
      <w:r>
        <w:rPr>
          <w:rFonts w:hint="eastAsia" w:ascii="方正小标宋简体" w:hAnsi="方正小标宋简体" w:eastAsia="方正小标宋简体" w:cs="方正小标宋简体"/>
          <w:b/>
          <w:bCs/>
          <w:spacing w:val="-11"/>
          <w:kern w:val="0"/>
          <w:sz w:val="44"/>
          <w:szCs w:val="44"/>
        </w:rPr>
        <w:t>建设项目支出绩效</w:t>
      </w:r>
    </w:p>
    <w:p w14:paraId="15509DB8">
      <w:pPr>
        <w:spacing w:line="540" w:lineRule="exact"/>
        <w:jc w:val="center"/>
        <w:rPr>
          <w:rFonts w:hint="eastAsia" w:ascii="方正小标宋简体" w:hAnsi="方正小标宋简体" w:eastAsia="方正小标宋简体" w:cs="方正小标宋简体"/>
          <w:b/>
          <w:bCs/>
          <w:spacing w:val="-11"/>
          <w:kern w:val="0"/>
          <w:sz w:val="44"/>
          <w:szCs w:val="44"/>
        </w:rPr>
      </w:pPr>
      <w:r>
        <w:rPr>
          <w:rFonts w:hint="eastAsia" w:ascii="方正小标宋简体" w:hAnsi="方正小标宋简体" w:eastAsia="方正小标宋简体" w:cs="方正小标宋简体"/>
          <w:b/>
          <w:bCs/>
          <w:spacing w:val="-11"/>
          <w:kern w:val="0"/>
          <w:sz w:val="44"/>
          <w:szCs w:val="44"/>
        </w:rPr>
        <w:t>评价报告</w:t>
      </w:r>
    </w:p>
    <w:p w14:paraId="1AB89779">
      <w:pPr>
        <w:pStyle w:val="2"/>
        <w:ind w:firstLine="2880" w:firstLineChars="800"/>
        <w:jc w:val="both"/>
        <w:rPr>
          <w:rFonts w:hint="eastAsia" w:ascii="仿宋_GB2312" w:hAnsi="仿宋_GB2312" w:eastAsia="仿宋_GB2312" w:cs="仿宋_GB2312"/>
          <w:sz w:val="36"/>
          <w:szCs w:val="36"/>
        </w:rPr>
      </w:pPr>
      <w:r>
        <w:rPr>
          <w:rFonts w:hint="eastAsia" w:ascii="仿宋_GB2312" w:hAnsi="仿宋_GB2312" w:eastAsia="仿宋_GB2312" w:cs="仿宋_GB2312"/>
          <w:b w:val="0"/>
          <w:bCs w:val="0"/>
          <w:kern w:val="0"/>
          <w:sz w:val="36"/>
          <w:szCs w:val="36"/>
        </w:rPr>
        <w:t>（2020年度）</w:t>
      </w:r>
    </w:p>
    <w:p w14:paraId="58C7C485">
      <w:pPr>
        <w:rPr>
          <w:rFonts w:ascii="方正仿宋_GBK" w:hAnsi="Arial Narrow" w:eastAsia="方正仿宋_GBK"/>
          <w:b/>
          <w:sz w:val="32"/>
          <w:szCs w:val="32"/>
        </w:rPr>
      </w:pPr>
    </w:p>
    <w:p w14:paraId="6D67F8D4">
      <w:pPr>
        <w:rPr>
          <w:rFonts w:ascii="宋体" w:hAnsi="宋体"/>
          <w:sz w:val="32"/>
          <w:szCs w:val="32"/>
        </w:rPr>
      </w:pPr>
    </w:p>
    <w:p w14:paraId="15861D03">
      <w:pPr>
        <w:spacing w:line="640" w:lineRule="exact"/>
        <w:rPr>
          <w:rFonts w:ascii="宋体" w:hAnsi="宋体"/>
          <w:sz w:val="32"/>
          <w:szCs w:val="32"/>
        </w:rPr>
      </w:pPr>
    </w:p>
    <w:p w14:paraId="46668D12">
      <w:pPr>
        <w:spacing w:line="640" w:lineRule="exact"/>
        <w:rPr>
          <w:rFonts w:ascii="宋体" w:hAnsi="宋体"/>
          <w:sz w:val="32"/>
          <w:szCs w:val="32"/>
        </w:rPr>
      </w:pPr>
    </w:p>
    <w:p w14:paraId="7C80496D">
      <w:pPr>
        <w:spacing w:line="640" w:lineRule="exact"/>
        <w:rPr>
          <w:rFonts w:ascii="宋体" w:hAnsi="宋体"/>
          <w:sz w:val="28"/>
        </w:rPr>
      </w:pPr>
    </w:p>
    <w:p w14:paraId="1D508DB8">
      <w:pPr>
        <w:spacing w:line="640" w:lineRule="exact"/>
        <w:rPr>
          <w:rFonts w:ascii="宋体" w:hAnsi="宋体"/>
          <w:sz w:val="28"/>
        </w:rPr>
      </w:pPr>
    </w:p>
    <w:p w14:paraId="5C2F3E60">
      <w:pPr>
        <w:spacing w:line="640" w:lineRule="exact"/>
        <w:jc w:val="center"/>
        <w:rPr>
          <w:rFonts w:hint="eastAsia" w:ascii="仿宋_GB2312" w:hAnsi="仿宋_GB2312" w:eastAsia="仿宋_GB2312" w:cs="仿宋_GB2312"/>
          <w:kern w:val="0"/>
          <w:sz w:val="36"/>
          <w:szCs w:val="36"/>
          <w:lang w:val="en-US"/>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eastAsia="zh-CN"/>
        </w:rPr>
        <w:t>应急体系建设项目</w:t>
      </w:r>
      <w:r>
        <w:rPr>
          <w:rFonts w:hint="eastAsia" w:ascii="仿宋_GB2312" w:hAnsi="仿宋_GB2312" w:eastAsia="仿宋_GB2312" w:cs="仿宋_GB2312"/>
          <w:kern w:val="0"/>
          <w:sz w:val="36"/>
          <w:szCs w:val="36"/>
          <w:lang w:val="en-US" w:eastAsia="zh-CN"/>
        </w:rPr>
        <w:t xml:space="preserve">  </w:t>
      </w:r>
    </w:p>
    <w:p w14:paraId="1EE1174F">
      <w:pPr>
        <w:spacing w:line="640" w:lineRule="exact"/>
        <w:jc w:val="center"/>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rPr>
        <w:t>预算单位：塔城地区</w:t>
      </w:r>
      <w:r>
        <w:rPr>
          <w:rFonts w:hint="eastAsia" w:ascii="仿宋_GB2312" w:hAnsi="仿宋_GB2312" w:eastAsia="仿宋_GB2312" w:cs="仿宋_GB2312"/>
          <w:kern w:val="0"/>
          <w:sz w:val="36"/>
          <w:szCs w:val="36"/>
          <w:lang w:eastAsia="zh-CN"/>
        </w:rPr>
        <w:t>红十字会</w:t>
      </w:r>
    </w:p>
    <w:p w14:paraId="51244795">
      <w:pPr>
        <w:spacing w:line="6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项目实施单位：塔城地区</w:t>
      </w:r>
      <w:r>
        <w:rPr>
          <w:rFonts w:hint="eastAsia" w:ascii="仿宋_GB2312" w:hAnsi="仿宋_GB2312" w:eastAsia="仿宋_GB2312" w:cs="仿宋_GB2312"/>
          <w:kern w:val="0"/>
          <w:sz w:val="36"/>
          <w:szCs w:val="36"/>
          <w:lang w:eastAsia="zh-CN"/>
        </w:rPr>
        <w:t>红十字会</w:t>
      </w:r>
    </w:p>
    <w:p w14:paraId="5482C3C6">
      <w:pPr>
        <w:spacing w:line="640" w:lineRule="exact"/>
        <w:ind w:firstLine="1800" w:firstLineChars="500"/>
        <w:jc w:val="both"/>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rPr>
        <w:t xml:space="preserve">项目负责人：  </w:t>
      </w:r>
      <w:r>
        <w:rPr>
          <w:rFonts w:hint="eastAsia" w:ascii="仿宋_GB2312" w:hAnsi="仿宋_GB2312" w:eastAsia="仿宋_GB2312" w:cs="仿宋_GB2312"/>
          <w:kern w:val="0"/>
          <w:sz w:val="36"/>
          <w:szCs w:val="36"/>
          <w:lang w:eastAsia="zh-CN"/>
        </w:rPr>
        <w:t>周宏</w:t>
      </w:r>
    </w:p>
    <w:p w14:paraId="013F17A9">
      <w:pPr>
        <w:spacing w:line="640" w:lineRule="exact"/>
        <w:ind w:firstLine="1800" w:firstLineChars="500"/>
        <w:jc w:val="both"/>
        <w:rPr>
          <w:rFonts w:hint="eastAsia" w:ascii="仿宋_GB2312" w:hAnsi="仿宋_GB2312" w:eastAsia="仿宋_GB2312" w:cs="仿宋_GB2312"/>
          <w:sz w:val="36"/>
          <w:szCs w:val="36"/>
        </w:rPr>
      </w:pPr>
      <w:r>
        <w:rPr>
          <w:rFonts w:hint="eastAsia" w:ascii="仿宋_GB2312" w:hAnsi="仿宋_GB2312" w:eastAsia="仿宋_GB2312" w:cs="仿宋_GB2312"/>
          <w:kern w:val="0"/>
          <w:sz w:val="36"/>
          <w:szCs w:val="36"/>
        </w:rPr>
        <w:t>填报时间：2021年4月</w:t>
      </w:r>
      <w:r>
        <w:rPr>
          <w:rFonts w:hint="eastAsia" w:ascii="仿宋_GB2312" w:hAnsi="仿宋_GB2312" w:eastAsia="仿宋_GB2312" w:cs="仿宋_GB2312"/>
          <w:kern w:val="0"/>
          <w:sz w:val="36"/>
          <w:szCs w:val="36"/>
          <w:lang w:val="en-US" w:eastAsia="zh-CN"/>
        </w:rPr>
        <w:t>9</w:t>
      </w:r>
      <w:r>
        <w:rPr>
          <w:rFonts w:hint="eastAsia" w:ascii="仿宋_GB2312" w:hAnsi="仿宋_GB2312" w:eastAsia="仿宋_GB2312" w:cs="仿宋_GB2312"/>
          <w:kern w:val="0"/>
          <w:sz w:val="36"/>
          <w:szCs w:val="36"/>
        </w:rPr>
        <w:t>日</w:t>
      </w:r>
    </w:p>
    <w:p w14:paraId="51994F03">
      <w:pPr>
        <w:widowControl/>
        <w:ind w:firstLine="720" w:firstLineChars="200"/>
        <w:jc w:val="center"/>
        <w:rPr>
          <w:rFonts w:hint="eastAsia" w:ascii="仿宋_GB2312" w:hAnsi="仿宋_GB2312" w:eastAsia="仿宋_GB2312" w:cs="仿宋_GB2312"/>
          <w:bCs/>
          <w:sz w:val="36"/>
          <w:szCs w:val="36"/>
        </w:rPr>
        <w:sectPr>
          <w:headerReference r:id="rId3" w:type="default"/>
          <w:footerReference r:id="rId5" w:type="default"/>
          <w:headerReference r:id="rId4" w:type="even"/>
          <w:footerReference r:id="rId6" w:type="even"/>
          <w:pgSz w:w="11906" w:h="16838"/>
          <w:pgMar w:top="1440" w:right="1800" w:bottom="1440" w:left="1800" w:header="851" w:footer="992" w:gutter="0"/>
          <w:pgNumType w:start="0"/>
          <w:cols w:space="425" w:num="1"/>
          <w:titlePg/>
          <w:docGrid w:type="lines" w:linePitch="312" w:charSpace="0"/>
        </w:sectPr>
      </w:pPr>
    </w:p>
    <w:p w14:paraId="0738D800">
      <w:pPr>
        <w:spacing w:line="560" w:lineRule="exact"/>
        <w:rPr>
          <w:rFonts w:ascii="黑体" w:eastAsia="黑体" w:cs="黑体"/>
          <w:bCs/>
          <w:sz w:val="32"/>
          <w:szCs w:val="32"/>
        </w:rPr>
      </w:pPr>
      <w:bookmarkStart w:id="0" w:name="_Toc30152831"/>
    </w:p>
    <w:p w14:paraId="6822F2F6">
      <w:pPr>
        <w:pageBreakBefore w:val="0"/>
        <w:kinsoku/>
        <w:wordWrap/>
        <w:overflowPunct/>
        <w:topLinePunct w:val="0"/>
        <w:autoSpaceDE/>
        <w:autoSpaceDN/>
        <w:bidi w:val="0"/>
        <w:adjustRightInd/>
        <w:snapToGrid/>
        <w:spacing w:line="560" w:lineRule="exact"/>
        <w:ind w:firstLine="643" w:firstLineChars="200"/>
        <w:textAlignment w:val="auto"/>
        <w:rPr>
          <w:rFonts w:ascii="黑体" w:eastAsia="黑体" w:cs="黑体"/>
          <w:b/>
          <w:bCs w:val="0"/>
          <w:sz w:val="32"/>
          <w:szCs w:val="32"/>
        </w:rPr>
      </w:pPr>
      <w:r>
        <w:rPr>
          <w:rFonts w:hint="eastAsia" w:ascii="黑体" w:eastAsia="黑体" w:cs="黑体"/>
          <w:b/>
          <w:bCs w:val="0"/>
          <w:sz w:val="32"/>
          <w:szCs w:val="32"/>
        </w:rPr>
        <w:t>一、基本情况</w:t>
      </w:r>
    </w:p>
    <w:p w14:paraId="371CF588">
      <w:pPr>
        <w:pageBreakBefore w:val="0"/>
        <w:kinsoku/>
        <w:wordWrap/>
        <w:overflowPunct/>
        <w:topLinePunct w:val="0"/>
        <w:autoSpaceDE/>
        <w:autoSpaceDN/>
        <w:bidi w:val="0"/>
        <w:adjustRightInd/>
        <w:snapToGrid/>
        <w:spacing w:line="560" w:lineRule="exact"/>
        <w:ind w:firstLine="482" w:firstLineChars="150"/>
        <w:textAlignment w:val="auto"/>
        <w:rPr>
          <w:rFonts w:ascii="楷体_GB2312" w:eastAsia="楷体_GB2312" w:cs="楷体_GB2312"/>
          <w:b/>
          <w:bCs/>
          <w:sz w:val="32"/>
          <w:szCs w:val="32"/>
        </w:rPr>
      </w:pPr>
      <w:r>
        <w:rPr>
          <w:rFonts w:hint="eastAsia" w:ascii="楷体_GB2312" w:eastAsia="楷体_GB2312" w:cs="楷体_GB2312"/>
          <w:b/>
          <w:bCs/>
          <w:sz w:val="32"/>
          <w:szCs w:val="32"/>
        </w:rPr>
        <w:t>（一）项目概况</w:t>
      </w:r>
    </w:p>
    <w:p w14:paraId="12D74EEC">
      <w:pPr>
        <w:pageBreakBefore w:val="0"/>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b/>
          <w:bCs/>
          <w:sz w:val="32"/>
          <w:szCs w:val="32"/>
        </w:rPr>
      </w:pPr>
      <w:r>
        <w:rPr>
          <w:rFonts w:hint="eastAsia" w:ascii="仿宋_GB2312" w:eastAsia="仿宋_GB2312" w:cs="仿宋_GB2312"/>
          <w:b/>
          <w:bCs/>
          <w:sz w:val="32"/>
          <w:szCs w:val="32"/>
        </w:rPr>
        <w:t>1</w:t>
      </w:r>
      <w:r>
        <w:rPr>
          <w:rFonts w:ascii="仿宋_GB2312" w:eastAsia="仿宋_GB2312" w:cs="仿宋_GB2312"/>
          <w:b/>
          <w:bCs/>
          <w:sz w:val="32"/>
          <w:szCs w:val="32"/>
        </w:rPr>
        <w:t>.</w:t>
      </w:r>
      <w:r>
        <w:rPr>
          <w:rFonts w:hint="eastAsia" w:ascii="仿宋_GB2312" w:eastAsia="仿宋_GB2312" w:cs="仿宋_GB2312"/>
          <w:b/>
          <w:bCs/>
          <w:sz w:val="32"/>
          <w:szCs w:val="32"/>
        </w:rPr>
        <w:t>项目背景</w:t>
      </w:r>
    </w:p>
    <w:bookmarkEnd w:id="0"/>
    <w:p w14:paraId="1F91774B">
      <w:pPr>
        <w:pStyle w:val="2"/>
        <w:pageBreakBefore w:val="0"/>
        <w:kinsoku/>
        <w:wordWrap/>
        <w:overflowPunct/>
        <w:topLinePunct w:val="0"/>
        <w:autoSpaceDE/>
        <w:autoSpaceDN/>
        <w:bidi w:val="0"/>
        <w:adjustRightInd/>
        <w:snapToGrid/>
        <w:spacing w:before="0" w:after="0" w:line="560" w:lineRule="exact"/>
        <w:ind w:firstLine="480" w:firstLineChars="150"/>
        <w:jc w:val="left"/>
        <w:textAlignment w:val="auto"/>
        <w:rPr>
          <w:rFonts w:hint="eastAsia" w:ascii="仿宋_GB2312" w:eastAsia="仿宋_GB2312" w:cs="仿宋_GB2312"/>
          <w:b w:val="0"/>
          <w:bCs w:val="0"/>
          <w:kern w:val="2"/>
          <w:lang w:eastAsia="zh-CN"/>
        </w:rPr>
      </w:pPr>
      <w:r>
        <w:rPr>
          <w:rFonts w:hint="eastAsia" w:ascii="仿宋_GB2312" w:eastAsia="仿宋_GB2312" w:cs="仿宋_GB2312"/>
          <w:b w:val="0"/>
          <w:bCs w:val="0"/>
          <w:kern w:val="2"/>
        </w:rPr>
        <w:t>按照自治区《关于进一步促进红十字事业发展的意见》，</w:t>
      </w:r>
      <w:bookmarkStart w:id="3" w:name="_GoBack"/>
      <w:bookmarkEnd w:id="3"/>
      <w:r>
        <w:rPr>
          <w:rFonts w:hint="eastAsia" w:ascii="仿宋_GB2312" w:eastAsia="仿宋_GB2312" w:cs="仿宋_GB2312"/>
          <w:b w:val="0"/>
          <w:bCs w:val="0"/>
          <w:kern w:val="2"/>
        </w:rPr>
        <w:t>地区行署《关于进一步促进红十字事业发展的实施意见》要求，针对地区雪灾、旱涝灾害、地震、火灾等自然灾害多发的特点，充分发挥红十字会在应急救护培训中的主体作用 ，积极推动红十字应急救护培训进社区 、进农村、进学校、进企业、进机关，不断提高应急救护知识普及率和知晓率，增强群众应急避险、自救互救能力。</w:t>
      </w:r>
      <w:r>
        <w:rPr>
          <w:rFonts w:hint="eastAsia" w:ascii="仿宋_GB2312" w:eastAsia="仿宋_GB2312" w:cs="仿宋_GB2312"/>
          <w:b w:val="0"/>
          <w:bCs w:val="0"/>
          <w:kern w:val="2"/>
          <w:lang w:eastAsia="zh-CN"/>
        </w:rPr>
        <w:t>根据文件要求结合实际工作同意实施该项目。</w:t>
      </w:r>
    </w:p>
    <w:p w14:paraId="519844DF">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kern w:val="2"/>
        </w:rPr>
      </w:pPr>
      <w:r>
        <w:rPr>
          <w:rFonts w:hint="eastAsia" w:ascii="仿宋_GB2312" w:eastAsia="仿宋_GB2312" w:cs="仿宋_GB2312"/>
          <w:b w:val="0"/>
          <w:bCs w:val="0"/>
          <w:kern w:val="2"/>
        </w:rPr>
        <w:t>为建立完善地区</w:t>
      </w:r>
      <w:r>
        <w:rPr>
          <w:rFonts w:hint="eastAsia" w:ascii="仿宋_GB2312" w:eastAsia="仿宋_GB2312" w:cs="仿宋_GB2312"/>
          <w:b w:val="0"/>
          <w:bCs w:val="0"/>
          <w:kern w:val="2"/>
          <w:lang w:eastAsia="zh-CN"/>
        </w:rPr>
        <w:t>红十字会应急救护</w:t>
      </w:r>
      <w:r>
        <w:rPr>
          <w:rFonts w:hint="eastAsia" w:ascii="仿宋_GB2312" w:eastAsia="仿宋_GB2312" w:cs="仿宋_GB2312"/>
          <w:b w:val="0"/>
          <w:bCs w:val="0"/>
          <w:kern w:val="2"/>
        </w:rPr>
        <w:t>服务体系，进一步</w:t>
      </w:r>
      <w:r>
        <w:rPr>
          <w:rFonts w:hint="eastAsia" w:ascii="仿宋_GB2312" w:eastAsia="仿宋_GB2312" w:cs="仿宋_GB2312"/>
          <w:b w:val="0"/>
          <w:bCs w:val="0"/>
          <w:kern w:val="2"/>
          <w:lang w:eastAsia="zh-CN"/>
        </w:rPr>
        <w:t>增强应急救护能力</w:t>
      </w:r>
      <w:r>
        <w:rPr>
          <w:rFonts w:hint="eastAsia" w:ascii="仿宋_GB2312" w:eastAsia="仿宋_GB2312" w:cs="仿宋_GB2312"/>
          <w:b w:val="0"/>
          <w:bCs w:val="0"/>
          <w:kern w:val="2"/>
        </w:rPr>
        <w:t>，为</w:t>
      </w:r>
      <w:r>
        <w:rPr>
          <w:rFonts w:hint="eastAsia" w:ascii="仿宋_GB2312" w:eastAsia="仿宋_GB2312" w:cs="仿宋_GB2312"/>
          <w:b w:val="0"/>
          <w:bCs w:val="0"/>
          <w:kern w:val="2"/>
          <w:lang w:eastAsia="zh-CN"/>
        </w:rPr>
        <w:t>社会建立一支</w:t>
      </w:r>
      <w:r>
        <w:rPr>
          <w:rFonts w:hint="eastAsia" w:ascii="仿宋_GB2312" w:eastAsia="仿宋_GB2312" w:cs="仿宋_GB2312"/>
          <w:b w:val="0"/>
          <w:bCs w:val="0"/>
          <w:kern w:val="2"/>
        </w:rPr>
        <w:t>提供系统化、规范化、专业化的</w:t>
      </w:r>
      <w:r>
        <w:rPr>
          <w:rFonts w:hint="eastAsia" w:ascii="仿宋_GB2312" w:eastAsia="仿宋_GB2312" w:cs="仿宋_GB2312"/>
          <w:b w:val="0"/>
          <w:bCs w:val="0"/>
          <w:kern w:val="2"/>
          <w:lang w:eastAsia="zh-CN"/>
        </w:rPr>
        <w:t>应急救护队伍</w:t>
      </w:r>
      <w:r>
        <w:rPr>
          <w:rFonts w:hint="eastAsia" w:ascii="仿宋_GB2312" w:eastAsia="仿宋_GB2312" w:cs="仿宋_GB2312"/>
          <w:b w:val="0"/>
          <w:bCs w:val="0"/>
          <w:kern w:val="2"/>
        </w:rPr>
        <w:t>，根据文件要求</w:t>
      </w:r>
      <w:r>
        <w:rPr>
          <w:rFonts w:hint="eastAsia" w:ascii="仿宋_GB2312" w:eastAsia="仿宋_GB2312" w:cs="仿宋_GB2312"/>
          <w:b w:val="0"/>
          <w:bCs w:val="0"/>
          <w:kern w:val="2"/>
          <w:lang w:eastAsia="zh-CN"/>
        </w:rPr>
        <w:t>进行应急救护</w:t>
      </w:r>
      <w:r>
        <w:rPr>
          <w:rFonts w:hint="eastAsia" w:ascii="仿宋_GB2312" w:eastAsia="仿宋_GB2312" w:cs="仿宋_GB2312"/>
          <w:b w:val="0"/>
          <w:bCs w:val="0"/>
          <w:kern w:val="2"/>
        </w:rPr>
        <w:t>服务体系</w:t>
      </w:r>
      <w:r>
        <w:rPr>
          <w:rFonts w:hint="eastAsia" w:ascii="仿宋_GB2312" w:eastAsia="仿宋_GB2312" w:cs="仿宋_GB2312"/>
          <w:b w:val="0"/>
          <w:bCs w:val="0"/>
          <w:kern w:val="2"/>
          <w:lang w:eastAsia="zh-CN"/>
        </w:rPr>
        <w:t>项目实施</w:t>
      </w:r>
      <w:r>
        <w:rPr>
          <w:rFonts w:hint="eastAsia" w:ascii="仿宋_GB2312" w:eastAsia="仿宋_GB2312" w:cs="仿宋_GB2312"/>
          <w:b w:val="0"/>
          <w:bCs w:val="0"/>
          <w:kern w:val="2"/>
        </w:rPr>
        <w:t>。</w:t>
      </w:r>
    </w:p>
    <w:p w14:paraId="26987B89">
      <w:pPr>
        <w:pageBreakBefore w:val="0"/>
        <w:numPr>
          <w:ilvl w:val="0"/>
          <w:numId w:val="1"/>
        </w:numPr>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项目主要内容及实施情况</w:t>
      </w:r>
    </w:p>
    <w:p w14:paraId="43F6AFAC">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b w:val="0"/>
          <w:bCs w:val="0"/>
          <w:kern w:val="2"/>
        </w:rPr>
      </w:pPr>
      <w:r>
        <w:rPr>
          <w:rFonts w:hint="eastAsia" w:ascii="仿宋_GB2312" w:hAnsi="Times New Roman" w:eastAsia="仿宋_GB2312" w:cs="仿宋_GB2312"/>
          <w:b w:val="0"/>
          <w:bCs w:val="0"/>
          <w:kern w:val="2"/>
        </w:rPr>
        <w:t>项目主要内容：</w:t>
      </w:r>
      <w:r>
        <w:rPr>
          <w:rFonts w:hint="eastAsia" w:ascii="仿宋_GB2312" w:eastAsia="仿宋_GB2312" w:cs="仿宋_GB2312"/>
          <w:b w:val="0"/>
          <w:bCs w:val="0"/>
          <w:kern w:val="2"/>
          <w:lang w:eastAsia="zh-CN"/>
        </w:rPr>
        <w:t>应急救护</w:t>
      </w:r>
      <w:r>
        <w:rPr>
          <w:rFonts w:hint="eastAsia" w:ascii="仿宋_GB2312" w:eastAsia="仿宋_GB2312" w:cs="仿宋_GB2312"/>
          <w:b w:val="0"/>
          <w:bCs w:val="0"/>
          <w:kern w:val="2"/>
        </w:rPr>
        <w:t>服务体系</w:t>
      </w:r>
      <w:r>
        <w:rPr>
          <w:rFonts w:hint="eastAsia" w:ascii="仿宋_GB2312" w:eastAsia="仿宋_GB2312" w:cs="仿宋_GB2312"/>
          <w:b w:val="0"/>
          <w:bCs w:val="0"/>
          <w:kern w:val="2"/>
          <w:lang w:eastAsia="zh-CN"/>
        </w:rPr>
        <w:t>项目共计投入资金</w:t>
      </w:r>
      <w:r>
        <w:rPr>
          <w:rFonts w:hint="eastAsia" w:ascii="仿宋_GB2312" w:eastAsia="仿宋_GB2312" w:cs="仿宋_GB2312"/>
          <w:b w:val="0"/>
          <w:bCs w:val="0"/>
          <w:kern w:val="2"/>
          <w:lang w:val="en-US" w:eastAsia="zh-CN"/>
        </w:rPr>
        <w:t>8.69</w:t>
      </w:r>
      <w:r>
        <w:rPr>
          <w:rFonts w:hint="eastAsia" w:ascii="仿宋_GB2312" w:eastAsia="仿宋_GB2312" w:cs="仿宋_GB2312"/>
          <w:b w:val="0"/>
          <w:bCs w:val="0"/>
          <w:kern w:val="2"/>
        </w:rPr>
        <w:t>万元，严格按时财务管理制度规定，主要用于</w:t>
      </w:r>
      <w:r>
        <w:rPr>
          <w:rFonts w:hint="eastAsia" w:ascii="仿宋_GB2312" w:eastAsia="仿宋_GB2312" w:cs="仿宋_GB2312"/>
          <w:b w:val="0"/>
          <w:bCs w:val="0"/>
          <w:kern w:val="2"/>
          <w:lang w:eastAsia="zh-CN"/>
        </w:rPr>
        <w:t>全区应急救护</w:t>
      </w:r>
      <w:r>
        <w:rPr>
          <w:rFonts w:hint="eastAsia" w:ascii="仿宋_GB2312" w:eastAsia="仿宋_GB2312" w:cs="仿宋_GB2312"/>
          <w:b w:val="0"/>
          <w:bCs w:val="0"/>
          <w:kern w:val="2"/>
        </w:rPr>
        <w:t>服务体系</w:t>
      </w:r>
      <w:r>
        <w:rPr>
          <w:rFonts w:hint="eastAsia" w:ascii="仿宋_GB2312" w:eastAsia="仿宋_GB2312" w:cs="仿宋_GB2312"/>
          <w:b w:val="0"/>
          <w:bCs w:val="0"/>
          <w:kern w:val="2"/>
          <w:lang w:eastAsia="zh-CN"/>
        </w:rPr>
        <w:t>提升</w:t>
      </w:r>
      <w:r>
        <w:rPr>
          <w:rFonts w:hint="eastAsia" w:ascii="仿宋_GB2312" w:eastAsia="仿宋_GB2312" w:cs="仿宋_GB2312"/>
          <w:b w:val="0"/>
          <w:bCs w:val="0"/>
          <w:kern w:val="2"/>
        </w:rPr>
        <w:t>费用。</w:t>
      </w:r>
    </w:p>
    <w:p w14:paraId="063633D5">
      <w:pPr>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32BC8D4A">
      <w:pPr>
        <w:pageBreakBefore w:val="0"/>
        <w:kinsoku/>
        <w:wordWrap/>
        <w:overflowPunct/>
        <w:topLinePunct w:val="0"/>
        <w:autoSpaceDE/>
        <w:autoSpaceDN/>
        <w:bidi w:val="0"/>
        <w:adjustRightInd/>
        <w:snapToGrid/>
        <w:spacing w:line="560" w:lineRule="exact"/>
        <w:ind w:firstLine="579" w:firstLineChars="181"/>
        <w:textAlignment w:val="auto"/>
        <w:rPr>
          <w:rFonts w:ascii="仿宋_GB2312" w:eastAsia="仿宋_GB2312" w:cs="仿宋_GB2312"/>
          <w:sz w:val="32"/>
          <w:szCs w:val="32"/>
        </w:rPr>
      </w:pPr>
      <w:r>
        <w:rPr>
          <w:rFonts w:hint="eastAsia" w:ascii="仿宋_GB2312" w:eastAsia="仿宋_GB2312" w:cs="仿宋_GB2312"/>
          <w:sz w:val="32"/>
          <w:szCs w:val="32"/>
        </w:rPr>
        <w:t>本项目总投资</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万元，其中：财政资金</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万元。项目实际支出</w:t>
      </w:r>
      <w:r>
        <w:rPr>
          <w:rFonts w:hint="eastAsia" w:ascii="仿宋_GB2312" w:eastAsia="仿宋_GB2312" w:cs="仿宋_GB2312"/>
          <w:sz w:val="32"/>
          <w:szCs w:val="32"/>
          <w:lang w:val="en-US" w:eastAsia="zh-CN"/>
        </w:rPr>
        <w:t>8.69</w:t>
      </w:r>
      <w:r>
        <w:rPr>
          <w:rFonts w:hint="eastAsia" w:ascii="仿宋_GB2312" w:eastAsia="仿宋_GB2312" w:cs="仿宋_GB2312"/>
          <w:sz w:val="32"/>
          <w:szCs w:val="32"/>
        </w:rPr>
        <w:t>万元， 支出率为</w:t>
      </w:r>
      <w:r>
        <w:rPr>
          <w:rFonts w:hint="eastAsia" w:ascii="仿宋_GB2312" w:eastAsia="仿宋_GB2312" w:cs="仿宋_GB2312"/>
          <w:sz w:val="32"/>
          <w:szCs w:val="32"/>
          <w:lang w:val="en-US" w:eastAsia="zh-CN"/>
        </w:rPr>
        <w:t>86.9</w:t>
      </w:r>
      <w:r>
        <w:rPr>
          <w:rFonts w:hint="eastAsia" w:ascii="仿宋_GB2312" w:eastAsia="仿宋_GB2312" w:cs="仿宋_GB2312"/>
          <w:sz w:val="32"/>
          <w:szCs w:val="32"/>
        </w:rPr>
        <w:t>%。</w:t>
      </w:r>
    </w:p>
    <w:p w14:paraId="59568BD3">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3</w:t>
      </w:r>
      <w:r>
        <w:rPr>
          <w:rFonts w:ascii="仿宋_GB2312" w:eastAsia="仿宋_GB2312" w:cs="仿宋_GB2312"/>
          <w:b/>
          <w:bCs/>
          <w:sz w:val="32"/>
          <w:szCs w:val="32"/>
        </w:rPr>
        <w:t>.</w:t>
      </w:r>
      <w:r>
        <w:rPr>
          <w:rFonts w:hint="eastAsia" w:ascii="仿宋_GB2312" w:eastAsia="仿宋_GB2312" w:cs="仿宋_GB2312"/>
          <w:b/>
          <w:bCs/>
          <w:sz w:val="32"/>
          <w:szCs w:val="32"/>
        </w:rPr>
        <w:t>资金投入和使用情况</w:t>
      </w:r>
    </w:p>
    <w:p w14:paraId="60F32F28">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（1）资金安排</w:t>
      </w:r>
      <w:r>
        <w:rPr>
          <w:rFonts w:ascii="仿宋_GB2312" w:eastAsia="仿宋_GB2312" w:cs="仿宋_GB2312"/>
          <w:sz w:val="32"/>
          <w:szCs w:val="32"/>
        </w:rPr>
        <w:t>：</w:t>
      </w:r>
      <w:r>
        <w:rPr>
          <w:rFonts w:hint="eastAsia" w:ascii="仿宋_GB2312" w:eastAsia="仿宋_GB2312" w:cs="仿宋_GB2312"/>
          <w:sz w:val="32"/>
          <w:szCs w:val="32"/>
        </w:rPr>
        <w:t>项目总投资</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万元，按照《</w:t>
      </w:r>
      <w:r>
        <w:rPr>
          <w:rFonts w:ascii="仿宋_GB2312" w:eastAsia="仿宋_GB2312" w:cs="仿宋_GB2312"/>
          <w:sz w:val="32"/>
          <w:szCs w:val="32"/>
        </w:rPr>
        <w:t>专项</w:t>
      </w:r>
      <w:r>
        <w:rPr>
          <w:rFonts w:hint="eastAsia" w:ascii="仿宋_GB2312" w:eastAsia="仿宋_GB2312" w:cs="仿宋_GB2312"/>
          <w:sz w:val="32"/>
          <w:szCs w:val="32"/>
        </w:rPr>
        <w:t>资金管理办法》及单位财务制度等相关规定，资金支出符合专项</w:t>
      </w:r>
      <w:r>
        <w:rPr>
          <w:rFonts w:ascii="仿宋_GB2312" w:eastAsia="仿宋_GB2312" w:cs="仿宋_GB2312"/>
          <w:sz w:val="32"/>
          <w:szCs w:val="32"/>
        </w:rPr>
        <w:t>业务</w:t>
      </w:r>
      <w:r>
        <w:rPr>
          <w:rFonts w:hint="eastAsia" w:ascii="仿宋_GB2312" w:eastAsia="仿宋_GB2312" w:cs="仿宋_GB2312"/>
          <w:sz w:val="32"/>
          <w:szCs w:val="32"/>
        </w:rPr>
        <w:t>资金费用范围，做到了专款专用。在项目资金拨付和使用过程中，为确保项目资金的安全性，提高项目资金使用效率，严格遵循</w:t>
      </w:r>
      <w:r>
        <w:rPr>
          <w:rFonts w:ascii="仿宋_GB2312" w:eastAsia="仿宋_GB2312" w:cs="仿宋_GB2312"/>
          <w:sz w:val="32"/>
          <w:szCs w:val="32"/>
        </w:rPr>
        <w:t>专项业务费</w:t>
      </w:r>
      <w:r>
        <w:rPr>
          <w:rFonts w:hint="eastAsia" w:ascii="仿宋_GB2312" w:eastAsia="仿宋_GB2312" w:cs="仿宋_GB2312"/>
          <w:sz w:val="32"/>
          <w:szCs w:val="32"/>
        </w:rPr>
        <w:t>资金的拨付程序，认真审核项目实施各阶段的相关材料和手续，根据项目实施进展情况拨付资金。</w:t>
      </w:r>
    </w:p>
    <w:p w14:paraId="1EEBEC29">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（2）预算资金来源及使用情况</w:t>
      </w:r>
      <w:bookmarkStart w:id="1" w:name="page10"/>
      <w:bookmarkEnd w:id="1"/>
      <w:r>
        <w:rPr>
          <w:rFonts w:ascii="仿宋_GB2312" w:eastAsia="仿宋_GB2312" w:cs="仿宋_GB2312"/>
          <w:sz w:val="32"/>
          <w:szCs w:val="32"/>
        </w:rPr>
        <w:t>：</w:t>
      </w:r>
      <w:r>
        <w:rPr>
          <w:rFonts w:hint="eastAsia" w:ascii="仿宋_GB2312" w:eastAsia="仿宋_GB2312" w:cs="仿宋_GB2312"/>
          <w:sz w:val="32"/>
          <w:szCs w:val="32"/>
        </w:rPr>
        <w:t>项目预算资金来源于</w:t>
      </w:r>
      <w:r>
        <w:rPr>
          <w:rFonts w:hint="eastAsia" w:ascii="仿宋_GB2312" w:eastAsia="仿宋_GB2312" w:cs="仿宋_GB2312"/>
          <w:sz w:val="32"/>
          <w:szCs w:val="32"/>
          <w:lang w:eastAsia="zh-CN"/>
        </w:rPr>
        <w:t>财政拨款</w:t>
      </w:r>
      <w:r>
        <w:rPr>
          <w:rFonts w:hint="eastAsia" w:ascii="仿宋_GB2312" w:eastAsia="仿宋_GB2312" w:cs="仿宋_GB2312"/>
          <w:sz w:val="32"/>
          <w:szCs w:val="32"/>
        </w:rPr>
        <w:t>，项目资金到位</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万元，实际支出</w:t>
      </w:r>
      <w:r>
        <w:rPr>
          <w:rFonts w:hint="eastAsia" w:ascii="仿宋_GB2312" w:eastAsia="仿宋_GB2312" w:cs="仿宋_GB2312"/>
          <w:sz w:val="32"/>
          <w:szCs w:val="32"/>
          <w:lang w:val="en-US" w:eastAsia="zh-CN"/>
        </w:rPr>
        <w:t>8.69</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w:t>
      </w:r>
      <w:r>
        <w:rPr>
          <w:rFonts w:hint="eastAsia" w:ascii="仿宋_GB2312" w:eastAsia="仿宋_GB2312" w:cs="仿宋_GB2312"/>
          <w:sz w:val="32"/>
          <w:szCs w:val="32"/>
        </w:rPr>
        <w:t>用于支付项目实施进程中的</w:t>
      </w:r>
      <w:r>
        <w:rPr>
          <w:rFonts w:hint="eastAsia" w:ascii="仿宋_GB2312" w:eastAsia="仿宋_GB2312" w:cs="仿宋_GB2312"/>
          <w:sz w:val="32"/>
          <w:szCs w:val="32"/>
          <w:lang w:eastAsia="zh-CN"/>
        </w:rPr>
        <w:t>各类</w:t>
      </w:r>
      <w:r>
        <w:rPr>
          <w:rFonts w:hint="eastAsia" w:ascii="仿宋_GB2312" w:eastAsia="仿宋_GB2312" w:cs="仿宋_GB2312"/>
          <w:sz w:val="32"/>
          <w:szCs w:val="32"/>
        </w:rPr>
        <w:t>费用。</w:t>
      </w:r>
    </w:p>
    <w:p w14:paraId="7A7C4DC1">
      <w:pPr>
        <w:pageBreakBefore w:val="0"/>
        <w:kinsoku/>
        <w:wordWrap/>
        <w:overflowPunct/>
        <w:topLinePunct w:val="0"/>
        <w:autoSpaceDE/>
        <w:autoSpaceDN/>
        <w:bidi w:val="0"/>
        <w:adjustRightInd/>
        <w:snapToGrid/>
        <w:spacing w:line="560" w:lineRule="exact"/>
        <w:ind w:firstLine="643" w:firstLineChars="200"/>
        <w:textAlignment w:val="auto"/>
        <w:rPr>
          <w:rFonts w:ascii="楷体_GB2312" w:eastAsia="楷体_GB2312" w:cs="楷体_GB2312"/>
          <w:b/>
          <w:bCs/>
          <w:sz w:val="32"/>
          <w:szCs w:val="32"/>
        </w:rPr>
      </w:pPr>
      <w:r>
        <w:rPr>
          <w:rFonts w:hint="eastAsia" w:ascii="楷体_GB2312" w:eastAsia="楷体_GB2312" w:cs="楷体_GB2312"/>
          <w:b/>
          <w:bCs/>
          <w:sz w:val="32"/>
          <w:szCs w:val="32"/>
          <w:lang w:eastAsia="zh-CN"/>
        </w:rPr>
        <w:t>（</w:t>
      </w:r>
      <w:r>
        <w:rPr>
          <w:rFonts w:ascii="楷体_GB2312" w:eastAsia="楷体_GB2312" w:cs="楷体_GB2312"/>
          <w:b/>
          <w:bCs/>
          <w:sz w:val="32"/>
          <w:szCs w:val="32"/>
        </w:rPr>
        <w:t>二</w:t>
      </w:r>
      <w:r>
        <w:rPr>
          <w:rFonts w:hint="eastAsia" w:ascii="楷体_GB2312" w:eastAsia="楷体_GB2312" w:cs="楷体_GB2312"/>
          <w:b/>
          <w:bCs/>
          <w:sz w:val="32"/>
          <w:szCs w:val="32"/>
          <w:lang w:eastAsia="zh-CN"/>
        </w:rPr>
        <w:t>）</w:t>
      </w:r>
      <w:r>
        <w:rPr>
          <w:rFonts w:hint="eastAsia" w:ascii="楷体_GB2312" w:eastAsia="楷体_GB2312" w:cs="楷体_GB2312"/>
          <w:b/>
          <w:bCs/>
          <w:sz w:val="32"/>
          <w:szCs w:val="32"/>
        </w:rPr>
        <w:t>项目绩效目标</w:t>
      </w:r>
    </w:p>
    <w:p w14:paraId="0C75411F">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Cs/>
          <w:sz w:val="32"/>
          <w:szCs w:val="32"/>
        </w:rPr>
      </w:pPr>
      <w:r>
        <w:rPr>
          <w:rFonts w:ascii="仿宋_GB2312" w:eastAsia="仿宋_GB2312" w:cs="仿宋_GB2312"/>
          <w:b/>
          <w:bCs/>
          <w:sz w:val="32"/>
          <w:szCs w:val="32"/>
        </w:rPr>
        <w:t>1.</w:t>
      </w:r>
      <w:r>
        <w:rPr>
          <w:rFonts w:hint="eastAsia" w:ascii="仿宋_GB2312" w:eastAsia="仿宋_GB2312" w:cs="仿宋_GB2312"/>
          <w:b/>
          <w:bCs/>
          <w:sz w:val="32"/>
          <w:szCs w:val="32"/>
        </w:rPr>
        <w:t>总体目标</w:t>
      </w:r>
      <w:r>
        <w:rPr>
          <w:rFonts w:ascii="仿宋_GB2312" w:eastAsia="仿宋_GB2312" w:cs="仿宋_GB2312"/>
          <w:sz w:val="32"/>
          <w:szCs w:val="32"/>
        </w:rPr>
        <w:t>：2</w:t>
      </w:r>
      <w:r>
        <w:rPr>
          <w:rFonts w:hint="eastAsia" w:ascii="仿宋_GB2312" w:eastAsia="仿宋_GB2312" w:cs="仿宋_GB2312"/>
          <w:sz w:val="32"/>
          <w:szCs w:val="32"/>
        </w:rPr>
        <w:t>020年</w:t>
      </w:r>
      <w:r>
        <w:rPr>
          <w:rFonts w:hint="eastAsia" w:ascii="仿宋_GB2312" w:eastAsia="仿宋_GB2312" w:cs="仿宋_GB2312"/>
          <w:sz w:val="32"/>
          <w:szCs w:val="32"/>
          <w:lang w:eastAsia="zh-CN"/>
        </w:rPr>
        <w:t>应急救护</w:t>
      </w:r>
      <w:r>
        <w:rPr>
          <w:rFonts w:hint="eastAsia" w:ascii="仿宋_GB2312" w:eastAsia="仿宋_GB2312" w:cs="仿宋_GB2312"/>
          <w:sz w:val="32"/>
          <w:szCs w:val="32"/>
        </w:rPr>
        <w:t>服务体系</w:t>
      </w:r>
      <w:r>
        <w:rPr>
          <w:rFonts w:hint="eastAsia" w:ascii="仿宋_GB2312" w:eastAsia="仿宋_GB2312" w:cs="仿宋_GB2312"/>
          <w:sz w:val="32"/>
          <w:szCs w:val="32"/>
          <w:lang w:eastAsia="zh-CN"/>
        </w:rPr>
        <w:t>项目</w:t>
      </w:r>
      <w:r>
        <w:rPr>
          <w:rFonts w:hint="eastAsia" w:ascii="仿宋_GB2312" w:eastAsia="仿宋_GB2312" w:cs="仿宋_GB2312"/>
          <w:sz w:val="32"/>
          <w:szCs w:val="32"/>
          <w:lang w:val="en-US" w:eastAsia="zh-CN"/>
        </w:rPr>
        <w:t>8.69</w:t>
      </w:r>
      <w:r>
        <w:rPr>
          <w:rFonts w:hint="eastAsia" w:ascii="仿宋_GB2312" w:eastAsia="仿宋_GB2312" w:cs="仿宋_GB2312"/>
          <w:sz w:val="32"/>
          <w:szCs w:val="32"/>
        </w:rPr>
        <w:t>万元，严格按时财务管理制度规定，主要用于支付项目实施进程中的</w:t>
      </w:r>
      <w:r>
        <w:rPr>
          <w:rFonts w:hint="eastAsia" w:ascii="仿宋_GB2312" w:eastAsia="仿宋_GB2312" w:cs="仿宋_GB2312"/>
          <w:sz w:val="32"/>
          <w:szCs w:val="32"/>
          <w:lang w:eastAsia="zh-CN"/>
        </w:rPr>
        <w:t>各类</w:t>
      </w:r>
      <w:r>
        <w:rPr>
          <w:rFonts w:hint="eastAsia" w:ascii="仿宋_GB2312" w:eastAsia="仿宋_GB2312" w:cs="仿宋_GB2312"/>
          <w:sz w:val="32"/>
          <w:szCs w:val="32"/>
        </w:rPr>
        <w:t>费用。</w:t>
      </w:r>
    </w:p>
    <w:p w14:paraId="6BD72E62">
      <w:pPr>
        <w:pStyle w:val="2"/>
        <w:pageBreakBefore w:val="0"/>
        <w:kinsoku/>
        <w:wordWrap/>
        <w:overflowPunct/>
        <w:topLinePunct w:val="0"/>
        <w:autoSpaceDE/>
        <w:autoSpaceDN/>
        <w:bidi w:val="0"/>
        <w:adjustRightInd/>
        <w:snapToGrid/>
        <w:spacing w:before="0" w:after="0" w:line="560" w:lineRule="exact"/>
        <w:ind w:firstLine="643" w:firstLineChars="200"/>
        <w:jc w:val="left"/>
        <w:textAlignment w:val="auto"/>
        <w:rPr>
          <w:rFonts w:hint="eastAsia" w:ascii="仿宋_GB2312" w:eastAsia="仿宋_GB2312" w:cs="仿宋_GB2312"/>
          <w:b/>
          <w:bCs/>
        </w:rPr>
      </w:pPr>
      <w:r>
        <w:rPr>
          <w:rFonts w:hint="eastAsia" w:ascii="仿宋_GB2312" w:eastAsia="仿宋_GB2312" w:cs="仿宋_GB2312"/>
          <w:b/>
          <w:bCs/>
        </w:rPr>
        <w:t>2</w:t>
      </w:r>
      <w:r>
        <w:rPr>
          <w:rFonts w:ascii="仿宋_GB2312" w:eastAsia="仿宋_GB2312" w:cs="仿宋_GB2312"/>
          <w:b/>
          <w:bCs/>
        </w:rPr>
        <w:t>.</w:t>
      </w:r>
      <w:r>
        <w:rPr>
          <w:rFonts w:hint="eastAsia" w:ascii="仿宋_GB2312" w:eastAsia="仿宋_GB2312" w:cs="仿宋_GB2312"/>
          <w:b/>
          <w:bCs/>
        </w:rPr>
        <w:t>阶段性目标</w:t>
      </w:r>
    </w:p>
    <w:p w14:paraId="62F50D60">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cs="仿宋_GB2312"/>
        </w:rPr>
      </w:pPr>
      <w:r>
        <w:rPr>
          <w:rFonts w:hint="eastAsia" w:ascii="仿宋_GB2312" w:eastAsia="仿宋_GB2312" w:cs="仿宋_GB2312"/>
          <w:b w:val="0"/>
          <w:bCs w:val="0"/>
        </w:rPr>
        <w:t>（1）前期准备：根据</w:t>
      </w:r>
      <w:r>
        <w:rPr>
          <w:rFonts w:ascii="仿宋_GB2312" w:eastAsia="仿宋_GB2312" w:cs="仿宋_GB2312"/>
          <w:b w:val="0"/>
          <w:bCs w:val="0"/>
        </w:rPr>
        <w:t>各相关部门的工作要求</w:t>
      </w:r>
      <w:r>
        <w:rPr>
          <w:rFonts w:hint="eastAsia" w:ascii="仿宋_GB2312" w:eastAsia="仿宋_GB2312" w:cs="仿宋_GB2312"/>
          <w:b w:val="0"/>
          <w:bCs w:val="0"/>
        </w:rPr>
        <w:t>，</w:t>
      </w:r>
      <w:r>
        <w:rPr>
          <w:rFonts w:ascii="仿宋_GB2312" w:eastAsia="仿宋_GB2312" w:cs="仿宋_GB2312"/>
          <w:b w:val="0"/>
          <w:bCs w:val="0"/>
        </w:rPr>
        <w:t>项目负责部门向党组提交项目审议事项</w:t>
      </w:r>
      <w:r>
        <w:rPr>
          <w:rFonts w:hint="eastAsia" w:ascii="仿宋_GB2312" w:eastAsia="仿宋_GB2312" w:cs="仿宋_GB2312"/>
          <w:b w:val="0"/>
          <w:bCs w:val="0"/>
        </w:rPr>
        <w:t>，</w:t>
      </w:r>
      <w:r>
        <w:rPr>
          <w:rFonts w:ascii="仿宋_GB2312" w:eastAsia="仿宋_GB2312" w:cs="仿宋_GB2312"/>
          <w:b w:val="0"/>
          <w:bCs w:val="0"/>
        </w:rPr>
        <w:t>按照三重一大制度，经党组会研究决定</w:t>
      </w:r>
      <w:r>
        <w:rPr>
          <w:rFonts w:hint="eastAsia" w:ascii="仿宋_GB2312" w:eastAsia="仿宋_GB2312" w:cs="仿宋_GB2312"/>
          <w:b w:val="0"/>
          <w:bCs w:val="0"/>
        </w:rPr>
        <w:t>通过</w:t>
      </w:r>
      <w:r>
        <w:rPr>
          <w:rFonts w:ascii="仿宋_GB2312" w:eastAsia="仿宋_GB2312" w:cs="仿宋_GB2312"/>
          <w:b w:val="0"/>
          <w:bCs w:val="0"/>
        </w:rPr>
        <w:t>后</w:t>
      </w:r>
      <w:r>
        <w:rPr>
          <w:rFonts w:hint="eastAsia" w:ascii="仿宋_GB2312" w:eastAsia="仿宋_GB2312" w:cs="仿宋_GB2312"/>
          <w:b w:val="0"/>
          <w:bCs w:val="0"/>
        </w:rPr>
        <w:t>，有序开展后续</w:t>
      </w:r>
      <w:r>
        <w:rPr>
          <w:rFonts w:ascii="仿宋_GB2312" w:eastAsia="仿宋_GB2312" w:cs="仿宋_GB2312"/>
          <w:b w:val="0"/>
          <w:bCs w:val="0"/>
        </w:rPr>
        <w:t>工作</w:t>
      </w:r>
      <w:r>
        <w:rPr>
          <w:rFonts w:hint="eastAsia" w:ascii="仿宋_GB2312" w:eastAsia="仿宋_GB2312" w:cs="仿宋_GB2312"/>
          <w:b w:val="0"/>
          <w:bCs w:val="0"/>
        </w:rPr>
        <w:t>。</w:t>
      </w:r>
    </w:p>
    <w:p w14:paraId="3608E210">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仿宋_GB2312"/>
          <w:color w:val="auto"/>
          <w:sz w:val="32"/>
          <w:szCs w:val="32"/>
          <w:lang w:eastAsia="zh-CN"/>
        </w:rPr>
      </w:pPr>
      <w:r>
        <w:rPr>
          <w:rFonts w:hint="eastAsia" w:ascii="仿宋_GB2312" w:eastAsia="仿宋_GB2312" w:cs="仿宋_GB2312"/>
          <w:color w:val="auto"/>
          <w:sz w:val="32"/>
          <w:szCs w:val="32"/>
        </w:rPr>
        <w:t>（2）组织实施：资金一到位，立即根据文件要求实施项目。项目责任人按照</w:t>
      </w:r>
      <w:r>
        <w:rPr>
          <w:rFonts w:ascii="仿宋_GB2312" w:eastAsia="仿宋_GB2312" w:cs="仿宋_GB2312"/>
          <w:color w:val="auto"/>
          <w:sz w:val="32"/>
          <w:szCs w:val="32"/>
        </w:rPr>
        <w:t>工作</w:t>
      </w:r>
      <w:r>
        <w:rPr>
          <w:rFonts w:hint="eastAsia" w:ascii="仿宋_GB2312" w:eastAsia="仿宋_GB2312" w:cs="仿宋_GB2312"/>
          <w:color w:val="auto"/>
          <w:sz w:val="32"/>
          <w:szCs w:val="32"/>
        </w:rPr>
        <w:t>要求逐一进行项目部署安排，提高项目质量及效率性。</w:t>
      </w:r>
      <w:r>
        <w:rPr>
          <w:rFonts w:ascii="仿宋_GB2312" w:eastAsia="仿宋_GB2312" w:cs="仿宋_GB2312"/>
          <w:color w:val="auto"/>
          <w:sz w:val="32"/>
          <w:szCs w:val="32"/>
        </w:rPr>
        <w:t>2020年</w:t>
      </w:r>
      <w:r>
        <w:rPr>
          <w:rFonts w:hint="eastAsia" w:ascii="仿宋_GB2312" w:eastAsia="仿宋_GB2312" w:cs="仿宋_GB2312"/>
          <w:color w:val="auto"/>
          <w:sz w:val="32"/>
          <w:szCs w:val="32"/>
          <w:lang w:eastAsia="zh-CN"/>
        </w:rPr>
        <w:t>年初制定应急救护</w:t>
      </w:r>
      <w:r>
        <w:rPr>
          <w:rFonts w:hint="eastAsia" w:ascii="仿宋_GB2312" w:eastAsia="仿宋_GB2312" w:cs="仿宋_GB2312"/>
          <w:color w:val="auto"/>
          <w:sz w:val="32"/>
          <w:szCs w:val="32"/>
        </w:rPr>
        <w:t>服务体系</w:t>
      </w:r>
      <w:r>
        <w:rPr>
          <w:rFonts w:hint="eastAsia" w:ascii="仿宋_GB2312" w:eastAsia="仿宋_GB2312" w:cs="仿宋_GB2312"/>
          <w:color w:val="auto"/>
          <w:sz w:val="32"/>
          <w:szCs w:val="32"/>
          <w:lang w:eastAsia="zh-CN"/>
        </w:rPr>
        <w:t>项目</w:t>
      </w:r>
      <w:r>
        <w:rPr>
          <w:rFonts w:ascii="仿宋_GB2312" w:eastAsia="仿宋_GB2312" w:cs="仿宋_GB2312"/>
          <w:color w:val="auto"/>
          <w:sz w:val="32"/>
          <w:szCs w:val="32"/>
        </w:rPr>
        <w:t>，在12月底完</w:t>
      </w:r>
      <w:r>
        <w:rPr>
          <w:rFonts w:hint="eastAsia" w:ascii="仿宋_GB2312" w:eastAsia="仿宋_GB2312" w:cs="仿宋_GB2312"/>
          <w:color w:val="auto"/>
          <w:sz w:val="32"/>
          <w:szCs w:val="32"/>
          <w:lang w:eastAsia="zh-CN"/>
        </w:rPr>
        <w:t>。</w:t>
      </w:r>
    </w:p>
    <w:p w14:paraId="2397320F">
      <w:pPr>
        <w:pageBreakBefore w:val="0"/>
        <w:kinsoku/>
        <w:wordWrap/>
        <w:overflowPunct/>
        <w:topLinePunct w:val="0"/>
        <w:autoSpaceDE/>
        <w:autoSpaceDN/>
        <w:bidi w:val="0"/>
        <w:adjustRightInd/>
        <w:snapToGrid/>
        <w:spacing w:line="560" w:lineRule="exact"/>
        <w:ind w:firstLine="641"/>
        <w:textAlignment w:val="auto"/>
        <w:rPr>
          <w:rFonts w:hint="eastAsia" w:ascii="黑体" w:eastAsia="黑体"/>
          <w:sz w:val="32"/>
          <w:szCs w:val="32"/>
        </w:rPr>
      </w:pPr>
    </w:p>
    <w:p w14:paraId="47D5DBEC">
      <w:pPr>
        <w:pageBreakBefore w:val="0"/>
        <w:kinsoku/>
        <w:wordWrap/>
        <w:overflowPunct/>
        <w:topLinePunct w:val="0"/>
        <w:autoSpaceDE/>
        <w:autoSpaceDN/>
        <w:bidi w:val="0"/>
        <w:adjustRightInd/>
        <w:snapToGrid/>
        <w:spacing w:line="560" w:lineRule="exact"/>
        <w:ind w:firstLine="641"/>
        <w:textAlignment w:val="auto"/>
        <w:rPr>
          <w:rFonts w:ascii="黑体" w:eastAsia="黑体"/>
          <w:b/>
          <w:bCs/>
          <w:sz w:val="32"/>
          <w:szCs w:val="32"/>
        </w:rPr>
      </w:pPr>
      <w:r>
        <w:rPr>
          <w:rFonts w:hint="eastAsia" w:ascii="黑体" w:eastAsia="黑体"/>
          <w:b/>
          <w:bCs/>
          <w:sz w:val="32"/>
          <w:szCs w:val="32"/>
        </w:rPr>
        <w:t>二、绩效评价工作开展情况</w:t>
      </w:r>
    </w:p>
    <w:p w14:paraId="1AB94F83">
      <w:pPr>
        <w:pageBreakBefore w:val="0"/>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（一）绩效评价目的、对象和范围</w:t>
      </w:r>
    </w:p>
    <w:p w14:paraId="36AE5BEF">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1</w:t>
      </w:r>
      <w:r>
        <w:rPr>
          <w:rFonts w:ascii="仿宋_GB2312" w:eastAsia="仿宋_GB2312" w:cs="仿宋_GB2312"/>
        </w:rPr>
        <w:t>.</w:t>
      </w:r>
      <w:r>
        <w:rPr>
          <w:rFonts w:hint="eastAsia" w:ascii="仿宋_GB2312" w:eastAsia="仿宋_GB2312" w:cs="仿宋_GB2312"/>
        </w:rPr>
        <w:t>绩效评价的目的</w:t>
      </w:r>
    </w:p>
    <w:p w14:paraId="4DAAD355">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4A16AD21">
      <w:pPr>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项目在实施前向项目负责人提供财政支出绩效方面的资金管理信息，促进项目支出严格按照资金管理规定进行。</w:t>
      </w:r>
    </w:p>
    <w:p w14:paraId="17B074C7">
      <w:pPr>
        <w:pageBreakBefore w:val="0"/>
        <w:kinsoku/>
        <w:wordWrap/>
        <w:overflowPunct/>
        <w:topLinePunct w:val="0"/>
        <w:autoSpaceDE/>
        <w:autoSpaceDN/>
        <w:bidi w:val="0"/>
        <w:adjustRightInd/>
        <w:snapToGrid/>
        <w:spacing w:line="560" w:lineRule="exact"/>
        <w:ind w:left="641"/>
        <w:textAlignment w:val="auto"/>
        <w:rPr>
          <w:rFonts w:ascii="仿宋_GB2312" w:eastAsia="仿宋_GB2312" w:cs="仿宋_GB2312"/>
          <w:sz w:val="32"/>
          <w:szCs w:val="32"/>
        </w:rPr>
      </w:pPr>
      <w:r>
        <w:rPr>
          <w:rFonts w:hint="eastAsia" w:ascii="仿宋_GB2312" w:eastAsia="仿宋_GB2312" w:cs="仿宋_GB2312"/>
          <w:sz w:val="32"/>
          <w:szCs w:val="32"/>
        </w:rPr>
        <w:t>（2）项目绩效管理财政支出运行提供及时、有效的信息。</w:t>
      </w:r>
    </w:p>
    <w:p w14:paraId="79DAC4D8">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sz w:val="32"/>
          <w:szCs w:val="32"/>
        </w:rPr>
      </w:pPr>
      <w:r>
        <w:rPr>
          <w:rFonts w:hint="eastAsia" w:ascii="仿宋_GB2312" w:eastAsia="仿宋_GB2312" w:cs="仿宋_GB2312"/>
          <w:sz w:val="32"/>
          <w:szCs w:val="32"/>
        </w:rPr>
        <w:t>综合来看</w:t>
      </w:r>
      <w:r>
        <w:rPr>
          <w:rFonts w:ascii="仿宋_GB2312" w:eastAsia="仿宋_GB2312" w:cs="仿宋_GB2312"/>
          <w:sz w:val="32"/>
          <w:szCs w:val="32"/>
        </w:rPr>
        <w:t>，</w:t>
      </w:r>
      <w:r>
        <w:rPr>
          <w:rFonts w:hint="eastAsia" w:ascii="仿宋_GB2312" w:eastAsia="仿宋_GB2312" w:cs="仿宋_GB2312"/>
          <w:sz w:val="32"/>
          <w:szCs w:val="32"/>
        </w:rPr>
        <w:t>通过开展有效的财政支出绩效评价管理，达到改进预算管理、控制节约成本，提高预算资金使用效益的目的。</w:t>
      </w:r>
      <w:r>
        <w:rPr>
          <w:rFonts w:ascii="仿宋_GB2312" w:eastAsia="仿宋_GB2312" w:cs="仿宋_GB2312"/>
          <w:sz w:val="32"/>
          <w:szCs w:val="32"/>
        </w:rPr>
        <w:t>对</w:t>
      </w:r>
      <w:r>
        <w:rPr>
          <w:rFonts w:hint="eastAsia" w:ascii="仿宋_GB2312" w:eastAsia="仿宋_GB2312" w:cs="仿宋_GB2312"/>
          <w:sz w:val="32"/>
          <w:szCs w:val="32"/>
          <w:lang w:eastAsia="zh-CN"/>
        </w:rPr>
        <w:t>应急救护</w:t>
      </w:r>
      <w:r>
        <w:rPr>
          <w:rFonts w:hint="eastAsia" w:ascii="仿宋_GB2312" w:eastAsia="仿宋_GB2312" w:cs="仿宋_GB2312"/>
          <w:sz w:val="32"/>
          <w:szCs w:val="32"/>
        </w:rPr>
        <w:t>服务体系</w:t>
      </w:r>
      <w:r>
        <w:rPr>
          <w:rFonts w:hint="eastAsia" w:ascii="仿宋_GB2312" w:eastAsia="仿宋_GB2312" w:cs="仿宋_GB2312"/>
          <w:sz w:val="32"/>
          <w:szCs w:val="32"/>
          <w:lang w:eastAsia="zh-CN"/>
        </w:rPr>
        <w:t>项目</w:t>
      </w:r>
      <w:r>
        <w:rPr>
          <w:rFonts w:ascii="仿宋_GB2312" w:eastAsia="仿宋_GB2312" w:cs="仿宋_GB2312"/>
          <w:sz w:val="32"/>
          <w:szCs w:val="32"/>
        </w:rPr>
        <w:t>进行绩效评价，进一步提高资金的使用率。</w:t>
      </w:r>
    </w:p>
    <w:p w14:paraId="24786874">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2</w:t>
      </w:r>
      <w:r>
        <w:rPr>
          <w:rFonts w:ascii="仿宋_GB2312" w:eastAsia="仿宋_GB2312" w:cs="仿宋_GB2312"/>
        </w:rPr>
        <w:t>.</w:t>
      </w:r>
      <w:r>
        <w:rPr>
          <w:rFonts w:hint="eastAsia" w:ascii="仿宋_GB2312" w:eastAsia="仿宋_GB2312" w:cs="仿宋_GB2312"/>
        </w:rPr>
        <w:t>绩效评价的对象</w:t>
      </w:r>
      <w:r>
        <w:rPr>
          <w:rFonts w:ascii="仿宋_GB2312" w:eastAsia="仿宋_GB2312" w:cs="仿宋_GB2312"/>
        </w:rPr>
        <w:t>：</w:t>
      </w:r>
    </w:p>
    <w:p w14:paraId="06CD5AF5">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评价对象为</w:t>
      </w:r>
      <w:r>
        <w:rPr>
          <w:rFonts w:hint="eastAsia" w:ascii="仿宋_GB2312" w:hAnsi="Times New Roman" w:eastAsia="仿宋_GB2312" w:cs="仿宋_GB2312"/>
          <w:b w:val="0"/>
          <w:bCs w:val="0"/>
          <w:kern w:val="2"/>
          <w:sz w:val="32"/>
          <w:szCs w:val="32"/>
          <w:lang w:val="en-US" w:eastAsia="zh-CN" w:bidi="ar-SA"/>
        </w:rPr>
        <w:t>应急救护服务体系项目，</w:t>
      </w:r>
      <w:r>
        <w:rPr>
          <w:rFonts w:hint="eastAsia" w:ascii="仿宋_GB2312" w:eastAsia="仿宋_GB2312" w:cs="仿宋_GB2312"/>
          <w:b w:val="0"/>
          <w:bCs w:val="0"/>
        </w:rPr>
        <w:t>评价核心为专项资金的支出完成情况和效果。</w:t>
      </w:r>
    </w:p>
    <w:p w14:paraId="2D1271C6">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b/>
          <w:bCs/>
          <w:sz w:val="32"/>
          <w:szCs w:val="32"/>
        </w:rPr>
      </w:pPr>
      <w:r>
        <w:rPr>
          <w:rFonts w:hint="eastAsia" w:ascii="仿宋_GB2312" w:eastAsia="仿宋_GB2312" w:cs="仿宋_GB2312"/>
          <w:b/>
          <w:bCs/>
          <w:sz w:val="32"/>
          <w:szCs w:val="32"/>
        </w:rPr>
        <w:t>3</w:t>
      </w:r>
      <w:r>
        <w:rPr>
          <w:rFonts w:ascii="仿宋_GB2312" w:eastAsia="仿宋_GB2312" w:cs="仿宋_GB2312"/>
          <w:b/>
          <w:bCs/>
          <w:sz w:val="32"/>
          <w:szCs w:val="32"/>
        </w:rPr>
        <w:t>.</w:t>
      </w:r>
      <w:r>
        <w:rPr>
          <w:rFonts w:hint="eastAsia" w:ascii="仿宋_GB2312" w:eastAsia="仿宋_GB2312" w:cs="仿宋_GB2312"/>
          <w:b/>
          <w:bCs/>
          <w:sz w:val="32"/>
          <w:szCs w:val="32"/>
        </w:rPr>
        <w:t>绩效评价的范围</w:t>
      </w:r>
    </w:p>
    <w:p w14:paraId="77C28DA4">
      <w:pPr>
        <w:pageBreakBefore w:val="0"/>
        <w:kinsoku/>
        <w:wordWrap/>
        <w:overflowPunct/>
        <w:topLinePunct w:val="0"/>
        <w:autoSpaceDE/>
        <w:autoSpaceDN/>
        <w:bidi w:val="0"/>
        <w:adjustRightInd/>
        <w:snapToGrid/>
        <w:spacing w:line="560" w:lineRule="exact"/>
        <w:ind w:firstLine="640" w:firstLineChars="200"/>
        <w:contextualSpacing/>
        <w:textAlignment w:val="auto"/>
        <w:rPr>
          <w:rFonts w:ascii="仿宋_GB2312" w:eastAsia="仿宋_GB2312" w:cs="仿宋_GB2312"/>
          <w:sz w:val="32"/>
          <w:szCs w:val="32"/>
        </w:rPr>
      </w:pPr>
      <w:r>
        <w:rPr>
          <w:rFonts w:hint="eastAsia" w:ascii="仿宋_GB2312" w:eastAsia="仿宋_GB2312" w:cs="仿宋_GB2312"/>
          <w:sz w:val="32"/>
          <w:szCs w:val="32"/>
        </w:rPr>
        <w:t>本次评价从</w:t>
      </w:r>
      <w:r>
        <w:rPr>
          <w:rFonts w:hint="eastAsia" w:ascii="仿宋_GB2312" w:hAnsi="Times New Roman" w:eastAsia="仿宋_GB2312" w:cs="仿宋_GB2312"/>
          <w:b w:val="0"/>
          <w:bCs w:val="0"/>
          <w:kern w:val="2"/>
          <w:sz w:val="32"/>
          <w:szCs w:val="32"/>
          <w:lang w:val="en-US" w:eastAsia="zh-CN" w:bidi="ar-SA"/>
        </w:rPr>
        <w:t>应急救护服务体系项目</w:t>
      </w:r>
      <w:r>
        <w:rPr>
          <w:rFonts w:hint="eastAsia" w:ascii="仿宋_GB2312" w:eastAsia="仿宋_GB2312" w:cs="仿宋_GB2312"/>
          <w:sz w:val="32"/>
          <w:szCs w:val="32"/>
        </w:rPr>
        <w:t>决策、项目管理、项目产出</w:t>
      </w:r>
      <w:r>
        <w:rPr>
          <w:rFonts w:hint="eastAsia" w:ascii="仿宋_GB2312" w:eastAsia="仿宋_GB2312" w:cs="仿宋_GB2312"/>
          <w:sz w:val="32"/>
          <w:szCs w:val="32"/>
          <w:lang w:eastAsia="zh-CN"/>
        </w:rPr>
        <w:t>、</w:t>
      </w:r>
      <w:r>
        <w:rPr>
          <w:rFonts w:hint="eastAsia" w:ascii="仿宋_GB2312" w:eastAsia="仿宋_GB2312" w:cs="仿宋_GB2312"/>
          <w:sz w:val="32"/>
          <w:szCs w:val="32"/>
        </w:rPr>
        <w:t>项目效益四个维度进行评价。</w:t>
      </w:r>
    </w:p>
    <w:p w14:paraId="381705A7">
      <w:pPr>
        <w:pageBreakBefore w:val="0"/>
        <w:kinsoku/>
        <w:wordWrap/>
        <w:overflowPunct/>
        <w:topLinePunct w:val="0"/>
        <w:autoSpaceDE/>
        <w:autoSpaceDN/>
        <w:bidi w:val="0"/>
        <w:adjustRightInd/>
        <w:snapToGrid/>
        <w:spacing w:line="560" w:lineRule="exact"/>
        <w:ind w:firstLine="641"/>
        <w:textAlignment w:val="auto"/>
        <w:rPr>
          <w:rFonts w:ascii="仿宋_GB2312" w:hAnsi="仿宋_GB2312"/>
        </w:rPr>
      </w:pPr>
      <w:r>
        <w:rPr>
          <w:rFonts w:hint="eastAsia" w:ascii="楷体_GB2312" w:eastAsia="楷体_GB2312" w:cs="楷体_GB2312"/>
          <w:b/>
          <w:bCs/>
          <w:sz w:val="32"/>
          <w:szCs w:val="32"/>
        </w:rPr>
        <w:t>（二）绩效评价原则、评价指标体系（详情见表1）、评价方法、评价标准。</w:t>
      </w:r>
    </w:p>
    <w:p w14:paraId="7215AE28">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1</w:t>
      </w:r>
      <w:r>
        <w:rPr>
          <w:rFonts w:ascii="仿宋_GB2312" w:eastAsia="仿宋_GB2312" w:cs="仿宋_GB2312"/>
        </w:rPr>
        <w:t>.</w:t>
      </w:r>
      <w:r>
        <w:rPr>
          <w:rFonts w:hint="eastAsia" w:ascii="仿宋_GB2312" w:eastAsia="仿宋_GB2312" w:cs="仿宋_GB2312"/>
        </w:rPr>
        <w:t>绩效评价原则</w:t>
      </w:r>
    </w:p>
    <w:p w14:paraId="54662ECD">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z w:val="32"/>
          <w:szCs w:val="32"/>
        </w:rPr>
      </w:pPr>
      <w:r>
        <w:rPr>
          <w:rFonts w:hint="eastAsia" w:ascii="仿宋_GB2312" w:eastAsia="仿宋_GB2312" w:cs="仿宋_GB2312"/>
          <w:color w:val="000000"/>
          <w:sz w:val="32"/>
          <w:szCs w:val="32"/>
        </w:rPr>
        <w:t>本次项目绩效评价遵循以下基本原则：</w:t>
      </w:r>
    </w:p>
    <w:p w14:paraId="49FA8B43">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（1）科学公正。绩效评价应当运用科学合理的方法，按照规范的程序，对项目绩效进行客观、公正的反映。</w:t>
      </w:r>
    </w:p>
    <w:p w14:paraId="04D64578">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（2）统筹兼顾。单位自评、部门评价和财政评价应职责明确，各有侧重，相互衔接。单位自评应由项目单位自主实施，即“谁支出、谁自评”。</w:t>
      </w:r>
    </w:p>
    <w:p w14:paraId="3072D900">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（3）激励约束。绩效评价结果应与预算安排、政策调整、改进管理实质性挂钩，体现奖优罚劣和激励相容导向，有效要安排、低效要压减、无效要问责。</w:t>
      </w:r>
    </w:p>
    <w:p w14:paraId="2DD952F2">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（4）公开透明。绩效评价结果应依法依规公开，并自觉接受社会监督。</w:t>
      </w:r>
    </w:p>
    <w:p w14:paraId="59E532C5">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rPr>
      </w:pPr>
      <w:r>
        <w:rPr>
          <w:rFonts w:hint="eastAsia" w:ascii="仿宋_GB2312" w:eastAsia="仿宋_GB2312" w:cs="仿宋_GB2312"/>
        </w:rPr>
        <w:t>2</w:t>
      </w:r>
      <w:r>
        <w:rPr>
          <w:rFonts w:ascii="仿宋_GB2312" w:eastAsia="仿宋_GB2312" w:cs="仿宋_GB2312"/>
        </w:rPr>
        <w:t>.</w:t>
      </w:r>
      <w:r>
        <w:rPr>
          <w:rFonts w:hint="eastAsia" w:ascii="仿宋_GB2312" w:eastAsia="仿宋_GB2312" w:cs="仿宋_GB2312"/>
        </w:rPr>
        <w:t>评价指标体系</w:t>
      </w:r>
    </w:p>
    <w:p w14:paraId="1BE13166">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绩效评价框架是开展绩效评价的核心。绩效评价框架包括评价准则、关键评价问题、评价指标、数据来源、数据收集方法等。指标体系建立过程如下：</w:t>
      </w:r>
    </w:p>
    <w:p w14:paraId="14C685C2">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（1）确定评价指标</w:t>
      </w:r>
    </w:p>
    <w:p w14:paraId="5E1B7527">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采用层次分析法，建立评价指标体系。绩效评价将指标分为项目决策指标、项目过程指标、项目产出指标、项目效益指标四个维度，最终形成一个由多个相互联系的指标组成的多层次指标体系。</w:t>
      </w:r>
    </w:p>
    <w:p w14:paraId="45F58EDB">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（2）确定权重</w:t>
      </w:r>
    </w:p>
    <w:p w14:paraId="0B555769">
      <w:pPr>
        <w:pStyle w:val="2"/>
        <w:keepNext w:val="0"/>
        <w:keepLines w:val="0"/>
        <w:pageBreakBefore w:val="0"/>
        <w:widowControl/>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eastAsia="仿宋_GB2312" w:cs="仿宋_GB2312"/>
          <w:b w:val="0"/>
          <w:bCs w:val="0"/>
        </w:rPr>
      </w:pPr>
      <w:r>
        <w:rPr>
          <w:rFonts w:hint="eastAsia" w:ascii="仿宋_GB2312" w:eastAsia="仿宋_GB2312" w:cs="仿宋_GB2312"/>
          <w:b w:val="0"/>
          <w:bCs w:val="0"/>
        </w:rPr>
        <w:t>确定各个指标相对于项目总体绩效的权重分值。在绩效评价指标体系中，项目决策权重占5%，项目过程权重占5%，项目产出权重值占</w:t>
      </w:r>
      <w:r>
        <w:rPr>
          <w:rFonts w:hint="eastAsia" w:ascii="仿宋_GB2312" w:eastAsia="仿宋_GB2312" w:cs="仿宋_GB2312"/>
          <w:b w:val="0"/>
          <w:bCs w:val="0"/>
          <w:lang w:val="en-US" w:eastAsia="zh-CN"/>
        </w:rPr>
        <w:t>40</w:t>
      </w:r>
      <w:r>
        <w:rPr>
          <w:rFonts w:hint="eastAsia" w:ascii="仿宋_GB2312" w:eastAsia="仿宋_GB2312" w:cs="仿宋_GB2312"/>
          <w:b w:val="0"/>
          <w:bCs w:val="0"/>
        </w:rPr>
        <w:t>%，项目效益权重值占</w:t>
      </w:r>
      <w:r>
        <w:rPr>
          <w:rFonts w:hint="eastAsia" w:ascii="仿宋_GB2312" w:eastAsia="仿宋_GB2312" w:cs="仿宋_GB2312"/>
          <w:b w:val="0"/>
          <w:bCs w:val="0"/>
          <w:lang w:val="en-US" w:eastAsia="zh-CN"/>
        </w:rPr>
        <w:t>5</w:t>
      </w:r>
      <w:r>
        <w:rPr>
          <w:rFonts w:hint="eastAsia" w:ascii="仿宋_GB2312" w:eastAsia="仿宋_GB2312" w:cs="仿宋_GB2312"/>
          <w:b w:val="0"/>
          <w:bCs w:val="0"/>
        </w:rPr>
        <w:t>0%。</w:t>
      </w:r>
    </w:p>
    <w:p w14:paraId="1007A544">
      <w:pPr>
        <w:pageBreakBefore w:val="0"/>
        <w:kinsoku/>
        <w:wordWrap/>
        <w:overflowPunct/>
        <w:topLinePunct w:val="0"/>
        <w:autoSpaceDE/>
        <w:autoSpaceDN/>
        <w:bidi w:val="0"/>
        <w:adjustRightInd/>
        <w:snapToGrid/>
        <w:spacing w:line="560" w:lineRule="exact"/>
        <w:ind w:firstLine="641"/>
        <w:textAlignment w:val="auto"/>
        <w:rPr>
          <w:rFonts w:ascii="仿宋_GB2312" w:eastAsia="仿宋_GB2312" w:cs="仿宋_GB2312"/>
          <w:color w:val="000000"/>
          <w:spacing w:val="17"/>
          <w:sz w:val="32"/>
          <w:szCs w:val="32"/>
        </w:rPr>
      </w:pPr>
      <w:r>
        <w:rPr>
          <w:rFonts w:hint="eastAsia" w:ascii="仿宋_GB2312" w:eastAsia="仿宋_GB2312" w:cs="仿宋_GB2312"/>
          <w:color w:val="000000"/>
          <w:spacing w:val="17"/>
          <w:sz w:val="32"/>
          <w:szCs w:val="32"/>
        </w:rPr>
        <w:t>（3）确定指标标准值</w:t>
      </w:r>
    </w:p>
    <w:p w14:paraId="3AFD3F6F">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指标标准值是绩效评价指标的尺度，既要反映同类项目的先进水平，又要符合项目的实际绩效水平。具体采用计划标准等确定此次绩效评价指标标准值。</w:t>
      </w:r>
    </w:p>
    <w:p w14:paraId="378A999A">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绩效评价总分值100分，根据综合评分结果，评价计分90分</w:t>
      </w:r>
      <w:r>
        <w:rPr>
          <w:rFonts w:hint="eastAsia" w:ascii="仿宋_GB2312" w:eastAsia="仿宋_GB2312" w:cs="仿宋_GB2312"/>
          <w:b w:val="0"/>
          <w:bCs w:val="0"/>
          <w:lang w:eastAsia="zh-CN"/>
        </w:rPr>
        <w:t>－</w:t>
      </w:r>
      <w:r>
        <w:rPr>
          <w:rFonts w:hint="eastAsia" w:ascii="仿宋_GB2312" w:eastAsia="仿宋_GB2312" w:cs="仿宋_GB2312"/>
          <w:b w:val="0"/>
          <w:bCs w:val="0"/>
        </w:rPr>
        <w:t>100分（含90分）对应的评分结果级别为优，80-90分（含80分）对应的评分结果级别为良，60-80分（含60分）对应的评分结果级别为中，60分以下对应的评分结果级别为差。</w:t>
      </w:r>
    </w:p>
    <w:p w14:paraId="4344E5CA">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具体评价指标体系详情见附件1</w:t>
      </w:r>
    </w:p>
    <w:p w14:paraId="4F4D74DB">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3.绩效评价方法</w:t>
      </w:r>
    </w:p>
    <w:p w14:paraId="3D477E75">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绩效评价从项目决策、项目过程、项目产出、项目效益四个维度进行评价。评价对象为项目目标实施情况，评价核心为资金的支出完成情况和项目的产出效益。</w:t>
      </w:r>
    </w:p>
    <w:p w14:paraId="43C930C1">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本次评价指标中，既有定性指标又有定量指标，各类指标因考核内容不同和客观标准不同存在较大差异，因此核定具体指标时采用了不同方法，具体评价方法如下：</w:t>
      </w:r>
    </w:p>
    <w:p w14:paraId="13ECF09F">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（1）比较法</w:t>
      </w:r>
    </w:p>
    <w:p w14:paraId="02AD5D5A">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通过对绩效目标与实施效果、历史与当期情况，综合分析绩效目标实现程度。对项目最终验收情况与年度绩效目标对比、预算资金执行情况等相关因素进行比较。</w:t>
      </w:r>
    </w:p>
    <w:p w14:paraId="79A2ABD9">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（2）因素分析法</w:t>
      </w:r>
    </w:p>
    <w:p w14:paraId="27DBBD9B">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eastAsia="仿宋_GB2312" w:cs="仿宋_GB2312"/>
          <w:b w:val="0"/>
          <w:bCs w:val="0"/>
        </w:rPr>
      </w:pPr>
      <w:r>
        <w:rPr>
          <w:rFonts w:hint="eastAsia" w:ascii="仿宋_GB2312" w:eastAsia="仿宋_GB2312" w:cs="仿宋_GB2312"/>
          <w:b w:val="0"/>
          <w:bCs w:val="0"/>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437E4A10">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eastAsia="仿宋_GB2312" w:cs="仿宋_GB2312"/>
          <w:b w:val="0"/>
          <w:bCs w:val="0"/>
          <w:lang w:val="en-US" w:eastAsia="zh-CN"/>
        </w:rPr>
      </w:pPr>
      <w:r>
        <w:rPr>
          <w:rFonts w:hint="eastAsia" w:ascii="仿宋_GB2312" w:eastAsia="仿宋_GB2312" w:cs="仿宋_GB2312"/>
          <w:b w:val="0"/>
          <w:bCs w:val="0"/>
          <w:lang w:val="en-US" w:eastAsia="zh-CN"/>
        </w:rPr>
        <w:t>4</w:t>
      </w:r>
      <w:r>
        <w:rPr>
          <w:rFonts w:hint="eastAsia" w:ascii="仿宋_GB2312" w:eastAsia="仿宋_GB2312" w:cs="仿宋_GB2312"/>
          <w:b w:val="0"/>
          <w:bCs w:val="0"/>
        </w:rPr>
        <w:t>、绩效评价</w:t>
      </w:r>
      <w:r>
        <w:rPr>
          <w:rFonts w:hint="eastAsia" w:ascii="仿宋_GB2312" w:eastAsia="仿宋_GB2312" w:cs="仿宋_GB2312"/>
          <w:b w:val="0"/>
          <w:bCs w:val="0"/>
          <w:lang w:val="en-US" w:eastAsia="zh-CN"/>
        </w:rPr>
        <w:t>标准</w:t>
      </w:r>
    </w:p>
    <w:p w14:paraId="596EE206">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eastAsia="仿宋_GB2312" w:cs="仿宋_GB2312"/>
          <w:b w:val="0"/>
          <w:bCs w:val="0"/>
        </w:rPr>
      </w:pPr>
      <w:r>
        <w:rPr>
          <w:rFonts w:hint="eastAsia" w:ascii="仿宋_GB2312" w:eastAsia="仿宋_GB2312" w:cs="仿宋_GB2312"/>
          <w:b w:val="0"/>
          <w:bCs w:val="0"/>
        </w:rPr>
        <w:t>绩效评价标准通常包括计划标准、行业标准、历史标准等，用于对绩效指标完成情况进行比较。本次评价主要采用了计划标准和行业标准。</w:t>
      </w:r>
    </w:p>
    <w:p w14:paraId="3EC4B7F1">
      <w:pPr>
        <w:pageBreakBefore w:val="0"/>
        <w:kinsoku/>
        <w:wordWrap/>
        <w:overflowPunct/>
        <w:topLinePunct w:val="0"/>
        <w:autoSpaceDE/>
        <w:autoSpaceDN/>
        <w:bidi w:val="0"/>
        <w:adjustRightInd/>
        <w:snapToGrid/>
        <w:spacing w:line="560" w:lineRule="exact"/>
        <w:ind w:firstLine="641"/>
        <w:textAlignment w:val="auto"/>
        <w:rPr>
          <w:rFonts w:hint="eastAsia" w:ascii="楷体_GB2312" w:hAnsi="楷体_GB2312" w:eastAsia="楷体_GB2312" w:cs="楷体_GB2312"/>
          <w:b/>
          <w:bCs/>
          <w:sz w:val="32"/>
          <w:szCs w:val="32"/>
          <w:highlight w:val="none"/>
          <w:shd w:val="clear" w:color="auto" w:fill="auto"/>
          <w:lang w:val="en-US" w:eastAsia="zh-CN"/>
        </w:rPr>
      </w:pPr>
      <w:r>
        <w:rPr>
          <w:rFonts w:hint="eastAsia" w:ascii="楷体_GB2312" w:hAnsi="楷体_GB2312" w:eastAsia="楷体_GB2312" w:cs="楷体_GB2312"/>
          <w:b/>
          <w:bCs/>
          <w:sz w:val="32"/>
          <w:szCs w:val="32"/>
          <w:highlight w:val="none"/>
          <w:shd w:val="clear" w:color="auto" w:fill="auto"/>
          <w:lang w:val="en-US" w:eastAsia="zh-CN"/>
        </w:rPr>
        <w:t>（三）绩效评价工作过程。</w:t>
      </w:r>
    </w:p>
    <w:p w14:paraId="3BB970A7">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default" w:ascii="仿宋_GB2312" w:eastAsia="仿宋_GB2312" w:cs="仿宋_GB2312"/>
          <w:b w:val="0"/>
          <w:bCs w:val="0"/>
          <w:lang w:val="en-US" w:eastAsia="zh-CN"/>
        </w:rPr>
      </w:pPr>
      <w:r>
        <w:rPr>
          <w:rFonts w:hint="default" w:ascii="仿宋_GB2312" w:eastAsia="仿宋_GB2312" w:cs="仿宋_GB2312"/>
          <w:b w:val="0"/>
          <w:bCs w:val="0"/>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14:paraId="5AE75563">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default" w:ascii="仿宋_GB2312" w:eastAsia="仿宋_GB2312" w:cs="仿宋_GB2312"/>
          <w:b w:val="0"/>
          <w:bCs w:val="0"/>
          <w:lang w:val="en-US" w:eastAsia="zh-CN"/>
        </w:rPr>
      </w:pPr>
      <w:r>
        <w:rPr>
          <w:rFonts w:hint="default" w:ascii="仿宋_GB2312" w:eastAsia="仿宋_GB2312" w:cs="仿宋_GB2312"/>
          <w:b w:val="0"/>
          <w:bCs w:val="0"/>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14:paraId="1E5B4E91">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eastAsia="仿宋_GB2312" w:cs="仿宋_GB2312"/>
          <w:b w:val="0"/>
          <w:bCs w:val="0"/>
          <w:lang w:eastAsia="zh-CN"/>
        </w:rPr>
      </w:pPr>
      <w:r>
        <w:rPr>
          <w:rFonts w:hint="default" w:ascii="仿宋_GB2312" w:eastAsia="仿宋_GB2312" w:cs="仿宋_GB2312"/>
          <w:b w:val="0"/>
          <w:bCs w:val="0"/>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14:paraId="23253EE2">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黑体" w:hAnsi="黑体" w:eastAsia="黑体" w:cs="黑体"/>
        </w:rPr>
      </w:pPr>
      <w:r>
        <w:rPr>
          <w:rFonts w:hint="eastAsia" w:ascii="黑体" w:hAnsi="黑体" w:eastAsia="黑体" w:cs="黑体"/>
        </w:rPr>
        <w:t>三、综合评价情况及评价结论（附相关评分表）</w:t>
      </w:r>
    </w:p>
    <w:p w14:paraId="49D8AA62">
      <w:pPr>
        <w:pStyle w:val="2"/>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eastAsia="仿宋_GB2312" w:cs="仿宋_GB2312"/>
          <w:b w:val="0"/>
          <w:bCs w:val="0"/>
        </w:rPr>
      </w:pPr>
      <w:r>
        <w:rPr>
          <w:rFonts w:hint="eastAsia" w:ascii="仿宋_GB2312" w:eastAsia="仿宋_GB2312" w:cs="仿宋_GB2312"/>
          <w:b w:val="0"/>
          <w:bCs w:val="0"/>
        </w:rPr>
        <w:t>对</w:t>
      </w:r>
      <w:r>
        <w:rPr>
          <w:rFonts w:hint="eastAsia" w:ascii="仿宋_GB2312" w:eastAsia="仿宋_GB2312" w:cs="仿宋_GB2312"/>
          <w:b w:val="0"/>
          <w:bCs w:val="0"/>
          <w:kern w:val="2"/>
          <w:lang w:eastAsia="zh-CN"/>
        </w:rPr>
        <w:t>应急救护</w:t>
      </w:r>
      <w:r>
        <w:rPr>
          <w:rFonts w:hint="eastAsia" w:ascii="仿宋_GB2312" w:eastAsia="仿宋_GB2312" w:cs="仿宋_GB2312"/>
          <w:b w:val="0"/>
          <w:bCs w:val="0"/>
          <w:kern w:val="2"/>
        </w:rPr>
        <w:t>服务体系</w:t>
      </w:r>
      <w:r>
        <w:rPr>
          <w:rFonts w:hint="eastAsia" w:ascii="仿宋_GB2312" w:eastAsia="仿宋_GB2312" w:cs="仿宋_GB2312"/>
          <w:b w:val="0"/>
          <w:bCs w:val="0"/>
          <w:kern w:val="2"/>
          <w:lang w:eastAsia="zh-CN"/>
        </w:rPr>
        <w:t>项目</w:t>
      </w:r>
      <w:r>
        <w:rPr>
          <w:rFonts w:hint="eastAsia" w:ascii="仿宋_GB2312" w:eastAsia="仿宋_GB2312" w:cs="仿宋_GB2312"/>
          <w:b w:val="0"/>
          <w:bCs w:val="0"/>
        </w:rPr>
        <w:t>进行客观评价，最终评分结果：总得分为</w:t>
      </w:r>
      <w:r>
        <w:rPr>
          <w:rFonts w:hint="eastAsia" w:ascii="仿宋_GB2312" w:eastAsia="仿宋_GB2312" w:cs="仿宋_GB2312"/>
          <w:b w:val="0"/>
          <w:bCs w:val="0"/>
          <w:lang w:val="en-US" w:eastAsia="zh-CN"/>
        </w:rPr>
        <w:t>95.4</w:t>
      </w:r>
      <w:r>
        <w:rPr>
          <w:rFonts w:hint="eastAsia" w:ascii="仿宋_GB2312" w:eastAsia="仿宋_GB2312" w:cs="仿宋_GB2312"/>
          <w:b w:val="0"/>
          <w:bCs w:val="0"/>
        </w:rPr>
        <w:t>分，属于“优”。其中，</w:t>
      </w:r>
      <w:r>
        <w:rPr>
          <w:rFonts w:hint="eastAsia" w:ascii="仿宋_GB2312" w:eastAsia="仿宋_GB2312" w:cs="仿宋_GB2312"/>
          <w:b w:val="0"/>
          <w:bCs w:val="0"/>
          <w:color w:val="auto"/>
        </w:rPr>
        <w:t>项目决策类指标权重为5分，得分为 5分，得分率为100%。</w:t>
      </w:r>
      <w:r>
        <w:rPr>
          <w:rFonts w:hint="eastAsia" w:ascii="仿宋_GB2312" w:eastAsia="仿宋_GB2312" w:cs="仿宋_GB2312"/>
          <w:b w:val="0"/>
          <w:bCs w:val="0"/>
          <w:color w:val="000000" w:themeColor="text1"/>
          <w14:textFill>
            <w14:solidFill>
              <w14:schemeClr w14:val="tx1"/>
            </w14:solidFill>
          </w14:textFill>
        </w:rPr>
        <w:t>项目过程类指标权重为5分，得分为4.</w:t>
      </w:r>
      <w:r>
        <w:rPr>
          <w:rFonts w:hint="eastAsia" w:ascii="仿宋_GB2312" w:eastAsia="仿宋_GB2312" w:cs="仿宋_GB2312"/>
          <w:b w:val="0"/>
          <w:bCs w:val="0"/>
          <w:color w:val="000000" w:themeColor="text1"/>
          <w:lang w:val="en-US" w:eastAsia="zh-CN"/>
          <w14:textFill>
            <w14:solidFill>
              <w14:schemeClr w14:val="tx1"/>
            </w14:solidFill>
          </w14:textFill>
        </w:rPr>
        <w:t>9</w:t>
      </w:r>
      <w:r>
        <w:rPr>
          <w:rFonts w:hint="eastAsia" w:ascii="仿宋_GB2312" w:eastAsia="仿宋_GB2312" w:cs="仿宋_GB2312"/>
          <w:b w:val="0"/>
          <w:bCs w:val="0"/>
          <w:color w:val="000000" w:themeColor="text1"/>
          <w14:textFill>
            <w14:solidFill>
              <w14:schemeClr w14:val="tx1"/>
            </w14:solidFill>
          </w14:textFill>
        </w:rPr>
        <w:t>分，得分率为 9</w:t>
      </w:r>
      <w:r>
        <w:rPr>
          <w:rFonts w:hint="eastAsia" w:ascii="仿宋_GB2312" w:eastAsia="仿宋_GB2312" w:cs="仿宋_GB2312"/>
          <w:b w:val="0"/>
          <w:bCs w:val="0"/>
          <w:color w:val="000000" w:themeColor="text1"/>
          <w:lang w:val="en-US" w:eastAsia="zh-CN"/>
          <w14:textFill>
            <w14:solidFill>
              <w14:schemeClr w14:val="tx1"/>
            </w14:solidFill>
          </w14:textFill>
        </w:rPr>
        <w:t>8</w:t>
      </w:r>
      <w:r>
        <w:rPr>
          <w:rFonts w:hint="eastAsia" w:ascii="仿宋_GB2312" w:eastAsia="仿宋_GB2312" w:cs="仿宋_GB2312"/>
          <w:b w:val="0"/>
          <w:bCs w:val="0"/>
          <w:color w:val="000000" w:themeColor="text1"/>
          <w14:textFill>
            <w14:solidFill>
              <w14:schemeClr w14:val="tx1"/>
            </w14:solidFill>
          </w14:textFill>
        </w:rPr>
        <w:t>%。项目产出</w:t>
      </w:r>
      <w:r>
        <w:rPr>
          <w:rFonts w:hint="eastAsia" w:ascii="仿宋_GB2312" w:eastAsia="仿宋_GB2312" w:cs="仿宋_GB2312"/>
          <w:b w:val="0"/>
          <w:bCs w:val="0"/>
        </w:rPr>
        <w:t>类指标权重为</w:t>
      </w:r>
      <w:r>
        <w:rPr>
          <w:rFonts w:hint="eastAsia" w:ascii="仿宋_GB2312" w:eastAsia="仿宋_GB2312" w:cs="仿宋_GB2312"/>
          <w:b w:val="0"/>
          <w:bCs w:val="0"/>
          <w:lang w:val="en-US" w:eastAsia="zh-CN"/>
        </w:rPr>
        <w:t>40</w:t>
      </w:r>
      <w:r>
        <w:rPr>
          <w:rFonts w:hint="eastAsia" w:ascii="仿宋_GB2312" w:eastAsia="仿宋_GB2312" w:cs="仿宋_GB2312"/>
          <w:b w:val="0"/>
          <w:bCs w:val="0"/>
        </w:rPr>
        <w:t>分，得分为</w:t>
      </w:r>
      <w:r>
        <w:rPr>
          <w:rFonts w:hint="eastAsia" w:ascii="仿宋_GB2312" w:eastAsia="仿宋_GB2312" w:cs="仿宋_GB2312"/>
          <w:b w:val="0"/>
          <w:bCs w:val="0"/>
          <w:lang w:val="en-US" w:eastAsia="zh-CN"/>
        </w:rPr>
        <w:t>39</w:t>
      </w:r>
      <w:r>
        <w:rPr>
          <w:rFonts w:hint="eastAsia" w:ascii="仿宋_GB2312" w:eastAsia="仿宋_GB2312" w:cs="仿宋_GB2312"/>
          <w:b w:val="0"/>
          <w:bCs w:val="0"/>
        </w:rPr>
        <w:t>分，得分率为 9</w:t>
      </w:r>
      <w:r>
        <w:rPr>
          <w:rFonts w:hint="eastAsia" w:ascii="仿宋_GB2312" w:eastAsia="仿宋_GB2312" w:cs="仿宋_GB2312"/>
          <w:b w:val="0"/>
          <w:bCs w:val="0"/>
          <w:lang w:val="en-US" w:eastAsia="zh-CN"/>
        </w:rPr>
        <w:t>7.5</w:t>
      </w:r>
      <w:r>
        <w:rPr>
          <w:rFonts w:hint="eastAsia" w:ascii="仿宋_GB2312" w:eastAsia="仿宋_GB2312" w:cs="仿宋_GB2312"/>
          <w:b w:val="0"/>
          <w:bCs w:val="0"/>
        </w:rPr>
        <w:t>%。项目效益类指标权重为</w:t>
      </w:r>
      <w:r>
        <w:rPr>
          <w:rFonts w:hint="eastAsia" w:ascii="仿宋_GB2312" w:eastAsia="仿宋_GB2312" w:cs="仿宋_GB2312"/>
          <w:b w:val="0"/>
          <w:bCs w:val="0"/>
          <w:lang w:val="en-US" w:eastAsia="zh-CN"/>
        </w:rPr>
        <w:t>5</w:t>
      </w:r>
      <w:r>
        <w:rPr>
          <w:rFonts w:hint="eastAsia" w:ascii="仿宋_GB2312" w:eastAsia="仿宋_GB2312" w:cs="仿宋_GB2312"/>
          <w:b w:val="0"/>
          <w:bCs w:val="0"/>
        </w:rPr>
        <w:t>0分，得分为</w:t>
      </w:r>
      <w:r>
        <w:rPr>
          <w:rFonts w:hint="eastAsia" w:ascii="仿宋_GB2312" w:eastAsia="仿宋_GB2312" w:cs="仿宋_GB2312"/>
          <w:b w:val="0"/>
          <w:bCs w:val="0"/>
          <w:lang w:val="en-US" w:eastAsia="zh-CN"/>
        </w:rPr>
        <w:t>46.5</w:t>
      </w:r>
      <w:r>
        <w:rPr>
          <w:rFonts w:hint="eastAsia" w:ascii="仿宋_GB2312" w:eastAsia="仿宋_GB2312" w:cs="仿宋_GB2312"/>
          <w:b w:val="0"/>
          <w:bCs w:val="0"/>
        </w:rPr>
        <w:t>分，得分率为</w:t>
      </w:r>
      <w:r>
        <w:rPr>
          <w:rFonts w:hint="eastAsia" w:ascii="仿宋_GB2312" w:eastAsia="仿宋_GB2312" w:cs="仿宋_GB2312"/>
          <w:b w:val="0"/>
          <w:bCs w:val="0"/>
          <w:lang w:val="en-US" w:eastAsia="zh-CN"/>
        </w:rPr>
        <w:t>93</w:t>
      </w:r>
      <w:r>
        <w:rPr>
          <w:rFonts w:hint="eastAsia" w:ascii="仿宋_GB2312" w:eastAsia="仿宋_GB2312" w:cs="仿宋_GB2312"/>
          <w:b w:val="0"/>
          <w:bCs w:val="0"/>
        </w:rPr>
        <w:t>%。</w:t>
      </w:r>
    </w:p>
    <w:p w14:paraId="0BD7913F">
      <w:pPr>
        <w:pStyle w:val="2"/>
        <w:pageBreakBefore w:val="0"/>
        <w:kinsoku/>
        <w:wordWrap/>
        <w:overflowPunct/>
        <w:topLinePunct w:val="0"/>
        <w:autoSpaceDE/>
        <w:autoSpaceDN/>
        <w:bidi w:val="0"/>
        <w:adjustRightInd/>
        <w:snapToGrid/>
        <w:spacing w:before="0" w:after="0" w:line="560" w:lineRule="exact"/>
        <w:textAlignment w:val="auto"/>
        <w:rPr>
          <w:rFonts w:ascii="仿宋_GB2312" w:eastAsia="仿宋_GB2312" w:cs="仿宋_GB2312"/>
          <w:sz w:val="30"/>
          <w:szCs w:val="30"/>
        </w:rPr>
      </w:pPr>
      <w:r>
        <w:rPr>
          <w:rFonts w:hint="eastAsia" w:ascii="仿宋_GB2312" w:eastAsia="仿宋_GB2312" w:cs="仿宋_GB2312"/>
          <w:sz w:val="30"/>
          <w:szCs w:val="30"/>
        </w:rPr>
        <w:t>表1综合评分表</w:t>
      </w:r>
    </w:p>
    <w:p w14:paraId="31CBBF89">
      <w:pPr>
        <w:pageBreakBefore w:val="0"/>
        <w:kinsoku/>
        <w:wordWrap/>
        <w:overflowPunct/>
        <w:topLinePunct w:val="0"/>
        <w:autoSpaceDE/>
        <w:autoSpaceDN/>
        <w:bidi w:val="0"/>
        <w:adjustRightInd/>
        <w:snapToGrid/>
        <w:spacing w:line="560" w:lineRule="exact"/>
        <w:textAlignment w:val="auto"/>
        <w:rPr>
          <w:rFonts w:ascii="仿宋_GB2312" w:eastAsia="仿宋_GB2312" w:cs="仿宋_GB2312"/>
          <w:highlight w:val="yellow"/>
        </w:rPr>
      </w:pPr>
    </w:p>
    <w:p w14:paraId="7C9C9FE4">
      <w:pPr>
        <w:bidi w:val="0"/>
        <w:rPr>
          <w:rFonts w:ascii="Times New Roman" w:hAnsi="Times New Roman" w:eastAsia="宋体" w:cs="Times New Roman"/>
          <w:kern w:val="2"/>
          <w:sz w:val="21"/>
          <w:szCs w:val="24"/>
          <w:lang w:val="en-US" w:eastAsia="zh-CN" w:bidi="ar-SA"/>
        </w:rPr>
      </w:pPr>
    </w:p>
    <w:p w14:paraId="4E1D156F">
      <w:pPr>
        <w:tabs>
          <w:tab w:val="left" w:pos="1333"/>
        </w:tabs>
        <w:bidi w:val="0"/>
        <w:jc w:val="left"/>
        <w:rPr>
          <w:lang w:val="en-US" w:eastAsia="zh-CN"/>
        </w:rPr>
      </w:pPr>
      <w:r>
        <w:rPr>
          <w:rFonts w:hint="eastAsia"/>
          <w:lang w:val="en-US" w:eastAsia="zh-CN"/>
        </w:rPr>
        <w:tab/>
      </w:r>
    </w:p>
    <w:tbl>
      <w:tblPr>
        <w:tblStyle w:val="19"/>
        <w:tblpPr w:leftFromText="180" w:rightFromText="180" w:vertAnchor="text" w:horzAnchor="page" w:tblpX="1196" w:tblpY="-67"/>
        <w:tblOverlap w:val="never"/>
        <w:tblW w:w="97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810"/>
        <w:gridCol w:w="1283"/>
        <w:gridCol w:w="1707"/>
        <w:gridCol w:w="727"/>
        <w:gridCol w:w="1044"/>
        <w:gridCol w:w="924"/>
        <w:gridCol w:w="1215"/>
        <w:gridCol w:w="960"/>
      </w:tblGrid>
      <w:tr w14:paraId="7A8C62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F51397C">
            <w:pPr>
              <w:pageBreakBefore w:val="0"/>
              <w:widowControl/>
              <w:kinsoku/>
              <w:wordWrap/>
              <w:overflowPunct/>
              <w:topLinePunct w:val="0"/>
              <w:autoSpaceDE/>
              <w:autoSpaceDN/>
              <w:bidi w:val="0"/>
              <w:adjustRightInd/>
              <w:snapToGrid/>
              <w:spacing w:line="560" w:lineRule="exact"/>
              <w:textAlignment w:val="auto"/>
              <w:rPr>
                <w:rFonts w:ascii="宋体" w:cs="宋体"/>
                <w:b/>
                <w:bCs/>
                <w:color w:val="000000"/>
                <w:kern w:val="0"/>
                <w:sz w:val="22"/>
                <w:szCs w:val="22"/>
              </w:rPr>
            </w:pPr>
            <w:r>
              <w:rPr>
                <w:rFonts w:hint="eastAsia" w:ascii="宋体" w:cs="宋体"/>
                <w:b/>
                <w:bCs/>
                <w:color w:val="000000"/>
                <w:kern w:val="0"/>
                <w:sz w:val="22"/>
                <w:szCs w:val="22"/>
              </w:rPr>
              <w:t>一级指标</w:t>
            </w:r>
          </w:p>
        </w:tc>
        <w:tc>
          <w:tcPr>
            <w:tcW w:w="81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BC6210A">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分值</w:t>
            </w:r>
          </w:p>
        </w:tc>
        <w:tc>
          <w:tcPr>
            <w:tcW w:w="1283"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0052C094">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二级指标</w:t>
            </w:r>
          </w:p>
        </w:tc>
        <w:tc>
          <w:tcPr>
            <w:tcW w:w="170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53A25A0F">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三级指标</w:t>
            </w:r>
          </w:p>
        </w:tc>
        <w:tc>
          <w:tcPr>
            <w:tcW w:w="727"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E9BA05C">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权重</w:t>
            </w:r>
          </w:p>
        </w:tc>
        <w:tc>
          <w:tcPr>
            <w:tcW w:w="104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053BA51E">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目标值</w:t>
            </w:r>
          </w:p>
        </w:tc>
        <w:tc>
          <w:tcPr>
            <w:tcW w:w="924"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239FC588">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业绩值</w:t>
            </w:r>
          </w:p>
        </w:tc>
        <w:tc>
          <w:tcPr>
            <w:tcW w:w="1215"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75368DE3">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得分率</w:t>
            </w:r>
          </w:p>
        </w:tc>
        <w:tc>
          <w:tcPr>
            <w:tcW w:w="960" w:type="dxa"/>
            <w:tcBorders>
              <w:top w:val="single" w:color="000000" w:sz="8" w:space="0"/>
              <w:left w:val="single" w:color="000000" w:sz="8" w:space="0"/>
              <w:bottom w:val="single" w:color="000000" w:sz="8" w:space="0"/>
              <w:right w:val="single" w:color="000000" w:sz="8" w:space="0"/>
            </w:tcBorders>
            <w:shd w:val="clear" w:color="auto" w:fill="BFBFBF"/>
            <w:noWrap/>
            <w:vAlign w:val="center"/>
          </w:tcPr>
          <w:p w14:paraId="137A9832">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cs="宋体"/>
                <w:b/>
                <w:bCs/>
                <w:color w:val="000000"/>
                <w:kern w:val="0"/>
                <w:sz w:val="22"/>
                <w:szCs w:val="22"/>
              </w:rPr>
            </w:pPr>
            <w:r>
              <w:rPr>
                <w:rFonts w:hint="eastAsia" w:ascii="宋体" w:cs="宋体"/>
                <w:b/>
                <w:bCs/>
                <w:color w:val="000000"/>
                <w:kern w:val="0"/>
                <w:sz w:val="22"/>
                <w:szCs w:val="22"/>
              </w:rPr>
              <w:t>得分</w:t>
            </w:r>
          </w:p>
        </w:tc>
      </w:tr>
      <w:tr w14:paraId="45663C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BCF5CD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14:paraId="0410FAA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76EC5041">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7AE30A8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EA18D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4B9DC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3C6EF8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14:paraId="11BBFCD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C1EC3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61351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13237A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C3E946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37C50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14:paraId="10454A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7A09C0C">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1D4E5E5">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9FD951">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0C5542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14:paraId="24B73B7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99CD63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6A11B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AB224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332C4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407F8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14:paraId="4794CE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99B781">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D0C652">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1BE5B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FA724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14:paraId="65C6D2C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A593F4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6BCF4B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020990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E6162E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D1E39D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4F81F7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538CF3">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AC9A54">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1903E35">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6DAF9C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14:paraId="1DD2E92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6905CC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8EF9FC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E44E8C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A368B4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96976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5E021B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182E28A">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3E663A">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E4A98E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042CD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14:paraId="41F3326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263C4E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7F574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A79A9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950E1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D8A81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6A7BF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307754A">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93E3F5">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ED5BCC">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61F9B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14:paraId="2A7C12F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B0607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723642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4BEA0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507C71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AC9A8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58B61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2"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0F3DE0F">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p w14:paraId="03C90466">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3D8C6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rPr>
              <w:t>5分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00AFA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2E470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71E5C2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E491AA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30DB9E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AAEFCE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7BEE48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05CD77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222062">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085BDC">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CB0B410">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9C9E54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2D3CA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859F1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F6ABA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D8368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r>
              <w:rPr>
                <w:rFonts w:hint="eastAsia" w:ascii="宋体" w:hAnsi="宋体" w:eastAsia="宋体" w:cs="宋体"/>
                <w:color w:val="000000"/>
                <w:kern w:val="0"/>
                <w:sz w:val="18"/>
                <w:szCs w:val="18"/>
              </w:rPr>
              <w:t>%</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F97BEA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r>
      <w:tr w14:paraId="5A80CB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3D837C">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56C9268">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2B377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1AF16F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14:paraId="7F8BF96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89FEFC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A18391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EA1307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7BCEEFA">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8A010C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457BD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F551BB">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B559069">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F7247C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E6CD9B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14:paraId="5692BB1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083283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3B8DC2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945FDB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43138B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r>
              <w:rPr>
                <w:rFonts w:hint="eastAsia" w:ascii="宋体" w:hAnsi="宋体" w:eastAsia="宋体" w:cs="宋体"/>
                <w:color w:val="000000"/>
                <w:kern w:val="0"/>
                <w:sz w:val="18"/>
                <w:szCs w:val="18"/>
                <w:lang w:val="en-US" w:eastAsia="zh-CN"/>
              </w:rPr>
              <w:t>5</w:t>
            </w:r>
            <w:r>
              <w:rPr>
                <w:rFonts w:hint="eastAsia" w:ascii="宋体" w:hAnsi="宋体" w:eastAsia="宋体" w:cs="宋体"/>
                <w:color w:val="000000"/>
                <w:kern w:val="0"/>
                <w:sz w:val="18"/>
                <w:szCs w:val="18"/>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CCA834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0.95</w:t>
            </w:r>
          </w:p>
        </w:tc>
      </w:tr>
      <w:tr w14:paraId="00D997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D5B4F2">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954FC5">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D212945">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44F1B8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14:paraId="07BB244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2712A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2EDB71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1C7F7F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FBA987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r>
              <w:rPr>
                <w:rFonts w:hint="eastAsia" w:ascii="宋体" w:hAnsi="宋体" w:eastAsia="宋体" w:cs="宋体"/>
                <w:color w:val="000000"/>
                <w:kern w:val="0"/>
                <w:sz w:val="18"/>
                <w:szCs w:val="18"/>
                <w:lang w:val="en-US" w:eastAsia="zh-CN"/>
              </w:rPr>
              <w:t>5</w:t>
            </w:r>
            <w:r>
              <w:rPr>
                <w:rFonts w:hint="eastAsia" w:ascii="宋体" w:hAnsi="宋体" w:eastAsia="宋体" w:cs="宋体"/>
                <w:color w:val="000000"/>
                <w:kern w:val="0"/>
                <w:sz w:val="18"/>
                <w:szCs w:val="18"/>
              </w:rPr>
              <w:t>%</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0A09CC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0.95</w:t>
            </w:r>
          </w:p>
        </w:tc>
      </w:tr>
      <w:tr w14:paraId="6FF375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3"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EB52D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1CC77D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kern w:val="0"/>
                <w:sz w:val="18"/>
                <w:szCs w:val="18"/>
                <w:lang w:val="en-US" w:eastAsia="zh-CN"/>
              </w:rPr>
              <w:t>4</w:t>
            </w:r>
            <w:r>
              <w:rPr>
                <w:rFonts w:hint="eastAsia" w:ascii="宋体" w:hAnsi="宋体" w:eastAsia="宋体" w:cs="宋体"/>
                <w:kern w:val="0"/>
                <w:sz w:val="18"/>
                <w:szCs w:val="18"/>
              </w:rPr>
              <w:t>0分</w:t>
            </w: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8655C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C4FF63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58FB73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43A347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1EA661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8A85E4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4AA90D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28C10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4"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F38F20">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26696A8">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7016DB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006613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667DB3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6E26BA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607511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C305C2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5A8030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9</w:t>
            </w:r>
          </w:p>
        </w:tc>
      </w:tr>
      <w:tr w14:paraId="0BFFA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D2C1854">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BF78D1">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77FE8ED">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4C1DA6">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368F869">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B6EAF7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F34812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BED2EF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w:t>
            </w:r>
            <w:r>
              <w:rPr>
                <w:rFonts w:hint="eastAsia" w:ascii="宋体" w:hAnsi="宋体" w:eastAsia="宋体" w:cs="宋体"/>
                <w:color w:val="000000"/>
                <w:kern w:val="0"/>
                <w:sz w:val="18"/>
                <w:szCs w:val="18"/>
              </w:rPr>
              <w:t>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A062CB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w:t>
            </w:r>
          </w:p>
        </w:tc>
      </w:tr>
      <w:tr w14:paraId="4DCF3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4"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8A0757">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AA0CE4">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8F1FA5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494BE5">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3C45D8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F3D762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E8A0FD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A938B81">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C29E3B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14:paraId="7AD36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2D4D8C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810"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791FC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5</w:t>
            </w:r>
            <w:r>
              <w:rPr>
                <w:rFonts w:hint="eastAsia" w:ascii="宋体" w:hAnsi="宋体" w:eastAsia="宋体" w:cs="宋体"/>
                <w:color w:val="000000"/>
                <w:kern w:val="0"/>
                <w:sz w:val="18"/>
                <w:szCs w:val="18"/>
              </w:rPr>
              <w:t>0分</w:t>
            </w:r>
          </w:p>
        </w:tc>
        <w:tc>
          <w:tcPr>
            <w:tcW w:w="1283"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5A9283">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EDC11C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p w14:paraId="23FE183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（社会效益、经济效益、可持续效益）</w:t>
            </w:r>
          </w:p>
        </w:tc>
        <w:tc>
          <w:tcPr>
            <w:tcW w:w="72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DB29DDC">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5</w:t>
            </w:r>
          </w:p>
        </w:tc>
        <w:tc>
          <w:tcPr>
            <w:tcW w:w="10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E9464ED">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5</w:t>
            </w:r>
          </w:p>
        </w:tc>
        <w:tc>
          <w:tcPr>
            <w:tcW w:w="92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3489660">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w:t>
            </w:r>
            <w:r>
              <w:rPr>
                <w:rFonts w:hint="eastAsia" w:ascii="宋体" w:hAnsi="宋体" w:eastAsia="宋体" w:cs="宋体"/>
                <w:color w:val="000000"/>
                <w:kern w:val="0"/>
                <w:sz w:val="18"/>
                <w:szCs w:val="18"/>
                <w:lang w:val="en-US" w:eastAsia="zh-CN"/>
              </w:rPr>
              <w:t>5</w:t>
            </w:r>
          </w:p>
        </w:tc>
        <w:tc>
          <w:tcPr>
            <w:tcW w:w="1215"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935AAE">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90</w:t>
            </w:r>
            <w:r>
              <w:rPr>
                <w:rFonts w:hint="eastAsia" w:ascii="宋体" w:hAnsi="宋体" w:eastAsia="宋体" w:cs="宋体"/>
                <w:color w:val="000000"/>
                <w:kern w:val="0"/>
                <w:sz w:val="18"/>
                <w:szCs w:val="18"/>
              </w:rPr>
              <w:t>%</w:t>
            </w:r>
          </w:p>
        </w:tc>
        <w:tc>
          <w:tcPr>
            <w:tcW w:w="9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E26AC6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31.5</w:t>
            </w:r>
          </w:p>
        </w:tc>
      </w:tr>
      <w:tr w14:paraId="78426A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D0588B6">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810"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3CE3560">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283"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8B3FC64">
            <w:pPr>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tc>
        <w:tc>
          <w:tcPr>
            <w:tcW w:w="1707"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0C6D3C7">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727"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F0E4D28">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5</w:t>
            </w:r>
          </w:p>
        </w:tc>
        <w:tc>
          <w:tcPr>
            <w:tcW w:w="104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B7DAB7B">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5</w:t>
            </w:r>
          </w:p>
        </w:tc>
        <w:tc>
          <w:tcPr>
            <w:tcW w:w="924"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CAE05CF">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5</w:t>
            </w:r>
          </w:p>
        </w:tc>
        <w:tc>
          <w:tcPr>
            <w:tcW w:w="1215"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8058F32">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9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C321FA4">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5</w:t>
            </w:r>
          </w:p>
        </w:tc>
      </w:tr>
    </w:tbl>
    <w:p w14:paraId="63093CFD">
      <w:pPr>
        <w:pageBreakBefore w:val="0"/>
        <w:kinsoku/>
        <w:wordWrap/>
        <w:overflowPunct/>
        <w:topLinePunct w:val="0"/>
        <w:autoSpaceDE/>
        <w:autoSpaceDN/>
        <w:bidi w:val="0"/>
        <w:adjustRightInd/>
        <w:snapToGrid/>
        <w:spacing w:line="560" w:lineRule="exact"/>
        <w:ind w:firstLine="643" w:firstLineChars="200"/>
        <w:textAlignment w:val="auto"/>
        <w:rPr>
          <w:rFonts w:ascii="黑体" w:eastAsia="黑体"/>
          <w:b/>
          <w:bCs/>
          <w:sz w:val="32"/>
          <w:szCs w:val="32"/>
        </w:rPr>
      </w:pPr>
      <w:r>
        <w:rPr>
          <w:rFonts w:hint="eastAsia" w:ascii="黑体" w:eastAsia="黑体"/>
          <w:b/>
          <w:bCs/>
          <w:sz w:val="32"/>
          <w:szCs w:val="32"/>
        </w:rPr>
        <w:t>四、绩效评价指标分析</w:t>
      </w:r>
    </w:p>
    <w:p w14:paraId="1FEBE55E">
      <w:pPr>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sz w:val="32"/>
          <w:szCs w:val="32"/>
        </w:rPr>
      </w:pPr>
      <w:r>
        <w:rPr>
          <w:rFonts w:hint="eastAsia" w:ascii="楷体" w:hAnsi="楷体" w:eastAsia="楷体" w:cs="楷体"/>
          <w:b/>
          <w:sz w:val="32"/>
          <w:szCs w:val="32"/>
        </w:rPr>
        <w:t>（一）项目决策情况</w:t>
      </w:r>
    </w:p>
    <w:p w14:paraId="684C59E0">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项目决策指标从项目</w:t>
      </w:r>
      <w:r>
        <w:rPr>
          <w:rFonts w:ascii="仿宋_GB2312" w:eastAsia="仿宋_GB2312" w:cs="仿宋_GB2312"/>
          <w:sz w:val="32"/>
          <w:szCs w:val="32"/>
        </w:rPr>
        <w:t>立项、</w:t>
      </w:r>
      <w:r>
        <w:rPr>
          <w:rFonts w:hint="eastAsia" w:ascii="仿宋_GB2312" w:eastAsia="仿宋_GB2312" w:cs="仿宋_GB2312"/>
          <w:sz w:val="32"/>
          <w:szCs w:val="32"/>
        </w:rPr>
        <w:t>绩效目标、资金投入</w:t>
      </w:r>
      <w:r>
        <w:rPr>
          <w:rFonts w:ascii="仿宋_GB2312" w:eastAsia="仿宋_GB2312" w:cs="仿宋_GB2312"/>
          <w:sz w:val="32"/>
          <w:szCs w:val="32"/>
        </w:rPr>
        <w:t>3</w:t>
      </w:r>
      <w:r>
        <w:rPr>
          <w:rFonts w:hint="eastAsia" w:ascii="仿宋_GB2312" w:eastAsia="仿宋_GB2312" w:cs="仿宋_GB2312"/>
          <w:sz w:val="32"/>
          <w:szCs w:val="32"/>
        </w:rPr>
        <w:t>个方面对项目</w:t>
      </w:r>
      <w:r>
        <w:rPr>
          <w:rFonts w:ascii="仿宋_GB2312" w:eastAsia="仿宋_GB2312" w:cs="仿宋_GB2312"/>
          <w:sz w:val="32"/>
          <w:szCs w:val="32"/>
        </w:rPr>
        <w:t>立项是否符合法律法规、相关政策以及部门职责</w:t>
      </w:r>
      <w:r>
        <w:rPr>
          <w:rFonts w:hint="eastAsia" w:ascii="仿宋_GB2312" w:eastAsia="仿宋_GB2312" w:cs="仿宋_GB2312"/>
          <w:sz w:val="32"/>
          <w:szCs w:val="32"/>
        </w:rPr>
        <w:t>，</w:t>
      </w:r>
      <w:r>
        <w:rPr>
          <w:rFonts w:ascii="仿宋_GB2312" w:eastAsia="仿宋_GB2312" w:cs="仿宋_GB2312"/>
          <w:sz w:val="32"/>
          <w:szCs w:val="32"/>
        </w:rPr>
        <w:t>用以反映和考核</w:t>
      </w:r>
      <w:r>
        <w:rPr>
          <w:rFonts w:hint="eastAsia" w:ascii="仿宋_GB2312" w:eastAsia="仿宋_GB2312" w:cs="仿宋_GB2312"/>
          <w:sz w:val="32"/>
          <w:szCs w:val="32"/>
        </w:rPr>
        <w:t>项目</w:t>
      </w:r>
      <w:r>
        <w:rPr>
          <w:rFonts w:ascii="仿宋_GB2312" w:eastAsia="仿宋_GB2312" w:cs="仿宋_GB2312"/>
          <w:sz w:val="32"/>
          <w:szCs w:val="32"/>
        </w:rPr>
        <w:t>立项依据情况进行考察，</w:t>
      </w:r>
      <w:r>
        <w:rPr>
          <w:rFonts w:hint="eastAsia" w:ascii="仿宋_GB2312" w:eastAsia="仿宋_GB2312" w:cs="仿宋_GB2312"/>
          <w:sz w:val="32"/>
          <w:szCs w:val="32"/>
        </w:rPr>
        <w:t>项目</w:t>
      </w:r>
      <w:r>
        <w:rPr>
          <w:rFonts w:ascii="仿宋_GB2312" w:eastAsia="仿宋_GB2312" w:cs="仿宋_GB2312"/>
          <w:sz w:val="32"/>
          <w:szCs w:val="32"/>
        </w:rPr>
        <w:t>决策</w:t>
      </w:r>
      <w:r>
        <w:rPr>
          <w:rFonts w:hint="eastAsia" w:ascii="仿宋_GB2312" w:eastAsia="仿宋_GB2312" w:cs="仿宋_GB2312"/>
          <w:sz w:val="32"/>
          <w:szCs w:val="32"/>
        </w:rPr>
        <w:t>类指标分值</w:t>
      </w:r>
      <w:r>
        <w:rPr>
          <w:rFonts w:ascii="仿宋_GB2312" w:eastAsia="仿宋_GB2312" w:cs="仿宋_GB2312"/>
          <w:sz w:val="32"/>
          <w:szCs w:val="32"/>
        </w:rPr>
        <w:t>5</w:t>
      </w:r>
      <w:r>
        <w:rPr>
          <w:rFonts w:hint="eastAsia" w:ascii="仿宋_GB2312" w:eastAsia="仿宋_GB2312" w:cs="仿宋_GB2312"/>
          <w:sz w:val="32"/>
          <w:szCs w:val="32"/>
        </w:rPr>
        <w:t>分，实际得分</w:t>
      </w:r>
      <w:r>
        <w:rPr>
          <w:rFonts w:ascii="仿宋_GB2312" w:eastAsia="仿宋_GB2312" w:cs="仿宋_GB2312"/>
          <w:sz w:val="32"/>
          <w:szCs w:val="32"/>
        </w:rPr>
        <w:t>5</w:t>
      </w:r>
      <w:r>
        <w:rPr>
          <w:rFonts w:hint="eastAsia" w:ascii="仿宋_GB2312" w:eastAsia="仿宋_GB2312" w:cs="仿宋_GB2312"/>
          <w:sz w:val="32"/>
          <w:szCs w:val="32"/>
        </w:rPr>
        <w:t>分，得分率</w:t>
      </w:r>
      <w:r>
        <w:rPr>
          <w:rFonts w:ascii="仿宋_GB2312" w:eastAsia="仿宋_GB2312" w:cs="仿宋_GB2312"/>
          <w:sz w:val="32"/>
          <w:szCs w:val="32"/>
        </w:rPr>
        <w:t>100%</w:t>
      </w:r>
      <w:r>
        <w:rPr>
          <w:rFonts w:hint="eastAsia" w:ascii="仿宋_GB2312" w:eastAsia="仿宋_GB2312" w:cs="仿宋_GB2312"/>
          <w:sz w:val="32"/>
          <w:szCs w:val="32"/>
        </w:rPr>
        <w:t>。</w:t>
      </w:r>
    </w:p>
    <w:p w14:paraId="576D6845">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w:t>
      </w:r>
      <w:r>
        <w:rPr>
          <w:rFonts w:ascii="仿宋_GB2312" w:eastAsia="仿宋_GB2312" w:cs="仿宋_GB2312"/>
          <w:sz w:val="32"/>
          <w:szCs w:val="32"/>
        </w:rPr>
        <w:t>项目立项</w:t>
      </w:r>
      <w:r>
        <w:rPr>
          <w:rFonts w:hint="eastAsia" w:ascii="仿宋_GB2312" w:eastAsia="仿宋_GB2312" w:cs="仿宋_GB2312"/>
          <w:sz w:val="32"/>
          <w:szCs w:val="32"/>
        </w:rPr>
        <w:t>”，</w:t>
      </w:r>
      <w:r>
        <w:rPr>
          <w:rFonts w:ascii="仿宋_GB2312" w:eastAsia="仿宋_GB2312" w:cs="仿宋_GB2312"/>
          <w:sz w:val="32"/>
          <w:szCs w:val="32"/>
        </w:rPr>
        <w:t>立项</w:t>
      </w:r>
      <w:r>
        <w:rPr>
          <w:rFonts w:hint="eastAsia" w:ascii="仿宋_GB2312" w:eastAsia="仿宋_GB2312" w:cs="仿宋_GB2312"/>
          <w:sz w:val="32"/>
          <w:szCs w:val="32"/>
        </w:rPr>
        <w:t>有文件依据，根据评分标准，该指标不扣分，实际得分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14:paraId="3020045B">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对于“绩效目标”，</w:t>
      </w:r>
      <w:r>
        <w:rPr>
          <w:rFonts w:ascii="仿宋_GB2312" w:eastAsia="仿宋_GB2312" w:cs="仿宋_GB2312"/>
          <w:sz w:val="32"/>
          <w:szCs w:val="32"/>
        </w:rPr>
        <w:t>印刷费</w:t>
      </w:r>
      <w:r>
        <w:rPr>
          <w:rFonts w:hint="eastAsia" w:ascii="仿宋_GB2312" w:eastAsia="仿宋_GB2312" w:cs="仿宋_GB2312"/>
          <w:sz w:val="32"/>
          <w:szCs w:val="32"/>
        </w:rPr>
        <w:t>项目设置了较为详细的项目支出绩效目标，根据评分标准，指标不扣分，实际得分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14:paraId="2557E2B6">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对于“资金投入”，</w:t>
      </w:r>
      <w:r>
        <w:rPr>
          <w:rFonts w:ascii="仿宋_GB2312" w:eastAsia="仿宋_GB2312" w:cs="仿宋_GB2312"/>
          <w:sz w:val="32"/>
          <w:szCs w:val="32"/>
        </w:rPr>
        <w:t>该项目</w:t>
      </w:r>
      <w:r>
        <w:rPr>
          <w:rFonts w:hint="eastAsia" w:ascii="仿宋_GB2312" w:eastAsia="仿宋_GB2312" w:cs="仿宋_GB2312"/>
          <w:sz w:val="32"/>
          <w:szCs w:val="32"/>
        </w:rPr>
        <w:t>资金</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万元，均按时</w:t>
      </w:r>
      <w:r>
        <w:rPr>
          <w:rFonts w:ascii="仿宋_GB2312" w:eastAsia="仿宋_GB2312" w:cs="仿宋_GB2312"/>
          <w:sz w:val="32"/>
          <w:szCs w:val="32"/>
        </w:rPr>
        <w:t>到位。</w:t>
      </w:r>
      <w:r>
        <w:rPr>
          <w:rFonts w:hint="eastAsia" w:ascii="仿宋_GB2312" w:eastAsia="仿宋_GB2312" w:cs="仿宋_GB2312"/>
          <w:sz w:val="32"/>
          <w:szCs w:val="32"/>
        </w:rPr>
        <w:t>资金有效保证了</w:t>
      </w:r>
      <w:r>
        <w:rPr>
          <w:rFonts w:ascii="仿宋_GB2312" w:eastAsia="仿宋_GB2312" w:cs="仿宋_GB2312"/>
          <w:sz w:val="32"/>
          <w:szCs w:val="32"/>
        </w:rPr>
        <w:t>项目</w:t>
      </w:r>
      <w:r>
        <w:rPr>
          <w:rFonts w:hint="eastAsia" w:ascii="仿宋_GB2312" w:eastAsia="仿宋_GB2312" w:cs="仿宋_GB2312"/>
          <w:sz w:val="32"/>
          <w:szCs w:val="32"/>
        </w:rPr>
        <w:t>的实施。根据评分标准，该指标不扣分，实际得分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14:paraId="2F1E13BC">
      <w:pPr>
        <w:pageBreakBefore w:val="0"/>
        <w:widowControl/>
        <w:kinsoku/>
        <w:wordWrap/>
        <w:overflowPunct/>
        <w:topLinePunct w:val="0"/>
        <w:autoSpaceDE/>
        <w:autoSpaceDN/>
        <w:bidi w:val="0"/>
        <w:adjustRightInd/>
        <w:snapToGrid/>
        <w:spacing w:line="560" w:lineRule="exact"/>
        <w:ind w:firstLine="482" w:firstLineChars="150"/>
        <w:textAlignment w:val="auto"/>
        <w:rPr>
          <w:rFonts w:hint="eastAsia" w:ascii="楷体" w:hAnsi="楷体" w:eastAsia="楷体" w:cs="楷体"/>
          <w:b/>
          <w:sz w:val="32"/>
          <w:szCs w:val="32"/>
        </w:rPr>
      </w:pPr>
      <w:r>
        <w:rPr>
          <w:rFonts w:hint="eastAsia" w:ascii="楷体" w:hAnsi="楷体" w:eastAsia="楷体" w:cs="楷体"/>
          <w:b/>
          <w:sz w:val="32"/>
          <w:szCs w:val="32"/>
        </w:rPr>
        <w:t>（二）项目过程情况</w:t>
      </w:r>
    </w:p>
    <w:p w14:paraId="20F68413">
      <w:pPr>
        <w:pageBreakBefore w:val="0"/>
        <w:kinsoku/>
        <w:wordWrap/>
        <w:overflowPunct/>
        <w:topLinePunct w:val="0"/>
        <w:autoSpaceDE/>
        <w:autoSpaceDN/>
        <w:bidi w:val="0"/>
        <w:adjustRightInd/>
        <w:snapToGrid/>
        <w:spacing w:line="560" w:lineRule="exact"/>
        <w:ind w:firstLine="640" w:firstLineChars="200"/>
        <w:textAlignment w:val="auto"/>
        <w:rPr>
          <w:rFonts w:ascii="方正仿宋_GBK" w:eastAsia="方正仿宋_GBK" w:cs="宋体"/>
          <w:sz w:val="32"/>
          <w:szCs w:val="32"/>
        </w:rPr>
      </w:pPr>
      <w:r>
        <w:rPr>
          <w:rFonts w:hint="eastAsia" w:ascii="仿宋_GB2312" w:eastAsia="仿宋_GB2312" w:cs="仿宋_GB2312"/>
          <w:sz w:val="32"/>
          <w:szCs w:val="32"/>
        </w:rPr>
        <w:t>项目过程指标从资金到位率、预算执行率、资金使用合规性、管理制度健全性、制度执行有效性</w:t>
      </w:r>
      <w:r>
        <w:rPr>
          <w:rFonts w:ascii="仿宋_GB2312" w:eastAsia="仿宋_GB2312" w:cs="仿宋_GB2312"/>
          <w:sz w:val="32"/>
          <w:szCs w:val="32"/>
        </w:rPr>
        <w:t>5</w:t>
      </w:r>
      <w:r>
        <w:rPr>
          <w:rFonts w:hint="eastAsia" w:ascii="仿宋_GB2312" w:eastAsia="仿宋_GB2312" w:cs="仿宋_GB2312"/>
          <w:sz w:val="32"/>
          <w:szCs w:val="32"/>
        </w:rPr>
        <w:t>个方面对项目的管理情况进行考察。项目过程类指标分值</w:t>
      </w:r>
      <w:r>
        <w:rPr>
          <w:rFonts w:ascii="仿宋_GB2312" w:eastAsia="仿宋_GB2312" w:cs="仿宋_GB2312"/>
          <w:sz w:val="32"/>
          <w:szCs w:val="32"/>
        </w:rPr>
        <w:t>5</w:t>
      </w:r>
      <w:r>
        <w:rPr>
          <w:rFonts w:hint="eastAsia" w:ascii="仿宋_GB2312" w:eastAsia="仿宋_GB2312" w:cs="仿宋_GB2312"/>
          <w:sz w:val="32"/>
          <w:szCs w:val="32"/>
        </w:rPr>
        <w:t>分，实际得分</w:t>
      </w:r>
      <w:r>
        <w:rPr>
          <w:rFonts w:hint="eastAsia" w:ascii="仿宋_GB2312" w:eastAsia="仿宋_GB2312" w:cs="仿宋_GB2312"/>
          <w:sz w:val="32"/>
          <w:szCs w:val="32"/>
          <w:lang w:val="en-US" w:eastAsia="zh-CN"/>
        </w:rPr>
        <w:t>4.9</w:t>
      </w:r>
      <w:r>
        <w:rPr>
          <w:rFonts w:hint="eastAsia" w:ascii="仿宋_GB2312" w:eastAsia="仿宋_GB2312" w:cs="仿宋_GB2312"/>
          <w:sz w:val="32"/>
          <w:szCs w:val="32"/>
        </w:rPr>
        <w:t>分，得分率为</w:t>
      </w:r>
      <w:r>
        <w:rPr>
          <w:rFonts w:hint="eastAsia" w:ascii="仿宋_GB2312" w:eastAsia="仿宋_GB2312" w:cs="仿宋_GB2312"/>
          <w:sz w:val="32"/>
          <w:szCs w:val="32"/>
          <w:lang w:val="en-US" w:eastAsia="zh-CN"/>
        </w:rPr>
        <w:t>98</w:t>
      </w:r>
      <w:r>
        <w:rPr>
          <w:rFonts w:ascii="仿宋_GB2312" w:eastAsia="仿宋_GB2312" w:cs="仿宋_GB2312"/>
          <w:sz w:val="32"/>
          <w:szCs w:val="32"/>
        </w:rPr>
        <w:t>%</w:t>
      </w:r>
      <w:r>
        <w:rPr>
          <w:rFonts w:hint="eastAsia" w:ascii="仿宋_GB2312" w:eastAsia="仿宋_GB2312" w:cs="仿宋_GB2312"/>
          <w:sz w:val="32"/>
          <w:szCs w:val="32"/>
        </w:rPr>
        <w:t>。</w:t>
      </w:r>
    </w:p>
    <w:p w14:paraId="3DEBD9F1">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对于“资金到位率”，项目资金到位及时，到位率为</w:t>
      </w:r>
      <w:r>
        <w:rPr>
          <w:rFonts w:ascii="仿宋_GB2312" w:eastAsia="仿宋_GB2312" w:cs="仿宋_GB2312"/>
          <w:sz w:val="32"/>
          <w:szCs w:val="32"/>
        </w:rPr>
        <w:t>100%</w:t>
      </w:r>
      <w:r>
        <w:rPr>
          <w:rFonts w:hint="eastAsia" w:ascii="仿宋_GB2312" w:eastAsia="仿宋_GB2312" w:cs="仿宋_GB2312"/>
          <w:sz w:val="32"/>
          <w:szCs w:val="32"/>
        </w:rPr>
        <w:t>。根据评分标准，该指标不扣分，实际得分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14:paraId="58C3F510">
      <w:pPr>
        <w:pStyle w:val="2"/>
        <w:pageBreakBefore w:val="0"/>
        <w:kinsoku/>
        <w:wordWrap/>
        <w:overflowPunct/>
        <w:topLinePunct w:val="0"/>
        <w:autoSpaceDE/>
        <w:autoSpaceDN/>
        <w:bidi w:val="0"/>
        <w:adjustRightInd/>
        <w:snapToGrid/>
        <w:spacing w:before="0" w:after="0" w:line="560" w:lineRule="exact"/>
        <w:jc w:val="both"/>
        <w:textAlignment w:val="auto"/>
        <w:rPr>
          <w:rFonts w:ascii="仿宋_GB2312" w:eastAsia="仿宋_GB2312" w:cs="仿宋_GB2312"/>
          <w:b w:val="0"/>
          <w:kern w:val="2"/>
        </w:rPr>
      </w:pPr>
      <w:r>
        <w:rPr>
          <w:rFonts w:ascii="仿宋_GB2312" w:eastAsia="仿宋_GB2312" w:cs="仿宋_GB2312"/>
        </w:rPr>
        <w:t xml:space="preserve"> </w:t>
      </w:r>
      <w:r>
        <w:rPr>
          <w:rFonts w:hint="eastAsia" w:ascii="仿宋_GB2312" w:eastAsia="仿宋_GB2312" w:cs="仿宋_GB2312"/>
          <w:b w:val="0"/>
          <w:kern w:val="2"/>
        </w:rPr>
        <w:t xml:space="preserve"> </w:t>
      </w:r>
      <w:r>
        <w:rPr>
          <w:rFonts w:ascii="仿宋_GB2312" w:eastAsia="仿宋_GB2312" w:cs="仿宋_GB2312"/>
          <w:b w:val="0"/>
          <w:kern w:val="2"/>
        </w:rPr>
        <w:t xml:space="preserve">  </w:t>
      </w:r>
      <w:r>
        <w:rPr>
          <w:rFonts w:hint="eastAsia" w:ascii="仿宋_GB2312" w:eastAsia="仿宋_GB2312" w:cs="仿宋_GB2312"/>
          <w:b w:val="0"/>
          <w:kern w:val="2"/>
        </w:rPr>
        <w:t>对于“预算执行率”，项目资金</w:t>
      </w:r>
      <w:r>
        <w:rPr>
          <w:rFonts w:ascii="仿宋_GB2312" w:eastAsia="仿宋_GB2312" w:cs="仿宋_GB2312"/>
          <w:b w:val="0"/>
          <w:kern w:val="2"/>
        </w:rPr>
        <w:t>执行按照合同和实际支出</w:t>
      </w:r>
      <w:r>
        <w:rPr>
          <w:rFonts w:hint="eastAsia" w:ascii="仿宋_GB2312" w:eastAsia="仿宋_GB2312" w:cs="仿宋_GB2312"/>
          <w:b w:val="0"/>
          <w:kern w:val="2"/>
        </w:rPr>
        <w:t>，到</w:t>
      </w:r>
      <w:r>
        <w:rPr>
          <w:rFonts w:ascii="仿宋_GB2312" w:eastAsia="仿宋_GB2312" w:cs="仿宋_GB2312"/>
          <w:b w:val="0"/>
          <w:kern w:val="2"/>
        </w:rPr>
        <w:t>执行</w:t>
      </w:r>
      <w:r>
        <w:rPr>
          <w:rFonts w:hint="eastAsia" w:ascii="仿宋_GB2312" w:eastAsia="仿宋_GB2312" w:cs="仿宋_GB2312"/>
          <w:b w:val="0"/>
          <w:kern w:val="2"/>
        </w:rPr>
        <w:t>率为</w:t>
      </w:r>
      <w:r>
        <w:rPr>
          <w:rFonts w:hint="eastAsia" w:ascii="仿宋_GB2312" w:eastAsia="仿宋_GB2312" w:cs="仿宋_GB2312"/>
          <w:b w:val="0"/>
          <w:kern w:val="2"/>
          <w:lang w:val="en-US" w:eastAsia="zh-CN"/>
        </w:rPr>
        <w:t>100</w:t>
      </w:r>
      <w:r>
        <w:rPr>
          <w:rFonts w:hint="eastAsia" w:ascii="仿宋_GB2312" w:eastAsia="仿宋_GB2312" w:cs="仿宋_GB2312"/>
          <w:b w:val="0"/>
          <w:kern w:val="2"/>
        </w:rPr>
        <w:t>%。根据评分标准，该指标不扣分，</w:t>
      </w:r>
      <w:r>
        <w:rPr>
          <w:rFonts w:hint="eastAsia" w:ascii="仿宋_GB2312" w:eastAsia="仿宋_GB2312" w:cs="仿宋_GB2312"/>
          <w:b w:val="0"/>
          <w:bCs w:val="0"/>
          <w:kern w:val="2"/>
        </w:rPr>
        <w:t>实际得分</w:t>
      </w:r>
      <w:r>
        <w:rPr>
          <w:rFonts w:hint="eastAsia" w:ascii="仿宋_GB2312" w:eastAsia="仿宋_GB2312" w:cs="仿宋_GB2312"/>
          <w:b w:val="0"/>
          <w:bCs w:val="0"/>
          <w:kern w:val="2"/>
          <w:lang w:val="en-US" w:eastAsia="zh-CN"/>
        </w:rPr>
        <w:t>1</w:t>
      </w:r>
      <w:r>
        <w:rPr>
          <w:rFonts w:hint="eastAsia" w:ascii="仿宋_GB2312" w:eastAsia="仿宋_GB2312" w:cs="仿宋_GB2312"/>
          <w:b w:val="0"/>
          <w:bCs w:val="0"/>
          <w:kern w:val="2"/>
        </w:rPr>
        <w:t>分</w:t>
      </w:r>
      <w:r>
        <w:rPr>
          <w:rFonts w:hint="eastAsia" w:ascii="仿宋_GB2312" w:eastAsia="仿宋_GB2312" w:cs="仿宋_GB2312"/>
          <w:b w:val="0"/>
          <w:kern w:val="2"/>
        </w:rPr>
        <w:t>。</w:t>
      </w:r>
    </w:p>
    <w:p w14:paraId="5AAE3134">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bCs/>
          <w:sz w:val="32"/>
          <w:szCs w:val="32"/>
        </w:rPr>
        <w:t>对于“资金使用合规性”项目按照专项资金</w:t>
      </w:r>
      <w:r>
        <w:rPr>
          <w:rFonts w:hint="eastAsia" w:ascii="仿宋_GB2312" w:eastAsia="仿宋_GB2312" w:cs="仿宋_GB2312"/>
          <w:sz w:val="32"/>
          <w:szCs w:val="32"/>
        </w:rPr>
        <w:t>列支的范围使用资金，支出范围合规；资金支出能按财务制度执行，并能按国库集中支付制度规定执行，不存在资金违纪违规使用情况。根据评分标准，该指标不扣分，实际得分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100%</w:t>
      </w:r>
      <w:r>
        <w:rPr>
          <w:rFonts w:hint="eastAsia" w:ascii="仿宋_GB2312" w:eastAsia="仿宋_GB2312" w:cs="仿宋_GB2312"/>
          <w:sz w:val="32"/>
          <w:szCs w:val="32"/>
        </w:rPr>
        <w:t>。</w:t>
      </w:r>
    </w:p>
    <w:p w14:paraId="6130DB89">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对于“管理制度健全性”，项目机构健全，分工明确，不存在不相容岗位兼任情况。但制定项目管理实施细则</w:t>
      </w:r>
      <w:r>
        <w:rPr>
          <w:rFonts w:hint="eastAsia" w:ascii="仿宋_GB2312" w:eastAsia="仿宋_GB2312" w:cs="仿宋_GB2312"/>
          <w:sz w:val="32"/>
          <w:szCs w:val="32"/>
          <w:lang w:eastAsia="zh-CN"/>
        </w:rPr>
        <w:t>不完善</w:t>
      </w:r>
      <w:r>
        <w:rPr>
          <w:rFonts w:hint="eastAsia" w:ascii="仿宋_GB2312" w:eastAsia="仿宋_GB2312" w:cs="仿宋_GB2312"/>
          <w:sz w:val="32"/>
          <w:szCs w:val="32"/>
        </w:rPr>
        <w:t>，根据评分标准，该指标扣</w:t>
      </w:r>
      <w:r>
        <w:rPr>
          <w:rFonts w:ascii="仿宋_GB2312" w:eastAsia="仿宋_GB2312" w:cs="仿宋_GB2312"/>
          <w:sz w:val="32"/>
          <w:szCs w:val="32"/>
        </w:rPr>
        <w:t>0.</w:t>
      </w:r>
      <w:r>
        <w:rPr>
          <w:rFonts w:hint="eastAsia" w:ascii="仿宋_GB2312" w:eastAsia="仿宋_GB2312" w:cs="仿宋_GB2312"/>
          <w:sz w:val="32"/>
          <w:szCs w:val="32"/>
          <w:lang w:val="en-US" w:eastAsia="zh-CN"/>
        </w:rPr>
        <w:t>05</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w:t>
      </w:r>
      <w:r>
        <w:rPr>
          <w:rFonts w:hint="eastAsia" w:ascii="仿宋_GB2312" w:eastAsia="仿宋_GB2312" w:cs="仿宋_GB2312"/>
          <w:sz w:val="32"/>
          <w:szCs w:val="32"/>
          <w:lang w:val="en-US" w:eastAsia="zh-CN"/>
        </w:rPr>
        <w:t>5</w:t>
      </w:r>
      <w:r>
        <w:rPr>
          <w:rFonts w:ascii="仿宋_GB2312" w:eastAsia="仿宋_GB2312" w:cs="仿宋_GB2312"/>
          <w:sz w:val="32"/>
          <w:szCs w:val="32"/>
        </w:rPr>
        <w:t>%</w:t>
      </w:r>
      <w:r>
        <w:rPr>
          <w:rFonts w:hint="eastAsia" w:ascii="仿宋_GB2312" w:eastAsia="仿宋_GB2312" w:cs="仿宋_GB2312"/>
          <w:sz w:val="32"/>
          <w:szCs w:val="32"/>
        </w:rPr>
        <w:t>。</w:t>
      </w:r>
    </w:p>
    <w:p w14:paraId="22A8BD6E">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对于“制度执行有效性”，组建了项目建设领导小组，认真组织项目实施，但在项目执行过程中，由于对制度执行的效率了解还不够深入，根据评分标准，该指标扣</w:t>
      </w:r>
      <w:r>
        <w:rPr>
          <w:rFonts w:ascii="仿宋_GB2312" w:eastAsia="仿宋_GB2312" w:cs="仿宋_GB2312"/>
          <w:sz w:val="32"/>
          <w:szCs w:val="32"/>
        </w:rPr>
        <w:t>0.</w:t>
      </w:r>
      <w:r>
        <w:rPr>
          <w:rFonts w:hint="eastAsia" w:ascii="仿宋_GB2312" w:eastAsia="仿宋_GB2312" w:cs="仿宋_GB2312"/>
          <w:sz w:val="32"/>
          <w:szCs w:val="32"/>
          <w:lang w:val="en-US" w:eastAsia="zh-CN"/>
        </w:rPr>
        <w:t>05</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lang w:val="en-US" w:eastAsia="zh-CN"/>
        </w:rPr>
        <w:t>5</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w:t>
      </w:r>
      <w:r>
        <w:rPr>
          <w:rFonts w:hint="eastAsia" w:ascii="仿宋_GB2312" w:eastAsia="仿宋_GB2312" w:cs="仿宋_GB2312"/>
          <w:sz w:val="32"/>
          <w:szCs w:val="32"/>
          <w:lang w:val="en-US" w:eastAsia="zh-CN"/>
        </w:rPr>
        <w:t>5</w:t>
      </w:r>
      <w:r>
        <w:rPr>
          <w:rFonts w:ascii="仿宋_GB2312" w:eastAsia="仿宋_GB2312" w:cs="仿宋_GB2312"/>
          <w:sz w:val="32"/>
          <w:szCs w:val="32"/>
        </w:rPr>
        <w:t>%</w:t>
      </w:r>
      <w:r>
        <w:rPr>
          <w:rFonts w:hint="eastAsia" w:ascii="仿宋_GB2312" w:eastAsia="仿宋_GB2312" w:cs="仿宋_GB2312"/>
          <w:sz w:val="32"/>
          <w:szCs w:val="32"/>
        </w:rPr>
        <w:t>。</w:t>
      </w:r>
    </w:p>
    <w:p w14:paraId="1C9A6806">
      <w:pPr>
        <w:pageBreakBefore w:val="0"/>
        <w:widowControl/>
        <w:kinsoku/>
        <w:wordWrap/>
        <w:overflowPunct/>
        <w:topLinePunct w:val="0"/>
        <w:autoSpaceDE/>
        <w:autoSpaceDN/>
        <w:bidi w:val="0"/>
        <w:adjustRightInd/>
        <w:snapToGrid/>
        <w:spacing w:line="560" w:lineRule="exact"/>
        <w:ind w:firstLine="482" w:firstLineChars="150"/>
        <w:textAlignment w:val="auto"/>
        <w:rPr>
          <w:rFonts w:hint="eastAsia" w:ascii="楷体" w:hAnsi="楷体" w:eastAsia="楷体" w:cs="楷体"/>
          <w:b/>
          <w:sz w:val="32"/>
          <w:szCs w:val="32"/>
        </w:rPr>
      </w:pPr>
      <w:r>
        <w:rPr>
          <w:rFonts w:hint="eastAsia" w:ascii="楷体" w:hAnsi="楷体" w:eastAsia="楷体" w:cs="楷体"/>
          <w:b/>
          <w:sz w:val="32"/>
          <w:szCs w:val="32"/>
        </w:rPr>
        <w:t>（三）项目产出情况</w:t>
      </w:r>
    </w:p>
    <w:p w14:paraId="11B9BB58">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项目绩效主要从项目产出的产出数量、产出质量、产出时效、成本情况4个方面对项目的绩效情况进行评价。</w:t>
      </w:r>
    </w:p>
    <w:p w14:paraId="131EF6CB">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sz w:val="32"/>
          <w:szCs w:val="32"/>
        </w:rPr>
      </w:pPr>
      <w:r>
        <w:rPr>
          <w:rFonts w:hint="eastAsia" w:ascii="仿宋_GB2312" w:eastAsia="仿宋_GB2312" w:cs="仿宋_GB2312"/>
          <w:b/>
          <w:bCs/>
          <w:sz w:val="32"/>
          <w:szCs w:val="32"/>
        </w:rPr>
        <w:t>数量指标：</w:t>
      </w:r>
      <w:r>
        <w:rPr>
          <w:rFonts w:hint="eastAsia" w:ascii="仿宋_GB2312" w:eastAsia="仿宋_GB2312" w:cs="仿宋_GB2312"/>
          <w:sz w:val="32"/>
          <w:szCs w:val="32"/>
          <w:lang w:eastAsia="zh-CN"/>
        </w:rPr>
        <w:t>以培训的学员数来衡量</w:t>
      </w:r>
      <w:r>
        <w:rPr>
          <w:rFonts w:hint="eastAsia" w:ascii="仿宋_GB2312" w:eastAsia="仿宋_GB2312" w:cs="仿宋_GB2312"/>
          <w:sz w:val="32"/>
          <w:szCs w:val="32"/>
        </w:rPr>
        <w:t>，预期指标值≥</w:t>
      </w:r>
      <w:r>
        <w:rPr>
          <w:rFonts w:hint="eastAsia" w:ascii="仿宋_GB2312" w:eastAsia="仿宋_GB2312" w:cs="仿宋_GB2312"/>
          <w:sz w:val="32"/>
          <w:szCs w:val="32"/>
          <w:lang w:val="en-US" w:eastAsia="zh-CN"/>
        </w:rPr>
        <w:t>400</w:t>
      </w:r>
      <w:r>
        <w:rPr>
          <w:rFonts w:hint="eastAsia" w:ascii="仿宋_GB2312" w:eastAsia="仿宋_GB2312" w:cs="仿宋_GB2312"/>
          <w:sz w:val="32"/>
          <w:szCs w:val="32"/>
          <w:lang w:eastAsia="zh-CN"/>
        </w:rPr>
        <w:t>人</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417</w:t>
      </w:r>
      <w:r>
        <w:rPr>
          <w:rFonts w:hint="eastAsia" w:ascii="仿宋_GB2312" w:eastAsia="仿宋_GB2312" w:cs="仿宋_GB2312"/>
          <w:sz w:val="32"/>
          <w:szCs w:val="32"/>
          <w:lang w:eastAsia="zh-CN"/>
        </w:rPr>
        <w:t>人</w:t>
      </w:r>
      <w:r>
        <w:rPr>
          <w:rFonts w:hint="eastAsia" w:ascii="仿宋_GB2312" w:eastAsia="仿宋_GB2312" w:cs="仿宋_GB2312"/>
          <w:sz w:val="32"/>
          <w:szCs w:val="32"/>
        </w:rPr>
        <w:t>，指标完成率10</w:t>
      </w:r>
      <w:r>
        <w:rPr>
          <w:rFonts w:hint="eastAsia" w:ascii="仿宋_GB2312" w:eastAsia="仿宋_GB2312" w:cs="仿宋_GB2312"/>
          <w:sz w:val="32"/>
          <w:szCs w:val="32"/>
          <w:lang w:val="en-US" w:eastAsia="zh-CN"/>
        </w:rPr>
        <w:t>4.25</w:t>
      </w:r>
      <w:r>
        <w:rPr>
          <w:rFonts w:hint="eastAsia" w:ascii="仿宋_GB2312" w:eastAsia="仿宋_GB2312" w:cs="仿宋_GB2312"/>
          <w:sz w:val="32"/>
          <w:szCs w:val="32"/>
        </w:rPr>
        <w:t>%；</w:t>
      </w:r>
    </w:p>
    <w:p w14:paraId="763FF66C">
      <w:pPr>
        <w:pStyle w:val="17"/>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lang w:eastAsia="zh-CN"/>
        </w:rPr>
        <w:t>以学员参加救护集体活动来衡量</w:t>
      </w:r>
      <w:r>
        <w:rPr>
          <w:rFonts w:hint="eastAsia" w:ascii="仿宋_GB2312" w:eastAsia="仿宋_GB2312" w:cs="仿宋_GB2312"/>
          <w:sz w:val="32"/>
          <w:szCs w:val="32"/>
        </w:rPr>
        <w:t>，预期指标值≥</w:t>
      </w:r>
      <w:r>
        <w:rPr>
          <w:rFonts w:hint="eastAsia" w:ascii="仿宋_GB2312" w:eastAsia="仿宋_GB2312" w:cs="仿宋_GB2312"/>
          <w:sz w:val="32"/>
          <w:szCs w:val="32"/>
          <w:lang w:val="en-US" w:eastAsia="zh-CN"/>
        </w:rPr>
        <w:t>3次</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3次</w:t>
      </w:r>
      <w:r>
        <w:rPr>
          <w:rFonts w:hint="eastAsia" w:ascii="仿宋_GB2312" w:eastAsia="仿宋_GB2312" w:cs="仿宋_GB2312"/>
          <w:sz w:val="32"/>
          <w:szCs w:val="32"/>
        </w:rPr>
        <w:t>，指标完成率100%；</w:t>
      </w:r>
    </w:p>
    <w:p w14:paraId="2804ACE4">
      <w:pPr>
        <w:pStyle w:val="17"/>
        <w:pageBreakBefore w:val="0"/>
        <w:widowControl/>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lang w:eastAsia="zh-CN"/>
        </w:rPr>
        <w:t>以培训的学员发放救护预案培训证书来衡量</w:t>
      </w:r>
      <w:r>
        <w:rPr>
          <w:rFonts w:hint="eastAsia" w:ascii="仿宋_GB2312" w:eastAsia="仿宋_GB2312" w:cs="仿宋_GB2312"/>
          <w:sz w:val="32"/>
          <w:szCs w:val="32"/>
        </w:rPr>
        <w:t>，预期指标值≥</w:t>
      </w:r>
      <w:r>
        <w:rPr>
          <w:rFonts w:hint="eastAsia" w:ascii="仿宋_GB2312" w:eastAsia="仿宋_GB2312" w:cs="仿宋_GB2312"/>
          <w:sz w:val="32"/>
          <w:szCs w:val="32"/>
          <w:lang w:val="en-US" w:eastAsia="zh-CN"/>
        </w:rPr>
        <w:t>400人</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417</w:t>
      </w:r>
      <w:r>
        <w:rPr>
          <w:rFonts w:hint="eastAsia" w:ascii="仿宋_GB2312" w:eastAsia="仿宋_GB2312" w:cs="仿宋_GB2312"/>
          <w:sz w:val="32"/>
          <w:szCs w:val="32"/>
          <w:lang w:eastAsia="zh-CN"/>
        </w:rPr>
        <w:t>人</w:t>
      </w:r>
      <w:r>
        <w:rPr>
          <w:rFonts w:hint="eastAsia" w:ascii="仿宋_GB2312" w:eastAsia="仿宋_GB2312" w:cs="仿宋_GB2312"/>
          <w:sz w:val="32"/>
          <w:szCs w:val="32"/>
        </w:rPr>
        <w:t>，指标完成率</w:t>
      </w:r>
      <w:r>
        <w:rPr>
          <w:rFonts w:hint="eastAsia" w:ascii="仿宋_GB2312" w:eastAsia="仿宋_GB2312" w:cs="仿宋_GB2312"/>
          <w:sz w:val="32"/>
          <w:szCs w:val="32"/>
          <w:lang w:val="en-US" w:eastAsia="zh-CN"/>
        </w:rPr>
        <w:t>104.25</w:t>
      </w:r>
      <w:r>
        <w:rPr>
          <w:rFonts w:hint="eastAsia" w:ascii="仿宋_GB2312" w:eastAsia="仿宋_GB2312" w:cs="仿宋_GB2312"/>
          <w:sz w:val="32"/>
          <w:szCs w:val="32"/>
        </w:rPr>
        <w:t>%；</w:t>
      </w:r>
    </w:p>
    <w:p w14:paraId="2EC9CDCB">
      <w:pPr>
        <w:pStyle w:val="17"/>
        <w:pageBreakBefore w:val="0"/>
        <w:widowControl/>
        <w:kinsoku/>
        <w:wordWrap/>
        <w:overflowPunct/>
        <w:topLinePunct w:val="0"/>
        <w:autoSpaceDE/>
        <w:autoSpaceDN/>
        <w:bidi w:val="0"/>
        <w:adjustRightInd/>
        <w:snapToGrid/>
        <w:spacing w:line="560" w:lineRule="exact"/>
        <w:ind w:firstLine="643"/>
        <w:textAlignment w:val="auto"/>
        <w:rPr>
          <w:rFonts w:ascii="仿宋_GB2312" w:eastAsia="仿宋_GB2312" w:cs="仿宋_GB2312"/>
          <w:sz w:val="32"/>
          <w:szCs w:val="32"/>
        </w:rPr>
      </w:pPr>
      <w:r>
        <w:rPr>
          <w:rFonts w:hint="eastAsia" w:ascii="仿宋_GB2312" w:eastAsia="仿宋_GB2312" w:cs="仿宋_GB2312"/>
          <w:b/>
          <w:bCs/>
          <w:sz w:val="32"/>
          <w:szCs w:val="32"/>
        </w:rPr>
        <w:t>质量指标：</w:t>
      </w:r>
      <w:r>
        <w:rPr>
          <w:rFonts w:hint="eastAsia" w:ascii="仿宋_GB2312" w:eastAsia="仿宋_GB2312" w:cs="仿宋_GB2312"/>
          <w:sz w:val="32"/>
          <w:szCs w:val="32"/>
          <w:lang w:eastAsia="zh-CN"/>
        </w:rPr>
        <w:t>已完成年初培训计划来衡量</w:t>
      </w:r>
      <w:r>
        <w:rPr>
          <w:rFonts w:hint="eastAsia" w:ascii="仿宋_GB2312" w:eastAsia="仿宋_GB2312" w:cs="仿宋_GB2312"/>
          <w:sz w:val="32"/>
          <w:szCs w:val="32"/>
        </w:rPr>
        <w:t>，预期指标值≥</w:t>
      </w:r>
      <w:r>
        <w:rPr>
          <w:rFonts w:hint="eastAsia" w:ascii="仿宋_GB2312" w:eastAsia="仿宋_GB2312" w:cs="仿宋_GB2312"/>
          <w:sz w:val="32"/>
          <w:szCs w:val="32"/>
          <w:lang w:val="en-US" w:eastAsia="zh-CN"/>
        </w:rPr>
        <w:t>400人</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417人</w:t>
      </w:r>
      <w:r>
        <w:rPr>
          <w:rFonts w:hint="eastAsia" w:ascii="仿宋_GB2312" w:eastAsia="仿宋_GB2312" w:cs="仿宋_GB2312"/>
          <w:sz w:val="32"/>
          <w:szCs w:val="32"/>
        </w:rPr>
        <w:t>，指标完成率10</w:t>
      </w:r>
      <w:r>
        <w:rPr>
          <w:rFonts w:hint="eastAsia" w:ascii="仿宋_GB2312" w:eastAsia="仿宋_GB2312" w:cs="仿宋_GB2312"/>
          <w:sz w:val="32"/>
          <w:szCs w:val="32"/>
          <w:lang w:val="en-US" w:eastAsia="zh-CN"/>
        </w:rPr>
        <w:t>4.25</w:t>
      </w:r>
      <w:r>
        <w:rPr>
          <w:rFonts w:hint="eastAsia" w:ascii="仿宋_GB2312" w:eastAsia="仿宋_GB2312" w:cs="仿宋_GB2312"/>
          <w:sz w:val="32"/>
          <w:szCs w:val="32"/>
        </w:rPr>
        <w:t>%；</w:t>
      </w:r>
    </w:p>
    <w:p w14:paraId="2F26C37C">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sz w:val="32"/>
          <w:szCs w:val="32"/>
        </w:rPr>
      </w:pPr>
      <w:r>
        <w:rPr>
          <w:rFonts w:hint="eastAsia" w:ascii="仿宋_GB2312" w:eastAsia="仿宋_GB2312" w:cs="仿宋_GB2312"/>
          <w:b/>
          <w:bCs/>
          <w:sz w:val="32"/>
          <w:szCs w:val="32"/>
        </w:rPr>
        <w:t>时效指标：</w:t>
      </w:r>
      <w:r>
        <w:rPr>
          <w:rFonts w:hint="eastAsia" w:ascii="仿宋_GB2312" w:eastAsia="仿宋_GB2312" w:cs="仿宋_GB2312"/>
          <w:sz w:val="32"/>
          <w:szCs w:val="32"/>
          <w:lang w:eastAsia="zh-CN"/>
        </w:rPr>
        <w:t>培训任务</w:t>
      </w:r>
      <w:r>
        <w:rPr>
          <w:rFonts w:hint="eastAsia" w:ascii="仿宋_GB2312" w:eastAsia="仿宋_GB2312" w:cs="仿宋_GB2312"/>
          <w:sz w:val="32"/>
          <w:szCs w:val="32"/>
        </w:rPr>
        <w:t>完成时限</w:t>
      </w:r>
      <w:r>
        <w:rPr>
          <w:rFonts w:hint="eastAsia" w:ascii="仿宋_GB2312" w:eastAsia="仿宋_GB2312" w:cs="仿宋_GB2312"/>
          <w:sz w:val="32"/>
          <w:szCs w:val="32"/>
          <w:lang w:eastAsia="zh-CN"/>
        </w:rPr>
        <w:t>来衡量</w:t>
      </w:r>
      <w:r>
        <w:rPr>
          <w:rFonts w:hint="eastAsia" w:ascii="仿宋_GB2312" w:eastAsia="仿宋_GB2312" w:cs="仿宋_GB2312"/>
          <w:sz w:val="32"/>
          <w:szCs w:val="32"/>
        </w:rPr>
        <w:t>，预期指标值</w:t>
      </w:r>
      <w:r>
        <w:rPr>
          <w:rFonts w:hint="eastAsia" w:ascii="仿宋_GB2312" w:eastAsia="仿宋_GB2312" w:cs="仿宋_GB2312"/>
          <w:sz w:val="32"/>
          <w:szCs w:val="32"/>
          <w:lang w:eastAsia="zh-CN"/>
        </w:rPr>
        <w:t>为</w:t>
      </w:r>
      <w:r>
        <w:rPr>
          <w:rFonts w:hint="eastAsia" w:ascii="仿宋_GB2312" w:eastAsia="仿宋_GB2312" w:cs="仿宋_GB2312"/>
          <w:sz w:val="32"/>
          <w:szCs w:val="32"/>
          <w:lang w:val="en-US" w:eastAsia="zh-CN"/>
        </w:rPr>
        <w:t>12月31日前</w:t>
      </w:r>
      <w:r>
        <w:rPr>
          <w:rFonts w:hint="eastAsia" w:ascii="仿宋_GB2312" w:eastAsia="仿宋_GB2312" w:cs="仿宋_GB2312"/>
          <w:sz w:val="32"/>
          <w:szCs w:val="32"/>
        </w:rPr>
        <w:t>，指标完成值</w:t>
      </w:r>
      <w:r>
        <w:rPr>
          <w:rFonts w:hint="eastAsia" w:ascii="仿宋_GB2312" w:eastAsia="仿宋_GB2312" w:cs="仿宋_GB2312"/>
          <w:sz w:val="32"/>
          <w:szCs w:val="32"/>
          <w:lang w:eastAsia="zh-CN"/>
        </w:rPr>
        <w:t>率</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w:t>
      </w:r>
    </w:p>
    <w:p w14:paraId="17015EAF">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sz w:val="32"/>
          <w:szCs w:val="32"/>
        </w:rPr>
      </w:pPr>
      <w:r>
        <w:rPr>
          <w:rFonts w:hint="eastAsia" w:ascii="仿宋_GB2312" w:eastAsia="仿宋_GB2312" w:cs="仿宋_GB2312"/>
          <w:b/>
          <w:bCs/>
          <w:sz w:val="32"/>
          <w:szCs w:val="32"/>
        </w:rPr>
        <w:t>成本指标：</w:t>
      </w:r>
      <w:r>
        <w:rPr>
          <w:rFonts w:hint="eastAsia" w:ascii="仿宋_GB2312" w:eastAsia="仿宋_GB2312" w:cs="仿宋_GB2312"/>
          <w:sz w:val="32"/>
          <w:szCs w:val="32"/>
          <w:lang w:eastAsia="zh-CN"/>
        </w:rPr>
        <w:t>以支出项目资金来衡量</w:t>
      </w:r>
      <w:r>
        <w:rPr>
          <w:rFonts w:hint="eastAsia" w:ascii="仿宋_GB2312" w:eastAsia="仿宋_GB2312" w:cs="仿宋_GB2312"/>
          <w:sz w:val="32"/>
          <w:szCs w:val="32"/>
        </w:rPr>
        <w:t>，预期指标值=</w:t>
      </w:r>
      <w:r>
        <w:rPr>
          <w:rFonts w:hint="eastAsia" w:ascii="仿宋_GB2312" w:eastAsia="仿宋_GB2312" w:cs="仿宋_GB2312"/>
          <w:sz w:val="32"/>
          <w:szCs w:val="32"/>
          <w:lang w:val="en-US" w:eastAsia="zh-CN"/>
        </w:rPr>
        <w:t>10</w:t>
      </w:r>
      <w:r>
        <w:rPr>
          <w:rFonts w:hint="eastAsia" w:ascii="仿宋_GB2312" w:eastAsia="仿宋_GB2312" w:cs="仿宋_GB2312"/>
          <w:sz w:val="32"/>
          <w:szCs w:val="32"/>
        </w:rPr>
        <w:t>万元，指标完成值</w:t>
      </w:r>
      <w:r>
        <w:rPr>
          <w:rFonts w:hint="eastAsia" w:ascii="仿宋_GB2312" w:eastAsia="仿宋_GB2312" w:cs="仿宋_GB2312"/>
          <w:sz w:val="32"/>
          <w:szCs w:val="32"/>
          <w:lang w:val="en-US" w:eastAsia="zh-CN"/>
        </w:rPr>
        <w:t>8.69</w:t>
      </w:r>
      <w:r>
        <w:rPr>
          <w:rFonts w:hint="eastAsia" w:ascii="仿宋_GB2312" w:eastAsia="仿宋_GB2312" w:cs="仿宋_GB2312"/>
          <w:sz w:val="32"/>
          <w:szCs w:val="32"/>
        </w:rPr>
        <w:t>万元，指标完成率</w:t>
      </w:r>
      <w:r>
        <w:rPr>
          <w:rFonts w:hint="eastAsia" w:ascii="仿宋_GB2312" w:eastAsia="仿宋_GB2312" w:cs="仿宋_GB2312"/>
          <w:sz w:val="32"/>
          <w:szCs w:val="32"/>
          <w:lang w:val="en-US" w:eastAsia="zh-CN"/>
        </w:rPr>
        <w:t>86.9</w:t>
      </w:r>
      <w:r>
        <w:rPr>
          <w:rFonts w:hint="eastAsia" w:ascii="仿宋_GB2312" w:eastAsia="仿宋_GB2312" w:cs="仿宋_GB2312"/>
          <w:sz w:val="32"/>
          <w:szCs w:val="32"/>
        </w:rPr>
        <w:t>%；</w:t>
      </w:r>
    </w:p>
    <w:p w14:paraId="6224FF9B">
      <w:pPr>
        <w:pageBreakBefore w:val="0"/>
        <w:widowControl/>
        <w:kinsoku/>
        <w:wordWrap/>
        <w:overflowPunct/>
        <w:topLinePunct w:val="0"/>
        <w:autoSpaceDE/>
        <w:autoSpaceDN/>
        <w:bidi w:val="0"/>
        <w:adjustRightInd/>
        <w:snapToGrid/>
        <w:spacing w:line="560" w:lineRule="exact"/>
        <w:ind w:firstLine="482" w:firstLineChars="150"/>
        <w:textAlignment w:val="auto"/>
        <w:rPr>
          <w:rFonts w:hint="eastAsia" w:ascii="楷体" w:hAnsi="楷体" w:eastAsia="楷体" w:cs="楷体"/>
          <w:b/>
          <w:sz w:val="32"/>
          <w:szCs w:val="32"/>
        </w:rPr>
      </w:pPr>
      <w:r>
        <w:rPr>
          <w:rFonts w:hint="eastAsia" w:ascii="楷体" w:hAnsi="楷体" w:eastAsia="楷体" w:cs="楷体"/>
          <w:b/>
          <w:sz w:val="32"/>
          <w:szCs w:val="32"/>
        </w:rPr>
        <w:t>（四）项目效益情况</w:t>
      </w:r>
    </w:p>
    <w:p w14:paraId="6AA85247">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项目绩效主要从项目产出的效果的社会效益、可持续影响、满意度</w:t>
      </w: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个方面对项目的绩效情况进行评价。</w:t>
      </w:r>
    </w:p>
    <w:p w14:paraId="248B7EBB">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sz w:val="32"/>
          <w:szCs w:val="32"/>
        </w:rPr>
      </w:pPr>
      <w:r>
        <w:rPr>
          <w:rFonts w:hint="eastAsia" w:ascii="仿宋_GB2312" w:eastAsia="仿宋_GB2312" w:cs="仿宋_GB2312"/>
          <w:b/>
          <w:bCs/>
          <w:sz w:val="32"/>
          <w:szCs w:val="32"/>
        </w:rPr>
        <w:t>社会效益指标：</w:t>
      </w:r>
      <w:r>
        <w:rPr>
          <w:rFonts w:hint="eastAsia" w:ascii="仿宋_GB2312" w:eastAsia="仿宋_GB2312" w:cs="仿宋_GB2312"/>
          <w:sz w:val="32"/>
          <w:szCs w:val="32"/>
          <w:lang w:eastAsia="zh-CN"/>
        </w:rPr>
        <w:t>提升广大群众应急自救能力</w:t>
      </w:r>
      <w:r>
        <w:rPr>
          <w:rFonts w:hint="eastAsia" w:ascii="仿宋_GB2312" w:eastAsia="仿宋_GB2312" w:cs="仿宋_GB2312"/>
          <w:sz w:val="32"/>
          <w:szCs w:val="32"/>
        </w:rPr>
        <w:t>，预期指标值</w:t>
      </w:r>
      <w:r>
        <w:rPr>
          <w:rFonts w:ascii="仿宋_GB2312" w:eastAsia="仿宋_GB2312" w:cs="仿宋_GB2312"/>
          <w:sz w:val="32"/>
          <w:szCs w:val="32"/>
        </w:rPr>
        <w:t>大于等</w:t>
      </w:r>
      <w:r>
        <w:rPr>
          <w:rFonts w:hint="eastAsia" w:ascii="仿宋_GB2312" w:eastAsia="仿宋_GB2312" w:cs="仿宋_GB2312"/>
          <w:sz w:val="32"/>
          <w:szCs w:val="32"/>
          <w:lang w:val="en-US" w:eastAsia="zh-CN"/>
        </w:rPr>
        <w:t>90%</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90%</w:t>
      </w:r>
      <w:r>
        <w:rPr>
          <w:rFonts w:hint="eastAsia" w:ascii="仿宋_GB2312" w:eastAsia="仿宋_GB2312" w:cs="仿宋_GB2312"/>
          <w:sz w:val="32"/>
          <w:szCs w:val="32"/>
          <w:lang w:eastAsia="zh-CN"/>
        </w:rPr>
        <w:t>，</w:t>
      </w:r>
      <w:r>
        <w:rPr>
          <w:rFonts w:hint="eastAsia" w:ascii="仿宋_GB2312" w:eastAsia="仿宋_GB2312" w:cs="仿宋_GB2312"/>
          <w:sz w:val="32"/>
          <w:szCs w:val="32"/>
        </w:rPr>
        <w:t>指标完成率</w:t>
      </w:r>
      <w:r>
        <w:rPr>
          <w:rFonts w:hint="eastAsia" w:ascii="仿宋_GB2312" w:eastAsia="仿宋_GB2312" w:cs="仿宋_GB2312"/>
          <w:sz w:val="32"/>
          <w:szCs w:val="32"/>
          <w:lang w:val="en-US" w:eastAsia="zh-CN"/>
        </w:rPr>
        <w:t>100</w:t>
      </w:r>
      <w:r>
        <w:rPr>
          <w:rFonts w:ascii="仿宋_GB2312" w:eastAsia="仿宋_GB2312" w:cs="仿宋_GB2312"/>
          <w:sz w:val="32"/>
          <w:szCs w:val="32"/>
        </w:rPr>
        <w:t>%</w:t>
      </w:r>
      <w:r>
        <w:rPr>
          <w:rFonts w:hint="eastAsia" w:ascii="仿宋_GB2312" w:eastAsia="仿宋_GB2312" w:cs="仿宋_GB2312"/>
          <w:sz w:val="32"/>
          <w:szCs w:val="32"/>
        </w:rPr>
        <w:t>；</w:t>
      </w:r>
    </w:p>
    <w:p w14:paraId="2FDD571E">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Style w:val="34"/>
          <w:color w:val="auto"/>
        </w:rPr>
      </w:pPr>
      <w:r>
        <w:rPr>
          <w:rFonts w:hint="eastAsia" w:ascii="仿宋_GB2312" w:eastAsia="仿宋_GB2312" w:cs="仿宋_GB2312"/>
          <w:b/>
          <w:bCs/>
          <w:sz w:val="32"/>
          <w:szCs w:val="32"/>
        </w:rPr>
        <w:t>可持续影响指标：</w:t>
      </w:r>
      <w:r>
        <w:rPr>
          <w:rFonts w:ascii="仿宋_GB2312" w:eastAsia="仿宋_GB2312" w:cs="仿宋_GB2312"/>
          <w:sz w:val="32"/>
          <w:szCs w:val="32"/>
        </w:rPr>
        <w:t>提升</w:t>
      </w:r>
      <w:r>
        <w:rPr>
          <w:rFonts w:hint="eastAsia" w:ascii="仿宋_GB2312" w:eastAsia="仿宋_GB2312" w:cs="仿宋_GB2312"/>
          <w:sz w:val="32"/>
          <w:szCs w:val="32"/>
          <w:lang w:eastAsia="zh-CN"/>
        </w:rPr>
        <w:t>红十字会在社会的知晓率</w:t>
      </w:r>
      <w:r>
        <w:rPr>
          <w:rFonts w:hint="eastAsia" w:ascii="仿宋_GB2312" w:eastAsia="仿宋_GB2312" w:cs="仿宋_GB2312"/>
          <w:sz w:val="32"/>
          <w:szCs w:val="32"/>
        </w:rPr>
        <w:t>，预期指标值</w:t>
      </w:r>
      <w:r>
        <w:rPr>
          <w:rFonts w:hint="eastAsia" w:ascii="仿宋_GB2312" w:eastAsia="仿宋_GB2312" w:cs="仿宋_GB2312"/>
          <w:sz w:val="32"/>
          <w:szCs w:val="32"/>
          <w:lang w:val="en-US" w:eastAsia="zh-CN"/>
        </w:rPr>
        <w:t>大于等于90%</w:t>
      </w:r>
      <w:r>
        <w:rPr>
          <w:rFonts w:hint="eastAsia" w:ascii="仿宋_GB2312" w:eastAsia="仿宋_GB2312" w:cs="仿宋_GB2312"/>
          <w:sz w:val="32"/>
          <w:szCs w:val="32"/>
        </w:rPr>
        <w:t>，指标完成值</w:t>
      </w:r>
      <w:r>
        <w:rPr>
          <w:rFonts w:hint="eastAsia" w:ascii="仿宋_GB2312" w:eastAsia="仿宋_GB2312" w:cs="仿宋_GB2312"/>
          <w:sz w:val="32"/>
          <w:szCs w:val="32"/>
          <w:lang w:val="en-US" w:eastAsia="zh-CN"/>
        </w:rPr>
        <w:t>90%</w:t>
      </w:r>
      <w:r>
        <w:rPr>
          <w:rFonts w:hint="eastAsia" w:ascii="仿宋_GB2312" w:eastAsia="仿宋_GB2312" w:cs="仿宋_GB2312"/>
          <w:sz w:val="32"/>
          <w:szCs w:val="32"/>
        </w:rPr>
        <w:t>；</w:t>
      </w:r>
    </w:p>
    <w:p w14:paraId="091DE458">
      <w:pPr>
        <w:pStyle w:val="17"/>
        <w:pageBreakBefore w:val="0"/>
        <w:widowControl/>
        <w:kinsoku/>
        <w:wordWrap/>
        <w:overflowPunct/>
        <w:topLinePunct w:val="0"/>
        <w:autoSpaceDE/>
        <w:autoSpaceDN/>
        <w:bidi w:val="0"/>
        <w:adjustRightInd/>
        <w:snapToGrid/>
        <w:spacing w:line="560" w:lineRule="exact"/>
        <w:ind w:firstLine="643" w:firstLineChars="200"/>
        <w:textAlignment w:val="auto"/>
        <w:rPr>
          <w:rFonts w:ascii="仿宋_GB2312" w:eastAsia="仿宋_GB2312" w:cs="仿宋_GB2312"/>
          <w:sz w:val="32"/>
          <w:szCs w:val="32"/>
        </w:rPr>
      </w:pPr>
      <w:r>
        <w:rPr>
          <w:rFonts w:hint="eastAsia" w:ascii="仿宋_GB2312" w:eastAsia="仿宋_GB2312" w:cs="仿宋_GB2312"/>
          <w:b/>
          <w:bCs/>
          <w:sz w:val="32"/>
          <w:szCs w:val="32"/>
        </w:rPr>
        <w:t>服务对象满意度指标：</w:t>
      </w:r>
      <w:r>
        <w:rPr>
          <w:rFonts w:hint="eastAsia" w:ascii="仿宋_GB2312" w:eastAsia="仿宋_GB2312" w:cs="仿宋_GB2312"/>
          <w:sz w:val="32"/>
          <w:szCs w:val="32"/>
          <w:lang w:eastAsia="zh-CN"/>
        </w:rPr>
        <w:t>参加应急救护培训的学员对学习的满意度</w:t>
      </w:r>
      <w:r>
        <w:rPr>
          <w:rFonts w:hint="eastAsia" w:ascii="仿宋_GB2312" w:eastAsia="仿宋_GB2312" w:cs="仿宋_GB2312"/>
          <w:sz w:val="32"/>
          <w:szCs w:val="32"/>
        </w:rPr>
        <w:t>，预期指标值大于等90%，指标完成值</w:t>
      </w:r>
      <w:r>
        <w:rPr>
          <w:rFonts w:hint="eastAsia" w:ascii="仿宋_GB2312" w:eastAsia="仿宋_GB2312" w:cs="仿宋_GB2312"/>
          <w:sz w:val="32"/>
          <w:szCs w:val="32"/>
          <w:lang w:val="en-US" w:eastAsia="zh-CN"/>
        </w:rPr>
        <w:t>100</w:t>
      </w:r>
      <w:r>
        <w:rPr>
          <w:rFonts w:hint="eastAsia" w:ascii="仿宋_GB2312" w:eastAsia="仿宋_GB2312" w:cs="仿宋_GB2312"/>
          <w:sz w:val="32"/>
          <w:szCs w:val="32"/>
        </w:rPr>
        <w:t>%，指标完成率1</w:t>
      </w:r>
      <w:r>
        <w:rPr>
          <w:rFonts w:hint="eastAsia" w:ascii="仿宋_GB2312" w:eastAsia="仿宋_GB2312" w:cs="仿宋_GB2312"/>
          <w:sz w:val="32"/>
          <w:szCs w:val="32"/>
          <w:lang w:val="en-US" w:eastAsia="zh-CN"/>
        </w:rPr>
        <w:t>11</w:t>
      </w:r>
      <w:r>
        <w:rPr>
          <w:rFonts w:hint="eastAsia" w:ascii="仿宋_GB2312" w:eastAsia="仿宋_GB2312" w:cs="仿宋_GB2312"/>
          <w:sz w:val="32"/>
          <w:szCs w:val="32"/>
        </w:rPr>
        <w:t>%；</w:t>
      </w:r>
    </w:p>
    <w:p w14:paraId="1DE4517A">
      <w:pPr>
        <w:pageBreakBefore w:val="0"/>
        <w:kinsoku/>
        <w:wordWrap/>
        <w:overflowPunct/>
        <w:topLinePunct w:val="0"/>
        <w:autoSpaceDE/>
        <w:autoSpaceDN/>
        <w:bidi w:val="0"/>
        <w:adjustRightInd/>
        <w:snapToGrid/>
        <w:spacing w:line="560" w:lineRule="exact"/>
        <w:ind w:firstLine="643" w:firstLineChars="200"/>
        <w:textAlignment w:val="auto"/>
        <w:rPr>
          <w:rStyle w:val="34"/>
          <w:b/>
          <w:bCs/>
          <w:color w:val="auto"/>
        </w:rPr>
      </w:pPr>
      <w:r>
        <w:rPr>
          <w:rFonts w:hint="eastAsia" w:ascii="黑体" w:eastAsia="黑体"/>
          <w:b/>
          <w:bCs/>
          <w:sz w:val="32"/>
          <w:szCs w:val="32"/>
        </w:rPr>
        <w:t>五、主要经验及做法、存在的问题及原因分析</w:t>
      </w:r>
    </w:p>
    <w:p w14:paraId="1B82D4AA">
      <w:pPr>
        <w:pageBreakBefore w:val="0"/>
        <w:kinsoku/>
        <w:wordWrap/>
        <w:overflowPunct/>
        <w:topLinePunct w:val="0"/>
        <w:autoSpaceDE/>
        <w:autoSpaceDN/>
        <w:bidi w:val="0"/>
        <w:adjustRightInd/>
        <w:snapToGrid/>
        <w:spacing w:line="560" w:lineRule="exact"/>
        <w:ind w:firstLine="567" w:firstLineChars="181"/>
        <w:textAlignment w:val="auto"/>
        <w:rPr>
          <w:rFonts w:ascii="楷体" w:eastAsia="楷体"/>
          <w:b/>
          <w:spacing w:val="-4"/>
          <w:sz w:val="32"/>
          <w:szCs w:val="32"/>
        </w:rPr>
      </w:pPr>
      <w:r>
        <w:rPr>
          <w:rFonts w:hint="eastAsia" w:ascii="楷体" w:eastAsia="楷体"/>
          <w:b/>
          <w:spacing w:val="-4"/>
          <w:sz w:val="32"/>
          <w:szCs w:val="32"/>
        </w:rPr>
        <w:t>（一）主要经验及做法</w:t>
      </w:r>
    </w:p>
    <w:p w14:paraId="68E209F7">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90FCB7C">
      <w:pPr>
        <w:pStyle w:val="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cs="仿宋_GB2312"/>
          <w:b w:val="0"/>
          <w:bCs w:val="0"/>
          <w:kern w:val="2"/>
        </w:rPr>
      </w:pPr>
      <w:r>
        <w:rPr>
          <w:rFonts w:hint="eastAsia" w:asci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5EF6351">
      <w:pPr>
        <w:keepNext/>
        <w:keepLines/>
        <w:pageBreakBefore w:val="0"/>
        <w:numPr>
          <w:ilvl w:val="0"/>
          <w:numId w:val="3"/>
        </w:numPr>
        <w:kinsoku/>
        <w:wordWrap/>
        <w:overflowPunct/>
        <w:topLinePunct w:val="0"/>
        <w:autoSpaceDE/>
        <w:autoSpaceDN/>
        <w:bidi w:val="0"/>
        <w:adjustRightInd/>
        <w:snapToGrid/>
        <w:spacing w:line="560" w:lineRule="exact"/>
        <w:ind w:firstLine="641"/>
        <w:textAlignment w:val="auto"/>
        <w:rPr>
          <w:rFonts w:ascii="楷体_GB2312" w:eastAsia="楷体_GB2312" w:cs="楷体_GB2312"/>
          <w:b/>
          <w:bCs/>
          <w:sz w:val="32"/>
          <w:szCs w:val="32"/>
        </w:rPr>
      </w:pPr>
      <w:r>
        <w:rPr>
          <w:rFonts w:hint="eastAsia" w:ascii="楷体_GB2312" w:eastAsia="楷体_GB2312" w:cs="楷体_GB2312"/>
          <w:b/>
          <w:bCs/>
          <w:sz w:val="32"/>
          <w:szCs w:val="32"/>
        </w:rPr>
        <w:t>存在的问题及原因分析</w:t>
      </w:r>
    </w:p>
    <w:p w14:paraId="08F31272">
      <w:pPr>
        <w:pStyle w:val="2"/>
        <w:pageBreakBefore w:val="0"/>
        <w:kinsoku/>
        <w:wordWrap/>
        <w:overflowPunct/>
        <w:topLinePunct w:val="0"/>
        <w:autoSpaceDE/>
        <w:autoSpaceDN/>
        <w:bidi w:val="0"/>
        <w:adjustRightInd/>
        <w:snapToGrid/>
        <w:spacing w:before="0" w:after="0" w:line="560" w:lineRule="exact"/>
        <w:ind w:firstLine="643" w:firstLineChars="200"/>
        <w:jc w:val="both"/>
        <w:textAlignment w:val="auto"/>
        <w:rPr>
          <w:rFonts w:ascii="仿宋_GB2312" w:eastAsia="仿宋_GB2312" w:cs="仿宋_GB2312"/>
          <w:kern w:val="2"/>
        </w:rPr>
      </w:pPr>
      <w:r>
        <w:rPr>
          <w:rFonts w:ascii="仿宋_GB2312" w:eastAsia="仿宋_GB2312" w:cs="仿宋_GB2312"/>
          <w:kern w:val="2"/>
        </w:rPr>
        <w:t>1.</w:t>
      </w:r>
      <w:r>
        <w:rPr>
          <w:rFonts w:hint="eastAsia" w:ascii="仿宋_GB2312" w:eastAsia="仿宋_GB2312" w:cs="仿宋_GB2312"/>
          <w:kern w:val="2"/>
        </w:rPr>
        <w:t>存在的问题</w:t>
      </w:r>
    </w:p>
    <w:p w14:paraId="712C4E3E">
      <w:pPr>
        <w:keepNext w:val="0"/>
        <w:keepLines w:val="0"/>
        <w:pageBreakBefore w:val="0"/>
        <w:pBdr>
          <w:bottom w:val="single" w:color="FFFFFF" w:sz="4" w:space="31"/>
        </w:pBdr>
        <w:kinsoku/>
        <w:wordWrap/>
        <w:overflowPunct/>
        <w:topLinePunct w:val="0"/>
        <w:autoSpaceDE/>
        <w:autoSpaceDN/>
        <w:bidi w:val="0"/>
        <w:adjustRightInd/>
        <w:snapToGrid/>
        <w:spacing w:line="560" w:lineRule="exact"/>
        <w:ind w:firstLine="627" w:firstLineChars="196"/>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地区红十字会财政运行情况总体较好，但仍然面临着不少困难和问题，主要表现在：一是预算执行不够均衡。目前，预算支出执行进度前低后高，尤其是第四季度支出比重比较高。二是部门间相互衔接和配合不够顺畅，在今后工作中应加强沟通，积极主动做好工作。</w:t>
      </w:r>
    </w:p>
    <w:p w14:paraId="31AAAB82">
      <w:pPr>
        <w:keepNext w:val="0"/>
        <w:keepLines w:val="0"/>
        <w:pageBreakBefore w:val="0"/>
        <w:pBdr>
          <w:bottom w:val="single" w:color="FFFFFF" w:sz="4" w:space="31"/>
        </w:pBdr>
        <w:kinsoku/>
        <w:wordWrap/>
        <w:overflowPunct/>
        <w:topLinePunct w:val="0"/>
        <w:autoSpaceDE/>
        <w:autoSpaceDN/>
        <w:bidi w:val="0"/>
        <w:adjustRightInd/>
        <w:snapToGrid/>
        <w:spacing w:line="560" w:lineRule="exact"/>
        <w:ind w:firstLine="630" w:firstLineChars="196"/>
        <w:textAlignment w:val="auto"/>
        <w:rPr>
          <w:rFonts w:hint="eastAsia" w:asci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eastAsia="仿宋_GB2312" w:cs="仿宋_GB2312"/>
          <w:b/>
          <w:bCs/>
          <w:sz w:val="32"/>
          <w:szCs w:val="32"/>
        </w:rPr>
        <w:t>原因分析</w:t>
      </w:r>
    </w:p>
    <w:p w14:paraId="32460BCB">
      <w:pPr>
        <w:keepNext w:val="0"/>
        <w:keepLines w:val="0"/>
        <w:pageBreakBefore w:val="0"/>
        <w:numPr>
          <w:ilvl w:val="0"/>
          <w:numId w:val="0"/>
        </w:numPr>
        <w:pBdr>
          <w:bottom w:val="single" w:color="FFFFFF" w:sz="4" w:space="31"/>
        </w:pBdr>
        <w:kinsoku/>
        <w:wordWrap/>
        <w:overflowPunct/>
        <w:topLinePunct w:val="0"/>
        <w:autoSpaceDE/>
        <w:autoSpaceDN/>
        <w:bidi w:val="0"/>
        <w:adjustRightInd/>
        <w:snapToGrid/>
        <w:spacing w:line="560" w:lineRule="exact"/>
        <w:ind w:firstLine="640" w:firstLineChars="200"/>
        <w:textAlignment w:val="auto"/>
        <w:rPr>
          <w:rFonts w:ascii="仿宋_GB2312" w:eastAsia="仿宋_GB2312" w:cs="仿宋_GB2312"/>
          <w:sz w:val="32"/>
          <w:szCs w:val="32"/>
        </w:rPr>
      </w:pPr>
      <w:r>
        <w:rPr>
          <w:rFonts w:ascii="仿宋_GB2312" w:eastAsia="仿宋_GB2312" w:cs="仿宋_GB2312"/>
          <w:sz w:val="32"/>
          <w:szCs w:val="32"/>
        </w:rPr>
        <w:t>单位存在项目执行部门不够重视项目绩效</w:t>
      </w:r>
      <w:r>
        <w:rPr>
          <w:rFonts w:hint="eastAsia" w:ascii="仿宋_GB2312" w:eastAsia="仿宋_GB2312" w:cs="仿宋_GB2312"/>
          <w:sz w:val="32"/>
          <w:szCs w:val="32"/>
        </w:rPr>
        <w:t>工作</w:t>
      </w:r>
      <w:r>
        <w:rPr>
          <w:rFonts w:ascii="仿宋_GB2312" w:eastAsia="仿宋_GB2312" w:cs="仿宋_GB2312"/>
          <w:sz w:val="32"/>
          <w:szCs w:val="32"/>
        </w:rPr>
        <w:t>制度不完善</w:t>
      </w:r>
      <w:r>
        <w:rPr>
          <w:rFonts w:hint="eastAsia" w:ascii="仿宋_GB2312" w:eastAsia="仿宋_GB2312" w:cs="仿宋_GB2312"/>
          <w:sz w:val="32"/>
          <w:szCs w:val="32"/>
          <w:lang w:eastAsia="zh-CN"/>
        </w:rPr>
        <w:t>，部门相互衔接配合不通畅</w:t>
      </w:r>
      <w:r>
        <w:rPr>
          <w:rFonts w:ascii="仿宋_GB2312" w:eastAsia="仿宋_GB2312" w:cs="仿宋_GB2312"/>
          <w:sz w:val="32"/>
          <w:szCs w:val="32"/>
        </w:rPr>
        <w:t>。</w:t>
      </w:r>
    </w:p>
    <w:p w14:paraId="07F08753">
      <w:pPr>
        <w:keepNext w:val="0"/>
        <w:keepLines w:val="0"/>
        <w:pageBreakBefore w:val="0"/>
        <w:numPr>
          <w:ilvl w:val="0"/>
          <w:numId w:val="4"/>
        </w:numPr>
        <w:pBdr>
          <w:bottom w:val="single" w:color="FFFFFF" w:sz="4" w:space="31"/>
        </w:pBdr>
        <w:kinsoku/>
        <w:wordWrap/>
        <w:overflowPunct/>
        <w:topLinePunct w:val="0"/>
        <w:autoSpaceDE/>
        <w:autoSpaceDN/>
        <w:bidi w:val="0"/>
        <w:adjustRightInd/>
        <w:snapToGrid/>
        <w:spacing w:line="560" w:lineRule="exact"/>
        <w:ind w:firstLine="643" w:firstLineChars="200"/>
        <w:textAlignment w:val="auto"/>
        <w:rPr>
          <w:rFonts w:hint="eastAsia" w:ascii="黑体" w:eastAsia="黑体"/>
          <w:b/>
          <w:bCs/>
          <w:sz w:val="32"/>
          <w:szCs w:val="32"/>
        </w:rPr>
      </w:pPr>
      <w:r>
        <w:rPr>
          <w:rFonts w:hint="eastAsia" w:ascii="黑体" w:eastAsia="黑体"/>
          <w:b/>
          <w:bCs/>
          <w:sz w:val="32"/>
          <w:szCs w:val="32"/>
        </w:rPr>
        <w:t>有关建议</w:t>
      </w:r>
    </w:p>
    <w:p w14:paraId="37084B85">
      <w:pPr>
        <w:keepNext w:val="0"/>
        <w:keepLines w:val="0"/>
        <w:pageBreakBefore w:val="0"/>
        <w:pBdr>
          <w:bottom w:val="single" w:color="FFFFFF" w:sz="4" w:space="31"/>
        </w:pBdr>
        <w:kinsoku/>
        <w:wordWrap/>
        <w:overflowPunct/>
        <w:topLinePunct w:val="0"/>
        <w:autoSpaceDE/>
        <w:autoSpaceDN/>
        <w:bidi w:val="0"/>
        <w:adjustRightInd/>
        <w:snapToGrid/>
        <w:spacing w:line="560" w:lineRule="exact"/>
        <w:ind w:firstLine="627" w:firstLineChars="196"/>
        <w:textAlignment w:val="auto"/>
        <w:rPr>
          <w:rFonts w:hint="eastAsia" w:ascii="Times New Roman" w:hAnsi="Times New Roman" w:eastAsia="仿宋_GB2312"/>
          <w:sz w:val="32"/>
          <w:szCs w:val="32"/>
        </w:rPr>
      </w:pPr>
      <w:r>
        <w:rPr>
          <w:rFonts w:ascii="Times New Roman" w:hAnsi="Times New Roman" w:eastAsia="仿宋_GB2312"/>
          <w:sz w:val="32"/>
          <w:szCs w:val="32"/>
        </w:rPr>
        <w:t>1、规范绩效目标编制。年初预算时，</w:t>
      </w:r>
      <w:r>
        <w:rPr>
          <w:rFonts w:hint="eastAsia" w:ascii="Times New Roman" w:hAnsi="Times New Roman" w:eastAsia="仿宋_GB2312"/>
          <w:sz w:val="32"/>
          <w:szCs w:val="32"/>
          <w:lang w:val="en-US" w:eastAsia="zh-CN"/>
        </w:rPr>
        <w:t>作为</w:t>
      </w:r>
      <w:r>
        <w:rPr>
          <w:rFonts w:ascii="Times New Roman" w:hAnsi="Times New Roman" w:eastAsia="仿宋_GB2312"/>
          <w:sz w:val="32"/>
          <w:szCs w:val="32"/>
        </w:rPr>
        <w:t>预算单位应按照绩效管理有关要求编制全部预算项目的绩效目标，围绕绩效目标加强管理，提高财政资金使用效益。</w:t>
      </w:r>
    </w:p>
    <w:p w14:paraId="10CB33B2">
      <w:pPr>
        <w:keepNext w:val="0"/>
        <w:keepLines w:val="0"/>
        <w:pageBreakBefore w:val="0"/>
        <w:pBdr>
          <w:bottom w:val="single" w:color="FFFFFF" w:sz="4" w:space="31"/>
        </w:pBdr>
        <w:kinsoku/>
        <w:wordWrap/>
        <w:overflowPunct/>
        <w:topLinePunct w:val="0"/>
        <w:autoSpaceDE/>
        <w:autoSpaceDN/>
        <w:bidi w:val="0"/>
        <w:adjustRightInd/>
        <w:snapToGrid/>
        <w:spacing w:line="560" w:lineRule="exact"/>
        <w:ind w:firstLine="627" w:firstLineChars="196"/>
        <w:textAlignment w:val="auto"/>
        <w:rPr>
          <w:rFonts w:hint="eastAsia" w:ascii="Times New Roman" w:hAnsi="Times New Roman" w:eastAsia="仿宋_GB2312"/>
          <w:sz w:val="32"/>
          <w:szCs w:val="32"/>
          <w:lang w:val="en-US" w:eastAsia="zh-CN"/>
        </w:rPr>
      </w:pPr>
      <w:r>
        <w:rPr>
          <w:rFonts w:ascii="Times New Roman" w:hAnsi="Times New Roman" w:eastAsia="仿宋_GB2312"/>
          <w:sz w:val="32"/>
          <w:szCs w:val="32"/>
        </w:rPr>
        <w:t>2、加强财务核算</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狠抓增收节支。要进一步严肃财经纪律，加大监管力度，勤俭节约办事业，坚决反对铺张浪费和大手大脚，真正把钱用在刀刃上，切实提高财政资金的使用效益。</w:t>
      </w:r>
    </w:p>
    <w:p w14:paraId="2D49F12D">
      <w:pPr>
        <w:keepNext w:val="0"/>
        <w:keepLines w:val="0"/>
        <w:pageBreakBefore w:val="0"/>
        <w:pBdr>
          <w:bottom w:val="single" w:color="FFFFFF" w:sz="4" w:space="31"/>
        </w:pBdr>
        <w:kinsoku/>
        <w:wordWrap/>
        <w:overflowPunct/>
        <w:topLinePunct w:val="0"/>
        <w:autoSpaceDE/>
        <w:autoSpaceDN/>
        <w:bidi w:val="0"/>
        <w:adjustRightInd/>
        <w:snapToGrid/>
        <w:spacing w:line="560" w:lineRule="exact"/>
        <w:ind w:firstLine="627" w:firstLineChars="196"/>
        <w:textAlignment w:val="auto"/>
        <w:rPr>
          <w:rFonts w:ascii="Times New Roman" w:hAnsi="Times New Roman" w:eastAsia="仿宋_GB2312"/>
          <w:sz w:val="32"/>
          <w:szCs w:val="32"/>
        </w:rPr>
      </w:pPr>
      <w:r>
        <w:rPr>
          <w:rFonts w:ascii="Times New Roman" w:hAnsi="Times New Roman" w:eastAsia="仿宋_GB2312"/>
          <w:sz w:val="32"/>
          <w:szCs w:val="32"/>
        </w:rPr>
        <w:t>3、完善绩效管理相关制度，进一步细化工作任务，完善项目资金分配、使用及管理制度，按照职责分工和工作任务合理分配资金。</w:t>
      </w:r>
    </w:p>
    <w:p w14:paraId="3DF99BB5">
      <w:pPr>
        <w:keepNext w:val="0"/>
        <w:keepLines w:val="0"/>
        <w:pageBreakBefore w:val="0"/>
        <w:pBdr>
          <w:bottom w:val="single" w:color="FFFFFF" w:sz="4" w:space="31"/>
        </w:pBdr>
        <w:kinsoku/>
        <w:wordWrap/>
        <w:overflowPunct/>
        <w:topLinePunct w:val="0"/>
        <w:autoSpaceDE/>
        <w:autoSpaceDN/>
        <w:bidi w:val="0"/>
        <w:adjustRightInd/>
        <w:snapToGrid/>
        <w:spacing w:line="560" w:lineRule="exact"/>
        <w:ind w:firstLine="630" w:firstLineChars="196"/>
        <w:textAlignment w:val="auto"/>
        <w:rPr>
          <w:rFonts w:hint="eastAsia" w:ascii="黑体" w:eastAsia="黑体"/>
          <w:b/>
          <w:bCs/>
          <w:sz w:val="32"/>
          <w:szCs w:val="32"/>
        </w:rPr>
      </w:pPr>
      <w:r>
        <w:rPr>
          <w:rFonts w:hint="eastAsia" w:ascii="黑体" w:eastAsia="黑体"/>
          <w:b/>
          <w:bCs/>
          <w:sz w:val="32"/>
          <w:szCs w:val="32"/>
          <w:lang w:eastAsia="zh-CN"/>
        </w:rPr>
        <w:t>七、</w:t>
      </w:r>
      <w:r>
        <w:rPr>
          <w:rFonts w:hint="eastAsia" w:ascii="黑体" w:eastAsia="黑体"/>
          <w:b/>
          <w:bCs/>
          <w:sz w:val="32"/>
          <w:szCs w:val="32"/>
        </w:rPr>
        <w:t>其他需要说</w:t>
      </w:r>
      <w:bookmarkStart w:id="2" w:name="page8"/>
      <w:bookmarkEnd w:id="2"/>
      <w:r>
        <w:rPr>
          <w:rFonts w:hint="eastAsia" w:ascii="黑体" w:eastAsia="黑体"/>
          <w:b/>
          <w:bCs/>
          <w:sz w:val="32"/>
          <w:szCs w:val="32"/>
        </w:rPr>
        <w:t>明的问题</w:t>
      </w:r>
    </w:p>
    <w:p w14:paraId="66D3292D">
      <w:pPr>
        <w:keepNext w:val="0"/>
        <w:keepLines w:val="0"/>
        <w:pageBreakBefore w:val="0"/>
        <w:pBdr>
          <w:bottom w:val="single" w:color="FFFFFF" w:sz="4" w:space="31"/>
        </w:pBdr>
        <w:kinsoku/>
        <w:wordWrap/>
        <w:overflowPunct/>
        <w:topLinePunct w:val="0"/>
        <w:autoSpaceDE/>
        <w:autoSpaceDN/>
        <w:bidi w:val="0"/>
        <w:adjustRightInd/>
        <w:snapToGrid/>
        <w:spacing w:line="560" w:lineRule="exact"/>
        <w:ind w:firstLine="627" w:firstLineChars="196"/>
        <w:textAlignment w:val="auto"/>
        <w:rPr>
          <w:rFonts w:ascii="仿宋_GB2312" w:eastAsia="仿宋_GB2312" w:cs="仿宋_GB2312"/>
          <w:sz w:val="32"/>
          <w:szCs w:val="32"/>
        </w:rPr>
      </w:pPr>
      <w:r>
        <w:rPr>
          <w:rFonts w:hint="eastAsia" w:ascii="仿宋_GB2312" w:eastAsia="仿宋_GB2312" w:cs="仿宋_GB2312"/>
          <w:sz w:val="32"/>
          <w:szCs w:val="32"/>
        </w:rPr>
        <w:t>无。</w:t>
      </w:r>
    </w:p>
    <w:p w14:paraId="537A2872">
      <w:pPr>
        <w:pStyle w:val="2"/>
        <w:pageBreakBefore w:val="0"/>
        <w:kinsoku/>
        <w:wordWrap/>
        <w:overflowPunct/>
        <w:topLinePunct w:val="0"/>
        <w:autoSpaceDE/>
        <w:autoSpaceDN/>
        <w:bidi w:val="0"/>
        <w:adjustRightInd/>
        <w:snapToGrid/>
        <w:spacing w:before="0" w:after="0" w:line="560" w:lineRule="exact"/>
        <w:textAlignment w:val="auto"/>
        <w:rPr>
          <w:rFonts w:ascii="黑体" w:eastAsia="黑体"/>
        </w:rPr>
      </w:pPr>
    </w:p>
    <w:p w14:paraId="2D814C51">
      <w:pPr>
        <w:pageBreakBefore w:val="0"/>
        <w:kinsoku/>
        <w:wordWrap/>
        <w:overflowPunct/>
        <w:topLinePunct w:val="0"/>
        <w:autoSpaceDE/>
        <w:autoSpaceDN/>
        <w:bidi w:val="0"/>
        <w:adjustRightInd/>
        <w:snapToGrid/>
        <w:spacing w:line="560" w:lineRule="exact"/>
        <w:textAlignment w:val="auto"/>
      </w:pPr>
    </w:p>
    <w:p w14:paraId="71C2C54C">
      <w:pPr>
        <w:pStyle w:val="2"/>
        <w:pageBreakBefore w:val="0"/>
        <w:kinsoku/>
        <w:wordWrap/>
        <w:overflowPunct/>
        <w:topLinePunct w:val="0"/>
        <w:autoSpaceDE/>
        <w:autoSpaceDN/>
        <w:bidi w:val="0"/>
        <w:adjustRightInd/>
        <w:snapToGrid/>
        <w:spacing w:before="0" w:after="0" w:line="560" w:lineRule="exact"/>
        <w:jc w:val="both"/>
        <w:textAlignment w:val="auto"/>
        <w:sectPr>
          <w:footerReference r:id="rId7" w:type="default"/>
          <w:pgSz w:w="11906" w:h="16838"/>
          <w:pgMar w:top="1440" w:right="1558" w:bottom="1440" w:left="1800" w:header="851" w:footer="992" w:gutter="0"/>
          <w:cols w:space="720" w:num="1"/>
          <w:docGrid w:type="lines" w:linePitch="312" w:charSpace="0"/>
        </w:sectPr>
      </w:pPr>
    </w:p>
    <w:p w14:paraId="0E07FAA5">
      <w:pPr>
        <w:pageBreakBefore w:val="0"/>
        <w:kinsoku/>
        <w:wordWrap/>
        <w:overflowPunct/>
        <w:topLinePunct w:val="0"/>
        <w:autoSpaceDE/>
        <w:autoSpaceDN/>
        <w:bidi w:val="0"/>
        <w:adjustRightInd/>
        <w:snapToGrid/>
        <w:spacing w:line="560" w:lineRule="exact"/>
        <w:textAlignment w:val="auto"/>
        <w:rPr>
          <w:rFonts w:ascii="仿宋_GB2312" w:hAnsi="仿宋_GB2312"/>
          <w:bCs/>
          <w:sz w:val="32"/>
          <w:szCs w:val="32"/>
        </w:rPr>
      </w:pPr>
      <w:r>
        <w:rPr>
          <w:rFonts w:hint="eastAsia" w:ascii="仿宋_GB2312" w:hAnsi="仿宋_GB2312"/>
          <w:bCs/>
          <w:sz w:val="32"/>
          <w:szCs w:val="32"/>
        </w:rPr>
        <w:t>附件1</w:t>
      </w:r>
    </w:p>
    <w:tbl>
      <w:tblPr>
        <w:tblStyle w:val="19"/>
        <w:tblW w:w="1243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34"/>
        <w:gridCol w:w="744"/>
        <w:gridCol w:w="756"/>
        <w:gridCol w:w="3480"/>
        <w:gridCol w:w="5532"/>
        <w:gridCol w:w="660"/>
        <w:gridCol w:w="631"/>
      </w:tblGrid>
      <w:tr w14:paraId="47B13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3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AB76A4">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一级指标</w:t>
            </w: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A20ACE3">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二级指标</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9820AF">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三级指标</w:t>
            </w:r>
          </w:p>
        </w:tc>
        <w:tc>
          <w:tcPr>
            <w:tcW w:w="34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BA2CC81">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指标解释</w:t>
            </w:r>
          </w:p>
        </w:tc>
        <w:tc>
          <w:tcPr>
            <w:tcW w:w="553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B29A3C">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rPr>
            </w:pPr>
            <w:r>
              <w:rPr>
                <w:rFonts w:hint="eastAsia" w:ascii="宋体" w:cs="宋体"/>
                <w:b/>
                <w:bCs/>
                <w:color w:val="000000"/>
                <w:kern w:val="0"/>
                <w:sz w:val="20"/>
                <w:szCs w:val="20"/>
              </w:rPr>
              <w:t>指标说明</w:t>
            </w:r>
          </w:p>
        </w:tc>
        <w:tc>
          <w:tcPr>
            <w:tcW w:w="6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60BD347">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权重</w:t>
            </w:r>
          </w:p>
        </w:tc>
        <w:tc>
          <w:tcPr>
            <w:tcW w:w="6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D27B6F">
            <w:pPr>
              <w:pageBreakBefore w:val="0"/>
              <w:widowControl/>
              <w:kinsoku/>
              <w:wordWrap/>
              <w:overflowPunct/>
              <w:topLinePunct w:val="0"/>
              <w:autoSpaceDE/>
              <w:autoSpaceDN/>
              <w:bidi w:val="0"/>
              <w:adjustRightInd/>
              <w:snapToGrid/>
              <w:spacing w:line="560" w:lineRule="exact"/>
              <w:jc w:val="center"/>
              <w:textAlignment w:val="auto"/>
              <w:rPr>
                <w:rFonts w:ascii="宋体" w:cs="宋体"/>
                <w:b/>
                <w:bCs/>
                <w:color w:val="000000"/>
                <w:kern w:val="0"/>
                <w:sz w:val="20"/>
                <w:szCs w:val="20"/>
                <w:highlight w:val="none"/>
              </w:rPr>
            </w:pPr>
            <w:r>
              <w:rPr>
                <w:rFonts w:hint="eastAsia" w:ascii="宋体" w:cs="宋体"/>
                <w:b/>
                <w:bCs/>
                <w:color w:val="000000"/>
                <w:kern w:val="0"/>
                <w:sz w:val="20"/>
                <w:szCs w:val="20"/>
                <w:highlight w:val="none"/>
              </w:rPr>
              <w:t>得分</w:t>
            </w:r>
          </w:p>
        </w:tc>
      </w:tr>
      <w:tr w14:paraId="280B5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3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98951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决策　</w:t>
            </w:r>
          </w:p>
          <w:p w14:paraId="129E72C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　</w:t>
            </w:r>
          </w:p>
          <w:p w14:paraId="291C2F67">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　</w:t>
            </w:r>
          </w:p>
        </w:tc>
        <w:tc>
          <w:tcPr>
            <w:tcW w:w="74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AD890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项目立项　</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664D07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立项依据</w:t>
            </w:r>
          </w:p>
          <w:p w14:paraId="372FF70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充分性</w:t>
            </w:r>
          </w:p>
        </w:tc>
        <w:tc>
          <w:tcPr>
            <w:tcW w:w="34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AFA2C9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项目立项是否符合法律法规、相关政策、发展规划以及部门职责，用以反映和考核项目立项依据情况。</w:t>
            </w:r>
          </w:p>
        </w:tc>
        <w:tc>
          <w:tcPr>
            <w:tcW w:w="553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A50436F">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①项目立项是否符合国家法律法规、国民经济发展规划和相关政策；</w:t>
            </w:r>
            <w:r>
              <w:rPr>
                <w:rFonts w:hint="eastAsia" w:ascii="宋体" w:cs="宋体"/>
                <w:color w:val="000000"/>
                <w:kern w:val="0"/>
                <w:sz w:val="20"/>
                <w:szCs w:val="20"/>
              </w:rPr>
              <w:br w:type="textWrapping"/>
            </w:r>
            <w:r>
              <w:rPr>
                <w:rFonts w:hint="eastAsia" w:ascii="宋体" w:cs="宋体"/>
                <w:color w:val="000000"/>
                <w:kern w:val="0"/>
                <w:sz w:val="20"/>
                <w:szCs w:val="20"/>
              </w:rPr>
              <w:t>②项目立项是否符合行业发展规划和政策要求；</w:t>
            </w:r>
            <w:r>
              <w:rPr>
                <w:rFonts w:hint="eastAsia" w:ascii="宋体" w:cs="宋体"/>
                <w:color w:val="000000"/>
                <w:kern w:val="0"/>
                <w:sz w:val="20"/>
                <w:szCs w:val="20"/>
              </w:rPr>
              <w:br w:type="textWrapping"/>
            </w:r>
            <w:r>
              <w:rPr>
                <w:rFonts w:hint="eastAsia" w:ascii="宋体" w:cs="宋体"/>
                <w:color w:val="000000"/>
                <w:kern w:val="0"/>
                <w:sz w:val="20"/>
                <w:szCs w:val="20"/>
              </w:rPr>
              <w:t>③项目立项是否与部门职责范围相符，属于部门履职所需；</w:t>
            </w:r>
            <w:r>
              <w:rPr>
                <w:rFonts w:hint="eastAsia" w:ascii="宋体" w:cs="宋体"/>
                <w:color w:val="000000"/>
                <w:kern w:val="0"/>
                <w:sz w:val="20"/>
                <w:szCs w:val="20"/>
              </w:rPr>
              <w:br w:type="textWrapping"/>
            </w:r>
            <w:r>
              <w:rPr>
                <w:rFonts w:hint="eastAsia" w:ascii="宋体" w:cs="宋体"/>
                <w:color w:val="000000"/>
                <w:kern w:val="0"/>
                <w:sz w:val="20"/>
                <w:szCs w:val="20"/>
              </w:rPr>
              <w:t>④项目是否属于公共财政支持范围，是否符合中央、地方事权支出责任划分原则；</w:t>
            </w:r>
            <w:r>
              <w:rPr>
                <w:rFonts w:hint="eastAsia" w:ascii="宋体" w:cs="宋体"/>
                <w:color w:val="000000"/>
                <w:kern w:val="0"/>
                <w:sz w:val="20"/>
                <w:szCs w:val="20"/>
              </w:rPr>
              <w:br w:type="textWrapping"/>
            </w:r>
            <w:r>
              <w:rPr>
                <w:rFonts w:hint="eastAsia" w:ascii="宋体" w:cs="宋体"/>
                <w:color w:val="000000"/>
                <w:kern w:val="0"/>
                <w:sz w:val="20"/>
                <w:szCs w:val="20"/>
              </w:rPr>
              <w:t>⑤项目是否与相关部门同类项目或部门内部相关项目重复。</w:t>
            </w:r>
          </w:p>
        </w:tc>
        <w:tc>
          <w:tcPr>
            <w:tcW w:w="6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44EF2E8">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0.5</w:t>
            </w:r>
          </w:p>
        </w:tc>
        <w:tc>
          <w:tcPr>
            <w:tcW w:w="6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12745D8">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0.5</w:t>
            </w:r>
          </w:p>
        </w:tc>
      </w:tr>
      <w:tr w14:paraId="1A995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FEB16E">
            <w:pPr>
              <w:pageBreakBefore w:val="0"/>
              <w:kinsoku/>
              <w:wordWrap/>
              <w:overflowPunct/>
              <w:topLinePunct w:val="0"/>
              <w:autoSpaceDE/>
              <w:autoSpaceDN/>
              <w:bidi w:val="0"/>
              <w:adjustRightInd/>
              <w:snapToGrid/>
              <w:spacing w:line="560" w:lineRule="exact"/>
              <w:textAlignment w:val="auto"/>
            </w:pPr>
          </w:p>
        </w:tc>
        <w:tc>
          <w:tcPr>
            <w:tcW w:w="74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F555BED">
            <w:pPr>
              <w:pageBreakBefore w:val="0"/>
              <w:kinsoku/>
              <w:wordWrap/>
              <w:overflowPunct/>
              <w:topLinePunct w:val="0"/>
              <w:autoSpaceDE/>
              <w:autoSpaceDN/>
              <w:bidi w:val="0"/>
              <w:adjustRightInd/>
              <w:snapToGrid/>
              <w:spacing w:line="560" w:lineRule="exact"/>
              <w:textAlignment w:val="auto"/>
            </w:pP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D6FFF6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立项程序</w:t>
            </w:r>
          </w:p>
          <w:p w14:paraId="202AFC3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规范性</w:t>
            </w:r>
          </w:p>
        </w:tc>
        <w:tc>
          <w:tcPr>
            <w:tcW w:w="34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1852B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项目申请、设立过程是否符合相关要求，用以反映和考核项目立项的规范情况。</w:t>
            </w:r>
          </w:p>
        </w:tc>
        <w:tc>
          <w:tcPr>
            <w:tcW w:w="553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68E35E9">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①项目是否按照规定的程序申请设立；</w:t>
            </w:r>
            <w:r>
              <w:rPr>
                <w:rFonts w:hint="eastAsia" w:ascii="宋体" w:cs="宋体"/>
                <w:color w:val="000000"/>
                <w:kern w:val="0"/>
                <w:sz w:val="20"/>
                <w:szCs w:val="20"/>
              </w:rPr>
              <w:br w:type="textWrapping"/>
            </w:r>
            <w:r>
              <w:rPr>
                <w:rFonts w:hint="eastAsia" w:ascii="宋体" w:cs="宋体"/>
                <w:color w:val="000000"/>
                <w:kern w:val="0"/>
                <w:sz w:val="20"/>
                <w:szCs w:val="20"/>
              </w:rPr>
              <w:t>②审批文件、材料是否符合相关要求；</w:t>
            </w:r>
            <w:r>
              <w:rPr>
                <w:rFonts w:hint="eastAsia" w:ascii="宋体" w:cs="宋体"/>
                <w:color w:val="000000"/>
                <w:kern w:val="0"/>
                <w:sz w:val="20"/>
                <w:szCs w:val="20"/>
              </w:rPr>
              <w:br w:type="textWrapping"/>
            </w:r>
            <w:r>
              <w:rPr>
                <w:rFonts w:hint="eastAsia" w:ascii="宋体" w:cs="宋体"/>
                <w:color w:val="000000"/>
                <w:kern w:val="0"/>
                <w:sz w:val="20"/>
                <w:szCs w:val="20"/>
              </w:rPr>
              <w:t>③事前是否已经过必要的可行性研究、专家论证、风险评估、绩效评估、集体决策。</w:t>
            </w:r>
          </w:p>
        </w:tc>
        <w:tc>
          <w:tcPr>
            <w:tcW w:w="6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BFE2EC7">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0.5</w:t>
            </w:r>
          </w:p>
        </w:tc>
        <w:tc>
          <w:tcPr>
            <w:tcW w:w="6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7CC111">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0.5</w:t>
            </w:r>
          </w:p>
        </w:tc>
      </w:tr>
      <w:tr w14:paraId="37F4E2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1885DE">
            <w:pPr>
              <w:pageBreakBefore w:val="0"/>
              <w:kinsoku/>
              <w:wordWrap/>
              <w:overflowPunct/>
              <w:topLinePunct w:val="0"/>
              <w:autoSpaceDE/>
              <w:autoSpaceDN/>
              <w:bidi w:val="0"/>
              <w:adjustRightInd/>
              <w:snapToGrid/>
              <w:spacing w:line="560" w:lineRule="exact"/>
              <w:textAlignment w:val="auto"/>
            </w:pP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503171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绩效目标　</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ACA554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绩效目标</w:t>
            </w:r>
          </w:p>
          <w:p w14:paraId="40E8896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合理性</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3706C34">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项目所设定的绩效目标是否依据充分，是否符合客观实际，用以反映和考核项目绩效目标与项目实施的相符情况。</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DD8283D">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（如未设定预算绩效目标，也可考核其他工作任务目标）</w:t>
            </w:r>
            <w:r>
              <w:rPr>
                <w:rFonts w:hint="eastAsia" w:ascii="宋体" w:cs="宋体"/>
                <w:color w:val="000000"/>
                <w:kern w:val="0"/>
                <w:sz w:val="20"/>
                <w:szCs w:val="20"/>
              </w:rPr>
              <w:br w:type="textWrapping"/>
            </w:r>
            <w:r>
              <w:rPr>
                <w:rFonts w:hint="eastAsia" w:ascii="宋体" w:cs="宋体"/>
                <w:color w:val="000000"/>
                <w:kern w:val="0"/>
                <w:sz w:val="20"/>
                <w:szCs w:val="20"/>
              </w:rPr>
              <w:t>①项目是否有绩效目标；</w:t>
            </w:r>
            <w:r>
              <w:rPr>
                <w:rFonts w:hint="eastAsia" w:ascii="宋体" w:cs="宋体"/>
                <w:color w:val="000000"/>
                <w:kern w:val="0"/>
                <w:sz w:val="20"/>
                <w:szCs w:val="20"/>
              </w:rPr>
              <w:br w:type="textWrapping"/>
            </w:r>
            <w:r>
              <w:rPr>
                <w:rFonts w:hint="eastAsia" w:ascii="宋体" w:cs="宋体"/>
                <w:color w:val="000000"/>
                <w:kern w:val="0"/>
                <w:sz w:val="20"/>
                <w:szCs w:val="20"/>
              </w:rPr>
              <w:t>②项目绩效目标与实际工作内容是否具有相关性；</w:t>
            </w:r>
            <w:r>
              <w:rPr>
                <w:rFonts w:hint="eastAsia" w:ascii="宋体" w:cs="宋体"/>
                <w:color w:val="000000"/>
                <w:kern w:val="0"/>
                <w:sz w:val="20"/>
                <w:szCs w:val="20"/>
              </w:rPr>
              <w:br w:type="textWrapping"/>
            </w:r>
            <w:r>
              <w:rPr>
                <w:rFonts w:hint="eastAsia" w:ascii="宋体" w:cs="宋体"/>
                <w:color w:val="000000"/>
                <w:kern w:val="0"/>
                <w:sz w:val="20"/>
                <w:szCs w:val="20"/>
              </w:rPr>
              <w:t>③项目预期产出效益和效果是否符合正常的业绩水平；</w:t>
            </w:r>
          </w:p>
          <w:p w14:paraId="3AFBB4EA">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④是否与预算确定的项目投资额或资金量相匹配。</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CF84321">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D624C5D">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1</w:t>
            </w:r>
          </w:p>
        </w:tc>
      </w:tr>
      <w:tr w14:paraId="02636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3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2CE4F8D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决策　</w:t>
            </w: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E3111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绩效目标</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F86AA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绩效指标</w:t>
            </w:r>
          </w:p>
          <w:p w14:paraId="62F1F7B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明确性</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9F02332">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依据绩效目标设定的绩效指标是否清晰、细化、可衡量等，用以反映和考核项目绩效目标的明细化情况。</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F74E7D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①是否将项目绩效目标细化分解为具体的绩效指标；</w:t>
            </w:r>
            <w:r>
              <w:rPr>
                <w:rFonts w:hint="eastAsia" w:ascii="宋体" w:cs="宋体"/>
                <w:color w:val="000000"/>
                <w:kern w:val="0"/>
                <w:sz w:val="20"/>
                <w:szCs w:val="20"/>
              </w:rPr>
              <w:br w:type="textWrapping"/>
            </w:r>
            <w:r>
              <w:rPr>
                <w:rFonts w:hint="eastAsia" w:ascii="宋体" w:cs="宋体"/>
                <w:color w:val="000000"/>
                <w:kern w:val="0"/>
                <w:sz w:val="20"/>
                <w:szCs w:val="20"/>
              </w:rPr>
              <w:t>②是否通过清晰、可衡量的指标值予以体现；</w:t>
            </w:r>
            <w:r>
              <w:rPr>
                <w:rFonts w:hint="eastAsia" w:ascii="宋体" w:cs="宋体"/>
                <w:color w:val="000000"/>
                <w:kern w:val="0"/>
                <w:sz w:val="20"/>
                <w:szCs w:val="20"/>
              </w:rPr>
              <w:br w:type="textWrapping"/>
            </w:r>
            <w:r>
              <w:rPr>
                <w:rFonts w:hint="eastAsia" w:ascii="宋体" w:cs="宋体"/>
                <w:color w:val="000000"/>
                <w:kern w:val="0"/>
                <w:sz w:val="20"/>
                <w:szCs w:val="20"/>
              </w:rPr>
              <w:t>③是否与项目目标任务数或计划数相对应。</w:t>
            </w:r>
            <w:r>
              <w:rPr>
                <w:rFonts w:hint="eastAsia" w:ascii="宋体" w:cs="宋体"/>
                <w:color w:val="000000"/>
                <w:kern w:val="0"/>
                <w:sz w:val="20"/>
                <w:szCs w:val="20"/>
              </w:rPr>
              <w:br w:type="textWrapping"/>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8D6082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50F568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r>
      <w:tr w14:paraId="77BED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53B4C80">
            <w:pPr>
              <w:pageBreakBefore w:val="0"/>
              <w:kinsoku/>
              <w:wordWrap/>
              <w:overflowPunct/>
              <w:topLinePunct w:val="0"/>
              <w:autoSpaceDE/>
              <w:autoSpaceDN/>
              <w:bidi w:val="0"/>
              <w:adjustRightInd/>
              <w:snapToGrid/>
              <w:spacing w:line="560" w:lineRule="exact"/>
              <w:textAlignment w:val="auto"/>
            </w:pPr>
          </w:p>
        </w:tc>
        <w:tc>
          <w:tcPr>
            <w:tcW w:w="74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00D8E8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资金投入</w:t>
            </w:r>
          </w:p>
          <w:p w14:paraId="0F2A332D">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　</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76D94E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预算编制</w:t>
            </w:r>
          </w:p>
          <w:p w14:paraId="578A5FC9">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科学性</w:t>
            </w:r>
          </w:p>
        </w:tc>
        <w:tc>
          <w:tcPr>
            <w:tcW w:w="34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F14944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项目预算编制是否经过科学论证、有明确标准，资金额度与年度目标是否相适应，用以反映和考核项目预算编制的科学性、合理性情况。</w:t>
            </w:r>
          </w:p>
        </w:tc>
        <w:tc>
          <w:tcPr>
            <w:tcW w:w="553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8EF658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①预算编制是否经过科学论证；</w:t>
            </w:r>
            <w:r>
              <w:rPr>
                <w:rFonts w:hint="eastAsia" w:ascii="宋体" w:cs="宋体"/>
                <w:color w:val="000000"/>
                <w:kern w:val="0"/>
                <w:sz w:val="20"/>
                <w:szCs w:val="20"/>
              </w:rPr>
              <w:br w:type="textWrapping"/>
            </w:r>
            <w:r>
              <w:rPr>
                <w:rFonts w:hint="eastAsia" w:ascii="宋体" w:cs="宋体"/>
                <w:color w:val="000000"/>
                <w:kern w:val="0"/>
                <w:sz w:val="20"/>
                <w:szCs w:val="20"/>
              </w:rPr>
              <w:t>②预算内容与项目内容是否匹配；</w:t>
            </w:r>
            <w:r>
              <w:rPr>
                <w:rFonts w:hint="eastAsia" w:ascii="宋体" w:cs="宋体"/>
                <w:color w:val="000000"/>
                <w:kern w:val="0"/>
                <w:sz w:val="20"/>
                <w:szCs w:val="20"/>
              </w:rPr>
              <w:br w:type="textWrapping"/>
            </w:r>
            <w:r>
              <w:rPr>
                <w:rFonts w:hint="eastAsia" w:ascii="宋体" w:cs="宋体"/>
                <w:color w:val="000000"/>
                <w:kern w:val="0"/>
                <w:sz w:val="20"/>
                <w:szCs w:val="20"/>
              </w:rPr>
              <w:t>③预算额度测算依据是否充分，是否按照标准编制；</w:t>
            </w:r>
            <w:r>
              <w:rPr>
                <w:rFonts w:hint="eastAsia" w:ascii="宋体" w:cs="宋体"/>
                <w:color w:val="000000"/>
                <w:kern w:val="0"/>
                <w:sz w:val="20"/>
                <w:szCs w:val="20"/>
              </w:rPr>
              <w:br w:type="textWrapping"/>
            </w:r>
            <w:r>
              <w:rPr>
                <w:rFonts w:hint="eastAsia" w:ascii="宋体" w:cs="宋体"/>
                <w:color w:val="000000"/>
                <w:kern w:val="0"/>
                <w:sz w:val="20"/>
                <w:szCs w:val="20"/>
              </w:rPr>
              <w:t>④预算确定的项目投资额或资金量是否与工作任务相匹配。</w:t>
            </w:r>
          </w:p>
        </w:tc>
        <w:tc>
          <w:tcPr>
            <w:tcW w:w="6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9C66E4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7FE8D3D">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r>
      <w:tr w14:paraId="7F0FFD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3512764">
            <w:pPr>
              <w:pageBreakBefore w:val="0"/>
              <w:kinsoku/>
              <w:wordWrap/>
              <w:overflowPunct/>
              <w:topLinePunct w:val="0"/>
              <w:autoSpaceDE/>
              <w:autoSpaceDN/>
              <w:bidi w:val="0"/>
              <w:adjustRightInd/>
              <w:snapToGrid/>
              <w:spacing w:line="560" w:lineRule="exact"/>
              <w:textAlignment w:val="auto"/>
            </w:pPr>
          </w:p>
        </w:tc>
        <w:tc>
          <w:tcPr>
            <w:tcW w:w="74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3AE09B">
            <w:pPr>
              <w:pageBreakBefore w:val="0"/>
              <w:kinsoku/>
              <w:wordWrap/>
              <w:overflowPunct/>
              <w:topLinePunct w:val="0"/>
              <w:autoSpaceDE/>
              <w:autoSpaceDN/>
              <w:bidi w:val="0"/>
              <w:adjustRightInd/>
              <w:snapToGrid/>
              <w:spacing w:line="560" w:lineRule="exact"/>
              <w:textAlignment w:val="auto"/>
            </w:pP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5A5ABF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资金分配</w:t>
            </w:r>
          </w:p>
          <w:p w14:paraId="7440731D">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合理性</w:t>
            </w:r>
          </w:p>
        </w:tc>
        <w:tc>
          <w:tcPr>
            <w:tcW w:w="34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36C2583">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项目预算资金分配是否有测算依据，与补助单位或地方实际是否相适应，用以反映和考核项目预算资金分配的科学性、合理性情况。</w:t>
            </w:r>
          </w:p>
        </w:tc>
        <w:tc>
          <w:tcPr>
            <w:tcW w:w="553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DC789B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①预算资金分配依据是否充分；</w:t>
            </w:r>
            <w:r>
              <w:rPr>
                <w:rFonts w:hint="eastAsia" w:ascii="宋体" w:cs="宋体"/>
                <w:color w:val="000000"/>
                <w:kern w:val="0"/>
                <w:sz w:val="20"/>
                <w:szCs w:val="20"/>
              </w:rPr>
              <w:br w:type="textWrapping"/>
            </w:r>
            <w:r>
              <w:rPr>
                <w:rFonts w:hint="eastAsia" w:ascii="宋体" w:cs="宋体"/>
                <w:color w:val="000000"/>
                <w:kern w:val="0"/>
                <w:sz w:val="20"/>
                <w:szCs w:val="20"/>
              </w:rPr>
              <w:t>②资金分配额度是否合理，与项目单位或地方实际是否相适应。</w:t>
            </w:r>
          </w:p>
        </w:tc>
        <w:tc>
          <w:tcPr>
            <w:tcW w:w="6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611D9D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2EB19E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r>
      <w:tr w14:paraId="634BE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3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75B0077">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过程</w:t>
            </w:r>
          </w:p>
        </w:tc>
        <w:tc>
          <w:tcPr>
            <w:tcW w:w="74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6ACB7B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资金管理</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BA143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资金到位率</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869FC3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实际到位资金与预算资金的比率，用以反映和考核资金落实情况对项目实施的总体保障程度。</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0C6F2A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资金到位率=（实际到位资金/预算资金）×100%。</w:t>
            </w:r>
          </w:p>
          <w:p w14:paraId="67FF1C9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实际到位资金：一定时期（本年度或项目期）内落实到具体项目的资金。</w:t>
            </w:r>
          </w:p>
          <w:p w14:paraId="5866AE6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预算资金：一定时期（本年度或项目期）内预算安排到具体项目的资金。</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BD6721C">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B649C0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r>
      <w:tr w14:paraId="089B4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5D07754">
            <w:pPr>
              <w:pageBreakBefore w:val="0"/>
              <w:kinsoku/>
              <w:wordWrap/>
              <w:overflowPunct/>
              <w:topLinePunct w:val="0"/>
              <w:autoSpaceDE/>
              <w:autoSpaceDN/>
              <w:bidi w:val="0"/>
              <w:adjustRightInd/>
              <w:snapToGrid/>
              <w:spacing w:line="560" w:lineRule="exact"/>
              <w:textAlignment w:val="auto"/>
            </w:pPr>
          </w:p>
        </w:tc>
        <w:tc>
          <w:tcPr>
            <w:tcW w:w="74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0B88211">
            <w:pPr>
              <w:pageBreakBefore w:val="0"/>
              <w:kinsoku/>
              <w:wordWrap/>
              <w:overflowPunct/>
              <w:topLinePunct w:val="0"/>
              <w:autoSpaceDE/>
              <w:autoSpaceDN/>
              <w:bidi w:val="0"/>
              <w:adjustRightInd/>
              <w:snapToGrid/>
              <w:spacing w:line="560" w:lineRule="exact"/>
              <w:textAlignment w:val="auto"/>
            </w:pP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607DD1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预算执行率</w:t>
            </w:r>
          </w:p>
        </w:tc>
        <w:tc>
          <w:tcPr>
            <w:tcW w:w="34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D76EF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项目预算资金是否按照计划执行，用以反映或考核项目预算执行情况。</w:t>
            </w:r>
          </w:p>
        </w:tc>
        <w:tc>
          <w:tcPr>
            <w:tcW w:w="553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049243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预算执行率=（实际支出资金/实际到位资金）×100%。</w:t>
            </w:r>
            <w:r>
              <w:rPr>
                <w:rFonts w:hint="eastAsia" w:ascii="宋体" w:cs="宋体"/>
                <w:color w:val="000000"/>
                <w:kern w:val="0"/>
                <w:sz w:val="20"/>
                <w:szCs w:val="20"/>
              </w:rPr>
              <w:br w:type="textWrapping"/>
            </w:r>
            <w:r>
              <w:rPr>
                <w:rFonts w:hint="eastAsia" w:ascii="宋体" w:cs="宋体"/>
                <w:color w:val="000000"/>
                <w:kern w:val="0"/>
                <w:sz w:val="20"/>
                <w:szCs w:val="20"/>
              </w:rPr>
              <w:t>实际支出资金：一定时期（本年度或项目期）内项目实际拨付的资金。</w:t>
            </w:r>
          </w:p>
        </w:tc>
        <w:tc>
          <w:tcPr>
            <w:tcW w:w="6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079529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6CF98A0">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lang w:val="en-US" w:eastAsia="zh-CN"/>
              </w:rPr>
              <w:t>1</w:t>
            </w:r>
          </w:p>
        </w:tc>
      </w:tr>
      <w:tr w14:paraId="49356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3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57A6EB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　</w:t>
            </w:r>
          </w:p>
          <w:p w14:paraId="7D1DFDEC">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过程　</w:t>
            </w: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F9485B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资金管理</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BF1D88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资金使用</w:t>
            </w:r>
          </w:p>
          <w:p w14:paraId="11F78DC6">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合规性</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68C6606">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项目资金使用是否符合相关的财务管理制度规定，用以反映和考核项目资金的规范运行情况。</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D7D3796">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①是否符合国家财经法规和财务管理制度以及有关专项资金管理办法的规定；</w:t>
            </w:r>
            <w:r>
              <w:rPr>
                <w:rFonts w:hint="eastAsia" w:ascii="宋体" w:cs="宋体"/>
                <w:color w:val="000000"/>
                <w:kern w:val="0"/>
                <w:sz w:val="20"/>
                <w:szCs w:val="20"/>
              </w:rPr>
              <w:br w:type="textWrapping"/>
            </w:r>
            <w:r>
              <w:rPr>
                <w:rFonts w:hint="eastAsia" w:ascii="宋体" w:cs="宋体"/>
                <w:color w:val="000000"/>
                <w:kern w:val="0"/>
                <w:sz w:val="20"/>
                <w:szCs w:val="20"/>
              </w:rPr>
              <w:t>②资金的拨付是否有完整的审批程序和手续；</w:t>
            </w:r>
            <w:r>
              <w:rPr>
                <w:rFonts w:hint="eastAsia" w:ascii="宋体" w:cs="宋体"/>
                <w:color w:val="000000"/>
                <w:kern w:val="0"/>
                <w:sz w:val="20"/>
                <w:szCs w:val="20"/>
              </w:rPr>
              <w:br w:type="textWrapping"/>
            </w:r>
            <w:r>
              <w:rPr>
                <w:rFonts w:hint="eastAsia" w:ascii="宋体" w:cs="宋体"/>
                <w:color w:val="000000"/>
                <w:kern w:val="0"/>
                <w:sz w:val="20"/>
                <w:szCs w:val="20"/>
              </w:rPr>
              <w:t>③是否符合项目预算批复或合同规定的用途；</w:t>
            </w:r>
            <w:r>
              <w:rPr>
                <w:rFonts w:hint="eastAsia" w:ascii="宋体" w:cs="宋体"/>
                <w:color w:val="000000"/>
                <w:kern w:val="0"/>
                <w:sz w:val="20"/>
                <w:szCs w:val="20"/>
              </w:rPr>
              <w:br w:type="textWrapping"/>
            </w:r>
            <w:r>
              <w:rPr>
                <w:rFonts w:hint="eastAsia" w:ascii="宋体" w:cs="宋体"/>
                <w:color w:val="000000"/>
                <w:kern w:val="0"/>
                <w:sz w:val="20"/>
                <w:szCs w:val="20"/>
              </w:rPr>
              <w:t>④是否存在截留、挤占、挪用、虚列支出等情况。</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C8E6B4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50CE83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r>
      <w:tr w14:paraId="0F90D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2118D65">
            <w:pPr>
              <w:pageBreakBefore w:val="0"/>
              <w:kinsoku/>
              <w:wordWrap/>
              <w:overflowPunct/>
              <w:topLinePunct w:val="0"/>
              <w:autoSpaceDE/>
              <w:autoSpaceDN/>
              <w:bidi w:val="0"/>
              <w:adjustRightInd/>
              <w:snapToGrid/>
              <w:spacing w:line="560" w:lineRule="exact"/>
              <w:textAlignment w:val="auto"/>
            </w:pPr>
          </w:p>
        </w:tc>
        <w:tc>
          <w:tcPr>
            <w:tcW w:w="74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8C726F4">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组织实施</w:t>
            </w:r>
          </w:p>
          <w:p w14:paraId="07C1B1AA">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　</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409016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管理制度</w:t>
            </w:r>
          </w:p>
          <w:p w14:paraId="7124AE28">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健全性</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EAA0B0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项目实施单位的财务和业务管理制度是否健全，用以反映和考核财务和业务管理制度对项目顺利实施的保障情况。</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1CCAA8">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①是否已制定或具有相应的财务和业务管理制度；</w:t>
            </w:r>
            <w:r>
              <w:rPr>
                <w:rFonts w:hint="eastAsia" w:ascii="宋体" w:cs="宋体"/>
                <w:color w:val="000000"/>
                <w:kern w:val="0"/>
                <w:sz w:val="20"/>
                <w:szCs w:val="20"/>
              </w:rPr>
              <w:br w:type="textWrapping"/>
            </w:r>
            <w:r>
              <w:rPr>
                <w:rFonts w:hint="eastAsia" w:ascii="宋体" w:cs="宋体"/>
                <w:color w:val="000000"/>
                <w:kern w:val="0"/>
                <w:sz w:val="20"/>
                <w:szCs w:val="20"/>
              </w:rPr>
              <w:t>②财务和业务管理制度是否合法、合规、完整。</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45F1B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2DC873E">
            <w:pPr>
              <w:pageBreakBefore w:val="0"/>
              <w:widowControl/>
              <w:kinsoku/>
              <w:wordWrap/>
              <w:overflowPunct/>
              <w:topLinePunct w:val="0"/>
              <w:autoSpaceDE/>
              <w:autoSpaceDN/>
              <w:bidi w:val="0"/>
              <w:adjustRightInd/>
              <w:snapToGrid/>
              <w:spacing w:line="560" w:lineRule="exact"/>
              <w:textAlignment w:val="auto"/>
              <w:rPr>
                <w:rFonts w:hint="default" w:ascii="宋体" w:eastAsia="宋体" w:cs="宋体"/>
                <w:color w:val="000000"/>
                <w:kern w:val="0"/>
                <w:sz w:val="20"/>
                <w:szCs w:val="20"/>
                <w:lang w:val="en-US" w:eastAsia="zh-CN"/>
              </w:rPr>
            </w:pPr>
            <w:r>
              <w:rPr>
                <w:rFonts w:hint="eastAsia" w:ascii="宋体" w:cs="宋体"/>
                <w:color w:val="000000"/>
                <w:kern w:val="0"/>
                <w:sz w:val="20"/>
                <w:szCs w:val="20"/>
                <w:lang w:val="en-US" w:eastAsia="zh-CN"/>
              </w:rPr>
              <w:t>0.95</w:t>
            </w:r>
          </w:p>
        </w:tc>
      </w:tr>
      <w:tr w14:paraId="3D8EA6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4CA60F3">
            <w:pPr>
              <w:pageBreakBefore w:val="0"/>
              <w:kinsoku/>
              <w:wordWrap/>
              <w:overflowPunct/>
              <w:topLinePunct w:val="0"/>
              <w:autoSpaceDE/>
              <w:autoSpaceDN/>
              <w:bidi w:val="0"/>
              <w:adjustRightInd/>
              <w:snapToGrid/>
              <w:spacing w:line="560" w:lineRule="exact"/>
              <w:textAlignment w:val="auto"/>
            </w:pPr>
          </w:p>
        </w:tc>
        <w:tc>
          <w:tcPr>
            <w:tcW w:w="74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319481">
            <w:pPr>
              <w:pageBreakBefore w:val="0"/>
              <w:kinsoku/>
              <w:wordWrap/>
              <w:overflowPunct/>
              <w:topLinePunct w:val="0"/>
              <w:autoSpaceDE/>
              <w:autoSpaceDN/>
              <w:bidi w:val="0"/>
              <w:adjustRightInd/>
              <w:snapToGrid/>
              <w:spacing w:line="560" w:lineRule="exact"/>
              <w:textAlignment w:val="auto"/>
            </w:pP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A08B57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制度执行</w:t>
            </w:r>
          </w:p>
          <w:p w14:paraId="50C1BBE7">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有效性</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B5EF94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项目实施是否符合相关管理规定，用以反映和考核相关管理制度的有效执行情况。</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BD57D8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评价要点：</w:t>
            </w:r>
            <w:r>
              <w:rPr>
                <w:rFonts w:hint="eastAsia" w:ascii="宋体" w:cs="宋体"/>
                <w:color w:val="000000"/>
                <w:kern w:val="0"/>
                <w:sz w:val="20"/>
                <w:szCs w:val="20"/>
              </w:rPr>
              <w:br w:type="textWrapping"/>
            </w:r>
            <w:r>
              <w:rPr>
                <w:rFonts w:hint="eastAsia" w:ascii="宋体" w:cs="宋体"/>
                <w:color w:val="000000"/>
                <w:kern w:val="0"/>
                <w:sz w:val="20"/>
                <w:szCs w:val="20"/>
              </w:rPr>
              <w:t>①是否遵守相关法律法规和相关管理规定；</w:t>
            </w:r>
            <w:r>
              <w:rPr>
                <w:rFonts w:hint="eastAsia" w:ascii="宋体" w:cs="宋体"/>
                <w:color w:val="000000"/>
                <w:kern w:val="0"/>
                <w:sz w:val="20"/>
                <w:szCs w:val="20"/>
              </w:rPr>
              <w:br w:type="textWrapping"/>
            </w:r>
            <w:r>
              <w:rPr>
                <w:rFonts w:hint="eastAsia" w:ascii="宋体" w:cs="宋体"/>
                <w:color w:val="000000"/>
                <w:kern w:val="0"/>
                <w:sz w:val="20"/>
                <w:szCs w:val="20"/>
              </w:rPr>
              <w:t>②项目调整及支出调整手续是否完备；</w:t>
            </w:r>
            <w:r>
              <w:rPr>
                <w:rFonts w:hint="eastAsia" w:ascii="宋体" w:cs="宋体"/>
                <w:color w:val="000000"/>
                <w:kern w:val="0"/>
                <w:sz w:val="20"/>
                <w:szCs w:val="20"/>
              </w:rPr>
              <w:br w:type="textWrapping"/>
            </w:r>
            <w:r>
              <w:rPr>
                <w:rFonts w:hint="eastAsia" w:ascii="宋体" w:cs="宋体"/>
                <w:color w:val="000000"/>
                <w:kern w:val="0"/>
                <w:sz w:val="20"/>
                <w:szCs w:val="20"/>
              </w:rPr>
              <w:t>③项目合同书、验收报告、技术鉴定等资料是否齐全并及时归档；</w:t>
            </w:r>
            <w:r>
              <w:rPr>
                <w:rFonts w:hint="eastAsia" w:ascii="宋体" w:cs="宋体"/>
                <w:color w:val="000000"/>
                <w:kern w:val="0"/>
                <w:sz w:val="20"/>
                <w:szCs w:val="20"/>
              </w:rPr>
              <w:br w:type="textWrapping"/>
            </w:r>
            <w:r>
              <w:rPr>
                <w:rFonts w:hint="eastAsia" w:ascii="宋体" w:cs="宋体"/>
                <w:color w:val="000000"/>
                <w:kern w:val="0"/>
                <w:sz w:val="20"/>
                <w:szCs w:val="20"/>
              </w:rPr>
              <w:t>④项目实施的人员条件、场地设备、信息支撑等是否落实到位。</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F8B926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EBF4083">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lang w:val="en-US" w:eastAsia="zh-CN"/>
              </w:rPr>
              <w:t>0.95</w:t>
            </w:r>
          </w:p>
        </w:tc>
      </w:tr>
      <w:tr w14:paraId="1039BA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3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7E8AE0B">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产出</w:t>
            </w: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99B8A9E">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产出数量</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7C105C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实际完成率</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7A30705">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项目实施的实际产出数与计划产出数的比率，用以反映和考核项目产出数量目标的实现程度。</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D34C31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实际完成率=（实际产出数/计划产出数）×100%。</w:t>
            </w:r>
            <w:r>
              <w:rPr>
                <w:rFonts w:hint="eastAsia" w:ascii="宋体" w:cs="宋体"/>
                <w:color w:val="000000"/>
                <w:kern w:val="0"/>
                <w:sz w:val="20"/>
                <w:szCs w:val="20"/>
              </w:rPr>
              <w:br w:type="textWrapping"/>
            </w:r>
            <w:r>
              <w:rPr>
                <w:rFonts w:hint="eastAsia" w:ascii="宋体" w:cs="宋体"/>
                <w:color w:val="000000"/>
                <w:kern w:val="0"/>
                <w:sz w:val="20"/>
                <w:szCs w:val="20"/>
              </w:rPr>
              <w:t>实际产出数：一定时期（本年度或项目期）内项目实际产出的产品或提供的服务数量。</w:t>
            </w:r>
            <w:r>
              <w:rPr>
                <w:rFonts w:hint="eastAsia" w:ascii="宋体" w:cs="宋体"/>
                <w:color w:val="000000"/>
                <w:kern w:val="0"/>
                <w:sz w:val="20"/>
                <w:szCs w:val="20"/>
              </w:rPr>
              <w:br w:type="textWrapping"/>
            </w:r>
            <w:r>
              <w:rPr>
                <w:rFonts w:hint="eastAsia" w:ascii="宋体" w:cs="宋体"/>
                <w:color w:val="000000"/>
                <w:kern w:val="0"/>
                <w:sz w:val="20"/>
                <w:szCs w:val="20"/>
              </w:rPr>
              <w:t>计划产出数：项目绩效目标确定的在一定时期（本年度或项目期）内计划产出的产品或提供的服务数量。</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778211">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rPr>
              <w:t>1</w:t>
            </w:r>
            <w:r>
              <w:rPr>
                <w:rFonts w:hint="eastAsia" w:ascii="宋体" w:cs="宋体"/>
                <w:color w:val="000000"/>
                <w:kern w:val="0"/>
                <w:sz w:val="20"/>
                <w:szCs w:val="20"/>
                <w:lang w:val="en-US" w:eastAsia="zh-CN"/>
              </w:rPr>
              <w:t>0</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2A6CCC5C">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rPr>
              <w:t>1</w:t>
            </w:r>
            <w:r>
              <w:rPr>
                <w:rFonts w:hint="eastAsia" w:ascii="宋体" w:cs="宋体"/>
                <w:color w:val="000000"/>
                <w:kern w:val="0"/>
                <w:sz w:val="20"/>
                <w:szCs w:val="20"/>
                <w:lang w:val="en-US" w:eastAsia="zh-CN"/>
              </w:rPr>
              <w:t>0</w:t>
            </w:r>
          </w:p>
        </w:tc>
      </w:tr>
      <w:tr w14:paraId="01148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3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E32FCA3">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产出</w:t>
            </w: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ED67B50">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产出质量</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FE31F8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质量达标率</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11BF1A81">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项目完成的质量达标产出数与实际产出数的比率，用以反映和考核项目产出质量目标的实现程度。</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8DBF92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质量达标率=（质量达标产出数/实际产出数）×100%。</w:t>
            </w:r>
          </w:p>
          <w:p w14:paraId="44FD8ECD">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DCB6EE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10</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0FAB7F3">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lang w:val="en-US" w:eastAsia="zh-CN"/>
              </w:rPr>
              <w:t>9</w:t>
            </w:r>
          </w:p>
        </w:tc>
      </w:tr>
      <w:tr w14:paraId="59FA0C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1"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024D6744">
            <w:pPr>
              <w:pageBreakBefore w:val="0"/>
              <w:kinsoku/>
              <w:wordWrap/>
              <w:overflowPunct/>
              <w:topLinePunct w:val="0"/>
              <w:autoSpaceDE/>
              <w:autoSpaceDN/>
              <w:bidi w:val="0"/>
              <w:adjustRightInd/>
              <w:snapToGrid/>
              <w:spacing w:line="560" w:lineRule="exact"/>
              <w:textAlignment w:val="auto"/>
            </w:pP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4F69B35">
            <w:pPr>
              <w:pageBreakBefore w:val="0"/>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产出时效</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3159EA">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完成及时性</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B28E2C9">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项目实际完成时间与计划完成时间的比较，用以反映和考核项目产出时效目标的实现程度。</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5A409DD0">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实际完成时间：项目实施单位完成该项目实际所耗用的时间。</w:t>
            </w:r>
            <w:r>
              <w:rPr>
                <w:rFonts w:hint="eastAsia" w:ascii="宋体" w:cs="宋体"/>
                <w:color w:val="000000"/>
                <w:kern w:val="0"/>
                <w:sz w:val="20"/>
                <w:szCs w:val="20"/>
              </w:rPr>
              <w:br w:type="textWrapping"/>
            </w:r>
            <w:r>
              <w:rPr>
                <w:rFonts w:hint="eastAsia" w:ascii="宋体" w:cs="宋体"/>
                <w:color w:val="000000"/>
                <w:kern w:val="0"/>
                <w:sz w:val="20"/>
                <w:szCs w:val="20"/>
              </w:rPr>
              <w:t>计划完成时间：按照项目实施计划或相关规定完成该项目所需的时间。</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48495A2D">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rPr>
              <w:t>1</w:t>
            </w:r>
            <w:r>
              <w:rPr>
                <w:rFonts w:hint="eastAsia" w:ascii="宋体" w:cs="宋体"/>
                <w:color w:val="000000"/>
                <w:kern w:val="0"/>
                <w:sz w:val="20"/>
                <w:szCs w:val="20"/>
                <w:lang w:val="en-US" w:eastAsia="zh-CN"/>
              </w:rPr>
              <w:t>0</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DAFDC5D">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rPr>
              <w:t>1</w:t>
            </w:r>
            <w:r>
              <w:rPr>
                <w:rFonts w:hint="eastAsia" w:ascii="宋体" w:cs="宋体"/>
                <w:color w:val="000000"/>
                <w:kern w:val="0"/>
                <w:sz w:val="20"/>
                <w:szCs w:val="20"/>
                <w:lang w:val="en-US" w:eastAsia="zh-CN"/>
              </w:rPr>
              <w:t>0</w:t>
            </w:r>
          </w:p>
        </w:tc>
      </w:tr>
      <w:tr w14:paraId="5D1289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40"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32D9C4C">
            <w:pPr>
              <w:pageBreakBefore w:val="0"/>
              <w:kinsoku/>
              <w:wordWrap/>
              <w:overflowPunct/>
              <w:topLinePunct w:val="0"/>
              <w:autoSpaceDE/>
              <w:autoSpaceDN/>
              <w:bidi w:val="0"/>
              <w:adjustRightInd/>
              <w:snapToGrid/>
              <w:spacing w:line="560" w:lineRule="exact"/>
              <w:textAlignment w:val="auto"/>
            </w:pPr>
          </w:p>
        </w:tc>
        <w:tc>
          <w:tcPr>
            <w:tcW w:w="744"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8D0AF4C">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产出成本</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128510F">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成本节约率</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68327B9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完成项目计划工作目标的实际节约成本与计划成本的比率，用以反映和考核项目的成本节约程度。</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7937006">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br w:type="textWrapping"/>
            </w:r>
            <w:r>
              <w:rPr>
                <w:rFonts w:hint="eastAsia" w:ascii="宋体" w:cs="宋体"/>
                <w:color w:val="000000"/>
                <w:kern w:val="0"/>
                <w:sz w:val="20"/>
                <w:szCs w:val="20"/>
              </w:rPr>
              <w:t>成本节约率=[（计划成本</w:t>
            </w:r>
            <w:r>
              <w:rPr>
                <w:rFonts w:hint="eastAsia" w:ascii="宋体" w:cs="宋体"/>
                <w:color w:val="000000"/>
                <w:kern w:val="0"/>
                <w:sz w:val="20"/>
                <w:szCs w:val="20"/>
                <w:lang w:eastAsia="zh-CN"/>
              </w:rPr>
              <w:t>－</w:t>
            </w:r>
            <w:r>
              <w:rPr>
                <w:rFonts w:hint="eastAsia" w:ascii="宋体" w:cs="宋体"/>
                <w:color w:val="000000"/>
                <w:kern w:val="0"/>
                <w:sz w:val="20"/>
                <w:szCs w:val="20"/>
              </w:rPr>
              <w:t>实际成本）/计划成本]×100%。</w:t>
            </w:r>
            <w:r>
              <w:rPr>
                <w:rFonts w:hint="eastAsia" w:ascii="宋体" w:cs="宋体"/>
                <w:color w:val="000000"/>
                <w:kern w:val="0"/>
                <w:sz w:val="20"/>
                <w:szCs w:val="20"/>
              </w:rPr>
              <w:br w:type="textWrapping"/>
            </w:r>
            <w:r>
              <w:rPr>
                <w:rFonts w:hint="eastAsia" w:ascii="宋体" w:cs="宋体"/>
                <w:color w:val="000000"/>
                <w:kern w:val="0"/>
                <w:sz w:val="20"/>
                <w:szCs w:val="20"/>
              </w:rPr>
              <w:t>实际成本：项目实施单位如期、保质、保量完成既定工作目标实际所耗费的支出。</w:t>
            </w:r>
            <w:r>
              <w:rPr>
                <w:rFonts w:hint="eastAsia" w:ascii="宋体" w:cs="宋体"/>
                <w:color w:val="000000"/>
                <w:kern w:val="0"/>
                <w:sz w:val="20"/>
                <w:szCs w:val="20"/>
              </w:rPr>
              <w:br w:type="textWrapping"/>
            </w:r>
            <w:r>
              <w:rPr>
                <w:rFonts w:hint="eastAsia" w:ascii="宋体" w:cs="宋体"/>
                <w:color w:val="000000"/>
                <w:kern w:val="0"/>
                <w:sz w:val="20"/>
                <w:szCs w:val="20"/>
              </w:rPr>
              <w:t>计划成本：项目实施单位为完成工作目标计划安排的支出，一般以项目预算为参考。</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7B6EF9E7">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10</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4A2B08A">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10</w:t>
            </w:r>
          </w:p>
        </w:tc>
      </w:tr>
      <w:tr w14:paraId="346EC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63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A7B689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效益　</w:t>
            </w:r>
          </w:p>
        </w:tc>
        <w:tc>
          <w:tcPr>
            <w:tcW w:w="744" w:type="dxa"/>
            <w:vMerge w:val="restart"/>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4CE4989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项目效益　</w:t>
            </w: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1ECD5DB1">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实施效益</w:t>
            </w:r>
          </w:p>
        </w:tc>
        <w:tc>
          <w:tcPr>
            <w:tcW w:w="348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6621D55">
            <w:pPr>
              <w:pageBreakBefore w:val="0"/>
              <w:widowControl/>
              <w:kinsoku/>
              <w:wordWrap/>
              <w:overflowPunct/>
              <w:topLinePunct w:val="0"/>
              <w:autoSpaceDE/>
              <w:autoSpaceDN/>
              <w:bidi w:val="0"/>
              <w:adjustRightInd/>
              <w:snapToGrid/>
              <w:spacing w:line="560" w:lineRule="exact"/>
              <w:jc w:val="left"/>
              <w:textAlignment w:val="auto"/>
              <w:rPr>
                <w:rFonts w:ascii="宋体" w:cs="宋体"/>
                <w:color w:val="000000"/>
                <w:kern w:val="0"/>
                <w:sz w:val="20"/>
                <w:szCs w:val="20"/>
              </w:rPr>
            </w:pPr>
            <w:r>
              <w:rPr>
                <w:rFonts w:hint="eastAsia" w:ascii="宋体" w:cs="宋体"/>
                <w:color w:val="000000"/>
                <w:kern w:val="0"/>
                <w:sz w:val="20"/>
                <w:szCs w:val="20"/>
              </w:rPr>
              <w:t>项目实施所产生的效益。</w:t>
            </w:r>
          </w:p>
        </w:tc>
        <w:tc>
          <w:tcPr>
            <w:tcW w:w="5532"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3E14ACAF">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项目实施所产生的社会效益、经济效益、生态效益、可持续影响等。可根据项目实际情况有选择地设置和细化。</w:t>
            </w:r>
          </w:p>
        </w:tc>
        <w:tc>
          <w:tcPr>
            <w:tcW w:w="660"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5B969371">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rPr>
              <w:t>3</w:t>
            </w:r>
            <w:r>
              <w:rPr>
                <w:rFonts w:hint="eastAsia" w:ascii="宋体" w:cs="宋体"/>
                <w:color w:val="000000"/>
                <w:kern w:val="0"/>
                <w:sz w:val="20"/>
                <w:szCs w:val="20"/>
                <w:lang w:val="en-US" w:eastAsia="zh-CN"/>
              </w:rPr>
              <w:t>5</w:t>
            </w:r>
          </w:p>
        </w:tc>
        <w:tc>
          <w:tcPr>
            <w:tcW w:w="631"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BEF2930">
            <w:pPr>
              <w:pageBreakBefore w:val="0"/>
              <w:widowControl/>
              <w:kinsoku/>
              <w:wordWrap/>
              <w:overflowPunct/>
              <w:topLinePunct w:val="0"/>
              <w:autoSpaceDE/>
              <w:autoSpaceDN/>
              <w:bidi w:val="0"/>
              <w:adjustRightInd/>
              <w:snapToGrid/>
              <w:spacing w:line="560" w:lineRule="exact"/>
              <w:textAlignment w:val="auto"/>
              <w:rPr>
                <w:rFonts w:hint="default" w:ascii="宋体" w:eastAsia="宋体" w:cs="宋体"/>
                <w:color w:val="000000"/>
                <w:kern w:val="0"/>
                <w:sz w:val="20"/>
                <w:szCs w:val="20"/>
                <w:lang w:val="en-US" w:eastAsia="zh-CN"/>
              </w:rPr>
            </w:pPr>
            <w:r>
              <w:rPr>
                <w:rFonts w:hint="eastAsia" w:ascii="宋体" w:cs="宋体"/>
                <w:color w:val="000000"/>
                <w:kern w:val="0"/>
                <w:sz w:val="20"/>
                <w:szCs w:val="20"/>
                <w:lang w:val="en-US" w:eastAsia="zh-CN"/>
              </w:rPr>
              <w:t>31.5</w:t>
            </w:r>
          </w:p>
        </w:tc>
      </w:tr>
      <w:tr w14:paraId="703FC9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63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62F51D2D">
            <w:pPr>
              <w:pageBreakBefore w:val="0"/>
              <w:kinsoku/>
              <w:wordWrap/>
              <w:overflowPunct/>
              <w:topLinePunct w:val="0"/>
              <w:autoSpaceDE/>
              <w:autoSpaceDN/>
              <w:bidi w:val="0"/>
              <w:adjustRightInd/>
              <w:snapToGrid/>
              <w:spacing w:line="560" w:lineRule="exact"/>
              <w:textAlignment w:val="auto"/>
            </w:pPr>
          </w:p>
        </w:tc>
        <w:tc>
          <w:tcPr>
            <w:tcW w:w="744" w:type="dxa"/>
            <w:vMerge w:val="continue"/>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71B67E9">
            <w:pPr>
              <w:pageBreakBefore w:val="0"/>
              <w:kinsoku/>
              <w:wordWrap/>
              <w:overflowPunct/>
              <w:topLinePunct w:val="0"/>
              <w:autoSpaceDE/>
              <w:autoSpaceDN/>
              <w:bidi w:val="0"/>
              <w:adjustRightInd/>
              <w:snapToGrid/>
              <w:spacing w:line="560" w:lineRule="exact"/>
              <w:textAlignment w:val="auto"/>
            </w:pPr>
          </w:p>
        </w:tc>
        <w:tc>
          <w:tcPr>
            <w:tcW w:w="756" w:type="dxa"/>
            <w:tcBorders>
              <w:top w:val="single" w:color="000000" w:sz="8" w:space="0"/>
              <w:left w:val="single" w:color="000000" w:sz="8" w:space="0"/>
              <w:bottom w:val="single" w:color="000000" w:sz="8" w:space="0"/>
              <w:right w:val="single" w:color="000000" w:sz="8" w:space="0"/>
            </w:tcBorders>
            <w:shd w:val="clear" w:color="auto" w:fill="FFFFFF"/>
            <w:noWrap/>
            <w:vAlign w:val="center"/>
          </w:tcPr>
          <w:p w14:paraId="74559342">
            <w:pPr>
              <w:pageBreakBefore w:val="0"/>
              <w:widowControl/>
              <w:kinsoku/>
              <w:wordWrap/>
              <w:overflowPunct/>
              <w:topLinePunct w:val="0"/>
              <w:autoSpaceDE/>
              <w:autoSpaceDN/>
              <w:bidi w:val="0"/>
              <w:adjustRightInd/>
              <w:snapToGrid/>
              <w:spacing w:line="560" w:lineRule="exact"/>
              <w:jc w:val="center"/>
              <w:textAlignment w:val="auto"/>
              <w:rPr>
                <w:rFonts w:ascii="宋体" w:cs="宋体"/>
                <w:color w:val="000000"/>
                <w:kern w:val="0"/>
                <w:sz w:val="20"/>
                <w:szCs w:val="20"/>
              </w:rPr>
            </w:pPr>
            <w:r>
              <w:rPr>
                <w:rFonts w:hint="eastAsia" w:ascii="宋体" w:cs="宋体"/>
                <w:color w:val="000000"/>
                <w:kern w:val="0"/>
                <w:sz w:val="20"/>
                <w:szCs w:val="20"/>
              </w:rPr>
              <w:t>满意度</w:t>
            </w:r>
          </w:p>
        </w:tc>
        <w:tc>
          <w:tcPr>
            <w:tcW w:w="348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3CF34612">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社会公众或服务对象对项目实施效果的满意程度。</w:t>
            </w:r>
          </w:p>
        </w:tc>
        <w:tc>
          <w:tcPr>
            <w:tcW w:w="5532"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5CED46B">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社会公众或服务对象是指因该项目实施而受到影响的部门（单位）、群体或个人。一般采取社会调查的方式。</w:t>
            </w:r>
          </w:p>
        </w:tc>
        <w:tc>
          <w:tcPr>
            <w:tcW w:w="660"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DA0EE59">
            <w:pPr>
              <w:pageBreakBefore w:val="0"/>
              <w:widowControl/>
              <w:kinsoku/>
              <w:wordWrap/>
              <w:overflowPunct/>
              <w:topLinePunct w:val="0"/>
              <w:autoSpaceDE/>
              <w:autoSpaceDN/>
              <w:bidi w:val="0"/>
              <w:adjustRightInd/>
              <w:snapToGrid/>
              <w:spacing w:line="560" w:lineRule="exact"/>
              <w:textAlignment w:val="auto"/>
              <w:rPr>
                <w:rFonts w:hint="eastAsia" w:ascii="宋体" w:eastAsia="宋体" w:cs="宋体"/>
                <w:color w:val="000000"/>
                <w:kern w:val="0"/>
                <w:sz w:val="20"/>
                <w:szCs w:val="20"/>
                <w:lang w:eastAsia="zh-CN"/>
              </w:rPr>
            </w:pPr>
            <w:r>
              <w:rPr>
                <w:rFonts w:hint="eastAsia" w:ascii="宋体" w:cs="宋体"/>
                <w:color w:val="000000"/>
                <w:kern w:val="0"/>
                <w:sz w:val="20"/>
                <w:szCs w:val="20"/>
              </w:rPr>
              <w:t>1</w:t>
            </w:r>
            <w:r>
              <w:rPr>
                <w:rFonts w:hint="eastAsia" w:ascii="宋体" w:cs="宋体"/>
                <w:color w:val="000000"/>
                <w:kern w:val="0"/>
                <w:sz w:val="20"/>
                <w:szCs w:val="20"/>
                <w:lang w:val="en-US" w:eastAsia="zh-CN"/>
              </w:rPr>
              <w:t>5</w:t>
            </w:r>
          </w:p>
        </w:tc>
        <w:tc>
          <w:tcPr>
            <w:tcW w:w="631" w:type="dxa"/>
            <w:tcBorders>
              <w:top w:val="single" w:color="000000" w:sz="8" w:space="0"/>
              <w:left w:val="single" w:color="000000" w:sz="8" w:space="0"/>
              <w:bottom w:val="single" w:color="000000" w:sz="8" w:space="0"/>
              <w:right w:val="single" w:color="000000" w:sz="8" w:space="0"/>
            </w:tcBorders>
            <w:shd w:val="clear" w:color="000000" w:fill="FFFFFF"/>
            <w:noWrap/>
            <w:vAlign w:val="center"/>
          </w:tcPr>
          <w:p w14:paraId="0DAEBE8E">
            <w:pPr>
              <w:pageBreakBefore w:val="0"/>
              <w:widowControl/>
              <w:kinsoku/>
              <w:wordWrap/>
              <w:overflowPunct/>
              <w:topLinePunct w:val="0"/>
              <w:autoSpaceDE/>
              <w:autoSpaceDN/>
              <w:bidi w:val="0"/>
              <w:adjustRightInd/>
              <w:snapToGrid/>
              <w:spacing w:line="560" w:lineRule="exact"/>
              <w:textAlignment w:val="auto"/>
              <w:rPr>
                <w:rFonts w:ascii="宋体" w:cs="宋体"/>
                <w:color w:val="000000"/>
                <w:kern w:val="0"/>
                <w:sz w:val="20"/>
                <w:szCs w:val="20"/>
              </w:rPr>
            </w:pPr>
            <w:r>
              <w:rPr>
                <w:rFonts w:hint="eastAsia" w:ascii="宋体" w:cs="宋体"/>
                <w:color w:val="000000"/>
                <w:kern w:val="0"/>
                <w:sz w:val="20"/>
                <w:szCs w:val="20"/>
              </w:rPr>
              <w:t>10</w:t>
            </w:r>
          </w:p>
        </w:tc>
      </w:tr>
    </w:tbl>
    <w:p w14:paraId="40E42537">
      <w:pPr>
        <w:pStyle w:val="2"/>
        <w:spacing w:line="200" w:lineRule="exact"/>
        <w:rPr>
          <w:sz w:val="20"/>
          <w:szCs w:val="20"/>
        </w:rPr>
      </w:pPr>
    </w:p>
    <w:p w14:paraId="46F539AE">
      <w:pPr>
        <w:spacing w:line="200" w:lineRule="exact"/>
        <w:rPr>
          <w:sz w:val="20"/>
          <w:szCs w:val="20"/>
        </w:rPr>
      </w:pPr>
    </w:p>
    <w:p w14:paraId="08363B75">
      <w:pPr>
        <w:spacing w:line="200" w:lineRule="exact"/>
        <w:ind w:firstLine="640"/>
        <w:rPr>
          <w:rStyle w:val="21"/>
          <w:rFonts w:ascii="黑体" w:eastAsia="黑体"/>
          <w:bCs w:val="0"/>
          <w:spacing w:val="-4"/>
          <w:sz w:val="20"/>
          <w:szCs w:val="20"/>
        </w:rPr>
      </w:pPr>
    </w:p>
    <w:p w14:paraId="52886B4F">
      <w:pPr>
        <w:spacing w:line="200" w:lineRule="exact"/>
        <w:ind w:firstLine="640"/>
        <w:rPr>
          <w:rStyle w:val="21"/>
          <w:rFonts w:ascii="黑体" w:eastAsia="黑体"/>
          <w:bCs w:val="0"/>
          <w:spacing w:val="-4"/>
          <w:sz w:val="20"/>
          <w:szCs w:val="20"/>
        </w:rPr>
        <w:sectPr>
          <w:pgSz w:w="16840" w:h="11907" w:orient="landscape"/>
          <w:pgMar w:top="1418" w:right="1418" w:bottom="1418" w:left="1418" w:header="851" w:footer="992" w:gutter="0"/>
          <w:cols w:space="720" w:num="1"/>
          <w:docGrid w:type="lines" w:linePitch="312" w:charSpace="0"/>
        </w:sectPr>
      </w:pPr>
    </w:p>
    <w:tbl>
      <w:tblPr>
        <w:tblStyle w:val="19"/>
        <w:tblW w:w="9345" w:type="dxa"/>
        <w:tblInd w:w="0" w:type="dxa"/>
        <w:shd w:val="clear" w:color="auto" w:fill="auto"/>
        <w:tblLayout w:type="autofit"/>
        <w:tblCellMar>
          <w:top w:w="0" w:type="dxa"/>
          <w:left w:w="0" w:type="dxa"/>
          <w:bottom w:w="0" w:type="dxa"/>
          <w:right w:w="0" w:type="dxa"/>
        </w:tblCellMar>
      </w:tblPr>
      <w:tblGrid>
        <w:gridCol w:w="840"/>
        <w:gridCol w:w="840"/>
        <w:gridCol w:w="840"/>
        <w:gridCol w:w="840"/>
        <w:gridCol w:w="840"/>
        <w:gridCol w:w="840"/>
        <w:gridCol w:w="840"/>
        <w:gridCol w:w="1485"/>
        <w:gridCol w:w="495"/>
        <w:gridCol w:w="1485"/>
      </w:tblGrid>
      <w:tr w14:paraId="27BBD5C8">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14:paraId="4FFA328F">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439006C1">
        <w:tblPrEx>
          <w:shd w:val="clear" w:color="auto" w:fill="auto"/>
          <w:tblCellMar>
            <w:top w:w="0" w:type="dxa"/>
            <w:left w:w="0" w:type="dxa"/>
            <w:bottom w:w="0" w:type="dxa"/>
            <w:right w:w="0" w:type="dxa"/>
          </w:tblCellMar>
        </w:tblPrEx>
        <w:trPr>
          <w:trHeight w:val="409"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14:paraId="7AD6C10B">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39AE052F">
        <w:tblPrEx>
          <w:shd w:val="clear" w:color="auto" w:fill="auto"/>
          <w:tblCellMar>
            <w:top w:w="0" w:type="dxa"/>
            <w:left w:w="0" w:type="dxa"/>
            <w:bottom w:w="0" w:type="dxa"/>
            <w:right w:w="0" w:type="dxa"/>
          </w:tblCellMar>
        </w:tblPrEx>
        <w:trPr>
          <w:trHeight w:val="270" w:hRule="atLeast"/>
        </w:trPr>
        <w:tc>
          <w:tcPr>
            <w:tcW w:w="9345" w:type="dxa"/>
            <w:gridSpan w:val="10"/>
            <w:tcBorders>
              <w:top w:val="nil"/>
              <w:left w:val="nil"/>
              <w:bottom w:val="nil"/>
              <w:right w:val="nil"/>
            </w:tcBorders>
            <w:shd w:val="clear" w:color="auto" w:fill="auto"/>
            <w:tcMar>
              <w:top w:w="15" w:type="dxa"/>
              <w:left w:w="15" w:type="dxa"/>
              <w:right w:w="15" w:type="dxa"/>
            </w:tcMar>
            <w:vAlign w:val="center"/>
          </w:tcPr>
          <w:p w14:paraId="49FC6DEC">
            <w:pPr>
              <w:jc w:val="center"/>
              <w:rPr>
                <w:rFonts w:hint="eastAsia" w:ascii="宋体" w:hAnsi="宋体" w:eastAsia="宋体" w:cs="宋体"/>
                <w:i w:val="0"/>
                <w:color w:val="000000"/>
                <w:sz w:val="22"/>
                <w:szCs w:val="22"/>
                <w:u w:val="none"/>
              </w:rPr>
            </w:pPr>
          </w:p>
        </w:tc>
      </w:tr>
      <w:tr w14:paraId="32424FAB">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3344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6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DAC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红十字会应急体系建设经费</w:t>
            </w:r>
          </w:p>
        </w:tc>
      </w:tr>
      <w:tr w14:paraId="41C97087">
        <w:tblPrEx>
          <w:shd w:val="clear" w:color="auto" w:fill="auto"/>
          <w:tblCellMar>
            <w:top w:w="0" w:type="dxa"/>
            <w:left w:w="0" w:type="dxa"/>
            <w:bottom w:w="0" w:type="dxa"/>
            <w:right w:w="0" w:type="dxa"/>
          </w:tblCellMar>
        </w:tblPrEx>
        <w:trPr>
          <w:trHeight w:val="48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E2C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200" w:type="dxa"/>
            <w:gridSpan w:val="5"/>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14:paraId="37504159">
            <w:pPr>
              <w:jc w:val="center"/>
              <w:rPr>
                <w:rFonts w:hint="eastAsia" w:ascii="宋体" w:hAnsi="宋体" w:eastAsia="宋体" w:cs="宋体"/>
                <w:i w:val="0"/>
                <w:color w:val="000000"/>
                <w:sz w:val="18"/>
                <w:szCs w:val="18"/>
                <w:u w:val="none"/>
              </w:rPr>
            </w:pP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46B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0C74D">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塔城地区红十字会</w:t>
            </w:r>
          </w:p>
        </w:tc>
      </w:tr>
      <w:tr w14:paraId="0E408FB7">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669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0" w:type="auto"/>
            <w:tcBorders>
              <w:top w:val="nil"/>
              <w:left w:val="nil"/>
              <w:bottom w:val="nil"/>
              <w:right w:val="nil"/>
            </w:tcBorders>
            <w:shd w:val="clear" w:color="auto" w:fill="auto"/>
            <w:noWrap/>
            <w:tcMar>
              <w:top w:w="15" w:type="dxa"/>
              <w:left w:w="15" w:type="dxa"/>
              <w:right w:w="15" w:type="dxa"/>
            </w:tcMar>
            <w:vAlign w:val="bottom"/>
          </w:tcPr>
          <w:p w14:paraId="50BD28EB">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14:paraId="1A86B3FA">
            <w:pPr>
              <w:rPr>
                <w:rFonts w:hint="default" w:ascii="Arial" w:hAnsi="Arial" w:cs="Arial"/>
                <w:i w:val="0"/>
                <w:color w:val="000000"/>
                <w:sz w:val="20"/>
                <w:szCs w:val="20"/>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AF8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A8CE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663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E93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459346BA">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9F4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B4B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D03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952C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3B5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8.69</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551A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86.86%</w:t>
            </w:r>
          </w:p>
        </w:tc>
      </w:tr>
      <w:tr w14:paraId="3014DE00">
        <w:tblPrEx>
          <w:shd w:val="clear" w:color="auto" w:fill="auto"/>
          <w:tblCellMar>
            <w:top w:w="0" w:type="dxa"/>
            <w:left w:w="0" w:type="dxa"/>
            <w:bottom w:w="0" w:type="dxa"/>
            <w:right w:w="0" w:type="dxa"/>
          </w:tblCellMar>
        </w:tblPrEx>
        <w:trPr>
          <w:trHeight w:val="392"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B5674">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83B9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5D0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00AF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3B1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8.69</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083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648A848">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245F1">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168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34350">
            <w:pPr>
              <w:jc w:val="center"/>
              <w:rPr>
                <w:rFonts w:hint="eastAsia" w:ascii="宋体" w:hAnsi="宋体" w:eastAsia="宋体" w:cs="宋体"/>
                <w:i w:val="0"/>
                <w:color w:val="000000"/>
                <w:sz w:val="18"/>
                <w:szCs w:val="18"/>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C9A9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2427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1DC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13DE563">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66F2E">
            <w:pPr>
              <w:jc w:val="center"/>
              <w:rPr>
                <w:rFonts w:hint="eastAsia" w:ascii="宋体" w:hAnsi="宋体" w:eastAsia="宋体" w:cs="宋体"/>
                <w:i w:val="0"/>
                <w:color w:val="000000"/>
                <w:sz w:val="22"/>
                <w:szCs w:val="22"/>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EB9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BDF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E06B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8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AA7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48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CF39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3F6FE797">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3D4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C78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9F5E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23CBA694">
        <w:tblPrEx>
          <w:shd w:val="clear" w:color="auto" w:fill="auto"/>
          <w:tblCellMar>
            <w:top w:w="0" w:type="dxa"/>
            <w:left w:w="0" w:type="dxa"/>
            <w:bottom w:w="0" w:type="dxa"/>
            <w:right w:w="0" w:type="dxa"/>
          </w:tblCellMar>
        </w:tblPrEx>
        <w:trPr>
          <w:trHeight w:val="10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D254D">
            <w:pPr>
              <w:jc w:val="center"/>
              <w:rPr>
                <w:rFonts w:hint="eastAsia" w:ascii="宋体" w:hAnsi="宋体" w:eastAsia="宋体" w:cs="宋体"/>
                <w:i w:val="0"/>
                <w:color w:val="000000"/>
                <w:sz w:val="18"/>
                <w:szCs w:val="18"/>
                <w:u w:val="none"/>
              </w:rPr>
            </w:pPr>
          </w:p>
        </w:tc>
        <w:tc>
          <w:tcPr>
            <w:tcW w:w="504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8A872">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着力推进应急救护培训“五进”，与教育部门、社区、企业、单位联合举办应急救护培训班3期以上，培训救护人员400人以上。</w:t>
            </w:r>
          </w:p>
        </w:tc>
        <w:tc>
          <w:tcPr>
            <w:tcW w:w="346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31055">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着力推进应急救护培训“五进”，与教育部门、社区、企业、单位联合举办应急救护培训班3期以上，培训救护人员400人以上。</w:t>
            </w:r>
          </w:p>
        </w:tc>
      </w:tr>
      <w:tr w14:paraId="279F48C4">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39A72">
            <w:pPr>
              <w:jc w:val="center"/>
              <w:rPr>
                <w:rFonts w:hint="eastAsia" w:ascii="宋体" w:hAnsi="宋体" w:eastAsia="宋体" w:cs="宋体"/>
                <w:i w:val="0"/>
                <w:color w:val="000000"/>
                <w:sz w:val="18"/>
                <w:szCs w:val="18"/>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3F2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CCE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CE3F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DEA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AA5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765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2E05552F">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AD2E7">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CE73CE">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3DACF">
            <w:pPr>
              <w:jc w:val="center"/>
              <w:rPr>
                <w:rFonts w:hint="eastAsia" w:ascii="宋体" w:hAnsi="宋体" w:eastAsia="宋体" w:cs="宋体"/>
                <w:i w:val="0"/>
                <w:color w:val="000000"/>
                <w:sz w:val="18"/>
                <w:szCs w:val="18"/>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83B3A">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857A0">
            <w:pPr>
              <w:jc w:val="center"/>
              <w:rPr>
                <w:rFonts w:hint="eastAsia" w:ascii="宋体" w:hAnsi="宋体" w:eastAsia="宋体" w:cs="宋体"/>
                <w:i w:val="0"/>
                <w:color w:val="000000"/>
                <w:sz w:val="18"/>
                <w:szCs w:val="18"/>
                <w:u w:val="none"/>
              </w:rPr>
            </w:pPr>
          </w:p>
        </w:tc>
        <w:tc>
          <w:tcPr>
            <w:tcW w:w="14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996E1">
            <w:pPr>
              <w:jc w:val="center"/>
              <w:rPr>
                <w:rFonts w:hint="eastAsia" w:ascii="宋体" w:hAnsi="宋体" w:eastAsia="宋体" w:cs="宋体"/>
                <w:i w:val="0"/>
                <w:color w:val="000000"/>
                <w:sz w:val="18"/>
                <w:szCs w:val="18"/>
                <w:u w:val="none"/>
              </w:rPr>
            </w:pPr>
          </w:p>
        </w:tc>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D0BFA">
            <w:pPr>
              <w:jc w:val="center"/>
              <w:rPr>
                <w:rFonts w:hint="eastAsia" w:ascii="宋体" w:hAnsi="宋体" w:eastAsia="宋体" w:cs="宋体"/>
                <w:i w:val="0"/>
                <w:color w:val="000000"/>
                <w:sz w:val="18"/>
                <w:szCs w:val="18"/>
                <w:u w:val="none"/>
              </w:rPr>
            </w:pPr>
          </w:p>
        </w:tc>
      </w:tr>
      <w:tr w14:paraId="1E6AD9BC">
        <w:tblPrEx>
          <w:shd w:val="clear" w:color="auto" w:fill="auto"/>
          <w:tblCellMar>
            <w:top w:w="0" w:type="dxa"/>
            <w:left w:w="0" w:type="dxa"/>
            <w:bottom w:w="0" w:type="dxa"/>
            <w:right w:w="0" w:type="dxa"/>
          </w:tblCellMar>
        </w:tblPrEx>
        <w:trPr>
          <w:trHeight w:val="1165"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2C66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8E4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8D42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27B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救护培训人员</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098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≥400人</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6601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417人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E49DE">
            <w:pPr>
              <w:jc w:val="center"/>
              <w:rPr>
                <w:rFonts w:hint="eastAsia" w:ascii="宋体" w:hAnsi="宋体" w:eastAsia="宋体" w:cs="宋体"/>
                <w:i w:val="0"/>
                <w:color w:val="000000"/>
                <w:sz w:val="18"/>
                <w:szCs w:val="18"/>
                <w:u w:val="none"/>
              </w:rPr>
            </w:pPr>
          </w:p>
        </w:tc>
      </w:tr>
      <w:tr w14:paraId="30F6E1BA">
        <w:tblPrEx>
          <w:shd w:val="clear" w:color="auto" w:fill="auto"/>
          <w:tblCellMar>
            <w:top w:w="0" w:type="dxa"/>
            <w:left w:w="0" w:type="dxa"/>
            <w:bottom w:w="0" w:type="dxa"/>
            <w:right w:w="0" w:type="dxa"/>
          </w:tblCellMar>
        </w:tblPrEx>
        <w:trPr>
          <w:trHeight w:val="84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386AA">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5B307">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D213A">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A76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组织救护人员集体活动</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8D6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23F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3次</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1A159">
            <w:pPr>
              <w:jc w:val="center"/>
              <w:rPr>
                <w:rFonts w:hint="eastAsia" w:ascii="宋体" w:hAnsi="宋体" w:eastAsia="宋体" w:cs="宋体"/>
                <w:i w:val="0"/>
                <w:color w:val="000000"/>
                <w:sz w:val="18"/>
                <w:szCs w:val="18"/>
                <w:u w:val="none"/>
              </w:rPr>
            </w:pPr>
          </w:p>
        </w:tc>
      </w:tr>
      <w:tr w14:paraId="4913B075">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7E644">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08F3A">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3D56F">
            <w:pPr>
              <w:jc w:val="center"/>
              <w:rPr>
                <w:rFonts w:hint="eastAsia" w:ascii="宋体" w:hAnsi="宋体" w:eastAsia="宋体" w:cs="宋体"/>
                <w:i w:val="0"/>
                <w:color w:val="000000"/>
                <w:sz w:val="18"/>
                <w:szCs w:val="18"/>
                <w:u w:val="none"/>
              </w:rPr>
            </w:pP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EF9B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发放救护员培训证书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0D2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≥400人</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036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417人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0354F">
            <w:pPr>
              <w:jc w:val="center"/>
              <w:rPr>
                <w:rFonts w:hint="eastAsia" w:ascii="宋体" w:hAnsi="宋体" w:eastAsia="宋体" w:cs="宋体"/>
                <w:i w:val="0"/>
                <w:color w:val="000000"/>
                <w:sz w:val="18"/>
                <w:szCs w:val="18"/>
                <w:u w:val="none"/>
              </w:rPr>
            </w:pPr>
          </w:p>
        </w:tc>
      </w:tr>
      <w:tr w14:paraId="648E00B1">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E7BD5">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849E8">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A305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D5A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任务完成率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431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C2A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65F00">
            <w:pPr>
              <w:jc w:val="center"/>
              <w:rPr>
                <w:rFonts w:hint="eastAsia" w:ascii="宋体" w:hAnsi="宋体" w:eastAsia="宋体" w:cs="宋体"/>
                <w:i w:val="0"/>
                <w:color w:val="000000"/>
                <w:sz w:val="18"/>
                <w:szCs w:val="18"/>
                <w:u w:val="none"/>
              </w:rPr>
            </w:pPr>
          </w:p>
        </w:tc>
      </w:tr>
      <w:tr w14:paraId="20F67109">
        <w:tblPrEx>
          <w:shd w:val="clear" w:color="auto" w:fill="auto"/>
          <w:tblCellMar>
            <w:top w:w="0" w:type="dxa"/>
            <w:left w:w="0" w:type="dxa"/>
            <w:bottom w:w="0" w:type="dxa"/>
            <w:right w:w="0" w:type="dxa"/>
          </w:tblCellMar>
        </w:tblPrEx>
        <w:trPr>
          <w:trHeight w:val="96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B5233">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E1136">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8B1A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FB67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任务完成及时率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6AA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513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53E6EC">
            <w:pPr>
              <w:jc w:val="center"/>
              <w:rPr>
                <w:rFonts w:hint="eastAsia" w:ascii="宋体" w:hAnsi="宋体" w:eastAsia="宋体" w:cs="宋体"/>
                <w:i w:val="0"/>
                <w:color w:val="000000"/>
                <w:sz w:val="18"/>
                <w:szCs w:val="18"/>
                <w:u w:val="none"/>
              </w:rPr>
            </w:pPr>
          </w:p>
        </w:tc>
      </w:tr>
      <w:tr w14:paraId="6DD9E0A2">
        <w:tblPrEx>
          <w:shd w:val="clear" w:color="auto" w:fill="auto"/>
          <w:tblCellMar>
            <w:top w:w="0" w:type="dxa"/>
            <w:left w:w="0" w:type="dxa"/>
            <w:bottom w:w="0" w:type="dxa"/>
            <w:right w:w="0" w:type="dxa"/>
          </w:tblCellMar>
        </w:tblPrEx>
        <w:trPr>
          <w:trHeight w:val="114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DE5C2">
            <w:pPr>
              <w:jc w:val="center"/>
              <w:rPr>
                <w:rFonts w:hint="eastAsia" w:ascii="宋体" w:hAnsi="宋体" w:eastAsia="宋体" w:cs="宋体"/>
                <w:i w:val="0"/>
                <w:color w:val="000000"/>
                <w:sz w:val="18"/>
                <w:szCs w:val="18"/>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56C31">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2C5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E49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培训支出</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357A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≤10万元</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ADB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8.69万元</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F1E2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传染病</w:t>
            </w:r>
            <w:r>
              <w:rPr>
                <w:rFonts w:hint="eastAsia" w:ascii="宋体" w:hAnsi="宋体" w:eastAsia="宋体" w:cs="宋体"/>
                <w:i w:val="0"/>
                <w:color w:val="000000"/>
                <w:kern w:val="0"/>
                <w:sz w:val="18"/>
                <w:szCs w:val="18"/>
                <w:u w:val="none"/>
                <w:lang w:val="en-US" w:eastAsia="zh-CN" w:bidi="ar"/>
              </w:rPr>
              <w:t>原因，应急体系建设培训无法正常开展</w:t>
            </w:r>
          </w:p>
        </w:tc>
      </w:tr>
      <w:tr w14:paraId="294F843E">
        <w:tblPrEx>
          <w:shd w:val="clear" w:color="auto" w:fill="auto"/>
          <w:tblCellMar>
            <w:top w:w="0" w:type="dxa"/>
            <w:left w:w="0" w:type="dxa"/>
            <w:bottom w:w="0" w:type="dxa"/>
            <w:right w:w="0" w:type="dxa"/>
          </w:tblCellMar>
        </w:tblPrEx>
        <w:trPr>
          <w:trHeight w:val="100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90D4">
            <w:pPr>
              <w:jc w:val="center"/>
              <w:rPr>
                <w:rFonts w:hint="eastAsia" w:ascii="宋体" w:hAnsi="宋体" w:eastAsia="宋体" w:cs="宋体"/>
                <w:i w:val="0"/>
                <w:color w:val="000000"/>
                <w:sz w:val="18"/>
                <w:szCs w:val="18"/>
                <w:u w:val="none"/>
              </w:rPr>
            </w:pPr>
          </w:p>
        </w:tc>
        <w:tc>
          <w:tcPr>
            <w:tcW w:w="84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83042">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18E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6E6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提高社会人员应急自救能力</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2764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A5CF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36A18">
            <w:pPr>
              <w:jc w:val="center"/>
              <w:rPr>
                <w:rFonts w:hint="eastAsia" w:ascii="宋体" w:hAnsi="宋体" w:eastAsia="宋体" w:cs="宋体"/>
                <w:i w:val="0"/>
                <w:color w:val="000000"/>
                <w:sz w:val="18"/>
                <w:szCs w:val="18"/>
                <w:u w:val="none"/>
              </w:rPr>
            </w:pPr>
          </w:p>
        </w:tc>
      </w:tr>
      <w:tr w14:paraId="0E914F55">
        <w:tblPrEx>
          <w:shd w:val="clear" w:color="auto" w:fill="auto"/>
          <w:tblCellMar>
            <w:top w:w="0" w:type="dxa"/>
            <w:left w:w="0" w:type="dxa"/>
            <w:bottom w:w="0" w:type="dxa"/>
            <w:right w:w="0" w:type="dxa"/>
          </w:tblCellMar>
        </w:tblPrEx>
        <w:trPr>
          <w:trHeight w:val="104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22293">
            <w:pPr>
              <w:jc w:val="center"/>
              <w:rPr>
                <w:rFonts w:hint="eastAsia" w:ascii="宋体" w:hAnsi="宋体" w:eastAsia="宋体" w:cs="宋体"/>
                <w:i w:val="0"/>
                <w:color w:val="000000"/>
                <w:sz w:val="18"/>
                <w:szCs w:val="18"/>
                <w:u w:val="none"/>
              </w:rPr>
            </w:pPr>
          </w:p>
        </w:tc>
        <w:tc>
          <w:tcPr>
            <w:tcW w:w="84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8F940">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991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5F2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提升群众对红十字组织的知晓率。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2BA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F35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3F359">
            <w:pPr>
              <w:jc w:val="center"/>
              <w:rPr>
                <w:rFonts w:hint="eastAsia" w:ascii="宋体" w:hAnsi="宋体" w:eastAsia="宋体" w:cs="宋体"/>
                <w:i w:val="0"/>
                <w:color w:val="000000"/>
                <w:sz w:val="18"/>
                <w:szCs w:val="18"/>
                <w:u w:val="none"/>
              </w:rPr>
            </w:pPr>
          </w:p>
        </w:tc>
      </w:tr>
      <w:tr w14:paraId="77B40D9F">
        <w:tblPrEx>
          <w:shd w:val="clear" w:color="auto" w:fill="auto"/>
          <w:tblCellMar>
            <w:top w:w="0" w:type="dxa"/>
            <w:left w:w="0" w:type="dxa"/>
            <w:bottom w:w="0" w:type="dxa"/>
            <w:right w:w="0" w:type="dxa"/>
          </w:tblCellMar>
        </w:tblPrEx>
        <w:trPr>
          <w:trHeight w:val="1124"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5907D">
            <w:pPr>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227F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F5FF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34C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对培训工作的满意度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4B2F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B3E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B2967">
            <w:pPr>
              <w:jc w:val="center"/>
              <w:rPr>
                <w:rFonts w:hint="eastAsia" w:ascii="宋体" w:hAnsi="宋体" w:eastAsia="宋体" w:cs="宋体"/>
                <w:i w:val="0"/>
                <w:color w:val="000000"/>
                <w:sz w:val="18"/>
                <w:szCs w:val="18"/>
                <w:u w:val="none"/>
              </w:rPr>
            </w:pPr>
          </w:p>
        </w:tc>
      </w:tr>
    </w:tbl>
    <w:p w14:paraId="44BB4232">
      <w:pPr>
        <w:spacing w:line="200" w:lineRule="exact"/>
        <w:rPr>
          <w:rStyle w:val="21"/>
          <w:rFonts w:ascii="黑体" w:eastAsia="黑体"/>
          <w:b w:val="0"/>
          <w:bCs w:val="0"/>
          <w:spacing w:val="-4"/>
          <w:sz w:val="20"/>
          <w:szCs w:val="20"/>
        </w:rPr>
      </w:pPr>
    </w:p>
    <w:sectPr>
      <w:pgSz w:w="11907" w:h="16840"/>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B337708-44AD-4136-AD4C-2F7C9AA6F6B6}"/>
  </w:font>
  <w:font w:name="黑体">
    <w:panose1 w:val="02010609060101010101"/>
    <w:charset w:val="86"/>
    <w:family w:val="auto"/>
    <w:pitch w:val="default"/>
    <w:sig w:usb0="800002BF" w:usb1="38CF7CFA" w:usb2="00000016" w:usb3="00000000" w:csb0="00040001" w:csb1="00000000"/>
    <w:embedRegular r:id="rId2" w:fontKey="{0ADAC3C6-0C18-48CF-8A31-23F7F1AAB9F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3" w:fontKey="{E831D68F-512C-42A8-8D2A-5860EC8C4986}"/>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00000001" w:usb1="08000000" w:usb2="00000000" w:usb3="00000000" w:csb0="00040000" w:csb1="00000000"/>
    <w:embedRegular r:id="rId4" w:fontKey="{2C245E1B-5D2C-4002-9B1A-6C109672F6F6}"/>
  </w:font>
  <w:font w:name="方正仿宋_GBK">
    <w:panose1 w:val="02000000000000000000"/>
    <w:charset w:val="86"/>
    <w:family w:val="script"/>
    <w:pitch w:val="default"/>
    <w:sig w:usb0="A00002BF" w:usb1="38CF7CFA" w:usb2="00082016" w:usb3="00000000" w:csb0="00040001" w:csb1="00000000"/>
    <w:embedRegular r:id="rId5" w:fontKey="{5F30DDAE-A44B-4D38-A8D6-FE1F4339B8F0}"/>
  </w:font>
  <w:font w:name="Arial Narrow">
    <w:panose1 w:val="020B0606020202030204"/>
    <w:charset w:val="00"/>
    <w:family w:val="swiss"/>
    <w:pitch w:val="default"/>
    <w:sig w:usb0="00000287" w:usb1="00000800" w:usb2="00000000" w:usb3="00000000" w:csb0="2000009F" w:csb1="DFD70000"/>
    <w:embedRegular r:id="rId6" w:fontKey="{AAA6E48F-7E93-436B-9652-D58E688F4A39}"/>
  </w:font>
  <w:font w:name="楷体_GB2312">
    <w:altName w:val="楷体"/>
    <w:panose1 w:val="02010609030101010101"/>
    <w:charset w:val="86"/>
    <w:family w:val="auto"/>
    <w:pitch w:val="default"/>
    <w:sig w:usb0="00000000" w:usb1="00000000" w:usb2="00000000" w:usb3="00000000" w:csb0="00000000" w:csb1="00000000"/>
    <w:embedRegular r:id="rId7" w:fontKey="{32880BE8-CFB0-4233-8334-3620FDFAF209}"/>
  </w:font>
  <w:font w:name="楷体">
    <w:panose1 w:val="02010609060101010101"/>
    <w:charset w:val="86"/>
    <w:family w:val="auto"/>
    <w:pitch w:val="default"/>
    <w:sig w:usb0="800002BF" w:usb1="38CF7CFA" w:usb2="00000016" w:usb3="00000000" w:csb0="00040001" w:csb1="00000000"/>
    <w:embedRegular r:id="rId8" w:fontKey="{734DB36C-44CA-4DF5-8EED-4B3D915480BD}"/>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564015"/>
    </w:sdtPr>
    <w:sdtContent>
      <w:p w14:paraId="5E1F1922">
        <w:pPr>
          <w:pStyle w:val="14"/>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-1905</wp:posOffset>
                  </wp:positionV>
                  <wp:extent cx="5257800"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25780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0pt;margin-top:-0.15pt;height:0pt;width:414pt;z-index:251659264;mso-width-relative:page;mso-height-relative:page;" filled="f" stroked="t" coordsize="21600,21600" o:gfxdata="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xbJg9MAAAAEAQAADwAAAAAAAAABACAAAAAiAAAAZHJzL2Rvd25yZXYu&#10;eG1sUEsBAhQAFAAAAAgAh07iQFPsclAAAgAA+gMAAA4AAAAAAAAAAQAgAAAAIgEAAGRycy9lMm9E&#10;b2MueG1sUEsFBgAAAAAGAAYAWQEAAJQFAAAAAA==&#10;">
                  <v:fill on="f" focussize="0,0"/>
                  <v:stroke color="#000000" joinstyle="round"/>
                  <v:imagedata o:title=""/>
                  <o:lock v:ext="edit" aspectratio="f"/>
                </v:shape>
              </w:pict>
            </mc:Fallback>
          </mc:AlternateContent>
        </w:r>
        <w:r>
          <w:rPr>
            <w:rFonts w:hint="eastAsia" w:ascii="宋体" w:hAnsi="宋体"/>
          </w:rPr>
          <w:t xml:space="preserve">                                           </w:t>
        </w:r>
        <w:r>
          <w:fldChar w:fldCharType="begin"/>
        </w:r>
        <w:r>
          <w:instrText xml:space="preserve"> PAGE   \* MERGEFORMAT </w:instrText>
        </w:r>
        <w:r>
          <w:fldChar w:fldCharType="separate"/>
        </w:r>
        <w:r>
          <w:rPr>
            <w:lang w:val="zh-CN"/>
          </w:rPr>
          <w:t>1</w:t>
        </w:r>
        <w:r>
          <w:rPr>
            <w:lang w:val="zh-CN"/>
          </w:rPr>
          <w:fldChar w:fldCharType="end"/>
        </w:r>
      </w:p>
    </w:sdtContent>
  </w:sdt>
  <w:p w14:paraId="3E57C910">
    <w:pPr>
      <w:pStyle w:val="1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457B5">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1627922"/>
    </w:sdtPr>
    <w:sdtContent>
      <w:p w14:paraId="55CC8886">
        <w:pPr>
          <w:pStyle w:val="14"/>
          <w:jc w:val="center"/>
        </w:pPr>
        <w:r>
          <w:fldChar w:fldCharType="begin"/>
        </w:r>
        <w:r>
          <w:instrText xml:space="preserve">PAGE   \* MERGEFORMAT</w:instrText>
        </w:r>
        <w:r>
          <w:fldChar w:fldCharType="separate"/>
        </w:r>
        <w:r>
          <w:rPr>
            <w:lang w:val="zh-CN"/>
          </w:rPr>
          <w:t>10</w:t>
        </w:r>
        <w:r>
          <w:rPr>
            <w:lang w:val="zh-CN"/>
          </w:rPr>
          <w:fldChar w:fldCharType="end"/>
        </w:r>
      </w:p>
    </w:sdtContent>
  </w:sdt>
  <w:p w14:paraId="5AB3AB0E">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ADF54">
    <w:pPr>
      <w:pStyle w:val="15"/>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5B679">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804A6"/>
    <w:multiLevelType w:val="singleLevel"/>
    <w:tmpl w:val="9B8804A6"/>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pPr>
        <w:tabs>
          <w:tab w:val="left" w:pos="0"/>
        </w:tabs>
        <w:ind w:left="0" w:firstLine="0"/>
      </w:pPr>
    </w:lvl>
  </w:abstractNum>
  <w:abstractNum w:abstractNumId="2">
    <w:nsid w:val="FF9379A8"/>
    <w:multiLevelType w:val="singleLevel"/>
    <w:tmpl w:val="FF9379A8"/>
    <w:lvl w:ilvl="0" w:tentative="0">
      <w:start w:val="2"/>
      <w:numFmt w:val="chineseCounting"/>
      <w:suff w:val="nothing"/>
      <w:lvlText w:val="（%1）"/>
      <w:lvlJc w:val="left"/>
      <w:pPr>
        <w:tabs>
          <w:tab w:val="left" w:pos="0"/>
        </w:tabs>
        <w:ind w:left="0" w:firstLine="0"/>
      </w:pPr>
      <w:rPr>
        <w:rFonts w:hint="eastAsia"/>
      </w:rPr>
    </w:lvl>
  </w:abstractNum>
  <w:abstractNum w:abstractNumId="3">
    <w:nsid w:val="00B79062"/>
    <w:multiLevelType w:val="singleLevel"/>
    <w:tmpl w:val="00B79062"/>
    <w:lvl w:ilvl="0" w:tentative="0">
      <w:start w:val="2"/>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B99"/>
    <w:rsid w:val="000010E5"/>
    <w:rsid w:val="001D0F8E"/>
    <w:rsid w:val="00244B99"/>
    <w:rsid w:val="00396CDC"/>
    <w:rsid w:val="005327AA"/>
    <w:rsid w:val="005D1269"/>
    <w:rsid w:val="006244B7"/>
    <w:rsid w:val="00632766"/>
    <w:rsid w:val="00654942"/>
    <w:rsid w:val="006832AB"/>
    <w:rsid w:val="007570FA"/>
    <w:rsid w:val="00962688"/>
    <w:rsid w:val="009A4E00"/>
    <w:rsid w:val="009E7EBD"/>
    <w:rsid w:val="00AA2358"/>
    <w:rsid w:val="00B30965"/>
    <w:rsid w:val="00B36CE3"/>
    <w:rsid w:val="00C32B39"/>
    <w:rsid w:val="00CB0C0A"/>
    <w:rsid w:val="00CC2A1D"/>
    <w:rsid w:val="00CF2599"/>
    <w:rsid w:val="00D25D90"/>
    <w:rsid w:val="00DB5B38"/>
    <w:rsid w:val="00FB4841"/>
    <w:rsid w:val="055D47F1"/>
    <w:rsid w:val="10340196"/>
    <w:rsid w:val="1DAA3B7E"/>
    <w:rsid w:val="271C44BF"/>
    <w:rsid w:val="2B920096"/>
    <w:rsid w:val="39A25938"/>
    <w:rsid w:val="3EB3630E"/>
    <w:rsid w:val="3F6B3409"/>
    <w:rsid w:val="41F67AB1"/>
    <w:rsid w:val="471314D9"/>
    <w:rsid w:val="4CE3558B"/>
    <w:rsid w:val="4EA26775"/>
    <w:rsid w:val="58DC1E96"/>
    <w:rsid w:val="5BFD51E5"/>
    <w:rsid w:val="61194035"/>
    <w:rsid w:val="634651A9"/>
    <w:rsid w:val="659A37B6"/>
    <w:rsid w:val="692C5765"/>
    <w:rsid w:val="6F0A7AEF"/>
    <w:rsid w:val="70CB64AF"/>
    <w:rsid w:val="71AB2BE5"/>
    <w:rsid w:val="7D2356E3"/>
    <w:rsid w:val="7E957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widowControl/>
      <w:spacing w:before="240" w:after="60"/>
      <w:jc w:val="left"/>
      <w:outlineLvl w:val="0"/>
    </w:pPr>
    <w:rPr>
      <w:rFonts w:ascii="Cambria" w:hAnsi="Cambria"/>
      <w:b/>
      <w:bCs/>
      <w:kern w:val="32"/>
      <w:sz w:val="32"/>
      <w:szCs w:val="32"/>
    </w:rPr>
  </w:style>
  <w:style w:type="paragraph" w:styleId="4">
    <w:name w:val="heading 2"/>
    <w:basedOn w:val="1"/>
    <w:next w:val="1"/>
    <w:qFormat/>
    <w:uiPriority w:val="0"/>
    <w:pPr>
      <w:keepNext/>
      <w:widowControl/>
      <w:spacing w:before="240" w:after="60"/>
      <w:jc w:val="left"/>
      <w:outlineLvl w:val="1"/>
    </w:pPr>
    <w:rPr>
      <w:rFonts w:ascii="Cambria" w:hAnsi="Cambria"/>
      <w:b/>
      <w:bCs/>
      <w:i/>
      <w:iCs/>
      <w:kern w:val="0"/>
      <w:sz w:val="28"/>
      <w:szCs w:val="28"/>
    </w:rPr>
  </w:style>
  <w:style w:type="paragraph" w:styleId="5">
    <w:name w:val="heading 3"/>
    <w:next w:val="1"/>
    <w:qFormat/>
    <w:uiPriority w:val="0"/>
    <w:pPr>
      <w:keepNext/>
      <w:keepLines/>
      <w:widowControl w:val="0"/>
      <w:spacing w:before="260" w:after="260" w:line="415" w:lineRule="auto"/>
      <w:jc w:val="both"/>
      <w:outlineLvl w:val="2"/>
    </w:pPr>
    <w:rPr>
      <w:rFonts w:ascii="Times New Roman" w:hAnsi="Times New Roman" w:eastAsia="宋体" w:cs="Times New Roman"/>
      <w:b/>
      <w:bCs/>
      <w:kern w:val="2"/>
      <w:sz w:val="21"/>
      <w:szCs w:val="24"/>
      <w:lang w:val="en-US" w:eastAsia="zh-CN" w:bidi="ar-SA"/>
    </w:rPr>
  </w:style>
  <w:style w:type="paragraph" w:styleId="6">
    <w:name w:val="heading 4"/>
    <w:basedOn w:val="1"/>
    <w:next w:val="1"/>
    <w:qFormat/>
    <w:uiPriority w:val="0"/>
    <w:pPr>
      <w:keepNext/>
      <w:widowControl/>
      <w:spacing w:before="240" w:after="60"/>
      <w:jc w:val="left"/>
      <w:outlineLvl w:val="3"/>
    </w:pPr>
    <w:rPr>
      <w:rFonts w:ascii="Calibri" w:hAnsi="Calibri"/>
      <w:b/>
      <w:bCs/>
      <w:kern w:val="0"/>
      <w:sz w:val="28"/>
      <w:szCs w:val="28"/>
    </w:rPr>
  </w:style>
  <w:style w:type="paragraph" w:styleId="7">
    <w:name w:val="heading 5"/>
    <w:basedOn w:val="1"/>
    <w:next w:val="1"/>
    <w:qFormat/>
    <w:uiPriority w:val="0"/>
    <w:pPr>
      <w:widowControl/>
      <w:spacing w:before="240" w:after="60"/>
      <w:jc w:val="left"/>
      <w:outlineLvl w:val="4"/>
    </w:pPr>
    <w:rPr>
      <w:rFonts w:ascii="Calibri" w:hAnsi="Calibri"/>
      <w:b/>
      <w:bCs/>
      <w:i/>
      <w:iCs/>
      <w:kern w:val="0"/>
      <w:sz w:val="26"/>
      <w:szCs w:val="26"/>
    </w:rPr>
  </w:style>
  <w:style w:type="paragraph" w:styleId="8">
    <w:name w:val="heading 6"/>
    <w:basedOn w:val="1"/>
    <w:next w:val="1"/>
    <w:qFormat/>
    <w:uiPriority w:val="0"/>
    <w:pPr>
      <w:widowControl/>
      <w:spacing w:before="240" w:after="60"/>
      <w:jc w:val="left"/>
      <w:outlineLvl w:val="5"/>
    </w:pPr>
    <w:rPr>
      <w:rFonts w:ascii="Calibri" w:hAnsi="Calibri"/>
      <w:b/>
      <w:bCs/>
      <w:kern w:val="0"/>
      <w:sz w:val="22"/>
      <w:szCs w:val="22"/>
    </w:rPr>
  </w:style>
  <w:style w:type="paragraph" w:styleId="9">
    <w:name w:val="heading 7"/>
    <w:basedOn w:val="1"/>
    <w:next w:val="1"/>
    <w:qFormat/>
    <w:uiPriority w:val="0"/>
    <w:pPr>
      <w:widowControl/>
      <w:spacing w:before="240" w:after="60"/>
      <w:jc w:val="left"/>
      <w:outlineLvl w:val="6"/>
    </w:pPr>
    <w:rPr>
      <w:rFonts w:ascii="Calibri" w:hAnsi="Calibri"/>
      <w:kern w:val="0"/>
      <w:sz w:val="24"/>
    </w:rPr>
  </w:style>
  <w:style w:type="paragraph" w:styleId="10">
    <w:name w:val="heading 8"/>
    <w:basedOn w:val="1"/>
    <w:next w:val="1"/>
    <w:qFormat/>
    <w:uiPriority w:val="0"/>
    <w:pPr>
      <w:widowControl/>
      <w:spacing w:before="240" w:after="60"/>
      <w:jc w:val="left"/>
      <w:outlineLvl w:val="7"/>
    </w:pPr>
    <w:rPr>
      <w:rFonts w:ascii="Calibri" w:hAnsi="Calibri"/>
      <w:i/>
      <w:iCs/>
      <w:kern w:val="0"/>
      <w:sz w:val="24"/>
    </w:rPr>
  </w:style>
  <w:style w:type="paragraph" w:styleId="11">
    <w:name w:val="heading 9"/>
    <w:basedOn w:val="1"/>
    <w:next w:val="1"/>
    <w:qFormat/>
    <w:uiPriority w:val="0"/>
    <w:pPr>
      <w:widowControl/>
      <w:spacing w:before="240" w:after="60"/>
      <w:jc w:val="left"/>
      <w:outlineLvl w:val="8"/>
    </w:pPr>
    <w:rPr>
      <w:rFonts w:ascii="Cambria" w:hAnsi="Cambr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spacing w:before="240" w:after="60"/>
      <w:jc w:val="center"/>
      <w:outlineLvl w:val="0"/>
    </w:pPr>
    <w:rPr>
      <w:rFonts w:ascii="Cambria" w:hAnsi="Cambria"/>
      <w:b/>
      <w:bCs/>
      <w:kern w:val="28"/>
      <w:sz w:val="32"/>
      <w:szCs w:val="32"/>
    </w:rPr>
  </w:style>
  <w:style w:type="paragraph" w:styleId="12">
    <w:name w:val="Body Text"/>
    <w:basedOn w:val="1"/>
    <w:qFormat/>
    <w:uiPriority w:val="0"/>
    <w:pPr>
      <w:spacing w:after="120"/>
    </w:pPr>
  </w:style>
  <w:style w:type="paragraph" w:styleId="13">
    <w:name w:val="Balloon Text"/>
    <w:basedOn w:val="1"/>
    <w:qFormat/>
    <w:uiPriority w:val="0"/>
    <w:rPr>
      <w:sz w:val="18"/>
      <w:szCs w:val="18"/>
    </w:rPr>
  </w:style>
  <w:style w:type="paragraph" w:styleId="14">
    <w:name w:val="footer"/>
    <w:basedOn w:val="1"/>
    <w:qFormat/>
    <w:uiPriority w:val="0"/>
    <w:pPr>
      <w:tabs>
        <w:tab w:val="center" w:pos="4153"/>
        <w:tab w:val="right" w:pos="8306"/>
      </w:tabs>
      <w:snapToGrid w:val="0"/>
      <w:jc w:val="left"/>
    </w:pPr>
    <w:rPr>
      <w:rFonts w:ascii="Calibri" w:hAnsi="Calibri"/>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qFormat/>
    <w:uiPriority w:val="0"/>
    <w:pPr>
      <w:widowControl/>
      <w:spacing w:after="60"/>
      <w:jc w:val="center"/>
      <w:outlineLvl w:val="1"/>
    </w:pPr>
    <w:rPr>
      <w:rFonts w:ascii="Cambria" w:hAnsi="Cambria"/>
      <w:kern w:val="0"/>
      <w:sz w:val="24"/>
    </w:rPr>
  </w:style>
  <w:style w:type="paragraph" w:styleId="17">
    <w:name w:val="Normal (Web)"/>
    <w:basedOn w:val="1"/>
    <w:qFormat/>
    <w:uiPriority w:val="0"/>
    <w:rPr>
      <w:sz w:val="24"/>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0"/>
    <w:rPr>
      <w:rFonts w:ascii="Calibri" w:hAnsi="Calibri"/>
      <w:b/>
      <w:i/>
      <w:iCs/>
    </w:rPr>
  </w:style>
  <w:style w:type="paragraph" w:styleId="23">
    <w:name w:val="No Spacing"/>
    <w:basedOn w:val="1"/>
    <w:qFormat/>
    <w:uiPriority w:val="0"/>
    <w:pPr>
      <w:widowControl/>
      <w:jc w:val="left"/>
    </w:pPr>
    <w:rPr>
      <w:rFonts w:ascii="Calibri" w:hAnsi="Calibri"/>
      <w:kern w:val="0"/>
      <w:sz w:val="24"/>
      <w:szCs w:val="32"/>
      <w:lang w:bidi="en-US"/>
    </w:rPr>
  </w:style>
  <w:style w:type="paragraph" w:styleId="24">
    <w:name w:val="List Paragraph"/>
    <w:basedOn w:val="1"/>
    <w:qFormat/>
    <w:uiPriority w:val="0"/>
    <w:pPr>
      <w:widowControl/>
      <w:ind w:left="720"/>
      <w:contextualSpacing/>
      <w:jc w:val="left"/>
    </w:pPr>
    <w:rPr>
      <w:rFonts w:ascii="Calibri" w:hAnsi="Calibri"/>
      <w:kern w:val="0"/>
      <w:sz w:val="24"/>
      <w:lang w:bidi="en-US"/>
    </w:rPr>
  </w:style>
  <w:style w:type="paragraph" w:styleId="25">
    <w:name w:val="Quote"/>
    <w:basedOn w:val="1"/>
    <w:next w:val="1"/>
    <w:qFormat/>
    <w:uiPriority w:val="0"/>
    <w:pPr>
      <w:widowControl/>
      <w:jc w:val="left"/>
    </w:pPr>
    <w:rPr>
      <w:rFonts w:ascii="Calibri" w:hAnsi="Calibri"/>
      <w:i/>
      <w:kern w:val="0"/>
      <w:sz w:val="24"/>
    </w:rPr>
  </w:style>
  <w:style w:type="paragraph" w:styleId="26">
    <w:name w:val="Intense Quote"/>
    <w:basedOn w:val="1"/>
    <w:next w:val="1"/>
    <w:qFormat/>
    <w:uiPriority w:val="0"/>
    <w:pPr>
      <w:widowControl/>
      <w:ind w:left="720" w:right="720"/>
      <w:jc w:val="left"/>
    </w:pPr>
    <w:rPr>
      <w:rFonts w:ascii="Calibri" w:hAnsi="Calibri"/>
      <w:b/>
      <w:i/>
      <w:kern w:val="0"/>
      <w:sz w:val="24"/>
      <w:szCs w:val="22"/>
    </w:rPr>
  </w:style>
  <w:style w:type="character" w:customStyle="1" w:styleId="27">
    <w:name w:val="不明显强调1"/>
    <w:qFormat/>
    <w:uiPriority w:val="0"/>
    <w:rPr>
      <w:i/>
      <w:color w:val="595959"/>
    </w:rPr>
  </w:style>
  <w:style w:type="character" w:customStyle="1" w:styleId="28">
    <w:name w:val="明显强调1"/>
    <w:basedOn w:val="20"/>
    <w:qFormat/>
    <w:uiPriority w:val="0"/>
    <w:rPr>
      <w:b/>
      <w:i/>
      <w:sz w:val="24"/>
      <w:szCs w:val="24"/>
      <w:u w:val="single"/>
    </w:rPr>
  </w:style>
  <w:style w:type="character" w:customStyle="1" w:styleId="29">
    <w:name w:val="不明显参考1"/>
    <w:basedOn w:val="20"/>
    <w:qFormat/>
    <w:uiPriority w:val="0"/>
    <w:rPr>
      <w:sz w:val="24"/>
      <w:szCs w:val="24"/>
      <w:u w:val="single"/>
    </w:rPr>
  </w:style>
  <w:style w:type="character" w:customStyle="1" w:styleId="30">
    <w:name w:val="明显参考1"/>
    <w:basedOn w:val="20"/>
    <w:qFormat/>
    <w:uiPriority w:val="0"/>
    <w:rPr>
      <w:b/>
      <w:sz w:val="24"/>
      <w:u w:val="single"/>
    </w:rPr>
  </w:style>
  <w:style w:type="character" w:customStyle="1" w:styleId="31">
    <w:name w:val="书籍标题1"/>
    <w:basedOn w:val="20"/>
    <w:qFormat/>
    <w:uiPriority w:val="0"/>
    <w:rPr>
      <w:rFonts w:ascii="Cambria" w:hAnsi="Cambria" w:eastAsia="宋体"/>
      <w:b/>
      <w:i/>
      <w:sz w:val="24"/>
      <w:szCs w:val="24"/>
    </w:rPr>
  </w:style>
  <w:style w:type="paragraph" w:customStyle="1" w:styleId="32">
    <w:name w:val="TOC 标题1"/>
    <w:basedOn w:val="3"/>
    <w:next w:val="1"/>
    <w:qFormat/>
    <w:uiPriority w:val="0"/>
    <w:pPr>
      <w:outlineLvl w:val="9"/>
    </w:pPr>
    <w:rPr>
      <w:lang w:bidi="en-US"/>
    </w:rPr>
  </w:style>
  <w:style w:type="paragraph" w:customStyle="1" w:styleId="3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34">
    <w:name w:val="fontstyle01"/>
    <w:qFormat/>
    <w:uiPriority w:val="0"/>
    <w:rPr>
      <w:rFonts w:asci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7591</Words>
  <Characters>7925</Characters>
  <Lines>68</Lines>
  <Paragraphs>19</Paragraphs>
  <TotalTime>2</TotalTime>
  <ScaleCrop>false</ScaleCrop>
  <LinksUpToDate>false</LinksUpToDate>
  <CharactersWithSpaces>7969</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2021-04-08T03:55:00Z</cp:lastPrinted>
  <dcterms:modified xsi:type="dcterms:W3CDTF">2025-09-03T06:44:58Z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KSOSaveFontToCloudKey">
    <vt:lpwstr>229835342_cloud</vt:lpwstr>
  </property>
  <property fmtid="{D5CDD505-2E9C-101B-9397-08002B2CF9AE}" pid="4" name="ICV">
    <vt:lpwstr>EE1805ABF9A74637AE92AFF50D30FE5C</vt:lpwstr>
  </property>
  <property fmtid="{D5CDD505-2E9C-101B-9397-08002B2CF9AE}" pid="5" name="KSOTemplateDocerSaveRecord">
    <vt:lpwstr>eyJoZGlkIjoiN2VjMGM4YTNmZTY1NDFjMWFjNmVmZmU0NDA2ZTk0ZmMiLCJ1c2VySWQiOiI4NjI1NDMxNDkifQ==</vt:lpwstr>
  </property>
</Properties>
</file>