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834A6">
      <w:pPr>
        <w:spacing w:line="540" w:lineRule="exact"/>
        <w:jc w:val="center"/>
        <w:rPr>
          <w:rFonts w:ascii="华文中宋" w:hAnsi="华文中宋" w:eastAsia="华文中宋" w:cs="宋体"/>
          <w:b/>
          <w:kern w:val="0"/>
          <w:sz w:val="52"/>
          <w:szCs w:val="52"/>
        </w:rPr>
      </w:pPr>
    </w:p>
    <w:p w14:paraId="644A185A">
      <w:pPr>
        <w:spacing w:line="540" w:lineRule="exact"/>
        <w:jc w:val="center"/>
        <w:rPr>
          <w:rFonts w:ascii="华文中宋" w:hAnsi="华文中宋" w:eastAsia="华文中宋" w:cs="宋体"/>
          <w:b/>
          <w:kern w:val="0"/>
          <w:sz w:val="52"/>
          <w:szCs w:val="52"/>
        </w:rPr>
      </w:pPr>
    </w:p>
    <w:p w14:paraId="5F148A53">
      <w:pPr>
        <w:spacing w:line="540" w:lineRule="exact"/>
        <w:jc w:val="center"/>
        <w:rPr>
          <w:rFonts w:ascii="华文中宋" w:hAnsi="华文中宋" w:eastAsia="华文中宋" w:cs="宋体"/>
          <w:b/>
          <w:kern w:val="0"/>
          <w:sz w:val="52"/>
          <w:szCs w:val="52"/>
        </w:rPr>
      </w:pPr>
    </w:p>
    <w:p w14:paraId="55577F47">
      <w:pPr>
        <w:spacing w:line="540" w:lineRule="exact"/>
        <w:jc w:val="center"/>
        <w:rPr>
          <w:rFonts w:ascii="华文中宋" w:hAnsi="华文中宋" w:eastAsia="华文中宋" w:cs="宋体"/>
          <w:b/>
          <w:kern w:val="0"/>
          <w:sz w:val="52"/>
          <w:szCs w:val="52"/>
        </w:rPr>
      </w:pPr>
    </w:p>
    <w:p w14:paraId="7C0C6D1F">
      <w:pPr>
        <w:spacing w:line="540" w:lineRule="exact"/>
        <w:jc w:val="center"/>
        <w:rPr>
          <w:rFonts w:ascii="华文中宋" w:hAnsi="华文中宋" w:eastAsia="华文中宋" w:cs="宋体"/>
          <w:b/>
          <w:kern w:val="0"/>
          <w:sz w:val="52"/>
          <w:szCs w:val="52"/>
        </w:rPr>
      </w:pPr>
    </w:p>
    <w:p w14:paraId="018EC008">
      <w:pPr>
        <w:spacing w:line="540" w:lineRule="exact"/>
        <w:jc w:val="center"/>
        <w:rPr>
          <w:rFonts w:ascii="华文中宋" w:hAnsi="华文中宋" w:eastAsia="华文中宋" w:cs="宋体"/>
          <w:b/>
          <w:kern w:val="0"/>
          <w:sz w:val="52"/>
          <w:szCs w:val="52"/>
        </w:rPr>
      </w:pPr>
    </w:p>
    <w:p w14:paraId="0DB9821F">
      <w:pPr>
        <w:widowControl/>
        <w:adjustRightInd w:val="0"/>
        <w:snapToGrid w:val="0"/>
        <w:spacing w:after="200" w:line="240" w:lineRule="auto"/>
        <w:contextualSpacing/>
        <w:jc w:val="center"/>
        <w:rPr>
          <w:rFonts w:hint="eastAsia"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lang w:eastAsia="zh-CN"/>
        </w:rPr>
        <w:t>塔城地区第一高级中学综合楼</w:t>
      </w:r>
      <w:r>
        <w:rPr>
          <w:rFonts w:hint="eastAsia" w:ascii="方正小标宋简体" w:hAnsi="方正小标宋简体" w:eastAsia="方正小标宋简体" w:cs="方正小标宋简体"/>
          <w:b/>
          <w:bCs/>
          <w:kern w:val="0"/>
          <w:sz w:val="44"/>
          <w:szCs w:val="44"/>
        </w:rPr>
        <w:t>资金项目支出绩效评价报告</w:t>
      </w:r>
    </w:p>
    <w:p w14:paraId="7CA9A33F">
      <w:pPr>
        <w:spacing w:line="540" w:lineRule="exact"/>
        <w:jc w:val="center"/>
        <w:rPr>
          <w:rFonts w:ascii="华文中宋" w:hAnsi="华文中宋" w:eastAsia="华文中宋" w:cs="宋体"/>
          <w:b/>
          <w:kern w:val="0"/>
          <w:sz w:val="52"/>
          <w:szCs w:val="52"/>
        </w:rPr>
      </w:pPr>
    </w:p>
    <w:p w14:paraId="7F4D9C73">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14:paraId="5397E37A">
      <w:pPr>
        <w:spacing w:line="540" w:lineRule="exact"/>
        <w:jc w:val="center"/>
        <w:rPr>
          <w:rFonts w:hAnsi="宋体" w:eastAsia="仿宋_GB2312" w:cs="宋体"/>
          <w:kern w:val="0"/>
          <w:sz w:val="30"/>
          <w:szCs w:val="30"/>
        </w:rPr>
      </w:pPr>
    </w:p>
    <w:p w14:paraId="6699BDAE">
      <w:pPr>
        <w:spacing w:line="540" w:lineRule="exact"/>
        <w:jc w:val="center"/>
        <w:rPr>
          <w:rFonts w:hAnsi="宋体" w:eastAsia="仿宋_GB2312" w:cs="宋体"/>
          <w:kern w:val="0"/>
          <w:sz w:val="30"/>
          <w:szCs w:val="30"/>
        </w:rPr>
      </w:pPr>
    </w:p>
    <w:p w14:paraId="4D624BA0">
      <w:pPr>
        <w:spacing w:line="540" w:lineRule="exact"/>
        <w:jc w:val="center"/>
        <w:rPr>
          <w:rFonts w:hAnsi="宋体" w:eastAsia="仿宋_GB2312" w:cs="宋体"/>
          <w:kern w:val="0"/>
          <w:sz w:val="30"/>
          <w:szCs w:val="30"/>
        </w:rPr>
      </w:pPr>
    </w:p>
    <w:p w14:paraId="12140C06">
      <w:pPr>
        <w:spacing w:line="540" w:lineRule="exact"/>
        <w:jc w:val="center"/>
        <w:rPr>
          <w:rFonts w:hAnsi="宋体" w:eastAsia="仿宋_GB2312" w:cs="宋体"/>
          <w:kern w:val="0"/>
          <w:sz w:val="30"/>
          <w:szCs w:val="30"/>
        </w:rPr>
      </w:pPr>
    </w:p>
    <w:p w14:paraId="53F4C4A7">
      <w:pPr>
        <w:spacing w:line="540" w:lineRule="exact"/>
        <w:jc w:val="center"/>
        <w:rPr>
          <w:rFonts w:hAnsi="宋体" w:eastAsia="仿宋_GB2312" w:cs="宋体"/>
          <w:kern w:val="0"/>
          <w:sz w:val="30"/>
          <w:szCs w:val="30"/>
        </w:rPr>
      </w:pPr>
    </w:p>
    <w:p w14:paraId="61EA4B44">
      <w:pPr>
        <w:spacing w:line="700" w:lineRule="exact"/>
        <w:ind w:firstLine="720" w:firstLineChars="200"/>
        <w:jc w:val="center"/>
        <w:rPr>
          <w:rFonts w:hint="eastAsia" w:ascii="仿宋_GB2312" w:hAnsi="Times New Roman" w:cs="Times New Roman"/>
          <w:kern w:val="0"/>
          <w:sz w:val="32"/>
          <w:szCs w:val="32"/>
          <w:lang w:eastAsia="zh-CN" w:bidi="en-US"/>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项目名称：</w:t>
      </w:r>
      <w:r>
        <w:rPr>
          <w:rFonts w:hint="eastAsia" w:ascii="仿宋_GB2312" w:hAnsi="Times New Roman" w:cs="Times New Roman"/>
          <w:kern w:val="0"/>
          <w:sz w:val="32"/>
          <w:szCs w:val="32"/>
          <w:lang w:eastAsia="zh-CN" w:bidi="en-US"/>
        </w:rPr>
        <w:t>塔城地区第一高级中学综合楼</w:t>
      </w:r>
    </w:p>
    <w:p w14:paraId="4722CE79">
      <w:pPr>
        <w:spacing w:line="700" w:lineRule="exact"/>
        <w:ind w:firstLine="720" w:firstLineChars="200"/>
        <w:jc w:val="center"/>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w:t>
      </w:r>
      <w:r>
        <w:rPr>
          <w:rFonts w:hint="eastAsia" w:ascii="仿宋_GB2312" w:hAnsi="Times New Roman" w:cs="Times New Roman"/>
          <w:kern w:val="0"/>
          <w:sz w:val="32"/>
          <w:szCs w:val="32"/>
          <w:lang w:eastAsia="zh-CN" w:bidi="en-US"/>
        </w:rPr>
        <w:t>塔城地区第一高级中学</w:t>
      </w:r>
    </w:p>
    <w:p w14:paraId="3C0D3932">
      <w:pPr>
        <w:spacing w:line="700" w:lineRule="exact"/>
        <w:ind w:firstLine="1800" w:firstLineChars="500"/>
        <w:jc w:val="both"/>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塔城地区教育局</w:t>
      </w:r>
    </w:p>
    <w:p w14:paraId="3B1ED82A">
      <w:pPr>
        <w:spacing w:line="700" w:lineRule="exact"/>
        <w:ind w:firstLine="1800" w:firstLineChars="500"/>
        <w:jc w:val="both"/>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孙   哲</w:t>
      </w:r>
    </w:p>
    <w:p w14:paraId="2CC46374">
      <w:pPr>
        <w:spacing w:line="700" w:lineRule="exact"/>
        <w:ind w:firstLine="1800" w:firstLineChars="500"/>
        <w:jc w:val="both"/>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03</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30</w:t>
      </w:r>
      <w:r>
        <w:rPr>
          <w:rFonts w:hint="eastAsia" w:hAnsi="宋体" w:eastAsia="仿宋_GB2312" w:cs="宋体"/>
          <w:kern w:val="0"/>
          <w:sz w:val="36"/>
          <w:szCs w:val="36"/>
        </w:rPr>
        <w:t>日</w:t>
      </w:r>
    </w:p>
    <w:p w14:paraId="4B90D813">
      <w:pPr>
        <w:spacing w:line="600" w:lineRule="exact"/>
        <w:jc w:val="center"/>
        <w:rPr>
          <w:rFonts w:hint="eastAsia" w:ascii="黑体" w:hAnsi="黑体" w:eastAsia="黑体" w:cs="黑体"/>
          <w:bCs/>
          <w:sz w:val="32"/>
          <w:szCs w:val="32"/>
        </w:rPr>
      </w:pPr>
    </w:p>
    <w:p w14:paraId="571D7C13">
      <w:pPr>
        <w:spacing w:line="600" w:lineRule="exact"/>
        <w:rPr>
          <w:rFonts w:hint="eastAsia" w:ascii="黑体" w:hAnsi="黑体" w:eastAsia="黑体" w:cs="黑体"/>
          <w:bCs/>
          <w:sz w:val="32"/>
          <w:szCs w:val="32"/>
        </w:rPr>
      </w:pPr>
    </w:p>
    <w:p w14:paraId="475312D2">
      <w:pPr>
        <w:spacing w:line="600" w:lineRule="exact"/>
        <w:rPr>
          <w:rFonts w:hint="eastAsia" w:ascii="黑体" w:hAnsi="黑体" w:eastAsia="黑体" w:cs="黑体"/>
          <w:bCs/>
          <w:sz w:val="32"/>
          <w:szCs w:val="32"/>
        </w:rPr>
      </w:pPr>
    </w:p>
    <w:p w14:paraId="226124A6">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14:paraId="656E9DDE">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40164B7D">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14:paraId="73D1BBFD">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lang w:eastAsia="zh-CN"/>
        </w:rPr>
      </w:pPr>
      <w:r>
        <w:rPr>
          <w:rFonts w:hint="eastAsia" w:ascii="仿宋_GB2312" w:hAnsi="仿宋_GB2312" w:eastAsia="仿宋_GB2312" w:cs="仿宋_GB2312"/>
          <w:kern w:val="0"/>
          <w:sz w:val="32"/>
          <w:szCs w:val="32"/>
        </w:rPr>
        <w:t>（1）项目实施的政策背景</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为了改善办学条件，提高教育教学水平，</w:t>
      </w:r>
      <w:r>
        <w:rPr>
          <w:rFonts w:hint="eastAsia" w:ascii="仿宋_GB2312" w:hAnsi="仿宋_GB2312" w:eastAsia="仿宋_GB2312" w:cs="仿宋_GB2312"/>
          <w:kern w:val="0"/>
          <w:sz w:val="32"/>
          <w:szCs w:val="32"/>
          <w:lang w:eastAsia="zh-CN"/>
        </w:rPr>
        <w:t>同意单位进行综合楼项目建设，新建综合楼项目一个，建筑面积4697.92平米，地上四 层，框架结构。</w:t>
      </w:r>
    </w:p>
    <w:p w14:paraId="2A036A30">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lang w:eastAsia="zh-CN"/>
        </w:rPr>
      </w:pPr>
      <w:r>
        <w:rPr>
          <w:rFonts w:hint="eastAsia" w:ascii="仿宋_GB2312" w:hAnsi="仿宋_GB2312" w:eastAsia="仿宋_GB2312" w:cs="仿宋_GB2312"/>
          <w:kern w:val="0"/>
          <w:sz w:val="32"/>
          <w:szCs w:val="32"/>
          <w:lang w:eastAsia="zh-CN"/>
        </w:rPr>
        <w:t>（2）项目实施的历史概况：我校2019年开工新建综合楼一幢，建筑面积4697.92平米，发改委批复立项，中标价格1005万元；综合楼工程于2020年8月20日完工，合同价为810.1万元；其中2018年已完成工程前期款支出8.5万元，因此专项资金下达的改善普通高中办学条件中央专项补助资金1005万元，2018年因选址问题，经上级部门同意，未开工建设，2019年关于下达、收回地区本级预算单位结余结转资金的通知，收回下达的改善普通高中办学条件中央专项补助资金250万元，本年申请用于教学综合楼建设资金</w:t>
      </w:r>
      <w:r>
        <w:rPr>
          <w:rFonts w:hint="eastAsia" w:ascii="仿宋_GB2312" w:hAnsi="仿宋_GB2312" w:eastAsia="仿宋_GB2312" w:cs="仿宋_GB2312"/>
          <w:kern w:val="0"/>
          <w:sz w:val="32"/>
          <w:szCs w:val="32"/>
          <w:lang w:val="en-US" w:eastAsia="zh-CN"/>
        </w:rPr>
        <w:t>308.12</w:t>
      </w:r>
      <w:r>
        <w:rPr>
          <w:rFonts w:hint="eastAsia" w:ascii="仿宋_GB2312" w:hAnsi="仿宋_GB2312" w:eastAsia="仿宋_GB2312" w:cs="仿宋_GB2312"/>
          <w:kern w:val="0"/>
          <w:sz w:val="32"/>
          <w:szCs w:val="32"/>
          <w:lang w:eastAsia="zh-CN"/>
        </w:rPr>
        <w:t>万元。</w:t>
      </w:r>
    </w:p>
    <w:p w14:paraId="03B3B924">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14:paraId="486F8C98">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lang w:eastAsia="zh-CN"/>
        </w:rPr>
      </w:pPr>
      <w:r>
        <w:rPr>
          <w:rFonts w:hint="eastAsia" w:ascii="仿宋_GB2312" w:hAnsi="仿宋_GB2312" w:eastAsia="仿宋_GB2312" w:cs="仿宋_GB2312"/>
          <w:b w:val="0"/>
          <w:bCs w:val="0"/>
          <w:kern w:val="2"/>
        </w:rPr>
        <w:t>项目主要内容：主要建设内容为</w:t>
      </w:r>
      <w:r>
        <w:rPr>
          <w:rFonts w:hint="eastAsia" w:ascii="仿宋_GB2312" w:hAnsi="仿宋_GB2312" w:eastAsia="仿宋_GB2312" w:cs="仿宋_GB2312"/>
          <w:b w:val="0"/>
          <w:bCs w:val="0"/>
          <w:kern w:val="2"/>
          <w:lang w:eastAsia="zh-CN"/>
        </w:rPr>
        <w:t>新建综合楼项目一个，建筑面积4697.92平米，地上四 层，框架结构，按照工期进度完成建设。</w:t>
      </w:r>
    </w:p>
    <w:p w14:paraId="0C2FEBBF">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项目实施情况：项目在实施过程中严格按照目标设立的各阶段任务进行开展工作，在前期立项过程中严格把质量关，建立安全防护机制，保证项目实施各阶段安全顺利进行。</w:t>
      </w:r>
    </w:p>
    <w:p w14:paraId="5824E8C8">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14:paraId="100DFC1D">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（1）资金安排</w:t>
      </w:r>
    </w:p>
    <w:p w14:paraId="31FBBEDD">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下达的改善普通高中办学条件中央专项补助资金1005万元，2018年因选址问题，经上级部门同意，未开工建设，2019年关于下达、收回地区本级预算单位结余结转资金的通知，下达的改善普通高中办学条件中央专项补助资金250万元，本年申请用于教学综合楼建设资金</w:t>
      </w:r>
      <w:r>
        <w:rPr>
          <w:rFonts w:hint="eastAsia" w:ascii="仿宋_GB2312" w:hAnsi="仿宋_GB2312" w:eastAsia="仿宋_GB2312" w:cs="仿宋_GB2312"/>
          <w:kern w:val="0"/>
          <w:sz w:val="32"/>
          <w:szCs w:val="32"/>
          <w:lang w:val="en-US" w:eastAsia="zh-CN"/>
        </w:rPr>
        <w:t>308.12</w:t>
      </w:r>
      <w:r>
        <w:rPr>
          <w:rFonts w:hint="eastAsia" w:ascii="仿宋_GB2312" w:hAnsi="仿宋_GB2312" w:eastAsia="仿宋_GB2312" w:cs="仿宋_GB2312"/>
          <w:kern w:val="0"/>
          <w:sz w:val="32"/>
          <w:szCs w:val="32"/>
          <w:lang w:eastAsia="zh-CN"/>
        </w:rPr>
        <w:t>万元。本</w:t>
      </w:r>
      <w:r>
        <w:rPr>
          <w:rFonts w:hint="eastAsia" w:ascii="仿宋_GB2312" w:hAnsi="仿宋_GB2312" w:eastAsia="仿宋_GB2312" w:cs="仿宋_GB2312"/>
          <w:kern w:val="0"/>
          <w:sz w:val="32"/>
          <w:szCs w:val="32"/>
          <w:lang w:val="en-US" w:eastAsia="zh-CN"/>
        </w:rPr>
        <w:t>年</w:t>
      </w:r>
      <w:r>
        <w:rPr>
          <w:rFonts w:hint="eastAsia" w:ascii="仿宋_GB2312" w:hAnsi="仿宋_GB2312" w:eastAsia="仿宋_GB2312" w:cs="仿宋_GB2312"/>
          <w:kern w:val="0"/>
          <w:sz w:val="32"/>
          <w:szCs w:val="32"/>
          <w:lang w:eastAsia="zh-CN"/>
        </w:rPr>
        <w:t>项目总投资</w:t>
      </w:r>
      <w:r>
        <w:rPr>
          <w:rFonts w:hint="eastAsia" w:ascii="仿宋_GB2312" w:hAnsi="仿宋_GB2312" w:eastAsia="仿宋_GB2312" w:cs="仿宋_GB2312"/>
          <w:kern w:val="0"/>
          <w:sz w:val="32"/>
          <w:szCs w:val="32"/>
          <w:lang w:val="en-US" w:eastAsia="zh-CN"/>
        </w:rPr>
        <w:t>308.12</w:t>
      </w:r>
      <w:r>
        <w:rPr>
          <w:rFonts w:hint="eastAsia" w:ascii="仿宋_GB2312" w:hAnsi="仿宋_GB2312" w:eastAsia="仿宋_GB2312" w:cs="仿宋_GB2312"/>
          <w:kern w:val="0"/>
          <w:sz w:val="32"/>
          <w:szCs w:val="32"/>
          <w:lang w:eastAsia="zh-CN"/>
        </w:rPr>
        <w:t>万元，其中：财政本级资金</w:t>
      </w:r>
      <w:r>
        <w:rPr>
          <w:rFonts w:hint="eastAsia" w:ascii="仿宋_GB2312" w:hAnsi="仿宋_GB2312" w:eastAsia="仿宋_GB2312" w:cs="仿宋_GB2312"/>
          <w:kern w:val="0"/>
          <w:sz w:val="32"/>
          <w:szCs w:val="32"/>
          <w:lang w:val="en-US" w:eastAsia="zh-CN"/>
        </w:rPr>
        <w:t>308.12</w:t>
      </w:r>
      <w:r>
        <w:rPr>
          <w:rFonts w:hint="eastAsia" w:ascii="仿宋_GB2312" w:hAnsi="仿宋_GB2312" w:eastAsia="仿宋_GB2312" w:cs="仿宋_GB2312"/>
          <w:kern w:val="0"/>
          <w:sz w:val="32"/>
          <w:szCs w:val="32"/>
          <w:lang w:eastAsia="zh-CN"/>
        </w:rPr>
        <w:t>万元。项目实际支出</w:t>
      </w:r>
      <w:r>
        <w:rPr>
          <w:rFonts w:hint="eastAsia" w:ascii="仿宋_GB2312" w:hAnsi="仿宋_GB2312" w:eastAsia="仿宋_GB2312" w:cs="仿宋_GB2312"/>
          <w:kern w:val="0"/>
          <w:sz w:val="32"/>
          <w:szCs w:val="32"/>
          <w:lang w:val="en-US" w:eastAsia="zh-CN"/>
        </w:rPr>
        <w:t>308.12</w:t>
      </w:r>
      <w:r>
        <w:rPr>
          <w:rFonts w:hint="eastAsia" w:ascii="仿宋_GB2312" w:hAnsi="仿宋_GB2312" w:eastAsia="仿宋_GB2312" w:cs="仿宋_GB2312"/>
          <w:kern w:val="0"/>
          <w:sz w:val="32"/>
          <w:szCs w:val="32"/>
          <w:lang w:eastAsia="zh-CN"/>
        </w:rPr>
        <w:t>万元， 支出率为100%。</w:t>
      </w:r>
    </w:p>
    <w:p w14:paraId="052CBEED">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14:paraId="057D50B1">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预算资金来源于：批复的资金，下达的改善普通高中办学条件中央专项补助资金1005万元，本年项目资金到位308.12万元，按照《财政资金管理办法》及单位财务制度等相关规定，资金支出符合财政专项资金费用范围，做到了专款专用。在项目资金拨付和使用过程中，为确保项目资金的安全性，提高项目资金使用效率，严格遵循财政资金的拨付程序，认真审核项目实施各阶段的相关材料和手续，根据项目实施进展情况拨付资金。</w:t>
      </w:r>
    </w:p>
    <w:p w14:paraId="34190C1F">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14:paraId="180648C5">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14:paraId="4EFD9469">
      <w:pPr>
        <w:pageBreakBefore w:val="0"/>
        <w:kinsoku/>
        <w:wordWrap/>
        <w:overflowPunct/>
        <w:topLinePunct w:val="0"/>
        <w:autoSpaceDE/>
        <w:autoSpaceDN/>
        <w:bidi w:val="0"/>
        <w:adjustRightInd/>
        <w:snapToGrid/>
        <w:spacing w:line="560" w:lineRule="exact"/>
        <w:ind w:firstLine="641"/>
        <w:textAlignment w:val="auto"/>
        <w:rPr>
          <w:rFonts w:hint="eastAsia" w:eastAsia="仿宋_GB2312"/>
          <w:lang w:eastAsia="zh-CN"/>
        </w:rPr>
      </w:pPr>
      <w:r>
        <w:rPr>
          <w:rFonts w:hint="eastAsia" w:ascii="仿宋_GB2312" w:hAnsi="仿宋_GB2312" w:eastAsia="仿宋_GB2312" w:cs="仿宋_GB2312"/>
          <w:sz w:val="32"/>
          <w:szCs w:val="32"/>
          <w:lang w:eastAsia="zh-CN"/>
        </w:rPr>
        <w:t>新建综合楼一幢面积4697.92平米，缓解和改善办学条件。</w:t>
      </w:r>
    </w:p>
    <w:p w14:paraId="253DA553">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14:paraId="54C07BCE">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highlight w:val="none"/>
          <w:lang w:val="en-US" w:eastAsia="zh-CN"/>
        </w:rPr>
        <w:t>塔城地区第一高级中学综合楼实施</w:t>
      </w:r>
      <w:r>
        <w:rPr>
          <w:rFonts w:hint="eastAsia" w:ascii="仿宋_GB2312" w:hAnsi="仿宋_GB2312" w:eastAsia="仿宋_GB2312" w:cs="仿宋_GB2312"/>
          <w:sz w:val="32"/>
          <w:szCs w:val="32"/>
          <w:highlight w:val="none"/>
        </w:rPr>
        <w:t>方案》，通过制定项目实施方案，经项目负责人审核通过后，</w:t>
      </w:r>
      <w:r>
        <w:rPr>
          <w:rFonts w:hint="eastAsia" w:ascii="仿宋_GB2312" w:hAnsi="仿宋_GB2312" w:eastAsia="仿宋_GB2312" w:cs="仿宋_GB2312"/>
          <w:sz w:val="32"/>
          <w:szCs w:val="32"/>
        </w:rPr>
        <w:t>有序开展后续工程。</w:t>
      </w:r>
    </w:p>
    <w:p w14:paraId="5CE74E9E">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塔城地区第一高级中学综合楼实施</w:t>
      </w:r>
      <w:r>
        <w:rPr>
          <w:rFonts w:hint="eastAsia" w:ascii="仿宋_GB2312" w:hAnsi="仿宋_GB2312" w:eastAsia="仿宋_GB2312" w:cs="仿宋_GB2312"/>
          <w:sz w:val="32"/>
          <w:szCs w:val="32"/>
        </w:rPr>
        <w:t>方案》要求逐一进行项目部署安排，提高项目质量及效率性。</w:t>
      </w:r>
    </w:p>
    <w:p w14:paraId="233A4653">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14:paraId="4FAFDD04">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314AD857">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14:paraId="0AA0D88D">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A0BCB8D">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14:paraId="4CD63026">
      <w:pPr>
        <w:pageBreakBefore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14:paraId="688E9667">
      <w:pPr>
        <w:pageBreakBefore w:val="0"/>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14:paraId="6760FAC2">
      <w:pPr>
        <w:pStyle w:val="2"/>
        <w:pageBreakBefore w:val="0"/>
        <w:widowControl w:val="0"/>
        <w:numPr>
          <w:ilvl w:val="0"/>
          <w:numId w:val="0"/>
        </w:numPr>
        <w:kinsoku/>
        <w:wordWrap/>
        <w:overflowPunct/>
        <w:topLinePunct w:val="0"/>
        <w:autoSpaceDE/>
        <w:autoSpaceDN/>
        <w:bidi w:val="0"/>
        <w:adjustRightInd/>
        <w:snapToGrid/>
        <w:spacing w:before="0" w:after="0" w:line="560" w:lineRule="exact"/>
        <w:ind w:left="641" w:leftChars="0"/>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lang w:val="en-US" w:eastAsia="zh-CN"/>
        </w:rPr>
        <w:t>2、</w:t>
      </w:r>
      <w:r>
        <w:rPr>
          <w:rFonts w:hint="eastAsia" w:ascii="仿宋_GB2312" w:hAnsi="仿宋_GB2312" w:eastAsia="仿宋_GB2312" w:cs="仿宋_GB2312"/>
          <w:b/>
          <w:bCs/>
        </w:rPr>
        <w:t>绩效评价的对象</w:t>
      </w:r>
    </w:p>
    <w:p w14:paraId="70DFF1AF">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z w:val="32"/>
          <w:szCs w:val="32"/>
        </w:rPr>
      </w:pPr>
      <w:bookmarkStart w:id="2" w:name="_GoBack"/>
      <w:bookmarkEnd w:id="2"/>
      <w:r>
        <w:rPr>
          <w:rFonts w:hint="eastAsia" w:ascii="仿宋_GB2312" w:hAnsi="仿宋_GB2312" w:eastAsia="仿宋_GB2312" w:cs="仿宋_GB2312"/>
          <w:color w:val="000000"/>
          <w:sz w:val="32"/>
          <w:szCs w:val="32"/>
          <w:lang w:val="en-US" w:eastAsia="zh-CN"/>
        </w:rPr>
        <w:t>地区一高综合楼工程，学校建设项目，本年拨入资金308.12万元。</w:t>
      </w:r>
    </w:p>
    <w:p w14:paraId="77A1F1AB">
      <w:pPr>
        <w:pStyle w:val="2"/>
        <w:pageBreakBefore w:val="0"/>
        <w:widowControl w:val="0"/>
        <w:numPr>
          <w:ilvl w:val="0"/>
          <w:numId w:val="0"/>
        </w:numPr>
        <w:kinsoku/>
        <w:wordWrap/>
        <w:overflowPunct/>
        <w:topLinePunct w:val="0"/>
        <w:autoSpaceDE/>
        <w:autoSpaceDN/>
        <w:bidi w:val="0"/>
        <w:adjustRightInd/>
        <w:snapToGrid/>
        <w:spacing w:before="0" w:after="0" w:line="560" w:lineRule="exact"/>
        <w:ind w:left="641" w:leftChars="0"/>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lang w:val="en-US" w:eastAsia="zh-CN"/>
        </w:rPr>
        <w:t>3、</w:t>
      </w:r>
      <w:r>
        <w:rPr>
          <w:rFonts w:hint="eastAsia" w:ascii="仿宋_GB2312" w:hAnsi="仿宋_GB2312" w:eastAsia="仿宋_GB2312" w:cs="仿宋_GB2312"/>
          <w:b/>
          <w:bCs/>
        </w:rPr>
        <w:t>绩效评价的范围</w:t>
      </w:r>
    </w:p>
    <w:p w14:paraId="3308C153">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从塔城地区第一高级中学综合楼工程，学校建设项目的决策、过程、产出、效益等方面进行评价。</w:t>
      </w:r>
    </w:p>
    <w:p w14:paraId="36152F70">
      <w:pPr>
        <w:pageBreakBefore w:val="0"/>
        <w:numPr>
          <w:ilvl w:val="0"/>
          <w:numId w:val="0"/>
        </w:numPr>
        <w:kinsoku/>
        <w:wordWrap/>
        <w:overflowPunct/>
        <w:topLinePunct w:val="0"/>
        <w:autoSpaceDE/>
        <w:autoSpaceDN/>
        <w:bidi w:val="0"/>
        <w:adjustRightInd/>
        <w:snapToGrid/>
        <w:spacing w:line="560" w:lineRule="exact"/>
        <w:ind w:left="641" w:leftChars="0" w:firstLine="420" w:firstLineChars="200"/>
        <w:textAlignment w:val="auto"/>
      </w:pPr>
    </w:p>
    <w:p w14:paraId="677A97AA">
      <w:pPr>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14:paraId="265A976E">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14:paraId="7E3D0015">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09082BA3">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14:paraId="5F191EC1">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14:paraId="34BC5CE2">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14:paraId="76CD750E">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14:paraId="6F28A956">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color w:val="000000" w:themeColor="text1"/>
          <w14:textFill>
            <w14:solidFill>
              <w14:schemeClr w14:val="tx1"/>
            </w14:solidFill>
          </w14:textFill>
        </w:rPr>
      </w:pPr>
      <w:r>
        <w:rPr>
          <w:rFonts w:hint="eastAsia" w:ascii="仿宋_GB2312" w:hAnsi="仿宋_GB2312" w:eastAsia="仿宋_GB2312" w:cs="仿宋_GB2312"/>
          <w:b/>
          <w:bCs/>
          <w:color w:val="000000" w:themeColor="text1"/>
          <w14:textFill>
            <w14:solidFill>
              <w14:schemeClr w14:val="tx1"/>
            </w14:solidFill>
          </w14:textFill>
        </w:rPr>
        <w:t>2、评价指标体系</w:t>
      </w:r>
    </w:p>
    <w:p w14:paraId="19AC93CE">
      <w:pPr>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4A816A3B">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064EA767">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四个维度，最终形成一个由多个相互联系的指标组成的多层次指标体系。</w:t>
      </w:r>
    </w:p>
    <w:p w14:paraId="6F27CB84">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5C7174CC">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权重为</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w:t>
      </w:r>
      <w:r>
        <w:rPr>
          <w:rFonts w:hint="eastAsia" w:ascii="仿宋_GB2312" w:hAnsi="仿宋_GB2312" w:eastAsia="仿宋_GB2312" w:cs="仿宋_GB2312"/>
          <w:color w:val="000000"/>
          <w:spacing w:val="17"/>
          <w:sz w:val="32"/>
          <w:szCs w:val="32"/>
        </w:rPr>
        <w:t>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w:t>
      </w:r>
    </w:p>
    <w:p w14:paraId="14C21087">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9533C7">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B45BEDB">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DED5EAF">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14:paraId="101A2A1D">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A221A29">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6EE5275">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14:paraId="6B1E93DE">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14:paraId="7520BBF6">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14:paraId="2C7C1433">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14:paraId="12554B72">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4、评价标准</w:t>
      </w:r>
    </w:p>
    <w:p w14:paraId="781B5D12">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14:paraId="180E587F">
      <w:pPr>
        <w:pStyle w:val="2"/>
        <w:pageBreakBefore w:val="0"/>
        <w:numPr>
          <w:ilvl w:val="0"/>
          <w:numId w:val="3"/>
        </w:numPr>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color w:val="000000"/>
          <w:spacing w:val="17"/>
          <w:sz w:val="30"/>
          <w:szCs w:val="30"/>
          <w:highlight w:val="none"/>
          <w:lang w:val="en-US" w:eastAsia="zh-CN"/>
        </w:rPr>
      </w:pPr>
      <w:r>
        <w:rPr>
          <w:rFonts w:hint="eastAsia" w:ascii="仿宋_GB2312" w:hAnsi="仿宋_GB2312" w:eastAsia="仿宋_GB2312" w:cs="仿宋_GB2312"/>
          <w:color w:val="000000"/>
          <w:spacing w:val="17"/>
          <w:sz w:val="30"/>
          <w:szCs w:val="30"/>
          <w:highlight w:val="none"/>
          <w:lang w:val="en-US" w:eastAsia="zh-CN"/>
        </w:rPr>
        <w:t>绩效评价工作过程</w:t>
      </w:r>
    </w:p>
    <w:p w14:paraId="784FAC5D">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14:paraId="391FB13E">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14:paraId="76FCF07C">
      <w:pPr>
        <w:pageBreakBefore w:val="0"/>
        <w:kinsoku/>
        <w:wordWrap/>
        <w:overflowPunct/>
        <w:topLinePunct w:val="0"/>
        <w:autoSpaceDE/>
        <w:autoSpaceDN/>
        <w:bidi w:val="0"/>
        <w:adjustRightInd/>
        <w:snapToGrid/>
        <w:spacing w:line="560" w:lineRule="exact"/>
        <w:ind w:firstLine="641"/>
        <w:textAlignment w:val="auto"/>
        <w:rPr>
          <w:rFonts w:hint="eastAsia" w:eastAsiaTheme="majorEastAsia"/>
          <w:lang w:eastAsia="zh-CN"/>
        </w:rPr>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14:paraId="3F10A830">
      <w:pPr>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14:paraId="1AD232D9">
      <w:pPr>
        <w:pStyle w:val="51"/>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color w:val="000000"/>
          <w:spacing w:val="17"/>
          <w:kern w:val="2"/>
          <w:sz w:val="32"/>
          <w:szCs w:val="32"/>
          <w:highlight w:val="none"/>
          <w:lang w:val="en-US" w:eastAsia="zh-CN" w:bidi="ar-SA"/>
        </w:rPr>
      </w:pPr>
      <w:r>
        <w:rPr>
          <w:rFonts w:hint="eastAsia"/>
          <w:lang w:eastAsia="zh-CN"/>
        </w:rPr>
        <w:tab/>
      </w:r>
      <w:r>
        <w:rPr>
          <w:rFonts w:hint="eastAsia" w:ascii="仿宋_GB2312" w:hAnsi="仿宋_GB2312" w:eastAsia="仿宋_GB2312" w:cs="仿宋_GB2312"/>
          <w:color w:val="000000"/>
          <w:spacing w:val="17"/>
          <w:kern w:val="2"/>
          <w:sz w:val="32"/>
          <w:szCs w:val="32"/>
          <w:highlight w:val="none"/>
          <w:lang w:val="en-US" w:eastAsia="zh-CN" w:bidi="ar-SA"/>
        </w:rPr>
        <w:t>"综合考虑投入、产出、效果、影响力等各方面因素，通过数据采集及分析，最终评分结果：项目绩效评价结果为:总得分85.47分，"属于"良好"。本次评价通过文件研读、实地调研、数据分析等方式，全面了解该项目资金的使用效率和效果，项目管理过程规范，完成了预期绩效目标等。同时，通过开展自我评价来总结经验和教训，今后的开展提供参考建议。"</w:t>
      </w:r>
    </w:p>
    <w:p w14:paraId="14B2F379">
      <w:pPr>
        <w:pStyle w:val="51"/>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pacing w:val="17"/>
          <w:kern w:val="2"/>
          <w:sz w:val="32"/>
          <w:szCs w:val="32"/>
          <w:highlight w:val="none"/>
          <w:lang w:val="en-US" w:eastAsia="zh-CN" w:bidi="ar-SA"/>
        </w:rPr>
      </w:pPr>
      <w:r>
        <w:rPr>
          <w:rFonts w:hint="eastAsia" w:ascii="仿宋_GB2312" w:hAnsi="仿宋_GB2312" w:eastAsia="仿宋_GB2312" w:cs="仿宋_GB2312"/>
          <w:color w:val="000000"/>
          <w:spacing w:val="17"/>
          <w:kern w:val="2"/>
          <w:sz w:val="32"/>
          <w:szCs w:val="32"/>
          <w:highlight w:val="none"/>
          <w:lang w:val="en-US" w:eastAsia="zh-CN" w:bidi="ar-SA"/>
        </w:rPr>
        <w:t xml:space="preserve">  对</w:t>
      </w:r>
      <w:r>
        <w:rPr>
          <w:rFonts w:hint="eastAsia" w:ascii="仿宋_GB2312" w:hAnsi="仿宋_GB2312" w:eastAsia="仿宋_GB2312" w:cs="仿宋_GB2312"/>
          <w:sz w:val="32"/>
          <w:szCs w:val="32"/>
          <w:highlight w:val="none"/>
          <w:lang w:val="en-US" w:eastAsia="zh-CN"/>
        </w:rPr>
        <w:t>塔城地区第一高级中学综合楼</w:t>
      </w:r>
      <w:r>
        <w:rPr>
          <w:rFonts w:hint="eastAsia" w:ascii="仿宋_GB2312" w:hAnsi="仿宋_GB2312" w:eastAsia="仿宋_GB2312" w:cs="仿宋_GB2312"/>
          <w:color w:val="000000"/>
          <w:spacing w:val="17"/>
          <w:kern w:val="2"/>
          <w:sz w:val="32"/>
          <w:szCs w:val="32"/>
          <w:highlight w:val="none"/>
          <w:lang w:val="en-US" w:eastAsia="zh-CN" w:bidi="ar-SA"/>
        </w:rPr>
        <w:t>项目进行客观评价，最终评分结果：总得分为85.47分，属于“良”。其中，项目决策类指标权重为5分，得分为 5分，得分率为 100%。项目过程类指标权重为5分，得分为5 分，得分率为 100%。项目产出类指标权重为40分，得分为30.04分，得分率为 75.1%。项目效益类指标权重为50分，得分为45.34分，得分率为 90.68%。</w:t>
      </w:r>
    </w:p>
    <w:p w14:paraId="794DB912">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tbl>
      <w:tblPr>
        <w:tblStyle w:val="19"/>
        <w:tblpPr w:leftFromText="180" w:rightFromText="180" w:vertAnchor="text" w:horzAnchor="page" w:tblpX="1784" w:tblpY="1384"/>
        <w:tblOverlap w:val="never"/>
        <w:tblW w:w="869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965"/>
        <w:gridCol w:w="865"/>
        <w:gridCol w:w="1121"/>
        <w:gridCol w:w="1492"/>
        <w:gridCol w:w="821"/>
        <w:gridCol w:w="726"/>
        <w:gridCol w:w="807"/>
        <w:gridCol w:w="1062"/>
        <w:gridCol w:w="839"/>
      </w:tblGrid>
      <w:tr w14:paraId="2D351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jc w:val="center"/>
        </w:trPr>
        <w:tc>
          <w:tcPr>
            <w:tcW w:w="965" w:type="dxa"/>
            <w:shd w:val="clear" w:color="auto" w:fill="BFBFBF"/>
            <w:vAlign w:val="center"/>
          </w:tcPr>
          <w:p w14:paraId="321A75DC">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865" w:type="dxa"/>
            <w:shd w:val="clear" w:color="auto" w:fill="BFBFBF"/>
            <w:vAlign w:val="center"/>
          </w:tcPr>
          <w:p w14:paraId="02FBB972">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121" w:type="dxa"/>
            <w:shd w:val="clear" w:color="auto" w:fill="BFBFBF"/>
            <w:vAlign w:val="center"/>
          </w:tcPr>
          <w:p w14:paraId="6C080A3D">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492" w:type="dxa"/>
            <w:shd w:val="clear" w:color="auto" w:fill="BFBFBF"/>
            <w:vAlign w:val="center"/>
          </w:tcPr>
          <w:p w14:paraId="3DE1A8D6">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821" w:type="dxa"/>
            <w:shd w:val="clear" w:color="auto" w:fill="BFBFBF"/>
            <w:vAlign w:val="center"/>
          </w:tcPr>
          <w:p w14:paraId="453A6B76">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726" w:type="dxa"/>
            <w:shd w:val="clear" w:color="auto" w:fill="BFBFBF"/>
            <w:vAlign w:val="center"/>
          </w:tcPr>
          <w:p w14:paraId="1B46BF77">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807" w:type="dxa"/>
            <w:shd w:val="clear" w:color="auto" w:fill="BFBFBF"/>
            <w:vAlign w:val="center"/>
          </w:tcPr>
          <w:p w14:paraId="6408613C">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062" w:type="dxa"/>
            <w:shd w:val="clear" w:color="auto" w:fill="BFBFBF"/>
            <w:vAlign w:val="center"/>
          </w:tcPr>
          <w:p w14:paraId="0C4985BB">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839" w:type="dxa"/>
            <w:shd w:val="clear" w:color="auto" w:fill="BFBFBF"/>
            <w:vAlign w:val="center"/>
          </w:tcPr>
          <w:p w14:paraId="310866DA">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22A18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restart"/>
            <w:shd w:val="clear" w:color="auto" w:fill="FFFFFF"/>
            <w:vAlign w:val="center"/>
          </w:tcPr>
          <w:p w14:paraId="616AA7C5">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14:paraId="00EBA826">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14:paraId="65648572">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14:paraId="1F0EFFCA">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65" w:type="dxa"/>
            <w:vMerge w:val="restart"/>
            <w:shd w:val="clear" w:color="auto" w:fill="FFFFFF"/>
            <w:vAlign w:val="center"/>
          </w:tcPr>
          <w:p w14:paraId="4DBB5BFB">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121" w:type="dxa"/>
            <w:vMerge w:val="restart"/>
            <w:shd w:val="clear" w:color="auto" w:fill="FFFFFF"/>
            <w:vAlign w:val="center"/>
          </w:tcPr>
          <w:p w14:paraId="34FC93A7">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492" w:type="dxa"/>
            <w:shd w:val="clear" w:color="auto" w:fill="FFFFFF"/>
            <w:vAlign w:val="center"/>
          </w:tcPr>
          <w:p w14:paraId="36EF656E">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14:paraId="03DC4C8E">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821" w:type="dxa"/>
            <w:shd w:val="clear" w:color="auto" w:fill="FFFFFF"/>
            <w:vAlign w:val="center"/>
          </w:tcPr>
          <w:p w14:paraId="32B5967C">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726" w:type="dxa"/>
            <w:shd w:val="clear" w:color="auto" w:fill="FFFFFF"/>
            <w:vAlign w:val="center"/>
          </w:tcPr>
          <w:p w14:paraId="6301C74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807" w:type="dxa"/>
            <w:shd w:val="clear" w:color="auto" w:fill="FFFFFF"/>
            <w:vAlign w:val="center"/>
          </w:tcPr>
          <w:p w14:paraId="1A71483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062" w:type="dxa"/>
            <w:shd w:val="clear" w:color="auto" w:fill="FFFFFF"/>
            <w:vAlign w:val="center"/>
          </w:tcPr>
          <w:p w14:paraId="7ADEBCEF">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auto" w:fill="FFFFFF"/>
            <w:vAlign w:val="center"/>
          </w:tcPr>
          <w:p w14:paraId="339BC422">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14:paraId="196ED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42E538CB">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32C9E58F">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vMerge w:val="continue"/>
            <w:shd w:val="clear" w:color="auto" w:fill="FFFFFF"/>
            <w:vAlign w:val="center"/>
          </w:tcPr>
          <w:p w14:paraId="6BAEC415">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492" w:type="dxa"/>
            <w:shd w:val="clear" w:color="auto" w:fill="FFFFFF"/>
            <w:vAlign w:val="center"/>
          </w:tcPr>
          <w:p w14:paraId="048D245B">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14:paraId="0D86D647">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821" w:type="dxa"/>
            <w:shd w:val="clear" w:color="auto" w:fill="FFFFFF"/>
            <w:vAlign w:val="center"/>
          </w:tcPr>
          <w:p w14:paraId="379298D5">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726" w:type="dxa"/>
            <w:shd w:val="clear" w:color="auto" w:fill="FFFFFF"/>
            <w:vAlign w:val="center"/>
          </w:tcPr>
          <w:p w14:paraId="38FC4BA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807" w:type="dxa"/>
            <w:shd w:val="clear" w:color="auto" w:fill="FFFFFF"/>
            <w:vAlign w:val="center"/>
          </w:tcPr>
          <w:p w14:paraId="6B3ECC1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062" w:type="dxa"/>
            <w:shd w:val="clear" w:color="auto" w:fill="FFFFFF"/>
            <w:vAlign w:val="center"/>
          </w:tcPr>
          <w:p w14:paraId="04BFC68A">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auto" w:fill="FFFFFF"/>
            <w:vAlign w:val="center"/>
          </w:tcPr>
          <w:p w14:paraId="7C12CDA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14:paraId="53734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001B4F71">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2EB44D2E">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vMerge w:val="restart"/>
            <w:shd w:val="clear" w:color="auto" w:fill="FFFFFF"/>
            <w:vAlign w:val="center"/>
          </w:tcPr>
          <w:p w14:paraId="63C9BF26">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492" w:type="dxa"/>
            <w:shd w:val="clear" w:color="auto" w:fill="FFFFFF"/>
            <w:vAlign w:val="center"/>
          </w:tcPr>
          <w:p w14:paraId="16F670AF">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14:paraId="7C44C8DB">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821" w:type="dxa"/>
            <w:shd w:val="clear" w:color="000000" w:fill="FFFFFF"/>
            <w:vAlign w:val="center"/>
          </w:tcPr>
          <w:p w14:paraId="7A18C300">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726" w:type="dxa"/>
            <w:shd w:val="clear" w:color="000000" w:fill="FFFFFF"/>
            <w:vAlign w:val="center"/>
          </w:tcPr>
          <w:p w14:paraId="200D67E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807" w:type="dxa"/>
            <w:shd w:val="clear" w:color="000000" w:fill="FFFFFF"/>
            <w:vAlign w:val="center"/>
          </w:tcPr>
          <w:p w14:paraId="02E9112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62" w:type="dxa"/>
            <w:shd w:val="clear" w:color="000000" w:fill="FFFFFF"/>
            <w:vAlign w:val="center"/>
          </w:tcPr>
          <w:p w14:paraId="57D89B0C">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000000" w:fill="FFFFFF"/>
            <w:vAlign w:val="center"/>
          </w:tcPr>
          <w:p w14:paraId="763B522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5BAEA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3A5B126A">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7D386002">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vMerge w:val="continue"/>
            <w:shd w:val="clear" w:color="auto" w:fill="FFFFFF"/>
            <w:vAlign w:val="center"/>
          </w:tcPr>
          <w:p w14:paraId="6AB065F4">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492" w:type="dxa"/>
            <w:shd w:val="clear" w:color="auto" w:fill="FFFFFF"/>
            <w:vAlign w:val="center"/>
          </w:tcPr>
          <w:p w14:paraId="77A7D996">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14:paraId="0917040D">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821" w:type="dxa"/>
            <w:shd w:val="clear" w:color="000000" w:fill="FFFFFF"/>
            <w:vAlign w:val="center"/>
          </w:tcPr>
          <w:p w14:paraId="5AA7C481">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726" w:type="dxa"/>
            <w:shd w:val="clear" w:color="000000" w:fill="FFFFFF"/>
            <w:vAlign w:val="center"/>
          </w:tcPr>
          <w:p w14:paraId="72FBE9E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807" w:type="dxa"/>
            <w:shd w:val="clear" w:color="000000" w:fill="FFFFFF"/>
            <w:vAlign w:val="center"/>
          </w:tcPr>
          <w:p w14:paraId="2F82876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62" w:type="dxa"/>
            <w:shd w:val="clear" w:color="000000" w:fill="FFFFFF"/>
            <w:vAlign w:val="center"/>
          </w:tcPr>
          <w:p w14:paraId="25073DB8">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000000" w:fill="FFFFFF"/>
            <w:vAlign w:val="center"/>
          </w:tcPr>
          <w:p w14:paraId="610AD67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12D60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3CFBE571">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779F1E2E">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vMerge w:val="restart"/>
            <w:shd w:val="clear" w:color="auto" w:fill="FFFFFF"/>
            <w:vAlign w:val="center"/>
          </w:tcPr>
          <w:p w14:paraId="245017FF">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492" w:type="dxa"/>
            <w:shd w:val="clear" w:color="auto" w:fill="FFFFFF"/>
            <w:vAlign w:val="center"/>
          </w:tcPr>
          <w:p w14:paraId="1254D5EF">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14:paraId="36A66300">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821" w:type="dxa"/>
            <w:shd w:val="clear" w:color="auto" w:fill="FFFFFF"/>
            <w:vAlign w:val="center"/>
          </w:tcPr>
          <w:p w14:paraId="2AD391B0">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726" w:type="dxa"/>
            <w:shd w:val="clear" w:color="auto" w:fill="FFFFFF"/>
            <w:vAlign w:val="center"/>
          </w:tcPr>
          <w:p w14:paraId="336A873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807" w:type="dxa"/>
            <w:shd w:val="clear" w:color="auto" w:fill="FFFFFF"/>
            <w:vAlign w:val="center"/>
          </w:tcPr>
          <w:p w14:paraId="06DD596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62" w:type="dxa"/>
            <w:shd w:val="clear" w:color="auto" w:fill="FFFFFF"/>
            <w:vAlign w:val="center"/>
          </w:tcPr>
          <w:p w14:paraId="70670706">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auto" w:fill="FFFFFF"/>
            <w:vAlign w:val="center"/>
          </w:tcPr>
          <w:p w14:paraId="414EFD4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458E8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597013AC">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5C5643B8">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vMerge w:val="continue"/>
            <w:shd w:val="clear" w:color="auto" w:fill="FFFFFF"/>
            <w:vAlign w:val="center"/>
          </w:tcPr>
          <w:p w14:paraId="05AFE5DF">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492" w:type="dxa"/>
            <w:shd w:val="clear" w:color="auto" w:fill="FFFFFF"/>
            <w:vAlign w:val="center"/>
          </w:tcPr>
          <w:p w14:paraId="0C66F496">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14:paraId="786CC830">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821" w:type="dxa"/>
            <w:shd w:val="clear" w:color="auto" w:fill="FFFFFF"/>
            <w:vAlign w:val="center"/>
          </w:tcPr>
          <w:p w14:paraId="4523BDA8">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726" w:type="dxa"/>
            <w:shd w:val="clear" w:color="auto" w:fill="FFFFFF"/>
            <w:vAlign w:val="center"/>
          </w:tcPr>
          <w:p w14:paraId="0C5DFB2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807" w:type="dxa"/>
            <w:shd w:val="clear" w:color="auto" w:fill="FFFFFF"/>
            <w:vAlign w:val="center"/>
          </w:tcPr>
          <w:p w14:paraId="6C3F61D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62" w:type="dxa"/>
            <w:shd w:val="clear" w:color="auto" w:fill="FFFFFF"/>
            <w:vAlign w:val="center"/>
          </w:tcPr>
          <w:p w14:paraId="6F06E38E">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auto" w:fill="FFFFFF"/>
            <w:vAlign w:val="center"/>
          </w:tcPr>
          <w:p w14:paraId="742F264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05344D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restart"/>
            <w:shd w:val="clear" w:color="auto" w:fill="FFFFFF"/>
            <w:vAlign w:val="center"/>
          </w:tcPr>
          <w:p w14:paraId="11E2B9B2">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14:paraId="53C11EE8">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65" w:type="dxa"/>
            <w:vMerge w:val="restart"/>
            <w:shd w:val="clear" w:color="auto" w:fill="FFFFFF"/>
            <w:vAlign w:val="center"/>
          </w:tcPr>
          <w:p w14:paraId="68701515">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121" w:type="dxa"/>
            <w:vMerge w:val="restart"/>
            <w:shd w:val="clear" w:color="auto" w:fill="FFFFFF"/>
            <w:vAlign w:val="center"/>
          </w:tcPr>
          <w:p w14:paraId="258D4EF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资金</w:t>
            </w:r>
            <w:r>
              <w:rPr>
                <w:rFonts w:hint="eastAsia" w:ascii="宋体" w:hAnsi="宋体" w:cs="宋体"/>
                <w:color w:val="000000"/>
                <w:kern w:val="0"/>
                <w:sz w:val="18"/>
                <w:szCs w:val="18"/>
                <w:lang w:val="en-US" w:eastAsia="zh-CN"/>
              </w:rPr>
              <w:t>到位率</w:t>
            </w:r>
          </w:p>
        </w:tc>
        <w:tc>
          <w:tcPr>
            <w:tcW w:w="1492" w:type="dxa"/>
            <w:shd w:val="clear" w:color="auto" w:fill="FFFFFF"/>
            <w:vAlign w:val="center"/>
          </w:tcPr>
          <w:p w14:paraId="561CAEDF">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821" w:type="dxa"/>
            <w:shd w:val="clear" w:color="000000" w:fill="FFFFFF"/>
            <w:vAlign w:val="center"/>
          </w:tcPr>
          <w:p w14:paraId="57B3EB03">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726" w:type="dxa"/>
            <w:shd w:val="clear" w:color="000000" w:fill="FFFFFF"/>
            <w:vAlign w:val="center"/>
          </w:tcPr>
          <w:p w14:paraId="5B43D5E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807" w:type="dxa"/>
            <w:shd w:val="clear" w:color="000000" w:fill="FFFFFF"/>
            <w:vAlign w:val="center"/>
          </w:tcPr>
          <w:p w14:paraId="61046F8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62" w:type="dxa"/>
            <w:shd w:val="clear" w:color="000000" w:fill="FFFFFF"/>
            <w:vAlign w:val="center"/>
          </w:tcPr>
          <w:p w14:paraId="225AA59D">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000000" w:fill="FFFFFF"/>
            <w:vAlign w:val="center"/>
          </w:tcPr>
          <w:p w14:paraId="5B92B11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28C09A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43BEDCEC">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18962935">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vMerge w:val="continue"/>
            <w:shd w:val="clear" w:color="auto" w:fill="FFFFFF"/>
            <w:vAlign w:val="center"/>
          </w:tcPr>
          <w:p w14:paraId="2991C248">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492" w:type="dxa"/>
            <w:shd w:val="clear" w:color="auto" w:fill="FFFFFF"/>
            <w:vAlign w:val="center"/>
          </w:tcPr>
          <w:p w14:paraId="3F944E18">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821" w:type="dxa"/>
            <w:shd w:val="clear" w:color="auto" w:fill="FFFFFF"/>
            <w:vAlign w:val="center"/>
          </w:tcPr>
          <w:p w14:paraId="6104605D">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726" w:type="dxa"/>
            <w:shd w:val="clear" w:color="auto" w:fill="FFFFFF"/>
            <w:vAlign w:val="center"/>
          </w:tcPr>
          <w:p w14:paraId="5FA5DD6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807" w:type="dxa"/>
            <w:shd w:val="clear" w:color="auto" w:fill="FFFFFF"/>
            <w:vAlign w:val="center"/>
          </w:tcPr>
          <w:p w14:paraId="429EE7F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62" w:type="dxa"/>
            <w:shd w:val="clear" w:color="auto" w:fill="FFFFFF"/>
            <w:vAlign w:val="center"/>
          </w:tcPr>
          <w:p w14:paraId="4CC5CFE6">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auto" w:fill="FFFFFF"/>
            <w:vAlign w:val="center"/>
          </w:tcPr>
          <w:p w14:paraId="7873C39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1F5152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5D78CC3B">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1221192D">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shd w:val="clear" w:color="auto" w:fill="FFFFFF"/>
            <w:vAlign w:val="center"/>
          </w:tcPr>
          <w:p w14:paraId="4D24FB74">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492" w:type="dxa"/>
            <w:shd w:val="clear" w:color="auto" w:fill="FFFFFF"/>
            <w:vAlign w:val="center"/>
          </w:tcPr>
          <w:p w14:paraId="1847FFD2">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14:paraId="418518C5">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821" w:type="dxa"/>
            <w:shd w:val="clear" w:color="000000" w:fill="FFFFFF"/>
            <w:vAlign w:val="center"/>
          </w:tcPr>
          <w:p w14:paraId="6ECE597F">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726" w:type="dxa"/>
            <w:shd w:val="clear" w:color="000000" w:fill="FFFFFF"/>
            <w:vAlign w:val="center"/>
          </w:tcPr>
          <w:p w14:paraId="2281281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807" w:type="dxa"/>
            <w:shd w:val="clear" w:color="000000" w:fill="FFFFFF"/>
            <w:vAlign w:val="center"/>
          </w:tcPr>
          <w:p w14:paraId="2566205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62" w:type="dxa"/>
            <w:shd w:val="clear" w:color="000000" w:fill="FFFFFF"/>
            <w:vAlign w:val="center"/>
          </w:tcPr>
          <w:p w14:paraId="1F86D5C5">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000000" w:fill="FFFFFF"/>
            <w:vAlign w:val="center"/>
          </w:tcPr>
          <w:p w14:paraId="7E36B36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48DB7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7F08FA97">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2158654D">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vMerge w:val="restart"/>
            <w:shd w:val="clear" w:color="auto" w:fill="FFFFFF"/>
            <w:vAlign w:val="center"/>
          </w:tcPr>
          <w:p w14:paraId="29086CD2">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492" w:type="dxa"/>
            <w:shd w:val="clear" w:color="auto" w:fill="FFFFFF"/>
            <w:vAlign w:val="center"/>
          </w:tcPr>
          <w:p w14:paraId="7405BA32">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14:paraId="0D33741E">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821" w:type="dxa"/>
            <w:shd w:val="clear" w:color="000000" w:fill="FFFFFF"/>
            <w:vAlign w:val="center"/>
          </w:tcPr>
          <w:p w14:paraId="1B8A898D">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726" w:type="dxa"/>
            <w:shd w:val="clear" w:color="000000" w:fill="FFFFFF"/>
            <w:vAlign w:val="center"/>
          </w:tcPr>
          <w:p w14:paraId="18F8857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807" w:type="dxa"/>
            <w:shd w:val="clear" w:color="000000" w:fill="FFFFFF"/>
            <w:vAlign w:val="center"/>
          </w:tcPr>
          <w:p w14:paraId="7D1DD50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62" w:type="dxa"/>
            <w:shd w:val="clear" w:color="000000" w:fill="FFFFFF"/>
            <w:vAlign w:val="center"/>
          </w:tcPr>
          <w:p w14:paraId="6F7BF6DD">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000000" w:fill="FFFFFF"/>
            <w:vAlign w:val="center"/>
          </w:tcPr>
          <w:p w14:paraId="131478C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65330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73F2CCE5">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4AC7F09C">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vMerge w:val="continue"/>
            <w:shd w:val="clear" w:color="auto" w:fill="FFFFFF"/>
            <w:vAlign w:val="center"/>
          </w:tcPr>
          <w:p w14:paraId="59DD979C">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492" w:type="dxa"/>
            <w:shd w:val="clear" w:color="auto" w:fill="FFFFFF"/>
            <w:vAlign w:val="center"/>
          </w:tcPr>
          <w:p w14:paraId="317CA18F">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14:paraId="651B7367">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821" w:type="dxa"/>
            <w:shd w:val="clear" w:color="000000" w:fill="FFFFFF"/>
            <w:vAlign w:val="center"/>
          </w:tcPr>
          <w:p w14:paraId="05B2AD42">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726" w:type="dxa"/>
            <w:shd w:val="clear" w:color="000000" w:fill="FFFFFF"/>
            <w:vAlign w:val="center"/>
          </w:tcPr>
          <w:p w14:paraId="7879291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807" w:type="dxa"/>
            <w:shd w:val="clear" w:color="000000" w:fill="FFFFFF"/>
            <w:vAlign w:val="center"/>
          </w:tcPr>
          <w:p w14:paraId="172858C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62" w:type="dxa"/>
            <w:shd w:val="clear" w:color="000000" w:fill="FFFFFF"/>
            <w:vAlign w:val="center"/>
          </w:tcPr>
          <w:p w14:paraId="0CB7D10A">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000000" w:fill="FFFFFF"/>
            <w:vAlign w:val="center"/>
          </w:tcPr>
          <w:p w14:paraId="65A1F59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470A9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restart"/>
            <w:shd w:val="clear" w:color="auto" w:fill="FFFFFF"/>
            <w:vAlign w:val="center"/>
          </w:tcPr>
          <w:p w14:paraId="5DBE071A">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865" w:type="dxa"/>
            <w:vMerge w:val="restart"/>
            <w:shd w:val="clear" w:color="auto" w:fill="FFFFFF"/>
            <w:vAlign w:val="center"/>
          </w:tcPr>
          <w:p w14:paraId="4BD1EA1E">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lang w:val="en-US" w:eastAsia="zh-CN"/>
              </w:rPr>
              <w:t>40</w:t>
            </w:r>
            <w:r>
              <w:rPr>
                <w:rFonts w:hint="eastAsia" w:ascii="宋体" w:hAnsi="宋体" w:cs="宋体"/>
                <w:kern w:val="0"/>
                <w:sz w:val="18"/>
                <w:szCs w:val="18"/>
              </w:rPr>
              <w:t>分</w:t>
            </w:r>
          </w:p>
        </w:tc>
        <w:tc>
          <w:tcPr>
            <w:tcW w:w="1121" w:type="dxa"/>
            <w:shd w:val="clear" w:color="auto" w:fill="FFFFFF"/>
            <w:vAlign w:val="center"/>
          </w:tcPr>
          <w:p w14:paraId="65B7DE2A">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492" w:type="dxa"/>
            <w:shd w:val="clear" w:color="auto" w:fill="FFFFFF"/>
            <w:vAlign w:val="center"/>
          </w:tcPr>
          <w:p w14:paraId="72F40C5A">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821" w:type="dxa"/>
            <w:shd w:val="clear" w:color="000000" w:fill="FFFFFF"/>
            <w:vAlign w:val="center"/>
          </w:tcPr>
          <w:p w14:paraId="27F7E1F7">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726" w:type="dxa"/>
            <w:shd w:val="clear" w:color="000000" w:fill="FFFFFF"/>
            <w:vAlign w:val="center"/>
          </w:tcPr>
          <w:p w14:paraId="7354FDF2">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807" w:type="dxa"/>
            <w:shd w:val="clear" w:color="000000" w:fill="FFFFFF"/>
            <w:vAlign w:val="center"/>
          </w:tcPr>
          <w:p w14:paraId="3CED7264">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62" w:type="dxa"/>
            <w:shd w:val="clear" w:color="000000" w:fill="FFFFFF"/>
            <w:vAlign w:val="center"/>
          </w:tcPr>
          <w:p w14:paraId="0B420CF8">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000000" w:fill="FFFFFF"/>
            <w:vAlign w:val="center"/>
          </w:tcPr>
          <w:p w14:paraId="2D29F636">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14:paraId="1548B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5EBA4072">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53C62CD5">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shd w:val="clear" w:color="auto" w:fill="FFFFFF"/>
            <w:vAlign w:val="center"/>
          </w:tcPr>
          <w:p w14:paraId="06B7F44B">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492" w:type="dxa"/>
            <w:shd w:val="clear" w:color="auto" w:fill="FFFFFF"/>
            <w:vAlign w:val="center"/>
          </w:tcPr>
          <w:p w14:paraId="3B4FDC1E">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821" w:type="dxa"/>
            <w:shd w:val="clear" w:color="000000" w:fill="FFFFFF"/>
            <w:vAlign w:val="center"/>
          </w:tcPr>
          <w:p w14:paraId="386FEF2A">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726" w:type="dxa"/>
            <w:shd w:val="clear" w:color="000000" w:fill="FFFFFF"/>
            <w:vAlign w:val="center"/>
          </w:tcPr>
          <w:p w14:paraId="52A38685">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807" w:type="dxa"/>
            <w:shd w:val="clear" w:color="000000" w:fill="FFFFFF"/>
            <w:vAlign w:val="center"/>
          </w:tcPr>
          <w:p w14:paraId="5CF57A8A">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w:t>
            </w:r>
          </w:p>
        </w:tc>
        <w:tc>
          <w:tcPr>
            <w:tcW w:w="1062" w:type="dxa"/>
            <w:shd w:val="clear" w:color="000000" w:fill="FFFFFF"/>
            <w:vAlign w:val="center"/>
          </w:tcPr>
          <w:p w14:paraId="1D61FE38">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000000" w:fill="FFFFFF"/>
            <w:vAlign w:val="center"/>
          </w:tcPr>
          <w:p w14:paraId="2507C4BB">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w:t>
            </w:r>
          </w:p>
        </w:tc>
      </w:tr>
      <w:tr w14:paraId="60CED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1B8E8423">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10C1DE0F">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shd w:val="clear" w:color="auto" w:fill="FFFFFF"/>
            <w:vAlign w:val="center"/>
          </w:tcPr>
          <w:p w14:paraId="025E01FE">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492" w:type="dxa"/>
            <w:shd w:val="clear" w:color="auto" w:fill="FFFFFF"/>
            <w:vAlign w:val="center"/>
          </w:tcPr>
          <w:p w14:paraId="08BD0736">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821" w:type="dxa"/>
            <w:shd w:val="clear" w:color="000000" w:fill="FFFFFF"/>
            <w:vAlign w:val="center"/>
          </w:tcPr>
          <w:p w14:paraId="1BD58F08">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726" w:type="dxa"/>
            <w:shd w:val="clear" w:color="000000" w:fill="FFFFFF"/>
            <w:vAlign w:val="center"/>
          </w:tcPr>
          <w:p w14:paraId="0A38D4C7">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807" w:type="dxa"/>
            <w:shd w:val="clear" w:color="000000" w:fill="FFFFFF"/>
            <w:vAlign w:val="center"/>
          </w:tcPr>
          <w:p w14:paraId="3D7FDE4D">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62" w:type="dxa"/>
            <w:shd w:val="clear" w:color="000000" w:fill="FFFFFF"/>
            <w:vAlign w:val="center"/>
          </w:tcPr>
          <w:p w14:paraId="2CF882D0">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000000" w:fill="FFFFFF"/>
            <w:vAlign w:val="center"/>
          </w:tcPr>
          <w:p w14:paraId="668ADA3B">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14:paraId="0064F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2A05C4B3">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5" w:type="dxa"/>
            <w:vMerge w:val="continue"/>
            <w:shd w:val="clear" w:color="auto" w:fill="FFFFFF"/>
            <w:vAlign w:val="center"/>
          </w:tcPr>
          <w:p w14:paraId="04B3F07D">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121" w:type="dxa"/>
            <w:shd w:val="clear" w:color="auto" w:fill="FFFFFF"/>
            <w:vAlign w:val="center"/>
          </w:tcPr>
          <w:p w14:paraId="14A5145E">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492" w:type="dxa"/>
            <w:shd w:val="clear" w:color="auto" w:fill="FFFFFF"/>
            <w:vAlign w:val="center"/>
          </w:tcPr>
          <w:p w14:paraId="4AEE45B8">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821" w:type="dxa"/>
            <w:shd w:val="clear" w:color="000000" w:fill="FFFFFF"/>
            <w:vAlign w:val="center"/>
          </w:tcPr>
          <w:p w14:paraId="72DD8A05">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726" w:type="dxa"/>
            <w:shd w:val="clear" w:color="000000" w:fill="FFFFFF"/>
            <w:vAlign w:val="center"/>
          </w:tcPr>
          <w:p w14:paraId="531313AB">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807" w:type="dxa"/>
            <w:shd w:val="clear" w:color="000000" w:fill="FFFFFF"/>
            <w:vAlign w:val="center"/>
          </w:tcPr>
          <w:p w14:paraId="1289676B">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4.13</w:t>
            </w:r>
          </w:p>
        </w:tc>
        <w:tc>
          <w:tcPr>
            <w:tcW w:w="1062" w:type="dxa"/>
            <w:shd w:val="clear" w:color="000000" w:fill="FFFFFF"/>
            <w:vAlign w:val="center"/>
          </w:tcPr>
          <w:p w14:paraId="6D0C813A">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40.42%</w:t>
            </w:r>
          </w:p>
        </w:tc>
        <w:tc>
          <w:tcPr>
            <w:tcW w:w="839" w:type="dxa"/>
            <w:shd w:val="clear" w:color="000000" w:fill="FFFFFF"/>
            <w:vAlign w:val="center"/>
          </w:tcPr>
          <w:p w14:paraId="3D29BF2B">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4.13</w:t>
            </w:r>
          </w:p>
        </w:tc>
      </w:tr>
      <w:tr w14:paraId="19670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restart"/>
            <w:shd w:val="clear" w:color="auto" w:fill="FFFFFF"/>
            <w:vAlign w:val="center"/>
          </w:tcPr>
          <w:p w14:paraId="6C18C959">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865" w:type="dxa"/>
            <w:vMerge w:val="restart"/>
            <w:shd w:val="clear" w:color="auto" w:fill="FFFFFF"/>
            <w:vAlign w:val="center"/>
          </w:tcPr>
          <w:p w14:paraId="51B77811">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50分</w:t>
            </w:r>
          </w:p>
        </w:tc>
        <w:tc>
          <w:tcPr>
            <w:tcW w:w="1121" w:type="dxa"/>
            <w:shd w:val="clear" w:color="auto" w:fill="FFFFFF"/>
            <w:vAlign w:val="center"/>
          </w:tcPr>
          <w:p w14:paraId="117DA921">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经济效益指标</w:t>
            </w:r>
            <w:r>
              <w:rPr>
                <w:rFonts w:hint="eastAsia" w:ascii="宋体" w:hAnsi="宋体" w:cs="宋体"/>
                <w:color w:val="000000"/>
                <w:kern w:val="0"/>
                <w:sz w:val="18"/>
                <w:szCs w:val="18"/>
              </w:rPr>
              <w:t>）　</w:t>
            </w:r>
          </w:p>
        </w:tc>
        <w:tc>
          <w:tcPr>
            <w:tcW w:w="1492" w:type="dxa"/>
            <w:shd w:val="clear" w:color="auto" w:fill="FFFFFF"/>
            <w:vAlign w:val="center"/>
          </w:tcPr>
          <w:p w14:paraId="1445E1FA">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设计功能实现率</w:t>
            </w:r>
          </w:p>
        </w:tc>
        <w:tc>
          <w:tcPr>
            <w:tcW w:w="821" w:type="dxa"/>
            <w:shd w:val="clear" w:color="auto" w:fill="FFFFFF"/>
            <w:vAlign w:val="center"/>
          </w:tcPr>
          <w:p w14:paraId="1EF57FF4">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13.33</w:t>
            </w:r>
          </w:p>
        </w:tc>
        <w:tc>
          <w:tcPr>
            <w:tcW w:w="726" w:type="dxa"/>
            <w:shd w:val="clear" w:color="auto" w:fill="FFFFFF"/>
            <w:vAlign w:val="center"/>
          </w:tcPr>
          <w:p w14:paraId="3392D53E">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13.33</w:t>
            </w:r>
          </w:p>
        </w:tc>
        <w:tc>
          <w:tcPr>
            <w:tcW w:w="807" w:type="dxa"/>
            <w:shd w:val="clear" w:color="auto" w:fill="FFFFFF"/>
            <w:vAlign w:val="center"/>
          </w:tcPr>
          <w:p w14:paraId="23C6373F">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13.33</w:t>
            </w:r>
          </w:p>
        </w:tc>
        <w:tc>
          <w:tcPr>
            <w:tcW w:w="1062" w:type="dxa"/>
            <w:shd w:val="clear" w:color="auto" w:fill="FFFFFF"/>
            <w:vAlign w:val="center"/>
          </w:tcPr>
          <w:p w14:paraId="4A34D0A6">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70%</w:t>
            </w:r>
          </w:p>
        </w:tc>
        <w:tc>
          <w:tcPr>
            <w:tcW w:w="839" w:type="dxa"/>
            <w:shd w:val="clear" w:color="auto" w:fill="FFFFFF"/>
            <w:vAlign w:val="center"/>
          </w:tcPr>
          <w:p w14:paraId="667F4C84">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10.67</w:t>
            </w:r>
          </w:p>
        </w:tc>
      </w:tr>
      <w:tr w14:paraId="52E81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4E7782E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18"/>
                <w:szCs w:val="18"/>
              </w:rPr>
            </w:pPr>
          </w:p>
        </w:tc>
        <w:tc>
          <w:tcPr>
            <w:tcW w:w="865" w:type="dxa"/>
            <w:vMerge w:val="continue"/>
            <w:shd w:val="clear" w:color="auto" w:fill="FFFFFF"/>
            <w:vAlign w:val="center"/>
          </w:tcPr>
          <w:p w14:paraId="3E85791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18"/>
                <w:szCs w:val="18"/>
                <w:lang w:val="en-US" w:eastAsia="zh-CN"/>
              </w:rPr>
            </w:pPr>
          </w:p>
        </w:tc>
        <w:tc>
          <w:tcPr>
            <w:tcW w:w="1121" w:type="dxa"/>
            <w:shd w:val="clear" w:color="auto" w:fill="FFFFFF"/>
            <w:vAlign w:val="center"/>
          </w:tcPr>
          <w:p w14:paraId="7E9E3BA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社会效益指标</w:t>
            </w:r>
          </w:p>
        </w:tc>
        <w:tc>
          <w:tcPr>
            <w:tcW w:w="1492" w:type="dxa"/>
            <w:shd w:val="clear" w:color="auto" w:fill="FFFFFF"/>
            <w:vAlign w:val="center"/>
          </w:tcPr>
          <w:p w14:paraId="2741A1AF">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业务保障能力</w:t>
            </w:r>
          </w:p>
        </w:tc>
        <w:tc>
          <w:tcPr>
            <w:tcW w:w="821" w:type="dxa"/>
            <w:shd w:val="clear" w:color="auto" w:fill="FFFFFF"/>
            <w:vAlign w:val="center"/>
          </w:tcPr>
          <w:p w14:paraId="1FD959E1">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13.33</w:t>
            </w:r>
          </w:p>
        </w:tc>
        <w:tc>
          <w:tcPr>
            <w:tcW w:w="726" w:type="dxa"/>
            <w:shd w:val="clear" w:color="auto" w:fill="FFFFFF"/>
            <w:vAlign w:val="center"/>
          </w:tcPr>
          <w:p w14:paraId="457481DA">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13.33</w:t>
            </w:r>
          </w:p>
        </w:tc>
        <w:tc>
          <w:tcPr>
            <w:tcW w:w="807" w:type="dxa"/>
            <w:shd w:val="clear" w:color="auto" w:fill="FFFFFF"/>
            <w:vAlign w:val="center"/>
          </w:tcPr>
          <w:p w14:paraId="09520203">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13.33</w:t>
            </w:r>
          </w:p>
        </w:tc>
        <w:tc>
          <w:tcPr>
            <w:tcW w:w="1062" w:type="dxa"/>
            <w:shd w:val="clear" w:color="auto" w:fill="FFFFFF"/>
            <w:vAlign w:val="center"/>
          </w:tcPr>
          <w:p w14:paraId="6FC7D9CA">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auto" w:fill="FFFFFF"/>
            <w:vAlign w:val="center"/>
          </w:tcPr>
          <w:p w14:paraId="707EE053">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13.33</w:t>
            </w:r>
          </w:p>
        </w:tc>
      </w:tr>
      <w:tr w14:paraId="67633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965" w:type="dxa"/>
            <w:vMerge w:val="continue"/>
            <w:shd w:val="clear" w:color="auto" w:fill="FFFFFF"/>
            <w:vAlign w:val="center"/>
          </w:tcPr>
          <w:p w14:paraId="24BB6E4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18"/>
                <w:szCs w:val="18"/>
              </w:rPr>
            </w:pPr>
          </w:p>
        </w:tc>
        <w:tc>
          <w:tcPr>
            <w:tcW w:w="865" w:type="dxa"/>
            <w:vMerge w:val="continue"/>
            <w:shd w:val="clear" w:color="auto" w:fill="FFFFFF"/>
            <w:vAlign w:val="center"/>
          </w:tcPr>
          <w:p w14:paraId="45C94D0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18"/>
                <w:szCs w:val="18"/>
                <w:lang w:val="en-US" w:eastAsia="zh-CN"/>
              </w:rPr>
            </w:pPr>
          </w:p>
        </w:tc>
        <w:tc>
          <w:tcPr>
            <w:tcW w:w="1121" w:type="dxa"/>
            <w:shd w:val="clear" w:color="auto" w:fill="FFFFFF"/>
            <w:vAlign w:val="center"/>
          </w:tcPr>
          <w:p w14:paraId="5F16E96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可持续影响指标</w:t>
            </w:r>
          </w:p>
        </w:tc>
        <w:tc>
          <w:tcPr>
            <w:tcW w:w="1492" w:type="dxa"/>
            <w:shd w:val="clear" w:color="auto" w:fill="FFFFFF"/>
            <w:vAlign w:val="center"/>
          </w:tcPr>
          <w:p w14:paraId="4E419264">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预计使用年限</w:t>
            </w:r>
          </w:p>
        </w:tc>
        <w:tc>
          <w:tcPr>
            <w:tcW w:w="821" w:type="dxa"/>
            <w:shd w:val="clear" w:color="auto" w:fill="FFFFFF"/>
            <w:vAlign w:val="center"/>
          </w:tcPr>
          <w:p w14:paraId="1D34A0E0">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13.34</w:t>
            </w:r>
          </w:p>
        </w:tc>
        <w:tc>
          <w:tcPr>
            <w:tcW w:w="726" w:type="dxa"/>
            <w:shd w:val="clear" w:color="auto" w:fill="FFFFFF"/>
            <w:vAlign w:val="center"/>
          </w:tcPr>
          <w:p w14:paraId="430F8681">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13.34</w:t>
            </w:r>
          </w:p>
        </w:tc>
        <w:tc>
          <w:tcPr>
            <w:tcW w:w="807" w:type="dxa"/>
            <w:shd w:val="clear" w:color="auto" w:fill="FFFFFF"/>
            <w:vAlign w:val="center"/>
          </w:tcPr>
          <w:p w14:paraId="05E24517">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13.34</w:t>
            </w:r>
          </w:p>
        </w:tc>
        <w:tc>
          <w:tcPr>
            <w:tcW w:w="1062" w:type="dxa"/>
            <w:shd w:val="clear" w:color="auto" w:fill="FFFFFF"/>
            <w:vAlign w:val="center"/>
          </w:tcPr>
          <w:p w14:paraId="447C26B5">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39" w:type="dxa"/>
            <w:shd w:val="clear" w:color="auto" w:fill="FFFFFF"/>
            <w:vAlign w:val="center"/>
          </w:tcPr>
          <w:p w14:paraId="3FA11E38">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13.34</w:t>
            </w:r>
          </w:p>
        </w:tc>
      </w:tr>
      <w:tr w14:paraId="1C878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965" w:type="dxa"/>
            <w:vMerge w:val="continue"/>
            <w:shd w:val="clear" w:color="auto" w:fill="FFFFFF"/>
            <w:vAlign w:val="center"/>
          </w:tcPr>
          <w:p w14:paraId="7F506F4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p>
        </w:tc>
        <w:tc>
          <w:tcPr>
            <w:tcW w:w="865" w:type="dxa"/>
            <w:vMerge w:val="continue"/>
            <w:shd w:val="clear" w:color="auto" w:fill="FFFFFF"/>
            <w:vAlign w:val="center"/>
          </w:tcPr>
          <w:p w14:paraId="670EF308">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p>
        </w:tc>
        <w:tc>
          <w:tcPr>
            <w:tcW w:w="1121" w:type="dxa"/>
            <w:shd w:val="clear" w:color="auto" w:fill="FFFFFF" w:themeFill="background1"/>
            <w:vAlign w:val="center"/>
          </w:tcPr>
          <w:p w14:paraId="5B1687F6">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服务对象满意度</w:t>
            </w:r>
          </w:p>
        </w:tc>
        <w:tc>
          <w:tcPr>
            <w:tcW w:w="1492" w:type="dxa"/>
            <w:shd w:val="clear" w:color="auto" w:fill="FFFFFF" w:themeFill="background1"/>
            <w:vAlign w:val="center"/>
          </w:tcPr>
          <w:p w14:paraId="4BCBCF98">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师生对基础设施建设满意度</w:t>
            </w:r>
          </w:p>
        </w:tc>
        <w:tc>
          <w:tcPr>
            <w:tcW w:w="821" w:type="dxa"/>
            <w:shd w:val="clear" w:color="auto" w:fill="FFFFFF" w:themeFill="background1"/>
            <w:vAlign w:val="center"/>
          </w:tcPr>
          <w:p w14:paraId="236C849F">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726" w:type="dxa"/>
            <w:shd w:val="clear" w:color="auto" w:fill="FFFFFF" w:themeFill="background1"/>
            <w:vAlign w:val="center"/>
          </w:tcPr>
          <w:p w14:paraId="049FC4BD">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807" w:type="dxa"/>
            <w:shd w:val="clear" w:color="auto" w:fill="FFFFFF" w:themeFill="background1"/>
            <w:vAlign w:val="center"/>
          </w:tcPr>
          <w:p w14:paraId="64E8014C">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w:t>
            </w:r>
          </w:p>
        </w:tc>
        <w:tc>
          <w:tcPr>
            <w:tcW w:w="1062" w:type="dxa"/>
            <w:shd w:val="clear" w:color="auto" w:fill="FFFFFF" w:themeFill="background1"/>
            <w:vAlign w:val="center"/>
          </w:tcPr>
          <w:p w14:paraId="0AE1CD39">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r>
              <w:rPr>
                <w:rFonts w:hint="eastAsia" w:ascii="宋体" w:hAnsi="宋体" w:eastAsia="宋体" w:cs="宋体"/>
                <w:color w:val="000000"/>
                <w:kern w:val="0"/>
                <w:sz w:val="18"/>
                <w:szCs w:val="18"/>
                <w:lang w:val="en-US" w:eastAsia="zh-CN"/>
              </w:rPr>
              <w:t>0</w:t>
            </w:r>
            <w:r>
              <w:rPr>
                <w:rFonts w:hint="eastAsia" w:ascii="宋体" w:hAnsi="宋体" w:cs="宋体"/>
                <w:color w:val="000000"/>
                <w:kern w:val="0"/>
                <w:sz w:val="18"/>
                <w:szCs w:val="18"/>
                <w:lang w:val="en-US" w:eastAsia="zh-CN"/>
              </w:rPr>
              <w:t>%</w:t>
            </w:r>
          </w:p>
        </w:tc>
        <w:tc>
          <w:tcPr>
            <w:tcW w:w="839" w:type="dxa"/>
            <w:shd w:val="clear" w:color="auto" w:fill="FFFFFF" w:themeFill="background1"/>
            <w:vAlign w:val="center"/>
          </w:tcPr>
          <w:p w14:paraId="1EF19E36">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w:t>
            </w:r>
          </w:p>
        </w:tc>
      </w:tr>
      <w:tr w14:paraId="251515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443" w:type="dxa"/>
            <w:gridSpan w:val="4"/>
            <w:shd w:val="clear" w:color="auto" w:fill="FFFFFF"/>
            <w:vAlign w:val="center"/>
          </w:tcPr>
          <w:p w14:paraId="6D86DA5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合计</w:t>
            </w:r>
          </w:p>
        </w:tc>
        <w:tc>
          <w:tcPr>
            <w:tcW w:w="821" w:type="dxa"/>
            <w:shd w:val="clear" w:color="000000" w:fill="FFFFFF"/>
            <w:vAlign w:val="center"/>
          </w:tcPr>
          <w:p w14:paraId="0F8B2347">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726" w:type="dxa"/>
            <w:shd w:val="clear" w:color="000000" w:fill="FFFFFF"/>
            <w:vAlign w:val="center"/>
          </w:tcPr>
          <w:p w14:paraId="0EA42E0D">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807" w:type="dxa"/>
            <w:shd w:val="clear" w:color="000000" w:fill="FFFFFF"/>
            <w:vAlign w:val="center"/>
          </w:tcPr>
          <w:p w14:paraId="15E982A3">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85.47</w:t>
            </w:r>
          </w:p>
        </w:tc>
        <w:tc>
          <w:tcPr>
            <w:tcW w:w="1062" w:type="dxa"/>
            <w:shd w:val="clear" w:color="000000" w:fill="FFFFFF"/>
            <w:vAlign w:val="center"/>
          </w:tcPr>
          <w:p w14:paraId="2D28CC61">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85.47%</w:t>
            </w:r>
          </w:p>
        </w:tc>
        <w:tc>
          <w:tcPr>
            <w:tcW w:w="839" w:type="dxa"/>
            <w:shd w:val="clear" w:color="000000" w:fill="FFFFFF"/>
            <w:vAlign w:val="center"/>
          </w:tcPr>
          <w:p w14:paraId="65D94837">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85.47</w:t>
            </w:r>
          </w:p>
        </w:tc>
      </w:tr>
    </w:tbl>
    <w:p w14:paraId="35122001">
      <w:pPr>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14:paraId="0BDE90D3">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14:paraId="669098EB">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宋体"/>
          <w:sz w:val="32"/>
          <w:szCs w:val="32"/>
        </w:rPr>
      </w:pPr>
      <w:r>
        <w:rPr>
          <w:rFonts w:hint="eastAsia" w:ascii="仿宋" w:hAnsi="仿宋" w:eastAsia="仿宋" w:cs="宋体"/>
          <w:sz w:val="32"/>
          <w:szCs w:val="32"/>
        </w:rPr>
        <w:t>项目决策指标从项目</w:t>
      </w:r>
      <w:r>
        <w:rPr>
          <w:rFonts w:hint="eastAsia" w:ascii="仿宋" w:hAnsi="仿宋" w:eastAsia="仿宋" w:cs="宋体"/>
          <w:sz w:val="32"/>
          <w:szCs w:val="32"/>
          <w:lang w:val="en-US" w:eastAsia="zh-CN"/>
        </w:rPr>
        <w:t>立项</w:t>
      </w:r>
      <w:r>
        <w:rPr>
          <w:rFonts w:hint="eastAsia" w:ascii="仿宋" w:hAnsi="仿宋" w:eastAsia="仿宋" w:cs="宋体"/>
          <w:sz w:val="32"/>
          <w:szCs w:val="32"/>
        </w:rPr>
        <w:t>、</w:t>
      </w:r>
      <w:r>
        <w:rPr>
          <w:rFonts w:hint="eastAsia" w:ascii="仿宋" w:hAnsi="仿宋" w:eastAsia="仿宋" w:cs="宋体"/>
          <w:sz w:val="32"/>
          <w:szCs w:val="32"/>
          <w:lang w:val="en-US" w:eastAsia="zh-CN"/>
        </w:rPr>
        <w:t>绩效目标</w:t>
      </w:r>
      <w:r>
        <w:rPr>
          <w:rFonts w:hint="eastAsia" w:ascii="仿宋" w:hAnsi="仿宋" w:eastAsia="仿宋" w:cs="宋体"/>
          <w:sz w:val="32"/>
          <w:szCs w:val="32"/>
        </w:rPr>
        <w:t>、资金</w:t>
      </w:r>
      <w:r>
        <w:rPr>
          <w:rFonts w:hint="eastAsia" w:ascii="仿宋" w:hAnsi="仿宋" w:eastAsia="仿宋" w:cs="宋体"/>
          <w:sz w:val="32"/>
          <w:szCs w:val="32"/>
          <w:lang w:val="en-US" w:eastAsia="zh-CN"/>
        </w:rPr>
        <w:t>投入</w:t>
      </w:r>
      <w:r>
        <w:rPr>
          <w:rFonts w:ascii="仿宋" w:hAnsi="仿宋" w:eastAsia="仿宋"/>
          <w:sz w:val="32"/>
          <w:szCs w:val="32"/>
        </w:rPr>
        <w:t>3</w:t>
      </w:r>
      <w:r>
        <w:rPr>
          <w:rFonts w:hint="eastAsia" w:ascii="仿宋" w:hAnsi="仿宋" w:eastAsia="仿宋"/>
          <w:sz w:val="32"/>
          <w:szCs w:val="32"/>
        </w:rPr>
        <w:t>个方面对项目的决策进行考察，项目决策类指标分值</w:t>
      </w:r>
      <w:r>
        <w:rPr>
          <w:rFonts w:hint="eastAsia" w:ascii="仿宋" w:hAnsi="仿宋" w:eastAsia="仿宋"/>
          <w:sz w:val="32"/>
          <w:szCs w:val="32"/>
          <w:lang w:val="en-US" w:eastAsia="zh-CN"/>
        </w:rPr>
        <w:t>5</w:t>
      </w:r>
      <w:r>
        <w:rPr>
          <w:rFonts w:hint="eastAsia" w:ascii="仿宋" w:hAnsi="仿宋" w:eastAsia="仿宋"/>
          <w:sz w:val="32"/>
          <w:szCs w:val="32"/>
        </w:rPr>
        <w:t>分，实际得分</w:t>
      </w:r>
      <w:r>
        <w:rPr>
          <w:rFonts w:hint="eastAsia" w:ascii="仿宋" w:hAnsi="仿宋" w:eastAsia="仿宋"/>
          <w:sz w:val="32"/>
          <w:szCs w:val="32"/>
          <w:lang w:val="en-US" w:eastAsia="zh-CN"/>
        </w:rPr>
        <w:t>5</w:t>
      </w:r>
      <w:r>
        <w:rPr>
          <w:rFonts w:hint="eastAsia" w:ascii="仿宋" w:hAnsi="仿宋" w:eastAsia="仿宋"/>
          <w:sz w:val="32"/>
          <w:szCs w:val="32"/>
        </w:rPr>
        <w:t>分，得分率100</w:t>
      </w:r>
      <w:r>
        <w:rPr>
          <w:rFonts w:ascii="仿宋" w:hAnsi="仿宋" w:eastAsia="仿宋"/>
          <w:sz w:val="32"/>
          <w:szCs w:val="32"/>
        </w:rPr>
        <w:t>%</w:t>
      </w:r>
      <w:r>
        <w:rPr>
          <w:rFonts w:hint="eastAsia" w:ascii="仿宋" w:hAnsi="仿宋" w:eastAsia="仿宋"/>
          <w:sz w:val="32"/>
          <w:szCs w:val="32"/>
        </w:rPr>
        <w:t>。项目决策指标得分</w:t>
      </w:r>
      <w:r>
        <w:rPr>
          <w:rFonts w:hint="eastAsia" w:ascii="仿宋" w:hAnsi="仿宋" w:eastAsia="仿宋" w:cs="宋体"/>
          <w:sz w:val="32"/>
          <w:szCs w:val="32"/>
        </w:rPr>
        <w:t>情况如表所示。</w:t>
      </w:r>
    </w:p>
    <w:tbl>
      <w:tblPr>
        <w:tblStyle w:val="19"/>
        <w:tblW w:w="8522" w:type="dxa"/>
        <w:tblInd w:w="0" w:type="dxa"/>
        <w:tblLayout w:type="fixed"/>
        <w:tblCellMar>
          <w:top w:w="0" w:type="dxa"/>
          <w:left w:w="108" w:type="dxa"/>
          <w:bottom w:w="0" w:type="dxa"/>
          <w:right w:w="108" w:type="dxa"/>
        </w:tblCellMar>
      </w:tblPr>
      <w:tblGrid>
        <w:gridCol w:w="2515"/>
        <w:gridCol w:w="2269"/>
        <w:gridCol w:w="1986"/>
        <w:gridCol w:w="1752"/>
      </w:tblGrid>
      <w:tr w14:paraId="0122FC83">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14:paraId="29440D0F">
            <w:pPr>
              <w:pageBreakBefore w:val="0"/>
              <w:kinsoku/>
              <w:wordWrap/>
              <w:overflowPunct/>
              <w:topLinePunct w:val="0"/>
              <w:autoSpaceDE/>
              <w:autoSpaceDN/>
              <w:bidi w:val="0"/>
              <w:adjustRightInd/>
              <w:snapToGrid/>
              <w:spacing w:line="560" w:lineRule="exact"/>
              <w:jc w:val="center"/>
              <w:textAlignment w:val="auto"/>
              <w:rPr>
                <w:rFonts w:ascii="黑体" w:hAnsi="黑体" w:eastAsia="黑体" w:cs="Tahoma"/>
                <w:sz w:val="28"/>
                <w:szCs w:val="28"/>
              </w:rPr>
            </w:pPr>
            <w:r>
              <w:rPr>
                <w:rFonts w:hint="eastAsia" w:ascii="黑体" w:hAnsi="黑体" w:eastAsia="黑体" w:cs="Tahoma"/>
                <w:sz w:val="28"/>
                <w:szCs w:val="28"/>
              </w:rPr>
              <w:t>项目决策指标得分情况</w:t>
            </w:r>
          </w:p>
        </w:tc>
      </w:tr>
      <w:tr w14:paraId="2DAB93CC">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14:paraId="14C2DD1A">
            <w:pPr>
              <w:pageBreakBefore w:val="0"/>
              <w:kinsoku/>
              <w:wordWrap/>
              <w:overflowPunct/>
              <w:topLinePunct w:val="0"/>
              <w:autoSpaceDE/>
              <w:autoSpaceDN/>
              <w:bidi w:val="0"/>
              <w:adjustRightInd/>
              <w:snapToGrid/>
              <w:spacing w:line="560" w:lineRule="exact"/>
              <w:jc w:val="center"/>
              <w:textAlignment w:val="auto"/>
              <w:rPr>
                <w:rFonts w:ascii="仿宋" w:hAnsi="仿宋" w:eastAsia="仿宋" w:cs="Tahoma"/>
                <w:b/>
                <w:bCs/>
              </w:rPr>
            </w:pPr>
            <w:r>
              <w:rPr>
                <w:rFonts w:hint="eastAsia" w:ascii="仿宋" w:hAnsi="仿宋" w:eastAsia="仿宋" w:cs="Tahoma"/>
                <w:b/>
                <w:bCs/>
                <w:lang w:val="en-US" w:eastAsia="zh-CN"/>
              </w:rPr>
              <w:t>二</w:t>
            </w:r>
            <w:r>
              <w:rPr>
                <w:rFonts w:hint="eastAsia" w:ascii="仿宋" w:hAnsi="仿宋" w:eastAsia="仿宋" w:cs="Tahoma"/>
                <w:b/>
                <w:bCs/>
              </w:rPr>
              <w:t>级指标</w:t>
            </w:r>
          </w:p>
        </w:tc>
        <w:tc>
          <w:tcPr>
            <w:tcW w:w="2269" w:type="dxa"/>
            <w:tcBorders>
              <w:top w:val="nil"/>
              <w:left w:val="nil"/>
              <w:bottom w:val="single" w:color="auto" w:sz="8" w:space="0"/>
              <w:right w:val="single" w:color="auto" w:sz="8" w:space="0"/>
            </w:tcBorders>
            <w:shd w:val="clear" w:color="000000" w:fill="A6A6A6"/>
            <w:vAlign w:val="center"/>
          </w:tcPr>
          <w:p w14:paraId="7017E9FF">
            <w:pPr>
              <w:pageBreakBefore w:val="0"/>
              <w:kinsoku/>
              <w:wordWrap/>
              <w:overflowPunct/>
              <w:topLinePunct w:val="0"/>
              <w:autoSpaceDE/>
              <w:autoSpaceDN/>
              <w:bidi w:val="0"/>
              <w:adjustRightInd/>
              <w:snapToGrid/>
              <w:spacing w:line="560" w:lineRule="exact"/>
              <w:jc w:val="center"/>
              <w:textAlignment w:val="auto"/>
              <w:rPr>
                <w:rFonts w:ascii="仿宋" w:hAnsi="仿宋" w:eastAsia="仿宋" w:cs="Tahoma"/>
                <w:b/>
                <w:bCs/>
              </w:rPr>
            </w:pPr>
            <w:r>
              <w:rPr>
                <w:rFonts w:hint="eastAsia" w:ascii="仿宋" w:hAnsi="仿宋" w:eastAsia="仿宋" w:cs="Tahoma"/>
                <w:b/>
                <w:bCs/>
              </w:rPr>
              <w:t>权重</w:t>
            </w:r>
          </w:p>
        </w:tc>
        <w:tc>
          <w:tcPr>
            <w:tcW w:w="1986" w:type="dxa"/>
            <w:tcBorders>
              <w:top w:val="nil"/>
              <w:left w:val="nil"/>
              <w:bottom w:val="single" w:color="auto" w:sz="8" w:space="0"/>
              <w:right w:val="single" w:color="auto" w:sz="8" w:space="0"/>
            </w:tcBorders>
            <w:shd w:val="clear" w:color="000000" w:fill="A6A6A6"/>
            <w:vAlign w:val="center"/>
          </w:tcPr>
          <w:p w14:paraId="66C51390">
            <w:pPr>
              <w:pageBreakBefore w:val="0"/>
              <w:kinsoku/>
              <w:wordWrap/>
              <w:overflowPunct/>
              <w:topLinePunct w:val="0"/>
              <w:autoSpaceDE/>
              <w:autoSpaceDN/>
              <w:bidi w:val="0"/>
              <w:adjustRightInd/>
              <w:snapToGrid/>
              <w:spacing w:line="560" w:lineRule="exact"/>
              <w:jc w:val="center"/>
              <w:textAlignment w:val="auto"/>
              <w:rPr>
                <w:rFonts w:ascii="仿宋" w:hAnsi="仿宋" w:eastAsia="仿宋" w:cs="Tahoma"/>
                <w:b/>
                <w:bCs/>
              </w:rPr>
            </w:pPr>
            <w:r>
              <w:rPr>
                <w:rFonts w:hint="eastAsia" w:ascii="仿宋" w:hAnsi="仿宋" w:eastAsia="仿宋" w:cs="Tahoma"/>
                <w:b/>
                <w:bCs/>
              </w:rPr>
              <w:t>得分率</w:t>
            </w:r>
          </w:p>
        </w:tc>
        <w:tc>
          <w:tcPr>
            <w:tcW w:w="1752" w:type="dxa"/>
            <w:tcBorders>
              <w:top w:val="nil"/>
              <w:left w:val="nil"/>
              <w:bottom w:val="single" w:color="auto" w:sz="8" w:space="0"/>
              <w:right w:val="single" w:color="auto" w:sz="8" w:space="0"/>
            </w:tcBorders>
            <w:shd w:val="clear" w:color="000000" w:fill="A6A6A6"/>
            <w:vAlign w:val="center"/>
          </w:tcPr>
          <w:p w14:paraId="7CB42B08">
            <w:pPr>
              <w:pageBreakBefore w:val="0"/>
              <w:kinsoku/>
              <w:wordWrap/>
              <w:overflowPunct/>
              <w:topLinePunct w:val="0"/>
              <w:autoSpaceDE/>
              <w:autoSpaceDN/>
              <w:bidi w:val="0"/>
              <w:adjustRightInd/>
              <w:snapToGrid/>
              <w:spacing w:line="560" w:lineRule="exact"/>
              <w:jc w:val="center"/>
              <w:textAlignment w:val="auto"/>
              <w:rPr>
                <w:rFonts w:ascii="仿宋" w:hAnsi="仿宋" w:eastAsia="仿宋" w:cs="Tahoma"/>
                <w:b/>
                <w:bCs/>
              </w:rPr>
            </w:pPr>
            <w:r>
              <w:rPr>
                <w:rFonts w:hint="eastAsia" w:ascii="仿宋" w:hAnsi="仿宋" w:eastAsia="仿宋" w:cs="Tahoma"/>
                <w:b/>
                <w:bCs/>
              </w:rPr>
              <w:t>实际得分</w:t>
            </w:r>
          </w:p>
        </w:tc>
      </w:tr>
      <w:tr w14:paraId="56726732">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14:paraId="10C30E37">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rPr>
              <w:t>项目</w:t>
            </w:r>
            <w:r>
              <w:rPr>
                <w:rFonts w:hint="eastAsia" w:ascii="宋体" w:hAnsi="宋体" w:eastAsia="宋体" w:cs="宋体"/>
                <w:sz w:val="18"/>
                <w:szCs w:val="18"/>
                <w:lang w:val="en-US" w:eastAsia="zh-CN"/>
              </w:rPr>
              <w:t>立项</w:t>
            </w:r>
          </w:p>
        </w:tc>
        <w:tc>
          <w:tcPr>
            <w:tcW w:w="2269" w:type="dxa"/>
            <w:tcBorders>
              <w:top w:val="nil"/>
              <w:left w:val="nil"/>
              <w:bottom w:val="single" w:color="auto" w:sz="8" w:space="0"/>
              <w:right w:val="single" w:color="auto" w:sz="8" w:space="0"/>
            </w:tcBorders>
            <w:vAlign w:val="center"/>
          </w:tcPr>
          <w:p w14:paraId="64A4710D">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1</w:t>
            </w:r>
          </w:p>
        </w:tc>
        <w:tc>
          <w:tcPr>
            <w:tcW w:w="1986" w:type="dxa"/>
            <w:tcBorders>
              <w:top w:val="nil"/>
              <w:left w:val="nil"/>
              <w:bottom w:val="single" w:color="auto" w:sz="8" w:space="0"/>
              <w:right w:val="single" w:color="auto" w:sz="8" w:space="0"/>
            </w:tcBorders>
            <w:vAlign w:val="center"/>
          </w:tcPr>
          <w:p w14:paraId="6FD0F11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752" w:type="dxa"/>
            <w:tcBorders>
              <w:top w:val="nil"/>
              <w:left w:val="nil"/>
              <w:bottom w:val="single" w:color="auto" w:sz="8" w:space="0"/>
              <w:right w:val="single" w:color="auto" w:sz="8" w:space="0"/>
            </w:tcBorders>
            <w:vAlign w:val="center"/>
          </w:tcPr>
          <w:p w14:paraId="3B1753A4">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w:t>
            </w:r>
          </w:p>
        </w:tc>
      </w:tr>
      <w:tr w14:paraId="19EE3DBF">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14:paraId="488582BA">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绩效目标</w:t>
            </w:r>
          </w:p>
        </w:tc>
        <w:tc>
          <w:tcPr>
            <w:tcW w:w="2269" w:type="dxa"/>
            <w:tcBorders>
              <w:top w:val="nil"/>
              <w:left w:val="nil"/>
              <w:bottom w:val="single" w:color="auto" w:sz="8" w:space="0"/>
              <w:right w:val="single" w:color="auto" w:sz="8" w:space="0"/>
            </w:tcBorders>
            <w:vAlign w:val="center"/>
          </w:tcPr>
          <w:p w14:paraId="370FE336">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1986" w:type="dxa"/>
            <w:tcBorders>
              <w:top w:val="nil"/>
              <w:left w:val="nil"/>
              <w:bottom w:val="single" w:color="auto" w:sz="8" w:space="0"/>
              <w:right w:val="single" w:color="auto" w:sz="8" w:space="0"/>
            </w:tcBorders>
            <w:vAlign w:val="center"/>
          </w:tcPr>
          <w:p w14:paraId="079BDDBE">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752" w:type="dxa"/>
            <w:tcBorders>
              <w:top w:val="nil"/>
              <w:left w:val="nil"/>
              <w:bottom w:val="single" w:color="auto" w:sz="8" w:space="0"/>
              <w:right w:val="single" w:color="auto" w:sz="8" w:space="0"/>
            </w:tcBorders>
            <w:vAlign w:val="center"/>
          </w:tcPr>
          <w:p w14:paraId="23F77B6D">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r>
      <w:tr w14:paraId="2067D4C9">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14:paraId="367273C4">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资金投入</w:t>
            </w:r>
          </w:p>
        </w:tc>
        <w:tc>
          <w:tcPr>
            <w:tcW w:w="2269" w:type="dxa"/>
            <w:tcBorders>
              <w:top w:val="nil"/>
              <w:left w:val="nil"/>
              <w:bottom w:val="single" w:color="auto" w:sz="8" w:space="0"/>
              <w:right w:val="single" w:color="auto" w:sz="8" w:space="0"/>
            </w:tcBorders>
            <w:vAlign w:val="center"/>
          </w:tcPr>
          <w:p w14:paraId="5385004A">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1986" w:type="dxa"/>
            <w:tcBorders>
              <w:top w:val="nil"/>
              <w:left w:val="nil"/>
              <w:bottom w:val="single" w:color="auto" w:sz="8" w:space="0"/>
              <w:right w:val="single" w:color="auto" w:sz="8" w:space="0"/>
            </w:tcBorders>
            <w:vAlign w:val="center"/>
          </w:tcPr>
          <w:p w14:paraId="2BAFF012">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752" w:type="dxa"/>
            <w:tcBorders>
              <w:top w:val="nil"/>
              <w:left w:val="nil"/>
              <w:bottom w:val="single" w:color="auto" w:sz="8" w:space="0"/>
              <w:right w:val="single" w:color="auto" w:sz="8" w:space="0"/>
            </w:tcBorders>
            <w:vAlign w:val="center"/>
          </w:tcPr>
          <w:p w14:paraId="449EB2FB">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2</w:t>
            </w:r>
          </w:p>
        </w:tc>
      </w:tr>
      <w:tr w14:paraId="52F57E74">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14:paraId="178242DF">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合  计</w:t>
            </w:r>
          </w:p>
        </w:tc>
        <w:tc>
          <w:tcPr>
            <w:tcW w:w="2269" w:type="dxa"/>
            <w:tcBorders>
              <w:top w:val="single" w:color="auto" w:sz="8" w:space="0"/>
              <w:left w:val="nil"/>
              <w:bottom w:val="single" w:color="auto" w:sz="8" w:space="0"/>
              <w:right w:val="single" w:color="auto" w:sz="8" w:space="0"/>
            </w:tcBorders>
            <w:vAlign w:val="center"/>
          </w:tcPr>
          <w:p w14:paraId="2352B0B3">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1986" w:type="dxa"/>
            <w:tcBorders>
              <w:top w:val="single" w:color="auto" w:sz="8" w:space="0"/>
              <w:left w:val="nil"/>
              <w:bottom w:val="single" w:color="auto" w:sz="8" w:space="0"/>
              <w:right w:val="single" w:color="auto" w:sz="8" w:space="0"/>
            </w:tcBorders>
            <w:vAlign w:val="center"/>
          </w:tcPr>
          <w:p w14:paraId="68DD2D58">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752" w:type="dxa"/>
            <w:tcBorders>
              <w:top w:val="single" w:color="auto" w:sz="8" w:space="0"/>
              <w:left w:val="nil"/>
              <w:bottom w:val="single" w:color="auto" w:sz="8" w:space="0"/>
              <w:right w:val="single" w:color="auto" w:sz="8" w:space="0"/>
            </w:tcBorders>
            <w:vAlign w:val="center"/>
          </w:tcPr>
          <w:p w14:paraId="3E7DCF5F">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r>
    </w:tbl>
    <w:p w14:paraId="0962A536">
      <w:pPr>
        <w:pStyle w:val="5"/>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仿宋" w:hAnsi="仿宋" w:eastAsia="仿宋" w:cs="Times New Roman"/>
          <w:b w:val="0"/>
          <w:bCs w:val="0"/>
          <w:kern w:val="2"/>
          <w:sz w:val="32"/>
          <w:szCs w:val="32"/>
          <w:lang w:val="en-US" w:eastAsia="zh-CN" w:bidi="ar-SA"/>
        </w:rPr>
      </w:pPr>
      <w:r>
        <w:rPr>
          <w:rFonts w:hint="eastAsia" w:ascii="仿宋" w:hAnsi="仿宋" w:eastAsia="仿宋" w:cs="Times New Roman"/>
          <w:b w:val="0"/>
          <w:bCs w:val="0"/>
          <w:kern w:val="2"/>
          <w:sz w:val="32"/>
          <w:szCs w:val="32"/>
          <w:lang w:val="en-US" w:eastAsia="zh-CN" w:bidi="ar-SA"/>
        </w:rPr>
        <w:t>对于“项目立项”，塔城地区第一高级中学综合楼项目目标明确、细化、量化，符合要求，根据评分标准，实际得分率为100%。</w:t>
      </w:r>
    </w:p>
    <w:p w14:paraId="4ACC0E3E">
      <w:pPr>
        <w:pStyle w:val="5"/>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default" w:ascii="仿宋" w:hAnsi="仿宋" w:eastAsia="仿宋" w:cs="Times New Roman"/>
          <w:b w:val="0"/>
          <w:bCs w:val="0"/>
          <w:kern w:val="2"/>
          <w:sz w:val="32"/>
          <w:szCs w:val="32"/>
          <w:lang w:val="en-US" w:eastAsia="zh-CN" w:bidi="ar-SA"/>
        </w:rPr>
      </w:pPr>
      <w:r>
        <w:rPr>
          <w:rFonts w:hint="eastAsia" w:ascii="仿宋" w:hAnsi="仿宋" w:eastAsia="仿宋" w:cs="Times New Roman"/>
          <w:b w:val="0"/>
          <w:bCs w:val="0"/>
          <w:kern w:val="2"/>
          <w:sz w:val="32"/>
          <w:szCs w:val="32"/>
          <w:lang w:val="en-US" w:eastAsia="zh-CN" w:bidi="ar-SA"/>
        </w:rPr>
        <w:t>对于“绩效目标”，塔城地区第一高级中学综合楼项目，严格按照实际需求设置资金需求、面积需求、工作需求设置。实际得分率为100%。</w:t>
      </w:r>
    </w:p>
    <w:p w14:paraId="08074E61">
      <w:pPr>
        <w:pStyle w:val="5"/>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楷体_GB2312" w:hAnsi="楷体_GB2312" w:eastAsia="楷体_GB2312" w:cs="楷体_GB2312"/>
        </w:rPr>
      </w:pPr>
      <w:r>
        <w:rPr>
          <w:rFonts w:hint="eastAsia" w:ascii="仿宋" w:hAnsi="仿宋" w:eastAsia="仿宋" w:cs="Times New Roman"/>
          <w:b w:val="0"/>
          <w:bCs w:val="0"/>
          <w:kern w:val="2"/>
          <w:sz w:val="32"/>
          <w:szCs w:val="32"/>
          <w:lang w:val="en-US" w:eastAsia="zh-CN" w:bidi="ar-SA"/>
        </w:rPr>
        <w:t>对于“资金分配”， 塔城地区第一高级中学综合楼支出项目资金分配办法健全、规范，项目符合相关分配办法，资金分配合理。根据评分标准，该指标实际得分率100%。</w:t>
      </w:r>
    </w:p>
    <w:p w14:paraId="2A34DB27">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14:paraId="6F4790B9">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宋体"/>
          <w:sz w:val="32"/>
          <w:szCs w:val="32"/>
        </w:rPr>
      </w:pPr>
      <w:r>
        <w:rPr>
          <w:rFonts w:hint="eastAsia" w:ascii="仿宋" w:hAnsi="仿宋" w:eastAsia="仿宋" w:cs="宋体"/>
          <w:sz w:val="32"/>
          <w:szCs w:val="32"/>
        </w:rPr>
        <w:t>项目管理指标从资金到位、资金管理和组织实施3</w:t>
      </w:r>
      <w:r>
        <w:rPr>
          <w:rFonts w:hint="eastAsia" w:ascii="仿宋" w:hAnsi="仿宋" w:eastAsia="仿宋"/>
          <w:sz w:val="32"/>
          <w:szCs w:val="32"/>
        </w:rPr>
        <w:t>个方面对项目管理情况进行考察。项目</w:t>
      </w:r>
      <w:r>
        <w:rPr>
          <w:rFonts w:hint="eastAsia" w:ascii="仿宋" w:hAnsi="仿宋" w:eastAsia="仿宋"/>
          <w:sz w:val="32"/>
          <w:szCs w:val="32"/>
          <w:lang w:val="en-US" w:eastAsia="zh-CN"/>
        </w:rPr>
        <w:t>过程</w:t>
      </w:r>
      <w:r>
        <w:rPr>
          <w:rFonts w:hint="eastAsia" w:ascii="仿宋" w:hAnsi="仿宋" w:eastAsia="仿宋"/>
          <w:sz w:val="32"/>
          <w:szCs w:val="32"/>
        </w:rPr>
        <w:t>类指标分值</w:t>
      </w:r>
      <w:r>
        <w:rPr>
          <w:rFonts w:hint="eastAsia" w:ascii="仿宋" w:hAnsi="仿宋" w:eastAsia="仿宋"/>
          <w:sz w:val="32"/>
          <w:szCs w:val="32"/>
          <w:lang w:val="en-US" w:eastAsia="zh-CN"/>
        </w:rPr>
        <w:t>5</w:t>
      </w:r>
      <w:r>
        <w:rPr>
          <w:rFonts w:hint="eastAsia" w:ascii="仿宋" w:hAnsi="仿宋" w:eastAsia="仿宋"/>
          <w:sz w:val="32"/>
          <w:szCs w:val="32"/>
        </w:rPr>
        <w:t>分，实际得分</w:t>
      </w:r>
      <w:r>
        <w:rPr>
          <w:rFonts w:hint="eastAsia" w:ascii="仿宋" w:hAnsi="仿宋" w:eastAsia="仿宋"/>
          <w:sz w:val="32"/>
          <w:szCs w:val="32"/>
          <w:lang w:val="en-US" w:eastAsia="zh-CN"/>
        </w:rPr>
        <w:t>5</w:t>
      </w:r>
      <w:r>
        <w:rPr>
          <w:rFonts w:hint="eastAsia" w:ascii="仿宋" w:hAnsi="仿宋" w:eastAsia="仿宋"/>
          <w:sz w:val="32"/>
          <w:szCs w:val="32"/>
        </w:rPr>
        <w:t>分，得分率为</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。项目管理指标得分</w:t>
      </w:r>
      <w:r>
        <w:rPr>
          <w:rFonts w:hint="eastAsia" w:ascii="仿宋" w:hAnsi="仿宋" w:eastAsia="仿宋" w:cs="宋体"/>
          <w:sz w:val="32"/>
          <w:szCs w:val="32"/>
        </w:rPr>
        <w:t>情况如表所示。</w:t>
      </w:r>
    </w:p>
    <w:tbl>
      <w:tblPr>
        <w:tblStyle w:val="19"/>
        <w:tblW w:w="8522" w:type="dxa"/>
        <w:tblInd w:w="0" w:type="dxa"/>
        <w:tblLayout w:type="fixed"/>
        <w:tblCellMar>
          <w:top w:w="0" w:type="dxa"/>
          <w:left w:w="108" w:type="dxa"/>
          <w:bottom w:w="0" w:type="dxa"/>
          <w:right w:w="108" w:type="dxa"/>
        </w:tblCellMar>
      </w:tblPr>
      <w:tblGrid>
        <w:gridCol w:w="2232"/>
        <w:gridCol w:w="2407"/>
        <w:gridCol w:w="1986"/>
        <w:gridCol w:w="1897"/>
      </w:tblGrid>
      <w:tr w14:paraId="0790D0A3">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14:paraId="29D24732">
            <w:pPr>
              <w:pageBreakBefore w:val="0"/>
              <w:kinsoku/>
              <w:wordWrap/>
              <w:overflowPunct/>
              <w:topLinePunct w:val="0"/>
              <w:autoSpaceDE/>
              <w:autoSpaceDN/>
              <w:bidi w:val="0"/>
              <w:adjustRightInd/>
              <w:snapToGrid/>
              <w:spacing w:line="560" w:lineRule="exact"/>
              <w:jc w:val="center"/>
              <w:textAlignment w:val="auto"/>
              <w:rPr>
                <w:rFonts w:ascii="黑体" w:hAnsi="黑体" w:eastAsia="黑体" w:cs="宋体"/>
                <w:sz w:val="24"/>
              </w:rPr>
            </w:pPr>
            <w:r>
              <w:rPr>
                <w:rFonts w:hint="eastAsia" w:ascii="黑体" w:hAnsi="黑体" w:eastAsia="黑体" w:cs="宋体"/>
                <w:sz w:val="28"/>
                <w:lang w:val="en-US" w:eastAsia="zh-CN"/>
              </w:rPr>
              <w:t>过程</w:t>
            </w:r>
            <w:r>
              <w:rPr>
                <w:rFonts w:hint="eastAsia" w:ascii="黑体" w:hAnsi="黑体" w:eastAsia="黑体" w:cs="宋体"/>
                <w:sz w:val="28"/>
              </w:rPr>
              <w:t>指标得分情况</w:t>
            </w:r>
          </w:p>
        </w:tc>
      </w:tr>
      <w:tr w14:paraId="4D5B5AB3">
        <w:tblPrEx>
          <w:tblCellMar>
            <w:top w:w="0" w:type="dxa"/>
            <w:left w:w="108" w:type="dxa"/>
            <w:bottom w:w="0" w:type="dxa"/>
            <w:right w:w="108" w:type="dxa"/>
          </w:tblCellMar>
        </w:tblPrEx>
        <w:trPr>
          <w:trHeight w:val="510" w:hRule="exact"/>
          <w:tblHeader/>
        </w:trPr>
        <w:tc>
          <w:tcPr>
            <w:tcW w:w="2232" w:type="dxa"/>
            <w:tcBorders>
              <w:top w:val="nil"/>
              <w:left w:val="single" w:color="auto" w:sz="8" w:space="0"/>
              <w:bottom w:val="nil"/>
              <w:right w:val="single" w:color="auto" w:sz="8" w:space="0"/>
            </w:tcBorders>
            <w:shd w:val="clear" w:color="000000" w:fill="A6A6A6"/>
            <w:vAlign w:val="center"/>
          </w:tcPr>
          <w:p w14:paraId="67673708">
            <w:pPr>
              <w:pageBreakBefore w:val="0"/>
              <w:kinsoku/>
              <w:wordWrap/>
              <w:overflowPunct/>
              <w:topLinePunct w:val="0"/>
              <w:autoSpaceDE/>
              <w:autoSpaceDN/>
              <w:bidi w:val="0"/>
              <w:adjustRightInd/>
              <w:snapToGrid/>
              <w:spacing w:line="560" w:lineRule="exact"/>
              <w:jc w:val="center"/>
              <w:textAlignment w:val="auto"/>
              <w:rPr>
                <w:rFonts w:ascii="仿宋" w:hAnsi="仿宋" w:eastAsia="仿宋" w:cs="宋体"/>
                <w:b/>
                <w:bCs/>
                <w:sz w:val="24"/>
              </w:rPr>
            </w:pPr>
            <w:r>
              <w:rPr>
                <w:rFonts w:hint="eastAsia" w:ascii="仿宋" w:hAnsi="仿宋" w:eastAsia="仿宋" w:cs="宋体"/>
                <w:b/>
                <w:bCs/>
                <w:sz w:val="24"/>
              </w:rPr>
              <w:t>三级指标</w:t>
            </w:r>
          </w:p>
        </w:tc>
        <w:tc>
          <w:tcPr>
            <w:tcW w:w="2407" w:type="dxa"/>
            <w:tcBorders>
              <w:top w:val="nil"/>
              <w:left w:val="nil"/>
              <w:bottom w:val="nil"/>
              <w:right w:val="single" w:color="auto" w:sz="8" w:space="0"/>
            </w:tcBorders>
            <w:shd w:val="clear" w:color="000000" w:fill="A6A6A6"/>
            <w:vAlign w:val="center"/>
          </w:tcPr>
          <w:p w14:paraId="6BB97A88">
            <w:pPr>
              <w:pageBreakBefore w:val="0"/>
              <w:kinsoku/>
              <w:wordWrap/>
              <w:overflowPunct/>
              <w:topLinePunct w:val="0"/>
              <w:autoSpaceDE/>
              <w:autoSpaceDN/>
              <w:bidi w:val="0"/>
              <w:adjustRightInd/>
              <w:snapToGrid/>
              <w:spacing w:line="560" w:lineRule="exact"/>
              <w:jc w:val="center"/>
              <w:textAlignment w:val="auto"/>
              <w:rPr>
                <w:rFonts w:ascii="仿宋" w:hAnsi="仿宋" w:eastAsia="仿宋" w:cs="宋体"/>
                <w:b/>
                <w:bCs/>
                <w:sz w:val="24"/>
              </w:rPr>
            </w:pPr>
            <w:r>
              <w:rPr>
                <w:rFonts w:hint="eastAsia" w:ascii="仿宋" w:hAnsi="仿宋" w:eastAsia="仿宋" w:cs="宋体"/>
                <w:b/>
                <w:bCs/>
                <w:sz w:val="24"/>
              </w:rPr>
              <w:t>权重</w:t>
            </w:r>
          </w:p>
        </w:tc>
        <w:tc>
          <w:tcPr>
            <w:tcW w:w="1986" w:type="dxa"/>
            <w:tcBorders>
              <w:top w:val="nil"/>
              <w:left w:val="nil"/>
              <w:bottom w:val="nil"/>
              <w:right w:val="single" w:color="auto" w:sz="8" w:space="0"/>
            </w:tcBorders>
            <w:shd w:val="clear" w:color="000000" w:fill="A6A6A6"/>
            <w:vAlign w:val="center"/>
          </w:tcPr>
          <w:p w14:paraId="4F5AB554">
            <w:pPr>
              <w:pageBreakBefore w:val="0"/>
              <w:kinsoku/>
              <w:wordWrap/>
              <w:overflowPunct/>
              <w:topLinePunct w:val="0"/>
              <w:autoSpaceDE/>
              <w:autoSpaceDN/>
              <w:bidi w:val="0"/>
              <w:adjustRightInd/>
              <w:snapToGrid/>
              <w:spacing w:line="560" w:lineRule="exact"/>
              <w:jc w:val="center"/>
              <w:textAlignment w:val="auto"/>
              <w:rPr>
                <w:rFonts w:ascii="仿宋" w:hAnsi="仿宋" w:eastAsia="仿宋" w:cs="宋体"/>
                <w:b/>
                <w:bCs/>
                <w:sz w:val="24"/>
              </w:rPr>
            </w:pPr>
            <w:r>
              <w:rPr>
                <w:rFonts w:hint="eastAsia" w:ascii="仿宋" w:hAnsi="仿宋" w:eastAsia="仿宋" w:cs="宋体"/>
                <w:b/>
                <w:bCs/>
                <w:sz w:val="24"/>
              </w:rPr>
              <w:t>得分率</w:t>
            </w:r>
          </w:p>
        </w:tc>
        <w:tc>
          <w:tcPr>
            <w:tcW w:w="1897" w:type="dxa"/>
            <w:tcBorders>
              <w:top w:val="nil"/>
              <w:left w:val="nil"/>
              <w:bottom w:val="nil"/>
              <w:right w:val="single" w:color="auto" w:sz="8" w:space="0"/>
            </w:tcBorders>
            <w:shd w:val="clear" w:color="000000" w:fill="A6A6A6"/>
            <w:vAlign w:val="center"/>
          </w:tcPr>
          <w:p w14:paraId="5108FAD5">
            <w:pPr>
              <w:pageBreakBefore w:val="0"/>
              <w:kinsoku/>
              <w:wordWrap/>
              <w:overflowPunct/>
              <w:topLinePunct w:val="0"/>
              <w:autoSpaceDE/>
              <w:autoSpaceDN/>
              <w:bidi w:val="0"/>
              <w:adjustRightInd/>
              <w:snapToGrid/>
              <w:spacing w:line="560" w:lineRule="exact"/>
              <w:jc w:val="center"/>
              <w:textAlignment w:val="auto"/>
              <w:rPr>
                <w:rFonts w:ascii="仿宋" w:hAnsi="仿宋" w:eastAsia="仿宋" w:cs="宋体"/>
                <w:b/>
                <w:bCs/>
                <w:sz w:val="24"/>
              </w:rPr>
            </w:pPr>
            <w:r>
              <w:rPr>
                <w:rFonts w:hint="eastAsia" w:ascii="仿宋" w:hAnsi="仿宋" w:eastAsia="仿宋" w:cs="宋体"/>
                <w:b/>
                <w:bCs/>
                <w:sz w:val="24"/>
              </w:rPr>
              <w:t>实际得分</w:t>
            </w:r>
          </w:p>
        </w:tc>
      </w:tr>
      <w:tr w14:paraId="129C2CAA">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14:paraId="650BF74E">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资金到位率</w:t>
            </w:r>
          </w:p>
        </w:tc>
        <w:tc>
          <w:tcPr>
            <w:tcW w:w="2407" w:type="dxa"/>
            <w:tcBorders>
              <w:top w:val="single" w:color="auto" w:sz="4" w:space="0"/>
              <w:left w:val="nil"/>
              <w:bottom w:val="single" w:color="auto" w:sz="4" w:space="0"/>
              <w:right w:val="single" w:color="auto" w:sz="4" w:space="0"/>
            </w:tcBorders>
            <w:noWrap/>
            <w:vAlign w:val="center"/>
          </w:tcPr>
          <w:p w14:paraId="742ECCD0">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86" w:type="dxa"/>
            <w:tcBorders>
              <w:top w:val="single" w:color="auto" w:sz="4" w:space="0"/>
              <w:left w:val="nil"/>
              <w:bottom w:val="single" w:color="auto" w:sz="4" w:space="0"/>
              <w:right w:val="single" w:color="auto" w:sz="4" w:space="0"/>
            </w:tcBorders>
            <w:vAlign w:val="center"/>
          </w:tcPr>
          <w:p w14:paraId="249D635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897" w:type="dxa"/>
            <w:tcBorders>
              <w:top w:val="single" w:color="auto" w:sz="4" w:space="0"/>
              <w:left w:val="nil"/>
              <w:bottom w:val="single" w:color="auto" w:sz="4" w:space="0"/>
              <w:right w:val="single" w:color="auto" w:sz="4" w:space="0"/>
            </w:tcBorders>
            <w:noWrap/>
            <w:vAlign w:val="center"/>
          </w:tcPr>
          <w:p w14:paraId="34ECB2CB">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w:t>
            </w:r>
          </w:p>
        </w:tc>
      </w:tr>
      <w:tr w14:paraId="217EB4A7">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14:paraId="1FB3FC54">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资金执行率</w:t>
            </w:r>
          </w:p>
        </w:tc>
        <w:tc>
          <w:tcPr>
            <w:tcW w:w="2407" w:type="dxa"/>
            <w:tcBorders>
              <w:top w:val="nil"/>
              <w:left w:val="nil"/>
              <w:bottom w:val="single" w:color="auto" w:sz="4" w:space="0"/>
              <w:right w:val="single" w:color="auto" w:sz="4" w:space="0"/>
            </w:tcBorders>
            <w:noWrap/>
            <w:vAlign w:val="center"/>
          </w:tcPr>
          <w:p w14:paraId="1478AD9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86" w:type="dxa"/>
            <w:tcBorders>
              <w:top w:val="nil"/>
              <w:left w:val="nil"/>
              <w:bottom w:val="single" w:color="auto" w:sz="4" w:space="0"/>
              <w:right w:val="single" w:color="auto" w:sz="4" w:space="0"/>
            </w:tcBorders>
            <w:vAlign w:val="center"/>
          </w:tcPr>
          <w:p w14:paraId="62F786D7">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897" w:type="dxa"/>
            <w:tcBorders>
              <w:top w:val="nil"/>
              <w:left w:val="nil"/>
              <w:bottom w:val="single" w:color="auto" w:sz="4" w:space="0"/>
              <w:right w:val="single" w:color="auto" w:sz="4" w:space="0"/>
            </w:tcBorders>
            <w:noWrap/>
            <w:vAlign w:val="center"/>
          </w:tcPr>
          <w:p w14:paraId="2459F722">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w:t>
            </w:r>
          </w:p>
        </w:tc>
      </w:tr>
      <w:tr w14:paraId="771EED23">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14:paraId="2AF52C16">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资金使用合规性</w:t>
            </w:r>
          </w:p>
        </w:tc>
        <w:tc>
          <w:tcPr>
            <w:tcW w:w="2407" w:type="dxa"/>
            <w:tcBorders>
              <w:top w:val="nil"/>
              <w:left w:val="nil"/>
              <w:bottom w:val="single" w:color="auto" w:sz="4" w:space="0"/>
              <w:right w:val="single" w:color="auto" w:sz="4" w:space="0"/>
            </w:tcBorders>
            <w:noWrap/>
            <w:vAlign w:val="center"/>
          </w:tcPr>
          <w:p w14:paraId="62E09E4F">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86" w:type="dxa"/>
            <w:tcBorders>
              <w:top w:val="nil"/>
              <w:left w:val="nil"/>
              <w:bottom w:val="single" w:color="auto" w:sz="4" w:space="0"/>
              <w:right w:val="single" w:color="auto" w:sz="4" w:space="0"/>
            </w:tcBorders>
            <w:vAlign w:val="center"/>
          </w:tcPr>
          <w:p w14:paraId="6966A45C">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897" w:type="dxa"/>
            <w:tcBorders>
              <w:top w:val="nil"/>
              <w:left w:val="nil"/>
              <w:bottom w:val="single" w:color="auto" w:sz="4" w:space="0"/>
              <w:right w:val="single" w:color="auto" w:sz="4" w:space="0"/>
            </w:tcBorders>
            <w:noWrap/>
            <w:vAlign w:val="center"/>
          </w:tcPr>
          <w:p w14:paraId="300887A9">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w:t>
            </w:r>
          </w:p>
        </w:tc>
      </w:tr>
      <w:tr w14:paraId="4FB333FA">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14:paraId="2A753F4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管理制度健全性</w:t>
            </w:r>
          </w:p>
        </w:tc>
        <w:tc>
          <w:tcPr>
            <w:tcW w:w="2407" w:type="dxa"/>
            <w:tcBorders>
              <w:top w:val="nil"/>
              <w:left w:val="nil"/>
              <w:bottom w:val="single" w:color="auto" w:sz="4" w:space="0"/>
              <w:right w:val="single" w:color="auto" w:sz="4" w:space="0"/>
            </w:tcBorders>
            <w:noWrap/>
            <w:vAlign w:val="center"/>
          </w:tcPr>
          <w:p w14:paraId="55FCCBD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86" w:type="dxa"/>
            <w:tcBorders>
              <w:top w:val="nil"/>
              <w:left w:val="nil"/>
              <w:bottom w:val="single" w:color="auto" w:sz="4" w:space="0"/>
              <w:right w:val="single" w:color="auto" w:sz="4" w:space="0"/>
            </w:tcBorders>
            <w:vAlign w:val="center"/>
          </w:tcPr>
          <w:p w14:paraId="1B7A2CBD">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897" w:type="dxa"/>
            <w:tcBorders>
              <w:top w:val="nil"/>
              <w:left w:val="nil"/>
              <w:bottom w:val="single" w:color="auto" w:sz="4" w:space="0"/>
              <w:right w:val="single" w:color="auto" w:sz="4" w:space="0"/>
            </w:tcBorders>
            <w:noWrap/>
            <w:vAlign w:val="center"/>
          </w:tcPr>
          <w:p w14:paraId="030FEA76">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w:t>
            </w:r>
          </w:p>
        </w:tc>
      </w:tr>
      <w:tr w14:paraId="27A2A078">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14:paraId="7010E0F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制度执行有效性</w:t>
            </w:r>
          </w:p>
        </w:tc>
        <w:tc>
          <w:tcPr>
            <w:tcW w:w="2407" w:type="dxa"/>
            <w:tcBorders>
              <w:top w:val="single" w:color="auto" w:sz="4" w:space="0"/>
              <w:left w:val="nil"/>
              <w:bottom w:val="single" w:color="auto" w:sz="4" w:space="0"/>
              <w:right w:val="single" w:color="auto" w:sz="4" w:space="0"/>
            </w:tcBorders>
            <w:noWrap/>
            <w:vAlign w:val="center"/>
          </w:tcPr>
          <w:p w14:paraId="58B0D16E">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986" w:type="dxa"/>
            <w:tcBorders>
              <w:top w:val="single" w:color="auto" w:sz="4" w:space="0"/>
              <w:left w:val="nil"/>
              <w:bottom w:val="single" w:color="auto" w:sz="4" w:space="0"/>
              <w:right w:val="single" w:color="auto" w:sz="4" w:space="0"/>
            </w:tcBorders>
            <w:vAlign w:val="center"/>
          </w:tcPr>
          <w:p w14:paraId="16408ED0">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r>
              <w:rPr>
                <w:rFonts w:hint="eastAsia" w:ascii="宋体" w:hAnsi="宋体" w:eastAsia="宋体" w:cs="宋体"/>
                <w:sz w:val="18"/>
                <w:szCs w:val="18"/>
              </w:rPr>
              <w:t>%</w:t>
            </w:r>
          </w:p>
        </w:tc>
        <w:tc>
          <w:tcPr>
            <w:tcW w:w="1897" w:type="dxa"/>
            <w:tcBorders>
              <w:top w:val="single" w:color="auto" w:sz="4" w:space="0"/>
              <w:left w:val="nil"/>
              <w:bottom w:val="single" w:color="auto" w:sz="4" w:space="0"/>
              <w:right w:val="single" w:color="auto" w:sz="4" w:space="0"/>
            </w:tcBorders>
            <w:noWrap/>
            <w:vAlign w:val="center"/>
          </w:tcPr>
          <w:p w14:paraId="237904E2">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w:t>
            </w:r>
          </w:p>
        </w:tc>
      </w:tr>
      <w:tr w14:paraId="07E72A42">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14:paraId="795CD443">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合  计</w:t>
            </w:r>
          </w:p>
        </w:tc>
        <w:tc>
          <w:tcPr>
            <w:tcW w:w="2407" w:type="dxa"/>
            <w:tcBorders>
              <w:top w:val="single" w:color="auto" w:sz="4" w:space="0"/>
              <w:left w:val="nil"/>
              <w:bottom w:val="single" w:color="auto" w:sz="4" w:space="0"/>
              <w:right w:val="single" w:color="auto" w:sz="4" w:space="0"/>
            </w:tcBorders>
            <w:noWrap/>
            <w:vAlign w:val="center"/>
          </w:tcPr>
          <w:p w14:paraId="40E1AF00">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CN"/>
              </w:rPr>
              <w:t>5</w:t>
            </w:r>
          </w:p>
        </w:tc>
        <w:tc>
          <w:tcPr>
            <w:tcW w:w="1986" w:type="dxa"/>
            <w:tcBorders>
              <w:top w:val="single" w:color="auto" w:sz="4" w:space="0"/>
              <w:left w:val="nil"/>
              <w:bottom w:val="single" w:color="auto" w:sz="4" w:space="0"/>
              <w:right w:val="single" w:color="auto" w:sz="4" w:space="0"/>
            </w:tcBorders>
            <w:vAlign w:val="center"/>
          </w:tcPr>
          <w:p w14:paraId="4B14B9A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r>
              <w:rPr>
                <w:rFonts w:hint="eastAsia" w:ascii="宋体" w:hAnsi="宋体" w:eastAsia="宋体" w:cs="宋体"/>
                <w:sz w:val="18"/>
                <w:szCs w:val="18"/>
              </w:rPr>
              <w:t>%</w:t>
            </w:r>
          </w:p>
        </w:tc>
        <w:tc>
          <w:tcPr>
            <w:tcW w:w="1897" w:type="dxa"/>
            <w:tcBorders>
              <w:top w:val="single" w:color="auto" w:sz="4" w:space="0"/>
              <w:left w:val="nil"/>
              <w:bottom w:val="single" w:color="auto" w:sz="4" w:space="0"/>
              <w:right w:val="single" w:color="auto" w:sz="4" w:space="0"/>
            </w:tcBorders>
            <w:noWrap/>
            <w:vAlign w:val="center"/>
          </w:tcPr>
          <w:p w14:paraId="580B545C">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r>
    </w:tbl>
    <w:p w14:paraId="19537A20">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rPr>
      </w:pPr>
      <w:r>
        <w:rPr>
          <w:rFonts w:hint="eastAsia" w:ascii="仿宋" w:hAnsi="仿宋" w:eastAsia="仿宋" w:cs="Times New Roman"/>
          <w:b w:val="0"/>
          <w:bCs w:val="0"/>
          <w:kern w:val="2"/>
          <w:sz w:val="32"/>
          <w:szCs w:val="32"/>
          <w:lang w:val="en-US" w:eastAsia="zh-CN" w:bidi="ar-SA"/>
        </w:rPr>
        <w:t xml:space="preserve">  </w:t>
      </w:r>
      <w:r>
        <w:rPr>
          <w:rFonts w:hint="eastAsia" w:ascii="仿宋" w:hAnsi="仿宋" w:eastAsia="仿宋"/>
          <w:sz w:val="32"/>
          <w:szCs w:val="32"/>
        </w:rPr>
        <w:t>对于“资金到位率”和“资金</w:t>
      </w:r>
      <w:r>
        <w:rPr>
          <w:rFonts w:hint="eastAsia" w:ascii="仿宋" w:hAnsi="仿宋" w:eastAsia="仿宋"/>
          <w:sz w:val="32"/>
          <w:szCs w:val="32"/>
          <w:lang w:val="en-US" w:eastAsia="zh-CN"/>
        </w:rPr>
        <w:t>到位实效性</w:t>
      </w:r>
      <w:r>
        <w:rPr>
          <w:rFonts w:hint="eastAsia" w:ascii="仿宋" w:hAnsi="仿宋" w:eastAsia="仿宋"/>
          <w:sz w:val="32"/>
          <w:szCs w:val="32"/>
        </w:rPr>
        <w:t>”，项目资金到位及时，到位率为</w:t>
      </w:r>
      <w:r>
        <w:rPr>
          <w:rFonts w:ascii="仿宋" w:hAnsi="仿宋" w:eastAsia="仿宋"/>
          <w:sz w:val="32"/>
          <w:szCs w:val="32"/>
        </w:rPr>
        <w:t>100%</w:t>
      </w:r>
      <w:r>
        <w:rPr>
          <w:rFonts w:hint="eastAsia" w:ascii="仿宋" w:hAnsi="仿宋" w:eastAsia="仿宋"/>
          <w:sz w:val="32"/>
          <w:szCs w:val="32"/>
        </w:rPr>
        <w:t>。根据评分标准，该两项指标不扣分。</w:t>
      </w:r>
    </w:p>
    <w:p w14:paraId="40A5103E">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楷体_GB2312"/>
          <w:sz w:val="36"/>
          <w:szCs w:val="44"/>
          <w:highlight w:val="yellow"/>
          <w:lang w:val="en-US" w:eastAsia="zh-CN"/>
        </w:rPr>
      </w:pPr>
      <w:r>
        <w:rPr>
          <w:rFonts w:hint="eastAsia" w:ascii="仿宋" w:hAnsi="仿宋" w:eastAsia="仿宋" w:cs="宋体"/>
          <w:sz w:val="32"/>
          <w:szCs w:val="32"/>
        </w:rPr>
        <w:t>对于“资金</w:t>
      </w:r>
      <w:r>
        <w:rPr>
          <w:rFonts w:hint="eastAsia" w:ascii="仿宋" w:hAnsi="仿宋" w:eastAsia="仿宋" w:cs="宋体"/>
          <w:sz w:val="32"/>
          <w:szCs w:val="32"/>
          <w:lang w:val="en-US" w:eastAsia="zh-CN"/>
        </w:rPr>
        <w:t>管理</w:t>
      </w:r>
      <w:r>
        <w:rPr>
          <w:rFonts w:hint="eastAsia" w:ascii="仿宋" w:hAnsi="仿宋" w:eastAsia="仿宋" w:cs="宋体"/>
          <w:sz w:val="32"/>
          <w:szCs w:val="32"/>
        </w:rPr>
        <w:t>”，</w:t>
      </w:r>
      <w:r>
        <w:rPr>
          <w:rFonts w:hint="eastAsia" w:ascii="仿宋" w:hAnsi="仿宋" w:eastAsia="仿宋" w:cs="宋体"/>
          <w:bCs/>
          <w:sz w:val="32"/>
          <w:szCs w:val="32"/>
        </w:rPr>
        <w:t>塔城地区第一高级中学</w:t>
      </w:r>
      <w:r>
        <w:rPr>
          <w:rFonts w:hint="eastAsia" w:ascii="仿宋" w:hAnsi="仿宋" w:eastAsia="仿宋" w:cs="宋体"/>
          <w:sz w:val="32"/>
          <w:szCs w:val="32"/>
        </w:rPr>
        <w:t>按照专项资金列支的范围使用资金，支出范围合规；资金支出能按财务制度执行，并能按国库集中支付制度规定执行，不存在资金违纪违规使用情况。按评分标准，指标实际得分率</w:t>
      </w:r>
      <w:r>
        <w:rPr>
          <w:rFonts w:ascii="仿宋" w:hAnsi="仿宋" w:eastAsia="仿宋"/>
          <w:sz w:val="32"/>
          <w:szCs w:val="32"/>
        </w:rPr>
        <w:t>100%</w:t>
      </w:r>
      <w:r>
        <w:rPr>
          <w:rFonts w:hint="eastAsia" w:ascii="仿宋" w:hAnsi="仿宋" w:eastAsia="仿宋"/>
          <w:sz w:val="32"/>
          <w:szCs w:val="32"/>
        </w:rPr>
        <w:t>。</w:t>
      </w:r>
    </w:p>
    <w:p w14:paraId="1AD2F4A8">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14:paraId="3A211DA6">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宋体"/>
          <w:sz w:val="32"/>
          <w:szCs w:val="32"/>
        </w:rPr>
      </w:pPr>
      <w:r>
        <w:rPr>
          <w:rFonts w:hint="eastAsia" w:ascii="仿宋" w:hAnsi="仿宋" w:eastAsia="仿宋" w:cs="宋体"/>
          <w:sz w:val="32"/>
          <w:szCs w:val="32"/>
        </w:rPr>
        <w:t>项目管理指标从</w:t>
      </w:r>
      <w:r>
        <w:rPr>
          <w:rFonts w:hint="eastAsia" w:ascii="仿宋" w:hAnsi="仿宋" w:eastAsia="仿宋" w:cs="宋体"/>
          <w:sz w:val="32"/>
          <w:szCs w:val="32"/>
          <w:lang w:val="en-US" w:eastAsia="zh-CN"/>
        </w:rPr>
        <w:t>产出数量、产出质量、产出实效、产出成本4</w:t>
      </w:r>
      <w:r>
        <w:rPr>
          <w:rFonts w:hint="eastAsia" w:ascii="仿宋" w:hAnsi="仿宋" w:eastAsia="仿宋"/>
          <w:sz w:val="32"/>
          <w:szCs w:val="32"/>
        </w:rPr>
        <w:t>个方面对项目管理情况进行考察。项目</w:t>
      </w:r>
      <w:r>
        <w:rPr>
          <w:rFonts w:hint="eastAsia" w:ascii="仿宋" w:hAnsi="仿宋" w:eastAsia="仿宋"/>
          <w:sz w:val="32"/>
          <w:szCs w:val="32"/>
          <w:lang w:val="en-US" w:eastAsia="zh-CN"/>
        </w:rPr>
        <w:t>过程</w:t>
      </w:r>
      <w:r>
        <w:rPr>
          <w:rFonts w:hint="eastAsia" w:ascii="仿宋" w:hAnsi="仿宋" w:eastAsia="仿宋"/>
          <w:sz w:val="32"/>
          <w:szCs w:val="32"/>
        </w:rPr>
        <w:t>类指标分值</w:t>
      </w:r>
      <w:r>
        <w:rPr>
          <w:rFonts w:hint="eastAsia" w:ascii="仿宋" w:hAnsi="仿宋" w:eastAsia="仿宋"/>
          <w:sz w:val="32"/>
          <w:szCs w:val="32"/>
          <w:lang w:val="en-US" w:eastAsia="zh-CN"/>
        </w:rPr>
        <w:t>40</w:t>
      </w:r>
      <w:r>
        <w:rPr>
          <w:rFonts w:hint="eastAsia" w:ascii="仿宋" w:hAnsi="仿宋" w:eastAsia="仿宋"/>
          <w:sz w:val="32"/>
          <w:szCs w:val="32"/>
        </w:rPr>
        <w:t>分，实际得分</w:t>
      </w:r>
      <w:r>
        <w:rPr>
          <w:rFonts w:hint="eastAsia" w:ascii="仿宋" w:hAnsi="仿宋" w:eastAsia="仿宋"/>
          <w:sz w:val="32"/>
          <w:szCs w:val="32"/>
          <w:lang w:val="en-US" w:eastAsia="zh-CN"/>
        </w:rPr>
        <w:t>30.13</w:t>
      </w:r>
      <w:r>
        <w:rPr>
          <w:rFonts w:hint="eastAsia" w:ascii="仿宋" w:hAnsi="仿宋" w:eastAsia="仿宋"/>
          <w:sz w:val="32"/>
          <w:szCs w:val="32"/>
        </w:rPr>
        <w:t>分，得分率为</w:t>
      </w:r>
      <w:r>
        <w:rPr>
          <w:rFonts w:hint="eastAsia" w:ascii="仿宋" w:hAnsi="仿宋" w:eastAsia="仿宋"/>
          <w:sz w:val="32"/>
          <w:szCs w:val="32"/>
          <w:lang w:val="en-US" w:eastAsia="zh-CN"/>
        </w:rPr>
        <w:t>75.32</w:t>
      </w:r>
      <w:r>
        <w:rPr>
          <w:rFonts w:ascii="仿宋" w:hAnsi="仿宋" w:eastAsia="仿宋"/>
          <w:sz w:val="32"/>
          <w:szCs w:val="32"/>
        </w:rPr>
        <w:t>%</w:t>
      </w:r>
      <w:r>
        <w:rPr>
          <w:rFonts w:hint="eastAsia" w:ascii="仿宋" w:hAnsi="仿宋" w:eastAsia="仿宋"/>
          <w:sz w:val="32"/>
          <w:szCs w:val="32"/>
        </w:rPr>
        <w:t>。项目管理指标得分</w:t>
      </w:r>
      <w:r>
        <w:rPr>
          <w:rFonts w:hint="eastAsia" w:ascii="仿宋" w:hAnsi="仿宋" w:eastAsia="仿宋" w:cs="宋体"/>
          <w:sz w:val="32"/>
          <w:szCs w:val="32"/>
        </w:rPr>
        <w:t>情况如表所示。</w:t>
      </w:r>
    </w:p>
    <w:tbl>
      <w:tblPr>
        <w:tblStyle w:val="19"/>
        <w:tblW w:w="8473" w:type="dxa"/>
        <w:jc w:val="center"/>
        <w:tblLayout w:type="fixed"/>
        <w:tblCellMar>
          <w:top w:w="0" w:type="dxa"/>
          <w:left w:w="108" w:type="dxa"/>
          <w:bottom w:w="0" w:type="dxa"/>
          <w:right w:w="108" w:type="dxa"/>
        </w:tblCellMar>
      </w:tblPr>
      <w:tblGrid>
        <w:gridCol w:w="2517"/>
        <w:gridCol w:w="1986"/>
        <w:gridCol w:w="1984"/>
        <w:gridCol w:w="1986"/>
      </w:tblGrid>
      <w:tr w14:paraId="09C03A35">
        <w:tblPrEx>
          <w:tblCellMar>
            <w:top w:w="0" w:type="dxa"/>
            <w:left w:w="108" w:type="dxa"/>
            <w:bottom w:w="0" w:type="dxa"/>
            <w:right w:w="108" w:type="dxa"/>
          </w:tblCellMar>
        </w:tblPrEx>
        <w:trPr>
          <w:trHeight w:val="510" w:hRule="exact"/>
          <w:tblHeader/>
          <w:jc w:val="cent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14:paraId="4FC5AD6A">
            <w:pPr>
              <w:pageBreakBefore w:val="0"/>
              <w:kinsoku/>
              <w:wordWrap/>
              <w:overflowPunct/>
              <w:topLinePunct w:val="0"/>
              <w:autoSpaceDE/>
              <w:autoSpaceDN/>
              <w:bidi w:val="0"/>
              <w:adjustRightInd/>
              <w:snapToGrid/>
              <w:spacing w:line="560" w:lineRule="exact"/>
              <w:jc w:val="center"/>
              <w:textAlignment w:val="auto"/>
              <w:rPr>
                <w:rFonts w:ascii="仿宋" w:hAnsi="仿宋" w:eastAsia="仿宋" w:cs="Tahoma"/>
                <w:b/>
                <w:bCs/>
              </w:rPr>
            </w:pPr>
            <w:r>
              <w:rPr>
                <w:rFonts w:hint="eastAsia" w:ascii="仿宋" w:hAnsi="仿宋" w:eastAsia="仿宋" w:cs="Tahoma"/>
                <w:b/>
                <w:bCs/>
                <w:lang w:val="en-US" w:eastAsia="zh-CN"/>
              </w:rPr>
              <w:t>二</w:t>
            </w:r>
            <w:r>
              <w:rPr>
                <w:rFonts w:hint="eastAsia" w:ascii="仿宋" w:hAnsi="仿宋" w:eastAsia="仿宋" w:cs="Tahoma"/>
                <w:b/>
                <w:bCs/>
              </w:rPr>
              <w:t>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14:paraId="6F66FBD3">
            <w:pPr>
              <w:pageBreakBefore w:val="0"/>
              <w:kinsoku/>
              <w:wordWrap/>
              <w:overflowPunct/>
              <w:topLinePunct w:val="0"/>
              <w:autoSpaceDE/>
              <w:autoSpaceDN/>
              <w:bidi w:val="0"/>
              <w:adjustRightInd/>
              <w:snapToGrid/>
              <w:spacing w:line="560" w:lineRule="exact"/>
              <w:jc w:val="center"/>
              <w:textAlignment w:val="auto"/>
              <w:rPr>
                <w:rFonts w:ascii="仿宋" w:hAnsi="仿宋" w:eastAsia="仿宋" w:cs="Tahoma"/>
                <w:b/>
                <w:bCs/>
              </w:rPr>
            </w:pPr>
            <w:r>
              <w:rPr>
                <w:rFonts w:hint="eastAsia" w:ascii="仿宋" w:hAnsi="仿宋" w:eastAsia="仿宋" w:cs="Tahoma"/>
                <w:b/>
                <w:bCs/>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14:paraId="2E723F49">
            <w:pPr>
              <w:pageBreakBefore w:val="0"/>
              <w:kinsoku/>
              <w:wordWrap/>
              <w:overflowPunct/>
              <w:topLinePunct w:val="0"/>
              <w:autoSpaceDE/>
              <w:autoSpaceDN/>
              <w:bidi w:val="0"/>
              <w:adjustRightInd/>
              <w:snapToGrid/>
              <w:spacing w:line="560" w:lineRule="exact"/>
              <w:jc w:val="center"/>
              <w:textAlignment w:val="auto"/>
              <w:rPr>
                <w:rFonts w:ascii="仿宋" w:hAnsi="仿宋" w:eastAsia="仿宋" w:cs="Tahoma"/>
                <w:b/>
                <w:bCs/>
              </w:rPr>
            </w:pPr>
            <w:r>
              <w:rPr>
                <w:rFonts w:hint="eastAsia" w:ascii="仿宋" w:hAnsi="仿宋" w:eastAsia="仿宋" w:cs="Tahoma"/>
                <w:b/>
                <w:bCs/>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14:paraId="76B30ADA">
            <w:pPr>
              <w:pageBreakBefore w:val="0"/>
              <w:kinsoku/>
              <w:wordWrap/>
              <w:overflowPunct/>
              <w:topLinePunct w:val="0"/>
              <w:autoSpaceDE/>
              <w:autoSpaceDN/>
              <w:bidi w:val="0"/>
              <w:adjustRightInd/>
              <w:snapToGrid/>
              <w:spacing w:line="560" w:lineRule="exact"/>
              <w:jc w:val="center"/>
              <w:textAlignment w:val="auto"/>
              <w:rPr>
                <w:rFonts w:ascii="仿宋" w:hAnsi="仿宋" w:eastAsia="仿宋" w:cs="Tahoma"/>
                <w:b/>
                <w:bCs/>
              </w:rPr>
            </w:pPr>
            <w:r>
              <w:rPr>
                <w:rFonts w:hint="eastAsia" w:ascii="仿宋" w:hAnsi="仿宋" w:eastAsia="仿宋" w:cs="Tahoma"/>
                <w:b/>
                <w:bCs/>
              </w:rPr>
              <w:t>实际得分</w:t>
            </w:r>
          </w:p>
        </w:tc>
      </w:tr>
      <w:tr w14:paraId="712EE721">
        <w:tblPrEx>
          <w:tblCellMar>
            <w:top w:w="0" w:type="dxa"/>
            <w:left w:w="108" w:type="dxa"/>
            <w:bottom w:w="0" w:type="dxa"/>
            <w:right w:w="108" w:type="dxa"/>
          </w:tblCellMar>
        </w:tblPrEx>
        <w:trPr>
          <w:trHeight w:val="510" w:hRule="exact"/>
          <w:jc w:val="center"/>
        </w:trPr>
        <w:tc>
          <w:tcPr>
            <w:tcW w:w="2517" w:type="dxa"/>
            <w:tcBorders>
              <w:top w:val="single" w:color="auto" w:sz="4" w:space="0"/>
              <w:left w:val="single" w:color="auto" w:sz="4" w:space="0"/>
              <w:bottom w:val="single" w:color="auto" w:sz="4" w:space="0"/>
              <w:right w:val="single" w:color="auto" w:sz="4" w:space="0"/>
            </w:tcBorders>
            <w:noWrap/>
            <w:vAlign w:val="center"/>
          </w:tcPr>
          <w:p w14:paraId="6CA9B19E">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产出数量</w:t>
            </w:r>
          </w:p>
        </w:tc>
        <w:tc>
          <w:tcPr>
            <w:tcW w:w="1986" w:type="dxa"/>
            <w:tcBorders>
              <w:top w:val="single" w:color="auto" w:sz="4" w:space="0"/>
              <w:left w:val="nil"/>
              <w:bottom w:val="single" w:color="auto" w:sz="4" w:space="0"/>
              <w:right w:val="single" w:color="auto" w:sz="4" w:space="0"/>
            </w:tcBorders>
            <w:noWrap/>
            <w:vAlign w:val="center"/>
          </w:tcPr>
          <w:p w14:paraId="37A12133">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984" w:type="dxa"/>
            <w:tcBorders>
              <w:top w:val="single" w:color="auto" w:sz="4" w:space="0"/>
              <w:left w:val="nil"/>
              <w:bottom w:val="single" w:color="auto" w:sz="4" w:space="0"/>
              <w:right w:val="single" w:color="auto" w:sz="4" w:space="0"/>
            </w:tcBorders>
            <w:noWrap/>
            <w:vAlign w:val="center"/>
          </w:tcPr>
          <w:p w14:paraId="1B70A0DC">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986" w:type="dxa"/>
            <w:tcBorders>
              <w:top w:val="single" w:color="auto" w:sz="4" w:space="0"/>
              <w:left w:val="nil"/>
              <w:bottom w:val="single" w:color="auto" w:sz="4" w:space="0"/>
              <w:right w:val="single" w:color="auto" w:sz="4" w:space="0"/>
            </w:tcBorders>
            <w:noWrap/>
            <w:vAlign w:val="center"/>
          </w:tcPr>
          <w:p w14:paraId="28521D9B">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r>
      <w:tr w14:paraId="7AF7F18A">
        <w:tblPrEx>
          <w:tblCellMar>
            <w:top w:w="0" w:type="dxa"/>
            <w:left w:w="108" w:type="dxa"/>
            <w:bottom w:w="0" w:type="dxa"/>
            <w:right w:w="108" w:type="dxa"/>
          </w:tblCellMar>
        </w:tblPrEx>
        <w:trPr>
          <w:trHeight w:val="510" w:hRule="exact"/>
          <w:jc w:val="center"/>
        </w:trPr>
        <w:tc>
          <w:tcPr>
            <w:tcW w:w="2517" w:type="dxa"/>
            <w:tcBorders>
              <w:top w:val="single" w:color="auto" w:sz="4" w:space="0"/>
              <w:left w:val="single" w:color="auto" w:sz="4" w:space="0"/>
              <w:bottom w:val="single" w:color="auto" w:sz="4" w:space="0"/>
              <w:right w:val="single" w:color="auto" w:sz="4" w:space="0"/>
            </w:tcBorders>
            <w:noWrap/>
            <w:vAlign w:val="center"/>
          </w:tcPr>
          <w:p w14:paraId="6DA1936C">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产出质量</w:t>
            </w:r>
          </w:p>
        </w:tc>
        <w:tc>
          <w:tcPr>
            <w:tcW w:w="1986" w:type="dxa"/>
            <w:tcBorders>
              <w:top w:val="single" w:color="auto" w:sz="4" w:space="0"/>
              <w:left w:val="nil"/>
              <w:bottom w:val="single" w:color="auto" w:sz="4" w:space="0"/>
              <w:right w:val="single" w:color="auto" w:sz="4" w:space="0"/>
            </w:tcBorders>
            <w:noWrap/>
            <w:vAlign w:val="center"/>
          </w:tcPr>
          <w:p w14:paraId="408FB2C0">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984" w:type="dxa"/>
            <w:tcBorders>
              <w:top w:val="single" w:color="auto" w:sz="4" w:space="0"/>
              <w:left w:val="nil"/>
              <w:bottom w:val="single" w:color="auto" w:sz="4" w:space="0"/>
              <w:right w:val="single" w:color="auto" w:sz="4" w:space="0"/>
            </w:tcBorders>
            <w:noWrap/>
            <w:vAlign w:val="center"/>
          </w:tcPr>
          <w:p w14:paraId="2E7206F3">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60</w:t>
            </w:r>
            <w:r>
              <w:rPr>
                <w:rFonts w:hint="eastAsia" w:ascii="宋体" w:hAnsi="宋体" w:eastAsia="宋体" w:cs="宋体"/>
                <w:sz w:val="18"/>
                <w:szCs w:val="18"/>
              </w:rPr>
              <w:t>%</w:t>
            </w:r>
          </w:p>
        </w:tc>
        <w:tc>
          <w:tcPr>
            <w:tcW w:w="1986" w:type="dxa"/>
            <w:tcBorders>
              <w:top w:val="single" w:color="auto" w:sz="4" w:space="0"/>
              <w:left w:val="nil"/>
              <w:bottom w:val="single" w:color="auto" w:sz="4" w:space="0"/>
              <w:right w:val="single" w:color="auto" w:sz="4" w:space="0"/>
            </w:tcBorders>
            <w:noWrap/>
            <w:vAlign w:val="center"/>
          </w:tcPr>
          <w:p w14:paraId="3029D47B">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rPr>
            </w:pPr>
            <w:r>
              <w:rPr>
                <w:rFonts w:hint="eastAsia" w:ascii="宋体" w:hAnsi="宋体" w:eastAsia="宋体" w:cs="宋体"/>
                <w:sz w:val="18"/>
                <w:szCs w:val="18"/>
                <w:lang w:val="en-US" w:eastAsia="zh-CN"/>
              </w:rPr>
              <w:t>6</w:t>
            </w:r>
          </w:p>
        </w:tc>
      </w:tr>
      <w:tr w14:paraId="51C86F1C">
        <w:tblPrEx>
          <w:tblCellMar>
            <w:top w:w="0" w:type="dxa"/>
            <w:left w:w="108" w:type="dxa"/>
            <w:bottom w:w="0" w:type="dxa"/>
            <w:right w:w="108" w:type="dxa"/>
          </w:tblCellMar>
        </w:tblPrEx>
        <w:trPr>
          <w:trHeight w:val="510" w:hRule="exact"/>
          <w:jc w:val="center"/>
        </w:trPr>
        <w:tc>
          <w:tcPr>
            <w:tcW w:w="2517" w:type="dxa"/>
            <w:tcBorders>
              <w:top w:val="nil"/>
              <w:left w:val="single" w:color="auto" w:sz="4" w:space="0"/>
              <w:bottom w:val="single" w:color="auto" w:sz="4" w:space="0"/>
              <w:right w:val="single" w:color="auto" w:sz="4" w:space="0"/>
            </w:tcBorders>
            <w:noWrap/>
            <w:vAlign w:val="center"/>
          </w:tcPr>
          <w:p w14:paraId="066E24FE">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产出时效</w:t>
            </w:r>
          </w:p>
        </w:tc>
        <w:tc>
          <w:tcPr>
            <w:tcW w:w="1986" w:type="dxa"/>
            <w:tcBorders>
              <w:top w:val="nil"/>
              <w:left w:val="nil"/>
              <w:bottom w:val="single" w:color="auto" w:sz="4" w:space="0"/>
              <w:right w:val="single" w:color="auto" w:sz="4" w:space="0"/>
            </w:tcBorders>
            <w:noWrap/>
            <w:vAlign w:val="center"/>
          </w:tcPr>
          <w:p w14:paraId="62B2D1F2">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984" w:type="dxa"/>
            <w:tcBorders>
              <w:top w:val="nil"/>
              <w:left w:val="nil"/>
              <w:bottom w:val="single" w:color="auto" w:sz="4" w:space="0"/>
              <w:right w:val="single" w:color="auto" w:sz="4" w:space="0"/>
            </w:tcBorders>
            <w:noWrap/>
            <w:vAlign w:val="center"/>
          </w:tcPr>
          <w:p w14:paraId="1ACA41F8">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100%</w:t>
            </w:r>
          </w:p>
        </w:tc>
        <w:tc>
          <w:tcPr>
            <w:tcW w:w="1986" w:type="dxa"/>
            <w:tcBorders>
              <w:top w:val="nil"/>
              <w:left w:val="nil"/>
              <w:bottom w:val="single" w:color="auto" w:sz="4" w:space="0"/>
              <w:right w:val="single" w:color="auto" w:sz="4" w:space="0"/>
            </w:tcBorders>
            <w:noWrap/>
            <w:vAlign w:val="center"/>
          </w:tcPr>
          <w:p w14:paraId="3A3A9D3B">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rPr>
            </w:pPr>
            <w:r>
              <w:rPr>
                <w:rFonts w:hint="eastAsia" w:ascii="宋体" w:hAnsi="宋体" w:eastAsia="宋体" w:cs="宋体"/>
                <w:sz w:val="18"/>
                <w:szCs w:val="18"/>
                <w:lang w:val="en-US" w:eastAsia="zh-CN"/>
              </w:rPr>
              <w:t>10</w:t>
            </w:r>
          </w:p>
        </w:tc>
      </w:tr>
      <w:tr w14:paraId="113C35F4">
        <w:tblPrEx>
          <w:tblCellMar>
            <w:top w:w="0" w:type="dxa"/>
            <w:left w:w="108" w:type="dxa"/>
            <w:bottom w:w="0" w:type="dxa"/>
            <w:right w:w="108" w:type="dxa"/>
          </w:tblCellMar>
        </w:tblPrEx>
        <w:trPr>
          <w:trHeight w:val="510" w:hRule="exact"/>
          <w:jc w:val="center"/>
        </w:trPr>
        <w:tc>
          <w:tcPr>
            <w:tcW w:w="2517" w:type="dxa"/>
            <w:tcBorders>
              <w:top w:val="nil"/>
              <w:left w:val="single" w:color="auto" w:sz="4" w:space="0"/>
              <w:bottom w:val="single" w:color="auto" w:sz="4" w:space="0"/>
              <w:right w:val="single" w:color="auto" w:sz="4" w:space="0"/>
            </w:tcBorders>
            <w:noWrap/>
            <w:vAlign w:val="center"/>
          </w:tcPr>
          <w:p w14:paraId="7B8BF67D">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成本情况</w:t>
            </w:r>
          </w:p>
        </w:tc>
        <w:tc>
          <w:tcPr>
            <w:tcW w:w="1986" w:type="dxa"/>
            <w:tcBorders>
              <w:top w:val="nil"/>
              <w:left w:val="nil"/>
              <w:bottom w:val="single" w:color="auto" w:sz="4" w:space="0"/>
              <w:right w:val="single" w:color="auto" w:sz="4" w:space="0"/>
            </w:tcBorders>
            <w:noWrap/>
            <w:vAlign w:val="center"/>
          </w:tcPr>
          <w:p w14:paraId="30A5CEA7">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984" w:type="dxa"/>
            <w:tcBorders>
              <w:top w:val="nil"/>
              <w:left w:val="nil"/>
              <w:bottom w:val="single" w:color="auto" w:sz="4" w:space="0"/>
              <w:right w:val="single" w:color="auto" w:sz="4" w:space="0"/>
            </w:tcBorders>
            <w:noWrap/>
            <w:vAlign w:val="center"/>
          </w:tcPr>
          <w:p w14:paraId="690283F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41.3</w:t>
            </w:r>
            <w:r>
              <w:rPr>
                <w:rFonts w:hint="eastAsia" w:ascii="宋体" w:hAnsi="宋体" w:eastAsia="宋体" w:cs="宋体"/>
                <w:sz w:val="18"/>
                <w:szCs w:val="18"/>
              </w:rPr>
              <w:t>%</w:t>
            </w:r>
          </w:p>
        </w:tc>
        <w:tc>
          <w:tcPr>
            <w:tcW w:w="1986" w:type="dxa"/>
            <w:tcBorders>
              <w:top w:val="nil"/>
              <w:left w:val="nil"/>
              <w:bottom w:val="single" w:color="auto" w:sz="4" w:space="0"/>
              <w:right w:val="single" w:color="auto" w:sz="4" w:space="0"/>
            </w:tcBorders>
            <w:noWrap/>
            <w:vAlign w:val="center"/>
          </w:tcPr>
          <w:p w14:paraId="4E9B1F1E">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4.13</w:t>
            </w:r>
          </w:p>
        </w:tc>
      </w:tr>
      <w:tr w14:paraId="3AEDBEB4">
        <w:tblPrEx>
          <w:tblCellMar>
            <w:top w:w="0" w:type="dxa"/>
            <w:left w:w="108" w:type="dxa"/>
            <w:bottom w:w="0" w:type="dxa"/>
            <w:right w:w="108" w:type="dxa"/>
          </w:tblCellMar>
        </w:tblPrEx>
        <w:trPr>
          <w:trHeight w:val="510" w:hRule="exact"/>
          <w:jc w:val="center"/>
        </w:trPr>
        <w:tc>
          <w:tcPr>
            <w:tcW w:w="2517" w:type="dxa"/>
            <w:tcBorders>
              <w:top w:val="nil"/>
              <w:left w:val="single" w:color="auto" w:sz="4" w:space="0"/>
              <w:bottom w:val="single" w:color="auto" w:sz="4" w:space="0"/>
              <w:right w:val="single" w:color="auto" w:sz="4" w:space="0"/>
            </w:tcBorders>
            <w:noWrap/>
            <w:vAlign w:val="center"/>
          </w:tcPr>
          <w:p w14:paraId="7F3DCE71">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合  计</w:t>
            </w:r>
          </w:p>
        </w:tc>
        <w:tc>
          <w:tcPr>
            <w:tcW w:w="1986" w:type="dxa"/>
            <w:tcBorders>
              <w:top w:val="nil"/>
              <w:left w:val="nil"/>
              <w:bottom w:val="single" w:color="auto" w:sz="4" w:space="0"/>
              <w:right w:val="single" w:color="auto" w:sz="4" w:space="0"/>
            </w:tcBorders>
            <w:noWrap/>
            <w:vAlign w:val="center"/>
          </w:tcPr>
          <w:p w14:paraId="636C74DE">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1984" w:type="dxa"/>
            <w:tcBorders>
              <w:top w:val="nil"/>
              <w:left w:val="nil"/>
              <w:bottom w:val="single" w:color="auto" w:sz="4" w:space="0"/>
              <w:right w:val="single" w:color="auto" w:sz="4" w:space="0"/>
            </w:tcBorders>
            <w:noWrap/>
            <w:vAlign w:val="center"/>
          </w:tcPr>
          <w:p w14:paraId="1323738B">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75.32</w:t>
            </w:r>
            <w:r>
              <w:rPr>
                <w:rFonts w:hint="eastAsia" w:ascii="宋体" w:hAnsi="宋体" w:eastAsia="宋体" w:cs="宋体"/>
                <w:sz w:val="18"/>
                <w:szCs w:val="18"/>
              </w:rPr>
              <w:t>%</w:t>
            </w:r>
          </w:p>
        </w:tc>
        <w:tc>
          <w:tcPr>
            <w:tcW w:w="1986" w:type="dxa"/>
            <w:tcBorders>
              <w:top w:val="nil"/>
              <w:left w:val="nil"/>
              <w:bottom w:val="single" w:color="auto" w:sz="4" w:space="0"/>
              <w:right w:val="single" w:color="auto" w:sz="4" w:space="0"/>
            </w:tcBorders>
            <w:noWrap/>
            <w:vAlign w:val="center"/>
          </w:tcPr>
          <w:p w14:paraId="4028EC01">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18"/>
                <w:szCs w:val="18"/>
                <w:lang w:val="en-US"/>
              </w:rPr>
            </w:pPr>
            <w:r>
              <w:rPr>
                <w:rFonts w:hint="eastAsia" w:ascii="宋体" w:hAnsi="宋体" w:eastAsia="宋体" w:cs="宋体"/>
                <w:sz w:val="18"/>
                <w:szCs w:val="18"/>
                <w:lang w:val="en-US" w:eastAsia="zh-CN"/>
              </w:rPr>
              <w:t>30.13</w:t>
            </w:r>
          </w:p>
        </w:tc>
      </w:tr>
    </w:tbl>
    <w:p w14:paraId="569D3CA9">
      <w:pPr>
        <w:pageBreakBefore w:val="0"/>
        <w:kinsoku/>
        <w:wordWrap/>
        <w:overflowPunct/>
        <w:topLinePunct w:val="0"/>
        <w:autoSpaceDE/>
        <w:autoSpaceDN/>
        <w:bidi w:val="0"/>
        <w:adjustRightInd/>
        <w:snapToGrid/>
        <w:spacing w:line="560" w:lineRule="exact"/>
        <w:ind w:firstLine="640" w:firstLineChars="200"/>
        <w:textAlignment w:val="auto"/>
        <w:rPr>
          <w:rStyle w:val="50"/>
          <w:rFonts w:hint="eastAsia" w:eastAsia="仿宋_GB2312"/>
          <w:color w:val="auto"/>
          <w:lang w:val="en-US" w:eastAsia="zh-CN"/>
        </w:rPr>
      </w:pPr>
      <w:r>
        <w:rPr>
          <w:rStyle w:val="50"/>
          <w:rFonts w:hint="eastAsia"/>
          <w:color w:val="auto"/>
          <w:lang w:val="en-US" w:eastAsia="zh-CN"/>
        </w:rPr>
        <w:t>数量指标方面：实际完成率：年度目标值12.5分,总建设4697平方米,实际建设面积4697平方米新建，实际完成值12.5分,该分值不扣实际完成率100%</w:t>
      </w:r>
      <w:r>
        <w:rPr>
          <w:rStyle w:val="50"/>
          <w:rFonts w:hint="eastAsia" w:eastAsia="仿宋_GB2312"/>
          <w:color w:val="auto"/>
          <w:lang w:val="en-US" w:eastAsia="zh-CN"/>
        </w:rPr>
        <w:t>。</w:t>
      </w:r>
    </w:p>
    <w:p w14:paraId="6CF493BB">
      <w:pPr>
        <w:pageBreakBefore w:val="0"/>
        <w:kinsoku/>
        <w:wordWrap/>
        <w:overflowPunct/>
        <w:topLinePunct w:val="0"/>
        <w:autoSpaceDE/>
        <w:autoSpaceDN/>
        <w:bidi w:val="0"/>
        <w:adjustRightInd/>
        <w:snapToGrid/>
        <w:spacing w:line="560" w:lineRule="exact"/>
        <w:ind w:firstLine="640" w:firstLineChars="200"/>
        <w:textAlignment w:val="auto"/>
        <w:rPr>
          <w:rStyle w:val="50"/>
          <w:rFonts w:hint="default"/>
          <w:color w:val="auto"/>
          <w:lang w:val="en-US" w:eastAsia="zh-CN"/>
        </w:rPr>
      </w:pPr>
      <w:r>
        <w:rPr>
          <w:rStyle w:val="50"/>
          <w:rFonts w:hint="eastAsia"/>
          <w:color w:val="auto"/>
          <w:lang w:val="en-US" w:eastAsia="zh-CN"/>
        </w:rPr>
        <w:t>质量指标方面：质量达标率,年度目标值12.5分，由于该项目是2019年12月项目,本年是延续项目，因内部部分附属未完工,按照年度内完成度与总项目投资计算只完成工期的60%,该指标分值7.5分,得分率61.22%.</w:t>
      </w:r>
    </w:p>
    <w:p w14:paraId="7B9F7AA6">
      <w:pPr>
        <w:pageBreakBefore w:val="0"/>
        <w:kinsoku/>
        <w:wordWrap/>
        <w:overflowPunct/>
        <w:topLinePunct w:val="0"/>
        <w:autoSpaceDE/>
        <w:autoSpaceDN/>
        <w:bidi w:val="0"/>
        <w:adjustRightInd/>
        <w:snapToGrid/>
        <w:spacing w:line="560" w:lineRule="exact"/>
        <w:ind w:firstLine="640" w:firstLineChars="200"/>
        <w:textAlignment w:val="auto"/>
        <w:rPr>
          <w:rStyle w:val="50"/>
          <w:rFonts w:hint="eastAsia"/>
          <w:color w:val="auto"/>
          <w:lang w:val="en-US" w:eastAsia="zh-CN"/>
        </w:rPr>
      </w:pPr>
      <w:r>
        <w:rPr>
          <w:rStyle w:val="50"/>
          <w:rFonts w:hint="eastAsia"/>
          <w:color w:val="auto"/>
          <w:lang w:val="en-US" w:eastAsia="zh-CN"/>
        </w:rPr>
        <w:t>时效指标方面：完成及时性,年度目标值12.5分，该分值是按照一个年度内阶段完成情况计算，因该项目是延续性项目,是2019年项目至今,当年工期阶段已完成，得分12.5分，完成率100%。</w:t>
      </w:r>
    </w:p>
    <w:p w14:paraId="447C5180">
      <w:pPr>
        <w:pageBreakBefore w:val="0"/>
        <w:kinsoku/>
        <w:wordWrap/>
        <w:overflowPunct/>
        <w:topLinePunct w:val="0"/>
        <w:autoSpaceDE/>
        <w:autoSpaceDN/>
        <w:bidi w:val="0"/>
        <w:adjustRightInd/>
        <w:snapToGrid/>
        <w:spacing w:line="560" w:lineRule="exact"/>
        <w:ind w:firstLine="640" w:firstLineChars="200"/>
        <w:textAlignment w:val="auto"/>
        <w:rPr>
          <w:rStyle w:val="50"/>
          <w:rFonts w:hint="default"/>
          <w:color w:val="auto"/>
          <w:lang w:val="en-US" w:eastAsia="zh-CN"/>
        </w:rPr>
      </w:pPr>
      <w:r>
        <w:rPr>
          <w:rStyle w:val="50"/>
          <w:rFonts w:hint="eastAsia"/>
          <w:color w:val="auto"/>
          <w:lang w:val="en-US" w:eastAsia="zh-CN"/>
        </w:rPr>
        <w:t>成本指标方面：成本节约率,年度目标值12.5分，根据当年拨付款及支付情况计算，因该项目是延续项目,成本是以该项目总投资为基数计算当年建设成本与总投资成本计算该项的分5.17分，当年完成总体的41.3%。</w:t>
      </w:r>
    </w:p>
    <w:p w14:paraId="4815CDFC">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14:paraId="5A5284E8">
      <w:pPr>
        <w:pageBreakBefore w:val="0"/>
        <w:kinsoku/>
        <w:wordWrap/>
        <w:overflowPunct/>
        <w:topLinePunct w:val="0"/>
        <w:autoSpaceDE/>
        <w:autoSpaceDN/>
        <w:bidi w:val="0"/>
        <w:adjustRightInd/>
        <w:snapToGrid/>
        <w:spacing w:line="560" w:lineRule="exact"/>
        <w:ind w:firstLine="640" w:firstLineChars="200"/>
        <w:textAlignment w:val="auto"/>
        <w:rPr>
          <w:rStyle w:val="50"/>
          <w:rFonts w:hint="default"/>
          <w:color w:val="auto"/>
          <w:lang w:val="en-US" w:eastAsia="zh-CN"/>
        </w:rPr>
      </w:pPr>
      <w:r>
        <w:rPr>
          <w:rStyle w:val="50"/>
          <w:rFonts w:hint="eastAsia"/>
          <w:color w:val="auto"/>
          <w:lang w:val="en-US" w:eastAsia="zh-CN"/>
        </w:rPr>
        <w:t>经济效益指标方面：设计功能实现率,设置分值为10,实际完成总项目的90%,得分10分,该指标的计算是以项目总体设置的,按照总体进度得分.</w:t>
      </w:r>
    </w:p>
    <w:p w14:paraId="38822B5B">
      <w:pPr>
        <w:pageBreakBefore w:val="0"/>
        <w:kinsoku/>
        <w:wordWrap/>
        <w:overflowPunct/>
        <w:topLinePunct w:val="0"/>
        <w:autoSpaceDE/>
        <w:autoSpaceDN/>
        <w:bidi w:val="0"/>
        <w:adjustRightInd/>
        <w:snapToGrid/>
        <w:spacing w:line="560" w:lineRule="exact"/>
        <w:ind w:firstLine="640" w:firstLineChars="200"/>
        <w:textAlignment w:val="auto"/>
        <w:rPr>
          <w:rStyle w:val="50"/>
          <w:rFonts w:hint="default"/>
          <w:color w:val="auto"/>
          <w:lang w:val="en-US" w:eastAsia="zh-CN"/>
        </w:rPr>
      </w:pPr>
      <w:r>
        <w:rPr>
          <w:rStyle w:val="50"/>
          <w:rFonts w:hint="eastAsia"/>
          <w:color w:val="auto"/>
          <w:lang w:val="en-US" w:eastAsia="zh-CN"/>
        </w:rPr>
        <w:t>社会效益指标方面：下设业务保障能力,设置分值为10分.因该项目的落成,为即将改善办公条件等方面奠定基础,势必会改善教师办公环境,该项目已经实施,因此该分值为10分,得分率100%.</w:t>
      </w:r>
    </w:p>
    <w:p w14:paraId="25D3F711">
      <w:pPr>
        <w:pageBreakBefore w:val="0"/>
        <w:kinsoku/>
        <w:wordWrap/>
        <w:overflowPunct/>
        <w:topLinePunct w:val="0"/>
        <w:autoSpaceDE/>
        <w:autoSpaceDN/>
        <w:bidi w:val="0"/>
        <w:adjustRightInd/>
        <w:snapToGrid/>
        <w:spacing w:line="560" w:lineRule="exact"/>
        <w:ind w:firstLine="640" w:firstLineChars="200"/>
        <w:textAlignment w:val="auto"/>
        <w:rPr>
          <w:rStyle w:val="50"/>
          <w:rFonts w:hint="eastAsia"/>
          <w:color w:val="auto"/>
          <w:lang w:val="en-US" w:eastAsia="zh-CN"/>
        </w:rPr>
      </w:pPr>
      <w:r>
        <w:rPr>
          <w:rStyle w:val="50"/>
          <w:rFonts w:hint="eastAsia"/>
          <w:color w:val="auto"/>
          <w:lang w:val="en-US" w:eastAsia="zh-CN"/>
        </w:rPr>
        <w:t>可持续影响指标方面：预计使用年限设置为40年设置分值为10分,自2019年项目开始实施之日起,就按照固定资产的使用确定了其使用年限,目前该项目已经落成并按照一定工期进度在推进,因此该项不扣分,得分率100%。</w:t>
      </w:r>
    </w:p>
    <w:p w14:paraId="33988867">
      <w:pPr>
        <w:pageBreakBefore w:val="0"/>
        <w:kinsoku/>
        <w:wordWrap/>
        <w:overflowPunct/>
        <w:topLinePunct w:val="0"/>
        <w:autoSpaceDE/>
        <w:autoSpaceDN/>
        <w:bidi w:val="0"/>
        <w:adjustRightInd/>
        <w:snapToGrid/>
        <w:spacing w:line="560" w:lineRule="exact"/>
        <w:ind w:firstLine="640" w:firstLineChars="200"/>
        <w:textAlignment w:val="auto"/>
        <w:rPr>
          <w:rStyle w:val="50"/>
          <w:rFonts w:hint="eastAsia"/>
          <w:color w:val="auto"/>
          <w:lang w:val="en-US" w:eastAsia="zh-CN"/>
        </w:rPr>
      </w:pPr>
      <w:r>
        <w:rPr>
          <w:rStyle w:val="50"/>
          <w:rFonts w:hint="eastAsia"/>
          <w:color w:val="auto"/>
          <w:lang w:val="en-US" w:eastAsia="zh-CN"/>
        </w:rPr>
        <w:t>满意度指标方面：项目效果主要从项目服务对象满意度方面进行评价。项目绩效类指标分值10分，实际得分7.17分，得分率为72.45%</w:t>
      </w:r>
    </w:p>
    <w:tbl>
      <w:tblPr>
        <w:tblStyle w:val="19"/>
        <w:tblW w:w="8522" w:type="dxa"/>
        <w:tblInd w:w="0" w:type="dxa"/>
        <w:tblLayout w:type="fixed"/>
        <w:tblCellMar>
          <w:top w:w="0" w:type="dxa"/>
          <w:left w:w="108" w:type="dxa"/>
          <w:bottom w:w="0" w:type="dxa"/>
          <w:right w:w="108" w:type="dxa"/>
        </w:tblCellMar>
      </w:tblPr>
      <w:tblGrid>
        <w:gridCol w:w="2232"/>
        <w:gridCol w:w="2407"/>
        <w:gridCol w:w="1986"/>
        <w:gridCol w:w="1897"/>
      </w:tblGrid>
      <w:tr w14:paraId="24932F6D">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14:paraId="561611CF">
            <w:pPr>
              <w:pageBreakBefore w:val="0"/>
              <w:kinsoku/>
              <w:wordWrap/>
              <w:overflowPunct/>
              <w:topLinePunct w:val="0"/>
              <w:autoSpaceDE/>
              <w:autoSpaceDN/>
              <w:bidi w:val="0"/>
              <w:adjustRightInd/>
              <w:snapToGrid/>
              <w:spacing w:line="560" w:lineRule="exact"/>
              <w:jc w:val="center"/>
              <w:textAlignment w:val="auto"/>
              <w:rPr>
                <w:rFonts w:ascii="黑体" w:hAnsi="黑体" w:eastAsia="黑体" w:cs="宋体"/>
                <w:sz w:val="24"/>
              </w:rPr>
            </w:pPr>
            <w:r>
              <w:rPr>
                <w:rFonts w:hint="eastAsia" w:ascii="黑体" w:hAnsi="黑体" w:eastAsia="黑体" w:cs="宋体"/>
                <w:sz w:val="28"/>
                <w:lang w:val="en-US" w:eastAsia="zh-CN"/>
              </w:rPr>
              <w:t>效益</w:t>
            </w:r>
            <w:r>
              <w:rPr>
                <w:rFonts w:hint="eastAsia" w:ascii="黑体" w:hAnsi="黑体" w:eastAsia="黑体" w:cs="宋体"/>
                <w:sz w:val="28"/>
              </w:rPr>
              <w:t>指标得分情况</w:t>
            </w:r>
          </w:p>
        </w:tc>
      </w:tr>
      <w:tr w14:paraId="58B9DF5F">
        <w:tblPrEx>
          <w:tblCellMar>
            <w:top w:w="0" w:type="dxa"/>
            <w:left w:w="108" w:type="dxa"/>
            <w:bottom w:w="0" w:type="dxa"/>
            <w:right w:w="108" w:type="dxa"/>
          </w:tblCellMar>
        </w:tblPrEx>
        <w:trPr>
          <w:trHeight w:val="510" w:hRule="exact"/>
          <w:tblHeader/>
        </w:trPr>
        <w:tc>
          <w:tcPr>
            <w:tcW w:w="2232" w:type="dxa"/>
            <w:tcBorders>
              <w:top w:val="nil"/>
              <w:left w:val="single" w:color="auto" w:sz="8" w:space="0"/>
              <w:bottom w:val="nil"/>
              <w:right w:val="single" w:color="auto" w:sz="8" w:space="0"/>
            </w:tcBorders>
            <w:shd w:val="clear" w:color="000000" w:fill="A6A6A6"/>
            <w:vAlign w:val="center"/>
          </w:tcPr>
          <w:p w14:paraId="3CFCE3A6">
            <w:pPr>
              <w:pageBreakBefore w:val="0"/>
              <w:kinsoku/>
              <w:wordWrap/>
              <w:overflowPunct/>
              <w:topLinePunct w:val="0"/>
              <w:autoSpaceDE/>
              <w:autoSpaceDN/>
              <w:bidi w:val="0"/>
              <w:adjustRightInd/>
              <w:snapToGrid/>
              <w:spacing w:line="560" w:lineRule="exact"/>
              <w:jc w:val="center"/>
              <w:textAlignment w:val="auto"/>
              <w:rPr>
                <w:rFonts w:ascii="仿宋" w:hAnsi="仿宋" w:eastAsia="仿宋" w:cs="宋体"/>
                <w:b/>
                <w:bCs/>
                <w:sz w:val="24"/>
              </w:rPr>
            </w:pPr>
            <w:r>
              <w:rPr>
                <w:rFonts w:hint="eastAsia" w:ascii="仿宋" w:hAnsi="仿宋" w:eastAsia="仿宋" w:cs="宋体"/>
                <w:b/>
                <w:bCs/>
                <w:sz w:val="24"/>
              </w:rPr>
              <w:t>三级指标</w:t>
            </w:r>
          </w:p>
        </w:tc>
        <w:tc>
          <w:tcPr>
            <w:tcW w:w="2407" w:type="dxa"/>
            <w:tcBorders>
              <w:top w:val="nil"/>
              <w:left w:val="nil"/>
              <w:bottom w:val="nil"/>
              <w:right w:val="single" w:color="auto" w:sz="8" w:space="0"/>
            </w:tcBorders>
            <w:shd w:val="clear" w:color="000000" w:fill="A6A6A6"/>
            <w:vAlign w:val="center"/>
          </w:tcPr>
          <w:p w14:paraId="1CE2D44C">
            <w:pPr>
              <w:pageBreakBefore w:val="0"/>
              <w:kinsoku/>
              <w:wordWrap/>
              <w:overflowPunct/>
              <w:topLinePunct w:val="0"/>
              <w:autoSpaceDE/>
              <w:autoSpaceDN/>
              <w:bidi w:val="0"/>
              <w:adjustRightInd/>
              <w:snapToGrid/>
              <w:spacing w:line="560" w:lineRule="exact"/>
              <w:jc w:val="center"/>
              <w:textAlignment w:val="auto"/>
              <w:rPr>
                <w:rFonts w:ascii="仿宋" w:hAnsi="仿宋" w:eastAsia="仿宋" w:cs="宋体"/>
                <w:b/>
                <w:bCs/>
                <w:sz w:val="24"/>
              </w:rPr>
            </w:pPr>
            <w:r>
              <w:rPr>
                <w:rFonts w:hint="eastAsia" w:ascii="仿宋" w:hAnsi="仿宋" w:eastAsia="仿宋" w:cs="宋体"/>
                <w:b/>
                <w:bCs/>
                <w:sz w:val="24"/>
              </w:rPr>
              <w:t>权重</w:t>
            </w:r>
          </w:p>
        </w:tc>
        <w:tc>
          <w:tcPr>
            <w:tcW w:w="1986" w:type="dxa"/>
            <w:tcBorders>
              <w:top w:val="nil"/>
              <w:left w:val="nil"/>
              <w:bottom w:val="nil"/>
              <w:right w:val="single" w:color="auto" w:sz="8" w:space="0"/>
            </w:tcBorders>
            <w:shd w:val="clear" w:color="000000" w:fill="A6A6A6"/>
            <w:vAlign w:val="center"/>
          </w:tcPr>
          <w:p w14:paraId="5367424E">
            <w:pPr>
              <w:pageBreakBefore w:val="0"/>
              <w:kinsoku/>
              <w:wordWrap/>
              <w:overflowPunct/>
              <w:topLinePunct w:val="0"/>
              <w:autoSpaceDE/>
              <w:autoSpaceDN/>
              <w:bidi w:val="0"/>
              <w:adjustRightInd/>
              <w:snapToGrid/>
              <w:spacing w:line="560" w:lineRule="exact"/>
              <w:jc w:val="center"/>
              <w:textAlignment w:val="auto"/>
              <w:rPr>
                <w:rFonts w:ascii="仿宋" w:hAnsi="仿宋" w:eastAsia="仿宋" w:cs="宋体"/>
                <w:b/>
                <w:bCs/>
                <w:sz w:val="24"/>
              </w:rPr>
            </w:pPr>
            <w:r>
              <w:rPr>
                <w:rFonts w:hint="eastAsia" w:ascii="仿宋" w:hAnsi="仿宋" w:eastAsia="仿宋" w:cs="宋体"/>
                <w:b/>
                <w:bCs/>
                <w:sz w:val="24"/>
              </w:rPr>
              <w:t>得分率</w:t>
            </w:r>
          </w:p>
        </w:tc>
        <w:tc>
          <w:tcPr>
            <w:tcW w:w="1897" w:type="dxa"/>
            <w:tcBorders>
              <w:top w:val="nil"/>
              <w:left w:val="nil"/>
              <w:bottom w:val="nil"/>
              <w:right w:val="single" w:color="auto" w:sz="8" w:space="0"/>
            </w:tcBorders>
            <w:shd w:val="clear" w:color="000000" w:fill="A6A6A6"/>
            <w:vAlign w:val="center"/>
          </w:tcPr>
          <w:p w14:paraId="5F235A84">
            <w:pPr>
              <w:pageBreakBefore w:val="0"/>
              <w:kinsoku/>
              <w:wordWrap/>
              <w:overflowPunct/>
              <w:topLinePunct w:val="0"/>
              <w:autoSpaceDE/>
              <w:autoSpaceDN/>
              <w:bidi w:val="0"/>
              <w:adjustRightInd/>
              <w:snapToGrid/>
              <w:spacing w:line="560" w:lineRule="exact"/>
              <w:jc w:val="center"/>
              <w:textAlignment w:val="auto"/>
              <w:rPr>
                <w:rFonts w:ascii="仿宋" w:hAnsi="仿宋" w:eastAsia="仿宋" w:cs="宋体"/>
                <w:b/>
                <w:bCs/>
                <w:sz w:val="24"/>
              </w:rPr>
            </w:pPr>
            <w:r>
              <w:rPr>
                <w:rFonts w:hint="eastAsia" w:ascii="仿宋" w:hAnsi="仿宋" w:eastAsia="仿宋" w:cs="宋体"/>
                <w:b/>
                <w:bCs/>
                <w:sz w:val="24"/>
              </w:rPr>
              <w:t>实际得分</w:t>
            </w:r>
          </w:p>
        </w:tc>
      </w:tr>
      <w:tr w14:paraId="3831D3AF">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14:paraId="5970A45E">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kern w:val="0"/>
                <w:sz w:val="18"/>
                <w:szCs w:val="18"/>
                <w:lang w:val="en-US" w:eastAsia="zh-CN"/>
              </w:rPr>
              <w:t>设计功能实现率</w:t>
            </w:r>
          </w:p>
        </w:tc>
        <w:tc>
          <w:tcPr>
            <w:tcW w:w="2407" w:type="dxa"/>
            <w:tcBorders>
              <w:top w:val="single" w:color="auto" w:sz="4" w:space="0"/>
              <w:left w:val="nil"/>
              <w:bottom w:val="single" w:color="auto" w:sz="4" w:space="0"/>
              <w:right w:val="single" w:color="auto" w:sz="4" w:space="0"/>
            </w:tcBorders>
            <w:noWrap/>
            <w:vAlign w:val="center"/>
          </w:tcPr>
          <w:p w14:paraId="4DBFB18F">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sz w:val="18"/>
                <w:szCs w:val="18"/>
                <w:lang w:val="en-US" w:eastAsia="zh-CN"/>
              </w:rPr>
              <w:t>13.33</w:t>
            </w:r>
          </w:p>
        </w:tc>
        <w:tc>
          <w:tcPr>
            <w:tcW w:w="1986" w:type="dxa"/>
            <w:tcBorders>
              <w:top w:val="single" w:color="auto" w:sz="4" w:space="0"/>
              <w:left w:val="nil"/>
              <w:bottom w:val="single" w:color="auto" w:sz="4" w:space="0"/>
              <w:right w:val="single" w:color="auto" w:sz="4" w:space="0"/>
            </w:tcBorders>
            <w:vAlign w:val="center"/>
          </w:tcPr>
          <w:p w14:paraId="0F56BBEC">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lang w:val="en-US" w:eastAsia="zh-CN"/>
              </w:rPr>
              <w:t>70</w:t>
            </w:r>
            <w:r>
              <w:rPr>
                <w:rFonts w:hint="eastAsia" w:asciiTheme="majorEastAsia" w:hAnsiTheme="majorEastAsia" w:eastAsiaTheme="majorEastAsia" w:cstheme="majorEastAsia"/>
                <w:sz w:val="18"/>
                <w:szCs w:val="18"/>
              </w:rPr>
              <w:t>%</w:t>
            </w:r>
          </w:p>
        </w:tc>
        <w:tc>
          <w:tcPr>
            <w:tcW w:w="1897" w:type="dxa"/>
            <w:tcBorders>
              <w:top w:val="single" w:color="auto" w:sz="4" w:space="0"/>
              <w:left w:val="nil"/>
              <w:bottom w:val="single" w:color="auto" w:sz="4" w:space="0"/>
              <w:right w:val="single" w:color="auto" w:sz="4" w:space="0"/>
            </w:tcBorders>
            <w:noWrap/>
            <w:vAlign w:val="center"/>
          </w:tcPr>
          <w:p w14:paraId="659DB89F">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rPr>
            </w:pPr>
            <w:r>
              <w:rPr>
                <w:rFonts w:hint="eastAsia" w:asciiTheme="majorEastAsia" w:hAnsiTheme="majorEastAsia" w:eastAsiaTheme="majorEastAsia" w:cstheme="majorEastAsia"/>
                <w:sz w:val="18"/>
                <w:szCs w:val="18"/>
                <w:lang w:val="en-US" w:eastAsia="zh-CN"/>
              </w:rPr>
              <w:t>10.67</w:t>
            </w:r>
          </w:p>
        </w:tc>
      </w:tr>
      <w:tr w14:paraId="094F4BDE">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14:paraId="0FB52760">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kern w:val="0"/>
                <w:sz w:val="18"/>
                <w:szCs w:val="18"/>
                <w:lang w:val="en-US" w:eastAsia="zh-CN"/>
              </w:rPr>
              <w:t>业务保障能力</w:t>
            </w:r>
          </w:p>
        </w:tc>
        <w:tc>
          <w:tcPr>
            <w:tcW w:w="2407" w:type="dxa"/>
            <w:tcBorders>
              <w:top w:val="nil"/>
              <w:left w:val="nil"/>
              <w:bottom w:val="single" w:color="auto" w:sz="4" w:space="0"/>
              <w:right w:val="single" w:color="auto" w:sz="4" w:space="0"/>
            </w:tcBorders>
            <w:noWrap/>
            <w:vAlign w:val="center"/>
          </w:tcPr>
          <w:p w14:paraId="270E87B2">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sz w:val="18"/>
                <w:szCs w:val="18"/>
                <w:lang w:val="en-US" w:eastAsia="zh-CN"/>
              </w:rPr>
              <w:t>13.33</w:t>
            </w:r>
          </w:p>
        </w:tc>
        <w:tc>
          <w:tcPr>
            <w:tcW w:w="1986" w:type="dxa"/>
            <w:tcBorders>
              <w:top w:val="nil"/>
              <w:left w:val="nil"/>
              <w:bottom w:val="single" w:color="auto" w:sz="4" w:space="0"/>
              <w:right w:val="single" w:color="auto" w:sz="4" w:space="0"/>
            </w:tcBorders>
            <w:vAlign w:val="center"/>
          </w:tcPr>
          <w:p w14:paraId="4CC89CA2">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w:t>
            </w:r>
          </w:p>
        </w:tc>
        <w:tc>
          <w:tcPr>
            <w:tcW w:w="1897" w:type="dxa"/>
            <w:tcBorders>
              <w:top w:val="nil"/>
              <w:left w:val="nil"/>
              <w:bottom w:val="single" w:color="auto" w:sz="4" w:space="0"/>
              <w:right w:val="single" w:color="auto" w:sz="4" w:space="0"/>
            </w:tcBorders>
            <w:noWrap/>
            <w:vAlign w:val="center"/>
          </w:tcPr>
          <w:p w14:paraId="622EDB39">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rPr>
            </w:pPr>
            <w:r>
              <w:rPr>
                <w:rFonts w:hint="eastAsia" w:asciiTheme="majorEastAsia" w:hAnsiTheme="majorEastAsia" w:eastAsiaTheme="majorEastAsia" w:cstheme="majorEastAsia"/>
                <w:sz w:val="18"/>
                <w:szCs w:val="18"/>
                <w:lang w:val="en-US" w:eastAsia="zh-CN"/>
              </w:rPr>
              <w:t>13.33</w:t>
            </w:r>
          </w:p>
        </w:tc>
      </w:tr>
      <w:tr w14:paraId="3E0C927A">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14:paraId="4902E9F8">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color w:val="000000"/>
                <w:kern w:val="0"/>
                <w:sz w:val="18"/>
                <w:szCs w:val="18"/>
                <w:lang w:val="en-US" w:eastAsia="zh-CN"/>
              </w:rPr>
              <w:t>预计使用年限</w:t>
            </w:r>
          </w:p>
        </w:tc>
        <w:tc>
          <w:tcPr>
            <w:tcW w:w="2407" w:type="dxa"/>
            <w:tcBorders>
              <w:top w:val="nil"/>
              <w:left w:val="nil"/>
              <w:bottom w:val="single" w:color="auto" w:sz="4" w:space="0"/>
              <w:right w:val="single" w:color="auto" w:sz="4" w:space="0"/>
            </w:tcBorders>
            <w:noWrap/>
            <w:vAlign w:val="center"/>
          </w:tcPr>
          <w:p w14:paraId="175C4373">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sz w:val="18"/>
                <w:szCs w:val="18"/>
                <w:lang w:val="en-US" w:eastAsia="zh-CN"/>
              </w:rPr>
              <w:t>13.34</w:t>
            </w:r>
          </w:p>
        </w:tc>
        <w:tc>
          <w:tcPr>
            <w:tcW w:w="1986" w:type="dxa"/>
            <w:tcBorders>
              <w:top w:val="nil"/>
              <w:left w:val="nil"/>
              <w:bottom w:val="single" w:color="auto" w:sz="4" w:space="0"/>
              <w:right w:val="single" w:color="auto" w:sz="4" w:space="0"/>
            </w:tcBorders>
            <w:vAlign w:val="center"/>
          </w:tcPr>
          <w:p w14:paraId="516DDBFF">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100%</w:t>
            </w:r>
          </w:p>
        </w:tc>
        <w:tc>
          <w:tcPr>
            <w:tcW w:w="1897" w:type="dxa"/>
            <w:tcBorders>
              <w:top w:val="nil"/>
              <w:left w:val="nil"/>
              <w:bottom w:val="single" w:color="auto" w:sz="4" w:space="0"/>
              <w:right w:val="single" w:color="auto" w:sz="4" w:space="0"/>
            </w:tcBorders>
            <w:noWrap/>
            <w:vAlign w:val="center"/>
          </w:tcPr>
          <w:p w14:paraId="7FD4066A">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rPr>
            </w:pPr>
            <w:r>
              <w:rPr>
                <w:rFonts w:hint="eastAsia" w:asciiTheme="majorEastAsia" w:hAnsiTheme="majorEastAsia" w:eastAsiaTheme="majorEastAsia" w:cstheme="majorEastAsia"/>
                <w:sz w:val="18"/>
                <w:szCs w:val="18"/>
                <w:lang w:val="en-US" w:eastAsia="zh-CN"/>
              </w:rPr>
              <w:t>13.34</w:t>
            </w:r>
          </w:p>
        </w:tc>
      </w:tr>
      <w:tr w14:paraId="36FAF380">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14:paraId="6C582496">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color w:val="000000"/>
                <w:kern w:val="0"/>
                <w:sz w:val="18"/>
                <w:szCs w:val="18"/>
                <w:lang w:val="en-US" w:eastAsia="zh-CN"/>
              </w:rPr>
              <w:t>师生对基础设施建设满意度</w:t>
            </w:r>
          </w:p>
        </w:tc>
        <w:tc>
          <w:tcPr>
            <w:tcW w:w="2407" w:type="dxa"/>
            <w:tcBorders>
              <w:top w:val="nil"/>
              <w:left w:val="nil"/>
              <w:bottom w:val="single" w:color="auto" w:sz="4" w:space="0"/>
              <w:right w:val="single" w:color="auto" w:sz="4" w:space="0"/>
            </w:tcBorders>
            <w:noWrap/>
            <w:vAlign w:val="center"/>
          </w:tcPr>
          <w:p w14:paraId="5986204F">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sz w:val="18"/>
                <w:szCs w:val="18"/>
                <w:lang w:val="en-US" w:eastAsia="zh-CN"/>
              </w:rPr>
              <w:t>10</w:t>
            </w:r>
          </w:p>
        </w:tc>
        <w:tc>
          <w:tcPr>
            <w:tcW w:w="1986" w:type="dxa"/>
            <w:tcBorders>
              <w:top w:val="nil"/>
              <w:left w:val="nil"/>
              <w:bottom w:val="single" w:color="auto" w:sz="4" w:space="0"/>
              <w:right w:val="single" w:color="auto" w:sz="4" w:space="0"/>
            </w:tcBorders>
            <w:vAlign w:val="center"/>
          </w:tcPr>
          <w:p w14:paraId="154AFE79">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lang w:val="en-US" w:eastAsia="zh-CN"/>
              </w:rPr>
              <w:t>70</w:t>
            </w:r>
            <w:r>
              <w:rPr>
                <w:rFonts w:hint="eastAsia" w:asciiTheme="majorEastAsia" w:hAnsiTheme="majorEastAsia" w:eastAsiaTheme="majorEastAsia" w:cstheme="majorEastAsia"/>
                <w:sz w:val="18"/>
                <w:szCs w:val="18"/>
              </w:rPr>
              <w:t>%</w:t>
            </w:r>
          </w:p>
        </w:tc>
        <w:tc>
          <w:tcPr>
            <w:tcW w:w="1897" w:type="dxa"/>
            <w:tcBorders>
              <w:top w:val="nil"/>
              <w:left w:val="nil"/>
              <w:bottom w:val="single" w:color="auto" w:sz="4" w:space="0"/>
              <w:right w:val="single" w:color="auto" w:sz="4" w:space="0"/>
            </w:tcBorders>
            <w:noWrap/>
            <w:vAlign w:val="center"/>
          </w:tcPr>
          <w:p w14:paraId="7D14824E">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lang w:val="en-US" w:eastAsia="zh-CN"/>
              </w:rPr>
              <w:t>8</w:t>
            </w:r>
          </w:p>
        </w:tc>
      </w:tr>
      <w:tr w14:paraId="0500FA56">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14:paraId="27B793A2">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  计</w:t>
            </w:r>
          </w:p>
        </w:tc>
        <w:tc>
          <w:tcPr>
            <w:tcW w:w="2407" w:type="dxa"/>
            <w:tcBorders>
              <w:top w:val="single" w:color="auto" w:sz="4" w:space="0"/>
              <w:left w:val="nil"/>
              <w:bottom w:val="single" w:color="auto" w:sz="4" w:space="0"/>
              <w:right w:val="single" w:color="auto" w:sz="4" w:space="0"/>
            </w:tcBorders>
            <w:noWrap/>
            <w:vAlign w:val="center"/>
          </w:tcPr>
          <w:p w14:paraId="588AFB36">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sz w:val="18"/>
                <w:szCs w:val="18"/>
                <w:lang w:val="en-US" w:eastAsia="zh-CN"/>
              </w:rPr>
              <w:t>50</w:t>
            </w:r>
          </w:p>
        </w:tc>
        <w:tc>
          <w:tcPr>
            <w:tcW w:w="1986" w:type="dxa"/>
            <w:tcBorders>
              <w:top w:val="single" w:color="auto" w:sz="4" w:space="0"/>
              <w:left w:val="nil"/>
              <w:bottom w:val="single" w:color="auto" w:sz="4" w:space="0"/>
              <w:right w:val="single" w:color="auto" w:sz="4" w:space="0"/>
            </w:tcBorders>
            <w:vAlign w:val="center"/>
          </w:tcPr>
          <w:p w14:paraId="035C7AAC">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lang w:val="en-US" w:eastAsia="zh-CN"/>
              </w:rPr>
              <w:t>95</w:t>
            </w:r>
            <w:r>
              <w:rPr>
                <w:rFonts w:hint="eastAsia" w:asciiTheme="majorEastAsia" w:hAnsiTheme="majorEastAsia" w:eastAsiaTheme="majorEastAsia" w:cstheme="majorEastAsia"/>
                <w:sz w:val="18"/>
                <w:szCs w:val="18"/>
              </w:rPr>
              <w:t>%</w:t>
            </w:r>
          </w:p>
        </w:tc>
        <w:tc>
          <w:tcPr>
            <w:tcW w:w="1897" w:type="dxa"/>
            <w:tcBorders>
              <w:top w:val="single" w:color="auto" w:sz="4" w:space="0"/>
              <w:left w:val="nil"/>
              <w:bottom w:val="single" w:color="auto" w:sz="4" w:space="0"/>
              <w:right w:val="single" w:color="auto" w:sz="4" w:space="0"/>
            </w:tcBorders>
            <w:noWrap/>
            <w:vAlign w:val="center"/>
          </w:tcPr>
          <w:p w14:paraId="07E46FBE">
            <w:pPr>
              <w:pageBreakBefore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sz w:val="18"/>
                <w:szCs w:val="18"/>
                <w:lang w:val="en-US" w:eastAsia="zh-CN"/>
              </w:rPr>
            </w:pPr>
            <w:r>
              <w:rPr>
                <w:rFonts w:hint="eastAsia" w:asciiTheme="majorEastAsia" w:hAnsiTheme="majorEastAsia" w:eastAsiaTheme="majorEastAsia" w:cstheme="majorEastAsia"/>
                <w:sz w:val="18"/>
                <w:szCs w:val="18"/>
                <w:lang w:val="en-US" w:eastAsia="zh-CN"/>
              </w:rPr>
              <w:t>45.34</w:t>
            </w:r>
          </w:p>
        </w:tc>
      </w:tr>
    </w:tbl>
    <w:p w14:paraId="20FB7EED">
      <w:pPr>
        <w:pageBreakBefore w:val="0"/>
        <w:kinsoku/>
        <w:wordWrap/>
        <w:overflowPunct/>
        <w:topLinePunct w:val="0"/>
        <w:autoSpaceDE/>
        <w:autoSpaceDN/>
        <w:bidi w:val="0"/>
        <w:adjustRightInd/>
        <w:snapToGrid/>
        <w:spacing w:line="560" w:lineRule="exact"/>
        <w:textAlignment w:val="auto"/>
        <w:rPr>
          <w:rFonts w:hint="default"/>
          <w:lang w:val="en-US" w:eastAsia="zh-CN"/>
        </w:rPr>
      </w:pPr>
    </w:p>
    <w:p w14:paraId="2A7ED2E6">
      <w:pPr>
        <w:pageBreakBefore w:val="0"/>
        <w:kinsoku/>
        <w:wordWrap/>
        <w:overflowPunct/>
        <w:topLinePunct w:val="0"/>
        <w:autoSpaceDE/>
        <w:autoSpaceDN/>
        <w:bidi w:val="0"/>
        <w:adjustRightInd/>
        <w:snapToGrid/>
        <w:spacing w:line="560" w:lineRule="exact"/>
        <w:ind w:firstLine="321" w:firstLineChars="100"/>
        <w:textAlignment w:val="auto"/>
        <w:rPr>
          <w:rStyle w:val="50"/>
          <w:b/>
          <w:bCs/>
          <w:color w:val="auto"/>
        </w:rPr>
      </w:pPr>
      <w:r>
        <w:rPr>
          <w:rFonts w:hint="eastAsia" w:ascii="黑体" w:hAnsi="黑体" w:eastAsia="黑体"/>
          <w:b/>
          <w:bCs/>
          <w:sz w:val="32"/>
          <w:szCs w:val="32"/>
        </w:rPr>
        <w:t>五、主要经验及做法、存在的问题及原因分析</w:t>
      </w:r>
    </w:p>
    <w:p w14:paraId="50983019">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14:paraId="1ADE81C2">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5D0BEDB">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D23FC6C">
      <w:pPr>
        <w:keepNext/>
        <w:keepLines/>
        <w:pageBreakBefore w:val="0"/>
        <w:numPr>
          <w:ilvl w:val="0"/>
          <w:numId w:val="5"/>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14:paraId="275397FB">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存在的问题：</w:t>
      </w:r>
      <w:r>
        <w:rPr>
          <w:rFonts w:hint="eastAsia" w:ascii="仿宋" w:hAnsi="仿宋" w:eastAsia="仿宋" w:cs="仿宋"/>
          <w:sz w:val="32"/>
          <w:szCs w:val="32"/>
          <w:shd w:val="clear" w:color="auto" w:fill="FFFFFF"/>
        </w:rPr>
        <w:t>项目管理制度有待进一步健全、细化。前期预算考虑问题不够全面，</w:t>
      </w:r>
      <w:r>
        <w:rPr>
          <w:rFonts w:hint="eastAsia" w:ascii="仿宋" w:hAnsi="仿宋" w:eastAsia="仿宋" w:cs="宋体"/>
          <w:sz w:val="32"/>
          <w:szCs w:val="32"/>
        </w:rPr>
        <w:t>项目预算及支出管理有待进一步提高</w:t>
      </w:r>
      <w:r>
        <w:rPr>
          <w:rFonts w:hint="eastAsia" w:ascii="仿宋" w:hAnsi="仿宋" w:eastAsia="仿宋" w:cs="仿宋"/>
          <w:sz w:val="32"/>
          <w:szCs w:val="32"/>
          <w:shd w:val="clear" w:color="auto" w:fill="FFFFFF"/>
        </w:rPr>
        <w:t>。</w:t>
      </w:r>
    </w:p>
    <w:p w14:paraId="779F3E6F">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2、原因分析</w:t>
      </w:r>
      <w:r>
        <w:rPr>
          <w:rFonts w:hint="eastAsia" w:ascii="仿宋_GB2312" w:hAnsi="仿宋_GB2312" w:eastAsia="仿宋_GB2312" w:cs="仿宋_GB2312"/>
          <w:sz w:val="32"/>
          <w:szCs w:val="32"/>
          <w:lang w:eastAsia="zh-CN"/>
        </w:rPr>
        <w:t>：在项目绩效设置的过程中</w:t>
      </w:r>
      <w:r>
        <w:rPr>
          <w:rFonts w:hint="eastAsia" w:ascii="仿宋_GB2312" w:hAnsi="仿宋_GB2312" w:eastAsia="仿宋_GB2312" w:cs="仿宋_GB2312"/>
          <w:sz w:val="32"/>
          <w:szCs w:val="32"/>
          <w:lang w:val="en-US" w:eastAsia="zh-CN"/>
        </w:rPr>
        <w:t>欠考虑一些因自然因素导致某一些指标不能按期完成的因素，与设置值有差异。</w:t>
      </w:r>
    </w:p>
    <w:p w14:paraId="46DA288A">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有关建议</w:t>
      </w:r>
    </w:p>
    <w:p w14:paraId="0FA5C9A5">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086AD1F1">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14:paraId="4BC5E827">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14:paraId="628A5B48">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3E17D9F">
      <w:pPr>
        <w:pageBreakBefore w:val="0"/>
        <w:kinsoku/>
        <w:wordWrap/>
        <w:overflowPunct/>
        <w:topLinePunct w:val="0"/>
        <w:autoSpaceDE/>
        <w:autoSpaceDN/>
        <w:bidi w:val="0"/>
        <w:adjustRightInd/>
        <w:snapToGrid/>
        <w:spacing w:line="560" w:lineRule="exact"/>
        <w:textAlignment w:val="auto"/>
        <w:rPr>
          <w:rFonts w:hint="eastAsia" w:ascii="黑体" w:hAnsi="黑体" w:eastAsia="黑体"/>
          <w:sz w:val="32"/>
          <w:szCs w:val="32"/>
          <w:lang w:eastAsia="zh-CN"/>
        </w:rPr>
      </w:pPr>
    </w:p>
    <w:p w14:paraId="218CF0F9">
      <w:pPr>
        <w:pStyle w:val="2"/>
        <w:rPr>
          <w:rFonts w:hint="eastAsia" w:ascii="黑体" w:hAnsi="黑体" w:eastAsia="黑体"/>
          <w:sz w:val="32"/>
          <w:szCs w:val="32"/>
          <w:lang w:eastAsia="zh-CN"/>
        </w:rPr>
      </w:pPr>
    </w:p>
    <w:p w14:paraId="0B5CE708">
      <w:pPr>
        <w:rPr>
          <w:rFonts w:hint="eastAsia" w:ascii="黑体" w:hAnsi="黑体" w:eastAsia="黑体"/>
          <w:sz w:val="32"/>
          <w:szCs w:val="32"/>
          <w:lang w:eastAsia="zh-CN"/>
        </w:rPr>
      </w:pPr>
    </w:p>
    <w:p w14:paraId="11A9170A">
      <w:pPr>
        <w:rPr>
          <w:rFonts w:hint="eastAsia" w:ascii="黑体" w:hAnsi="黑体" w:eastAsia="黑体"/>
          <w:sz w:val="32"/>
          <w:szCs w:val="32"/>
          <w:lang w:eastAsia="zh-CN"/>
        </w:rPr>
      </w:pPr>
    </w:p>
    <w:p w14:paraId="3B9C4B21">
      <w:pPr>
        <w:pStyle w:val="2"/>
        <w:rPr>
          <w:rFonts w:hint="eastAsia" w:ascii="黑体" w:hAnsi="黑体" w:eastAsia="黑体"/>
          <w:sz w:val="32"/>
          <w:szCs w:val="32"/>
          <w:lang w:eastAsia="zh-CN"/>
        </w:rPr>
      </w:pPr>
    </w:p>
    <w:p w14:paraId="0D4B3BA3">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sectPr>
          <w:footerReference r:id="rId3" w:type="default"/>
          <w:pgSz w:w="11906" w:h="16838"/>
          <w:pgMar w:top="1440" w:right="1558" w:bottom="1440" w:left="1800" w:header="851" w:footer="992" w:gutter="0"/>
          <w:cols w:space="425" w:num="1"/>
          <w:docGrid w:type="lines" w:linePitch="312" w:charSpace="0"/>
        </w:sectPr>
      </w:pPr>
    </w:p>
    <w:tbl>
      <w:tblPr>
        <w:tblStyle w:val="19"/>
        <w:tblW w:w="8781" w:type="dxa"/>
        <w:tblInd w:w="0" w:type="dxa"/>
        <w:shd w:val="clear" w:color="auto" w:fill="auto"/>
        <w:tblLayout w:type="fixed"/>
        <w:tblCellMar>
          <w:top w:w="0" w:type="dxa"/>
          <w:left w:w="0" w:type="dxa"/>
          <w:bottom w:w="0" w:type="dxa"/>
          <w:right w:w="0" w:type="dxa"/>
        </w:tblCellMar>
      </w:tblPr>
      <w:tblGrid>
        <w:gridCol w:w="677"/>
        <w:gridCol w:w="677"/>
        <w:gridCol w:w="676"/>
        <w:gridCol w:w="677"/>
        <w:gridCol w:w="677"/>
        <w:gridCol w:w="677"/>
        <w:gridCol w:w="1951"/>
        <w:gridCol w:w="1209"/>
        <w:gridCol w:w="205"/>
        <w:gridCol w:w="1355"/>
      </w:tblGrid>
      <w:tr w14:paraId="5B121108">
        <w:tblPrEx>
          <w:shd w:val="clear" w:color="auto" w:fill="auto"/>
          <w:tblCellMar>
            <w:top w:w="0" w:type="dxa"/>
            <w:left w:w="0" w:type="dxa"/>
            <w:bottom w:w="0" w:type="dxa"/>
            <w:right w:w="0" w:type="dxa"/>
          </w:tblCellMar>
        </w:tblPrEx>
        <w:trPr>
          <w:trHeight w:val="489" w:hRule="atLeast"/>
        </w:trPr>
        <w:tc>
          <w:tcPr>
            <w:tcW w:w="8781" w:type="dxa"/>
            <w:gridSpan w:val="10"/>
            <w:tcBorders>
              <w:top w:val="nil"/>
              <w:left w:val="nil"/>
              <w:bottom w:val="nil"/>
              <w:right w:val="nil"/>
            </w:tcBorders>
            <w:shd w:val="clear" w:color="auto" w:fill="auto"/>
            <w:tcMar>
              <w:top w:w="15" w:type="dxa"/>
              <w:left w:w="15" w:type="dxa"/>
              <w:right w:w="15" w:type="dxa"/>
            </w:tcMar>
            <w:vAlign w:val="center"/>
          </w:tcPr>
          <w:p w14:paraId="26CE0F93">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14:paraId="30E83893">
        <w:tblPrEx>
          <w:shd w:val="clear" w:color="auto" w:fill="auto"/>
          <w:tblCellMar>
            <w:top w:w="0" w:type="dxa"/>
            <w:left w:w="0" w:type="dxa"/>
            <w:bottom w:w="0" w:type="dxa"/>
            <w:right w:w="0" w:type="dxa"/>
          </w:tblCellMar>
        </w:tblPrEx>
        <w:trPr>
          <w:trHeight w:val="519" w:hRule="atLeast"/>
        </w:trPr>
        <w:tc>
          <w:tcPr>
            <w:tcW w:w="8781" w:type="dxa"/>
            <w:gridSpan w:val="10"/>
            <w:tcBorders>
              <w:top w:val="nil"/>
              <w:left w:val="nil"/>
              <w:bottom w:val="nil"/>
              <w:right w:val="nil"/>
            </w:tcBorders>
            <w:shd w:val="clear" w:color="auto" w:fill="auto"/>
            <w:tcMar>
              <w:top w:w="15" w:type="dxa"/>
              <w:left w:w="15" w:type="dxa"/>
              <w:right w:w="15" w:type="dxa"/>
            </w:tcMar>
            <w:vAlign w:val="center"/>
          </w:tcPr>
          <w:p w14:paraId="10A7E925">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14:paraId="63CA025E">
        <w:tblPrEx>
          <w:shd w:val="clear" w:color="auto" w:fill="auto"/>
          <w:tblCellMar>
            <w:top w:w="0" w:type="dxa"/>
            <w:left w:w="0" w:type="dxa"/>
            <w:bottom w:w="0" w:type="dxa"/>
            <w:right w:w="0" w:type="dxa"/>
          </w:tblCellMar>
        </w:tblPrEx>
        <w:trPr>
          <w:trHeight w:val="360" w:hRule="atLeast"/>
        </w:trPr>
        <w:tc>
          <w:tcPr>
            <w:tcW w:w="8781" w:type="dxa"/>
            <w:gridSpan w:val="10"/>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CC18ECF">
            <w:pPr>
              <w:jc w:val="center"/>
              <w:rPr>
                <w:rFonts w:hint="eastAsia" w:ascii="宋体" w:hAnsi="宋体" w:eastAsia="宋体" w:cs="宋体"/>
                <w:i w:val="0"/>
                <w:color w:val="000000"/>
                <w:sz w:val="18"/>
                <w:szCs w:val="18"/>
                <w:u w:val="none"/>
              </w:rPr>
            </w:pPr>
          </w:p>
        </w:tc>
      </w:tr>
      <w:tr w14:paraId="2A1D0342">
        <w:tblPrEx>
          <w:shd w:val="clear" w:color="auto" w:fill="auto"/>
          <w:tblCellMar>
            <w:top w:w="0" w:type="dxa"/>
            <w:left w:w="0" w:type="dxa"/>
            <w:bottom w:w="0" w:type="dxa"/>
            <w:right w:w="0" w:type="dxa"/>
          </w:tblCellMar>
        </w:tblPrEx>
        <w:trPr>
          <w:trHeight w:val="360" w:hRule="atLeast"/>
        </w:trPr>
        <w:tc>
          <w:tcPr>
            <w:tcW w:w="1354"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F4321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427" w:type="dxa"/>
            <w:gridSpan w:val="8"/>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3296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塔城地区第一高级中学综合楼</w:t>
            </w:r>
          </w:p>
        </w:tc>
      </w:tr>
      <w:tr w14:paraId="574E5CE2">
        <w:tblPrEx>
          <w:shd w:val="clear" w:color="auto" w:fill="auto"/>
          <w:tblCellMar>
            <w:top w:w="0" w:type="dxa"/>
            <w:left w:w="0" w:type="dxa"/>
            <w:bottom w:w="0" w:type="dxa"/>
            <w:right w:w="0" w:type="dxa"/>
          </w:tblCellMar>
        </w:tblPrEx>
        <w:trPr>
          <w:trHeight w:val="392" w:hRule="atLeast"/>
        </w:trPr>
        <w:tc>
          <w:tcPr>
            <w:tcW w:w="1354" w:type="dxa"/>
            <w:gridSpan w:val="2"/>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398FF1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658" w:type="dxa"/>
            <w:gridSpan w:val="5"/>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0961E77">
            <w:pPr>
              <w:jc w:val="center"/>
              <w:rPr>
                <w:rFonts w:hint="eastAsia" w:ascii="宋体" w:hAnsi="宋体" w:eastAsia="宋体" w:cs="宋体"/>
                <w:i w:val="0"/>
                <w:color w:val="000000"/>
                <w:sz w:val="18"/>
                <w:szCs w:val="18"/>
                <w:u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4684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5CB33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塔城地区第一高级中学</w:t>
            </w:r>
          </w:p>
        </w:tc>
      </w:tr>
      <w:tr w14:paraId="4CAE6C32">
        <w:tblPrEx>
          <w:tblCellMar>
            <w:top w:w="0" w:type="dxa"/>
            <w:left w:w="0" w:type="dxa"/>
            <w:bottom w:w="0" w:type="dxa"/>
            <w:right w:w="0" w:type="dxa"/>
          </w:tblCellMar>
        </w:tblPrEx>
        <w:trPr>
          <w:trHeight w:val="455" w:hRule="atLeast"/>
        </w:trPr>
        <w:tc>
          <w:tcPr>
            <w:tcW w:w="1354" w:type="dxa"/>
            <w:gridSpan w:val="2"/>
            <w:tcBorders>
              <w:left w:val="single" w:color="000000" w:sz="4" w:space="0"/>
              <w:right w:val="single" w:color="auto" w:sz="4" w:space="0"/>
            </w:tcBorders>
            <w:shd w:val="clear" w:color="auto" w:fill="auto"/>
            <w:tcMar>
              <w:top w:w="15" w:type="dxa"/>
              <w:left w:w="15" w:type="dxa"/>
              <w:right w:w="15" w:type="dxa"/>
            </w:tcMar>
            <w:vAlign w:val="center"/>
          </w:tcPr>
          <w:p w14:paraId="1D798D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78A281B">
            <w:pPr>
              <w:rPr>
                <w:rFonts w:hint="eastAsia" w:ascii="宋体" w:hAnsi="宋体" w:eastAsia="宋体" w:cs="宋体"/>
                <w:i w:val="0"/>
                <w:color w:val="000000"/>
                <w:sz w:val="18"/>
                <w:szCs w:val="18"/>
                <w:u w:val="none"/>
              </w:rPr>
            </w:pPr>
          </w:p>
        </w:tc>
        <w:tc>
          <w:tcPr>
            <w:tcW w:w="6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6D5275E"/>
        </w:tc>
        <w:tc>
          <w:tcPr>
            <w:tcW w:w="6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79B832">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color w:val="000000"/>
                <w:kern w:val="0"/>
                <w:sz w:val="18"/>
                <w:szCs w:val="18"/>
                <w:u w:val="none"/>
                <w:lang w:val="en-US" w:eastAsia="zh-CN" w:bidi="ar"/>
              </w:rPr>
              <w:t>年初预算数</w:t>
            </w:r>
          </w:p>
        </w:tc>
        <w:tc>
          <w:tcPr>
            <w:tcW w:w="2628"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5C9C1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全年预算数</w:t>
            </w:r>
          </w:p>
        </w:tc>
        <w:tc>
          <w:tcPr>
            <w:tcW w:w="120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BD2B6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全年执行数</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0221BC">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执行率</w:t>
            </w:r>
          </w:p>
        </w:tc>
      </w:tr>
      <w:tr w14:paraId="20796554">
        <w:tblPrEx>
          <w:shd w:val="clear" w:color="auto" w:fill="auto"/>
          <w:tblCellMar>
            <w:top w:w="0" w:type="dxa"/>
            <w:left w:w="0" w:type="dxa"/>
            <w:bottom w:w="0" w:type="dxa"/>
            <w:right w:w="0" w:type="dxa"/>
          </w:tblCellMar>
        </w:tblPrEx>
        <w:trPr>
          <w:trHeight w:val="454" w:hRule="atLeast"/>
        </w:trPr>
        <w:tc>
          <w:tcPr>
            <w:tcW w:w="1354" w:type="dxa"/>
            <w:gridSpan w:val="2"/>
            <w:tcBorders>
              <w:left w:val="single" w:color="000000" w:sz="4" w:space="0"/>
              <w:right w:val="single" w:color="auto" w:sz="4" w:space="0"/>
            </w:tcBorders>
            <w:shd w:val="clear" w:color="auto" w:fill="auto"/>
            <w:tcMar>
              <w:top w:w="15" w:type="dxa"/>
              <w:left w:w="15" w:type="dxa"/>
              <w:right w:w="15" w:type="dxa"/>
            </w:tcMar>
            <w:vAlign w:val="center"/>
          </w:tcPr>
          <w:p w14:paraId="2D1C3D7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（万元）</w:t>
            </w:r>
          </w:p>
        </w:tc>
        <w:tc>
          <w:tcPr>
            <w:tcW w:w="135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4326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BA1C9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308.12</w:t>
            </w:r>
          </w:p>
        </w:tc>
        <w:tc>
          <w:tcPr>
            <w:tcW w:w="2628"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00C52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308.12</w:t>
            </w:r>
          </w:p>
        </w:tc>
        <w:tc>
          <w:tcPr>
            <w:tcW w:w="120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F39DA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308.12</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93F19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100.00%</w:t>
            </w:r>
          </w:p>
        </w:tc>
      </w:tr>
      <w:tr w14:paraId="1C0D6735">
        <w:tblPrEx>
          <w:shd w:val="clear" w:color="auto" w:fill="auto"/>
          <w:tblCellMar>
            <w:top w:w="0" w:type="dxa"/>
            <w:left w:w="0" w:type="dxa"/>
            <w:bottom w:w="0" w:type="dxa"/>
            <w:right w:w="0" w:type="dxa"/>
          </w:tblCellMar>
        </w:tblPrEx>
        <w:trPr>
          <w:trHeight w:val="435" w:hRule="atLeast"/>
        </w:trPr>
        <w:tc>
          <w:tcPr>
            <w:tcW w:w="1354" w:type="dxa"/>
            <w:gridSpan w:val="2"/>
            <w:tcBorders>
              <w:left w:val="single" w:color="000000" w:sz="4" w:space="0"/>
              <w:right w:val="single" w:color="auto" w:sz="4" w:space="0"/>
            </w:tcBorders>
            <w:shd w:val="clear" w:color="auto" w:fill="auto"/>
            <w:tcMar>
              <w:top w:w="15" w:type="dxa"/>
              <w:left w:w="15" w:type="dxa"/>
              <w:right w:w="15" w:type="dxa"/>
            </w:tcMar>
            <w:vAlign w:val="center"/>
          </w:tcPr>
          <w:p w14:paraId="3F41D6FA">
            <w:pPr>
              <w:jc w:val="center"/>
              <w:rPr>
                <w:rFonts w:hint="eastAsia" w:ascii="宋体" w:hAnsi="宋体" w:eastAsia="宋体" w:cs="宋体"/>
                <w:i w:val="0"/>
                <w:color w:val="000000"/>
                <w:sz w:val="22"/>
                <w:szCs w:val="22"/>
                <w:u w:val="none"/>
              </w:rPr>
            </w:pPr>
          </w:p>
        </w:tc>
        <w:tc>
          <w:tcPr>
            <w:tcW w:w="135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F565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6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3B6150">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kern w:val="0"/>
                <w:sz w:val="18"/>
                <w:szCs w:val="18"/>
                <w:u w:val="none"/>
                <w:lang w:val="en-US" w:eastAsia="zh-CN" w:bidi="ar"/>
              </w:rPr>
              <w:t>308.12</w:t>
            </w:r>
          </w:p>
        </w:tc>
        <w:tc>
          <w:tcPr>
            <w:tcW w:w="2628"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47D97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308.12</w:t>
            </w:r>
          </w:p>
        </w:tc>
        <w:tc>
          <w:tcPr>
            <w:tcW w:w="120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2531E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308.12</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A819D2">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3AE390B3">
        <w:tblPrEx>
          <w:shd w:val="clear" w:color="auto" w:fill="auto"/>
          <w:tblCellMar>
            <w:top w:w="0" w:type="dxa"/>
            <w:left w:w="0" w:type="dxa"/>
            <w:bottom w:w="0" w:type="dxa"/>
            <w:right w:w="0" w:type="dxa"/>
          </w:tblCellMar>
        </w:tblPrEx>
        <w:trPr>
          <w:trHeight w:val="390" w:hRule="atLeast"/>
        </w:trPr>
        <w:tc>
          <w:tcPr>
            <w:tcW w:w="1354" w:type="dxa"/>
            <w:gridSpan w:val="2"/>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533AF33">
            <w:pPr>
              <w:jc w:val="center"/>
              <w:rPr>
                <w:rFonts w:hint="eastAsia" w:ascii="宋体" w:hAnsi="宋体" w:eastAsia="宋体" w:cs="宋体"/>
                <w:i w:val="0"/>
                <w:color w:val="000000"/>
                <w:sz w:val="22"/>
                <w:szCs w:val="22"/>
                <w:u w:val="none"/>
              </w:rPr>
            </w:pPr>
          </w:p>
        </w:tc>
        <w:tc>
          <w:tcPr>
            <w:tcW w:w="135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5AD4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929A9A">
            <w:pPr>
              <w:jc w:val="center"/>
              <w:rPr>
                <w:rFonts w:hint="eastAsia" w:ascii="宋体" w:hAnsi="宋体" w:eastAsia="宋体" w:cs="宋体"/>
                <w:i w:val="0"/>
                <w:color w:val="000000"/>
                <w:sz w:val="18"/>
                <w:szCs w:val="18"/>
                <w:highlight w:val="none"/>
                <w:u w:val="none"/>
              </w:rPr>
            </w:pPr>
          </w:p>
        </w:tc>
        <w:tc>
          <w:tcPr>
            <w:tcW w:w="2628"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86033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0</w:t>
            </w:r>
          </w:p>
        </w:tc>
        <w:tc>
          <w:tcPr>
            <w:tcW w:w="120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7D1FB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7844F1">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7A723EE8">
        <w:tblPrEx>
          <w:shd w:val="clear" w:color="auto" w:fill="auto"/>
          <w:tblCellMar>
            <w:top w:w="0" w:type="dxa"/>
            <w:left w:w="0" w:type="dxa"/>
            <w:bottom w:w="0" w:type="dxa"/>
            <w:right w:w="0" w:type="dxa"/>
          </w:tblCellMar>
        </w:tblPrEx>
        <w:trPr>
          <w:trHeight w:val="433" w:hRule="atLeast"/>
        </w:trPr>
        <w:tc>
          <w:tcPr>
            <w:tcW w:w="1354"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C29A989">
            <w:pPr>
              <w:jc w:val="center"/>
              <w:rPr>
                <w:rFonts w:hint="eastAsia" w:ascii="宋体" w:hAnsi="宋体" w:eastAsia="宋体" w:cs="宋体"/>
                <w:i w:val="0"/>
                <w:color w:val="000000"/>
                <w:sz w:val="18"/>
                <w:szCs w:val="18"/>
                <w:u w:val="none"/>
              </w:rPr>
            </w:pPr>
          </w:p>
        </w:tc>
        <w:tc>
          <w:tcPr>
            <w:tcW w:w="135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ED35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1CEA1C">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628"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C28E9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20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5E82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FA59B3">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6644488A">
        <w:tblPrEx>
          <w:shd w:val="clear" w:color="auto" w:fill="auto"/>
          <w:tblCellMar>
            <w:top w:w="0" w:type="dxa"/>
            <w:left w:w="0" w:type="dxa"/>
            <w:bottom w:w="0" w:type="dxa"/>
            <w:right w:w="0" w:type="dxa"/>
          </w:tblCellMar>
        </w:tblPrEx>
        <w:trPr>
          <w:trHeight w:val="1672" w:hRule="atLeast"/>
        </w:trPr>
        <w:tc>
          <w:tcPr>
            <w:tcW w:w="677" w:type="dxa"/>
            <w:vMerge w:val="restar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CB2C9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335" w:type="dxa"/>
            <w:gridSpan w:val="6"/>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F82F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76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6F2E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481AF119">
        <w:tblPrEx>
          <w:shd w:val="clear" w:color="auto" w:fill="auto"/>
          <w:tblCellMar>
            <w:top w:w="0" w:type="dxa"/>
            <w:left w:w="0" w:type="dxa"/>
            <w:bottom w:w="0" w:type="dxa"/>
            <w:right w:w="0" w:type="dxa"/>
          </w:tblCellMar>
        </w:tblPrEx>
        <w:trPr>
          <w:trHeight w:val="41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674F3">
            <w:pPr>
              <w:jc w:val="center"/>
              <w:rPr>
                <w:rFonts w:hint="eastAsia" w:ascii="宋体" w:hAnsi="宋体" w:eastAsia="宋体" w:cs="宋体"/>
                <w:i w:val="0"/>
                <w:color w:val="000000"/>
                <w:sz w:val="18"/>
                <w:szCs w:val="18"/>
                <w:u w:val="none"/>
              </w:rPr>
            </w:pPr>
          </w:p>
        </w:tc>
        <w:tc>
          <w:tcPr>
            <w:tcW w:w="5335" w:type="dxa"/>
            <w:gridSpan w:val="6"/>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427AA1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1、社会效益指标：新建综合楼面积4697.92平米，改善办学条件。</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2、生态效益指标：通过项目的实施改善了办学环境。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3、社会效益指标：项目实施后提升了高中教育办学水平。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4、满意度指标：师生对项目实施后的满意度达90%以上。</w:t>
            </w:r>
          </w:p>
        </w:tc>
        <w:tc>
          <w:tcPr>
            <w:tcW w:w="276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C4E45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1、社会效益指标：新建综合楼面积4697.92平米，改善办学条件。</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2、生态效益指标：通过项目的实施改善了办学环境。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3、社会效益指标：项目实施后提升了高中教育办学水平。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4、满意度指标：师生对项目实施后的满意度达90%以上。</w:t>
            </w:r>
          </w:p>
        </w:tc>
      </w:tr>
      <w:tr w14:paraId="7B71282C">
        <w:tblPrEx>
          <w:shd w:val="clear" w:color="auto" w:fill="auto"/>
          <w:tblCellMar>
            <w:top w:w="0" w:type="dxa"/>
            <w:left w:w="0" w:type="dxa"/>
            <w:bottom w:w="0" w:type="dxa"/>
            <w:right w:w="0" w:type="dxa"/>
          </w:tblCellMar>
        </w:tblPrEx>
        <w:trPr>
          <w:trHeight w:val="312"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3B39E">
            <w:pPr>
              <w:jc w:val="center"/>
              <w:rPr>
                <w:rFonts w:hint="eastAsia" w:ascii="宋体" w:hAnsi="宋体" w:eastAsia="宋体" w:cs="宋体"/>
                <w:i w:val="0"/>
                <w:color w:val="000000"/>
                <w:sz w:val="18"/>
                <w:szCs w:val="18"/>
                <w:u w:val="none"/>
              </w:rPr>
            </w:pPr>
          </w:p>
        </w:tc>
        <w:tc>
          <w:tcPr>
            <w:tcW w:w="67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7A712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7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6D534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31" w:type="dxa"/>
            <w:gridSpan w:val="3"/>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F41B3C1">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95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06177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14" w:type="dxa"/>
            <w:gridSpan w:val="2"/>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54ACBC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355"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63D2841E">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偏差原因分析及改进措施</w:t>
            </w:r>
          </w:p>
        </w:tc>
      </w:tr>
      <w:tr w14:paraId="25D1EF9B">
        <w:tblPrEx>
          <w:tblCellMar>
            <w:top w:w="0" w:type="dxa"/>
            <w:left w:w="0" w:type="dxa"/>
            <w:bottom w:w="0" w:type="dxa"/>
            <w:right w:w="0" w:type="dxa"/>
          </w:tblCellMar>
        </w:tblPrEx>
        <w:trPr>
          <w:trHeight w:val="585"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C34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863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7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27F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31"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0FEDA">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 新建综合楼（平方米）</w:t>
            </w:r>
          </w:p>
        </w:tc>
        <w:tc>
          <w:tcPr>
            <w:tcW w:w="195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380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=4697平方米</w:t>
            </w:r>
          </w:p>
        </w:tc>
        <w:tc>
          <w:tcPr>
            <w:tcW w:w="1414"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E8F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4697平方米</w:t>
            </w:r>
          </w:p>
        </w:tc>
        <w:tc>
          <w:tcPr>
            <w:tcW w:w="135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2C0FF">
            <w:pPr>
              <w:jc w:val="center"/>
            </w:pPr>
          </w:p>
        </w:tc>
      </w:tr>
      <w:tr w14:paraId="61AA74BF">
        <w:tblPrEx>
          <w:shd w:val="clear" w:color="auto" w:fill="auto"/>
          <w:tblCellMar>
            <w:top w:w="0" w:type="dxa"/>
            <w:left w:w="0" w:type="dxa"/>
            <w:bottom w:w="0" w:type="dxa"/>
            <w:right w:w="0" w:type="dxa"/>
          </w:tblCellMar>
        </w:tblPrEx>
        <w:trPr>
          <w:trHeight w:val="645"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F78C7">
            <w:pPr>
              <w:jc w:val="center"/>
              <w:rPr>
                <w:rFonts w:hint="eastAsia" w:ascii="宋体" w:hAnsi="宋体" w:eastAsia="宋体" w:cs="宋体"/>
                <w:i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5B2AD">
            <w:pPr>
              <w:jc w:val="center"/>
              <w:rPr>
                <w:rFonts w:hint="eastAsia" w:ascii="宋体" w:hAnsi="宋体" w:eastAsia="宋体" w:cs="宋体"/>
                <w:i w:val="0"/>
                <w:color w:val="000000"/>
                <w:sz w:val="18"/>
                <w:szCs w:val="18"/>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276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2E24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工程按期完成率</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971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733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EE402">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工程未完工</w:t>
            </w:r>
          </w:p>
        </w:tc>
      </w:tr>
      <w:tr w14:paraId="1BB79A34">
        <w:tblPrEx>
          <w:shd w:val="clear" w:color="auto" w:fill="auto"/>
          <w:tblCellMar>
            <w:top w:w="0" w:type="dxa"/>
            <w:left w:w="0" w:type="dxa"/>
            <w:bottom w:w="0" w:type="dxa"/>
            <w:right w:w="0" w:type="dxa"/>
          </w:tblCellMar>
        </w:tblPrEx>
        <w:trPr>
          <w:trHeight w:val="540"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2386D">
            <w:pPr>
              <w:jc w:val="center"/>
              <w:rPr>
                <w:rFonts w:hint="eastAsia" w:ascii="宋体" w:hAnsi="宋体" w:eastAsia="宋体" w:cs="宋体"/>
                <w:i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A489C">
            <w:pPr>
              <w:jc w:val="center"/>
              <w:rPr>
                <w:rFonts w:hint="eastAsia" w:ascii="宋体" w:hAnsi="宋体" w:eastAsia="宋体" w:cs="宋体"/>
                <w:i w:val="0"/>
                <w:color w:val="000000"/>
                <w:sz w:val="18"/>
                <w:szCs w:val="18"/>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237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9B8B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工程量拨款及时率</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961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D02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0501B">
            <w:pPr>
              <w:jc w:val="center"/>
            </w:pPr>
          </w:p>
        </w:tc>
      </w:tr>
      <w:tr w14:paraId="5A7F4330">
        <w:tblPrEx>
          <w:shd w:val="clear" w:color="auto" w:fill="auto"/>
          <w:tblCellMar>
            <w:top w:w="0" w:type="dxa"/>
            <w:left w:w="0" w:type="dxa"/>
            <w:bottom w:w="0" w:type="dxa"/>
            <w:right w:w="0" w:type="dxa"/>
          </w:tblCellMar>
        </w:tblPrEx>
        <w:trPr>
          <w:trHeight w:val="515"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B0FE1">
            <w:pPr>
              <w:jc w:val="center"/>
              <w:rPr>
                <w:rFonts w:hint="eastAsia" w:ascii="宋体" w:hAnsi="宋体" w:eastAsia="宋体" w:cs="宋体"/>
                <w:i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86989">
            <w:pPr>
              <w:jc w:val="center"/>
              <w:rPr>
                <w:rFonts w:hint="eastAsia" w:ascii="宋体" w:hAnsi="宋体" w:eastAsia="宋体" w:cs="宋体"/>
                <w:i w:val="0"/>
                <w:color w:val="000000"/>
                <w:sz w:val="18"/>
                <w:szCs w:val="18"/>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DC8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0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33B6F">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工程单位建设成本（万元） </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D823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&lt;745万元</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5F2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308.1</w:t>
            </w:r>
            <w:r>
              <w:rPr>
                <w:rFonts w:hint="eastAsia" w:ascii="宋体" w:hAnsi="宋体" w:cs="宋体"/>
                <w:i w:val="0"/>
                <w:color w:val="000000"/>
                <w:kern w:val="0"/>
                <w:sz w:val="18"/>
                <w:szCs w:val="18"/>
                <w:u w:val="none"/>
                <w:lang w:val="en-US" w:eastAsia="zh-CN" w:bidi="ar"/>
              </w:rPr>
              <w:t>2</w:t>
            </w:r>
            <w:r>
              <w:rPr>
                <w:rFonts w:hint="eastAsia" w:ascii="宋体" w:hAnsi="宋体" w:eastAsia="宋体" w:cs="宋体"/>
                <w:i w:val="0"/>
                <w:color w:val="000000"/>
                <w:kern w:val="0"/>
                <w:sz w:val="18"/>
                <w:szCs w:val="18"/>
                <w:u w:val="none"/>
                <w:lang w:val="en-US" w:eastAsia="zh-CN" w:bidi="ar"/>
              </w:rPr>
              <w:t>万元</w:t>
            </w:r>
          </w:p>
        </w:tc>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7C00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工程未完工</w:t>
            </w:r>
          </w:p>
        </w:tc>
      </w:tr>
      <w:tr w14:paraId="640A3DFB">
        <w:tblPrEx>
          <w:shd w:val="clear" w:color="auto" w:fill="auto"/>
          <w:tblCellMar>
            <w:top w:w="0" w:type="dxa"/>
            <w:left w:w="0" w:type="dxa"/>
            <w:bottom w:w="0" w:type="dxa"/>
            <w:right w:w="0" w:type="dxa"/>
          </w:tblCellMar>
        </w:tblPrEx>
        <w:trPr>
          <w:trHeight w:val="90"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C5598">
            <w:pPr>
              <w:jc w:val="center"/>
              <w:rPr>
                <w:rFonts w:hint="eastAsia" w:ascii="宋体" w:hAnsi="宋体" w:eastAsia="宋体" w:cs="宋体"/>
                <w:i w:val="0"/>
                <w:color w:val="000000"/>
                <w:sz w:val="18"/>
                <w:szCs w:val="18"/>
                <w:u w:val="none"/>
              </w:rPr>
            </w:pP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0CB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B16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0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71BF1">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设计功能实现率</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695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B2E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B3D7F">
            <w:pPr>
              <w:jc w:val="center"/>
            </w:pPr>
          </w:p>
        </w:tc>
      </w:tr>
      <w:tr w14:paraId="00D63EC0">
        <w:tblPrEx>
          <w:shd w:val="clear" w:color="auto" w:fill="auto"/>
          <w:tblCellMar>
            <w:top w:w="0" w:type="dxa"/>
            <w:left w:w="0" w:type="dxa"/>
            <w:bottom w:w="0" w:type="dxa"/>
            <w:right w:w="0" w:type="dxa"/>
          </w:tblCellMar>
        </w:tblPrEx>
        <w:trPr>
          <w:trHeight w:val="660"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32053">
            <w:pPr>
              <w:jc w:val="center"/>
              <w:rPr>
                <w:rFonts w:hint="eastAsia" w:ascii="宋体" w:hAnsi="宋体" w:eastAsia="宋体" w:cs="宋体"/>
                <w:i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6BA69">
            <w:pPr>
              <w:jc w:val="center"/>
              <w:rPr>
                <w:rFonts w:hint="eastAsia" w:ascii="宋体" w:hAnsi="宋体" w:eastAsia="宋体" w:cs="宋体"/>
                <w:i w:val="0"/>
                <w:color w:val="000000"/>
                <w:sz w:val="18"/>
                <w:szCs w:val="18"/>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2EB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8746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业务保障能力</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020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0E0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E7661">
            <w:pPr>
              <w:jc w:val="center"/>
            </w:pPr>
          </w:p>
        </w:tc>
      </w:tr>
      <w:tr w14:paraId="05FFC8F7">
        <w:tblPrEx>
          <w:shd w:val="clear" w:color="auto" w:fill="auto"/>
          <w:tblCellMar>
            <w:top w:w="0" w:type="dxa"/>
            <w:left w:w="0" w:type="dxa"/>
            <w:bottom w:w="0" w:type="dxa"/>
            <w:right w:w="0" w:type="dxa"/>
          </w:tblCellMar>
        </w:tblPrEx>
        <w:trPr>
          <w:trHeight w:val="690"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13709">
            <w:pPr>
              <w:jc w:val="center"/>
              <w:rPr>
                <w:rFonts w:hint="eastAsia" w:ascii="宋体" w:hAnsi="宋体" w:eastAsia="宋体" w:cs="宋体"/>
                <w:i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226FC">
            <w:pPr>
              <w:jc w:val="center"/>
              <w:rPr>
                <w:rFonts w:hint="eastAsia" w:ascii="宋体" w:hAnsi="宋体" w:eastAsia="宋体" w:cs="宋体"/>
                <w:i w:val="0"/>
                <w:color w:val="000000"/>
                <w:sz w:val="18"/>
                <w:szCs w:val="18"/>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5F8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0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B162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预计使用年限（年）</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7C0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=40年</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E5B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40年</w:t>
            </w:r>
          </w:p>
        </w:tc>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A744E">
            <w:pPr>
              <w:jc w:val="center"/>
            </w:pPr>
          </w:p>
        </w:tc>
      </w:tr>
      <w:tr w14:paraId="1CC01170">
        <w:tblPrEx>
          <w:shd w:val="clear" w:color="auto" w:fill="auto"/>
          <w:tblCellMar>
            <w:top w:w="0" w:type="dxa"/>
            <w:left w:w="0" w:type="dxa"/>
            <w:bottom w:w="0" w:type="dxa"/>
            <w:right w:w="0" w:type="dxa"/>
          </w:tblCellMar>
        </w:tblPrEx>
        <w:trPr>
          <w:trHeight w:val="700"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3B097">
            <w:pPr>
              <w:jc w:val="center"/>
              <w:rPr>
                <w:rFonts w:hint="eastAsia" w:ascii="宋体" w:hAnsi="宋体" w:eastAsia="宋体" w:cs="宋体"/>
                <w:i w:val="0"/>
                <w:color w:val="000000"/>
                <w:sz w:val="18"/>
                <w:szCs w:val="18"/>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1A7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D03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0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5989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 师生对基础设施的建设的满意度 </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67B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4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444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71%</w:t>
            </w:r>
          </w:p>
        </w:tc>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0298B">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工程未完工</w:t>
            </w:r>
          </w:p>
        </w:tc>
      </w:tr>
    </w:tbl>
    <w:p w14:paraId="549F2645">
      <w:pPr>
        <w:pStyle w:val="2"/>
        <w:jc w:val="both"/>
        <w:sectPr>
          <w:pgSz w:w="11906" w:h="16838"/>
          <w:pgMar w:top="1440" w:right="1558" w:bottom="1440" w:left="1800" w:header="851" w:footer="992" w:gutter="0"/>
          <w:cols w:space="425" w:num="1"/>
          <w:docGrid w:type="lines" w:linePitch="312" w:charSpace="0"/>
        </w:sectPr>
      </w:pPr>
    </w:p>
    <w:p w14:paraId="356D32F6">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461"/>
        <w:gridCol w:w="5790"/>
        <w:gridCol w:w="945"/>
        <w:gridCol w:w="1008"/>
      </w:tblGrid>
      <w:tr w14:paraId="0B058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blHeader/>
          <w:jc w:val="center"/>
        </w:trPr>
        <w:tc>
          <w:tcPr>
            <w:tcW w:w="839" w:type="dxa"/>
            <w:shd w:val="clear" w:color="auto" w:fill="FFFFFF"/>
            <w:noWrap w:val="0"/>
            <w:vAlign w:val="center"/>
          </w:tcPr>
          <w:p w14:paraId="2EF86BB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一级指标</w:t>
            </w:r>
          </w:p>
        </w:tc>
        <w:tc>
          <w:tcPr>
            <w:tcW w:w="767" w:type="dxa"/>
            <w:shd w:val="clear" w:color="auto" w:fill="FFFFFF"/>
            <w:noWrap w:val="0"/>
            <w:vAlign w:val="center"/>
          </w:tcPr>
          <w:p w14:paraId="6EC4A45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二级指标</w:t>
            </w:r>
          </w:p>
        </w:tc>
        <w:tc>
          <w:tcPr>
            <w:tcW w:w="873" w:type="dxa"/>
            <w:shd w:val="clear" w:color="auto" w:fill="FFFFFF"/>
            <w:noWrap w:val="0"/>
            <w:vAlign w:val="center"/>
          </w:tcPr>
          <w:p w14:paraId="52D316C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三级指标</w:t>
            </w:r>
          </w:p>
        </w:tc>
        <w:tc>
          <w:tcPr>
            <w:tcW w:w="2461" w:type="dxa"/>
            <w:shd w:val="clear" w:color="auto" w:fill="FFFFFF"/>
            <w:noWrap w:val="0"/>
            <w:vAlign w:val="center"/>
          </w:tcPr>
          <w:p w14:paraId="61D211A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指标解释</w:t>
            </w:r>
          </w:p>
        </w:tc>
        <w:tc>
          <w:tcPr>
            <w:tcW w:w="5790" w:type="dxa"/>
            <w:shd w:val="clear" w:color="auto" w:fill="FFFFFF"/>
            <w:noWrap w:val="0"/>
            <w:vAlign w:val="center"/>
          </w:tcPr>
          <w:p w14:paraId="52C2A9B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指标说明</w:t>
            </w:r>
          </w:p>
        </w:tc>
        <w:tc>
          <w:tcPr>
            <w:tcW w:w="945" w:type="dxa"/>
            <w:shd w:val="clear" w:color="auto" w:fill="FFFFFF"/>
            <w:noWrap w:val="0"/>
            <w:vAlign w:val="center"/>
          </w:tcPr>
          <w:p w14:paraId="774046A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权重</w:t>
            </w:r>
          </w:p>
        </w:tc>
        <w:tc>
          <w:tcPr>
            <w:tcW w:w="1008" w:type="dxa"/>
            <w:shd w:val="clear" w:color="auto" w:fill="FFFFFF"/>
            <w:noWrap w:val="0"/>
            <w:vAlign w:val="center"/>
          </w:tcPr>
          <w:p w14:paraId="2EF89AA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得分</w:t>
            </w:r>
          </w:p>
        </w:tc>
      </w:tr>
      <w:tr w14:paraId="39A86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14:paraId="5E893C0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14:paraId="410F1F8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14AC927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14:paraId="620B679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14:paraId="259A228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14:paraId="79BC02A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461" w:type="dxa"/>
            <w:shd w:val="clear" w:color="auto" w:fill="FFFFFF"/>
            <w:noWrap w:val="0"/>
            <w:vAlign w:val="center"/>
          </w:tcPr>
          <w:p w14:paraId="401E7B9C">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790" w:type="dxa"/>
            <w:shd w:val="clear" w:color="auto" w:fill="FFFFFF"/>
            <w:noWrap w:val="0"/>
            <w:vAlign w:val="center"/>
          </w:tcPr>
          <w:p w14:paraId="46316CB6">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945" w:type="dxa"/>
            <w:shd w:val="clear" w:color="auto" w:fill="FFFFFF"/>
            <w:noWrap w:val="0"/>
            <w:vAlign w:val="center"/>
          </w:tcPr>
          <w:p w14:paraId="053EE6A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008" w:type="dxa"/>
            <w:shd w:val="clear" w:color="auto" w:fill="FFFFFF"/>
            <w:noWrap w:val="0"/>
            <w:vAlign w:val="center"/>
          </w:tcPr>
          <w:p w14:paraId="0DBBF3EC">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14:paraId="1DA6F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14:paraId="1DCDB7B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14:paraId="796E22E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14:paraId="21BDAD1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14:paraId="1F16484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461" w:type="dxa"/>
            <w:shd w:val="clear" w:color="auto" w:fill="FFFFFF"/>
            <w:noWrap w:val="0"/>
            <w:vAlign w:val="center"/>
          </w:tcPr>
          <w:p w14:paraId="2DD84263">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790" w:type="dxa"/>
            <w:shd w:val="clear" w:color="auto" w:fill="FFFFFF"/>
            <w:noWrap w:val="0"/>
            <w:vAlign w:val="center"/>
          </w:tcPr>
          <w:p w14:paraId="6F45CF3C">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945" w:type="dxa"/>
            <w:shd w:val="clear" w:color="auto" w:fill="FFFFFF"/>
            <w:noWrap w:val="0"/>
            <w:vAlign w:val="center"/>
          </w:tcPr>
          <w:p w14:paraId="032DF6E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008" w:type="dxa"/>
            <w:shd w:val="clear" w:color="auto" w:fill="FFFFFF"/>
            <w:noWrap w:val="0"/>
            <w:vAlign w:val="center"/>
          </w:tcPr>
          <w:p w14:paraId="10E7FAA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14:paraId="216730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14:paraId="148BD9B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14:paraId="1C5B98C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14:paraId="41DF36C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14:paraId="423D669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461" w:type="dxa"/>
            <w:shd w:val="clear" w:color="000000" w:fill="FFFFFF"/>
            <w:noWrap w:val="0"/>
            <w:vAlign w:val="center"/>
          </w:tcPr>
          <w:p w14:paraId="78E5D049">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790" w:type="dxa"/>
            <w:shd w:val="clear" w:color="000000" w:fill="FFFFFF"/>
            <w:noWrap w:val="0"/>
            <w:vAlign w:val="center"/>
          </w:tcPr>
          <w:p w14:paraId="307C7F5D">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14:paraId="1FD16B59">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945" w:type="dxa"/>
            <w:shd w:val="clear" w:color="000000" w:fill="FFFFFF"/>
            <w:noWrap w:val="0"/>
            <w:vAlign w:val="center"/>
          </w:tcPr>
          <w:p w14:paraId="2EF2C39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08" w:type="dxa"/>
            <w:shd w:val="clear" w:color="000000" w:fill="FFFFFF"/>
            <w:noWrap w:val="0"/>
            <w:vAlign w:val="center"/>
          </w:tcPr>
          <w:p w14:paraId="1AAC28B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3EE7C5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14:paraId="2A54A2A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14:paraId="00B58EE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14:paraId="468D094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14:paraId="32F7E07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461" w:type="dxa"/>
            <w:shd w:val="clear" w:color="000000" w:fill="FFFFFF"/>
            <w:noWrap w:val="0"/>
            <w:vAlign w:val="center"/>
          </w:tcPr>
          <w:p w14:paraId="7281B29E">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790" w:type="dxa"/>
            <w:shd w:val="clear" w:color="000000" w:fill="FFFFFF"/>
            <w:noWrap w:val="0"/>
            <w:vAlign w:val="center"/>
          </w:tcPr>
          <w:p w14:paraId="52CB2B3E">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945" w:type="dxa"/>
            <w:shd w:val="clear" w:color="000000" w:fill="FFFFFF"/>
            <w:noWrap w:val="0"/>
            <w:vAlign w:val="center"/>
          </w:tcPr>
          <w:p w14:paraId="0DCEC4F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08" w:type="dxa"/>
            <w:shd w:val="clear" w:color="000000" w:fill="FFFFFF"/>
            <w:noWrap w:val="0"/>
            <w:vAlign w:val="center"/>
          </w:tcPr>
          <w:p w14:paraId="14D675E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7B702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14:paraId="4CC93C4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restart"/>
            <w:shd w:val="clear" w:color="auto" w:fill="FFFFFF"/>
            <w:noWrap w:val="0"/>
            <w:vAlign w:val="center"/>
          </w:tcPr>
          <w:p w14:paraId="6DB37A8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14:paraId="7C99B62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14:paraId="65E5224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14:paraId="72E7C28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461" w:type="dxa"/>
            <w:shd w:val="clear" w:color="auto" w:fill="FFFFFF"/>
            <w:noWrap w:val="0"/>
            <w:vAlign w:val="center"/>
          </w:tcPr>
          <w:p w14:paraId="4378B08E">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790" w:type="dxa"/>
            <w:shd w:val="clear" w:color="auto" w:fill="FFFFFF"/>
            <w:noWrap w:val="0"/>
            <w:vAlign w:val="center"/>
          </w:tcPr>
          <w:p w14:paraId="5A9845BE">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945" w:type="dxa"/>
            <w:shd w:val="clear" w:color="auto" w:fill="FFFFFF"/>
            <w:noWrap w:val="0"/>
            <w:vAlign w:val="center"/>
          </w:tcPr>
          <w:p w14:paraId="23C12F6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08" w:type="dxa"/>
            <w:shd w:val="clear" w:color="auto" w:fill="FFFFFF"/>
            <w:noWrap w:val="0"/>
            <w:vAlign w:val="center"/>
          </w:tcPr>
          <w:p w14:paraId="364B0C3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52588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14:paraId="69439C4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14:paraId="2AC0F2C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14:paraId="36B0DFF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14:paraId="113A219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461" w:type="dxa"/>
            <w:shd w:val="clear" w:color="auto" w:fill="FFFFFF"/>
            <w:noWrap w:val="0"/>
            <w:vAlign w:val="center"/>
          </w:tcPr>
          <w:p w14:paraId="17E26BD2">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790" w:type="dxa"/>
            <w:shd w:val="clear" w:color="auto" w:fill="FFFFFF"/>
            <w:noWrap w:val="0"/>
            <w:vAlign w:val="center"/>
          </w:tcPr>
          <w:p w14:paraId="117483FC">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945" w:type="dxa"/>
            <w:shd w:val="clear" w:color="auto" w:fill="FFFFFF"/>
            <w:noWrap w:val="0"/>
            <w:vAlign w:val="center"/>
          </w:tcPr>
          <w:p w14:paraId="597AB3F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08" w:type="dxa"/>
            <w:shd w:val="clear" w:color="auto" w:fill="FFFFFF"/>
            <w:noWrap w:val="0"/>
            <w:vAlign w:val="center"/>
          </w:tcPr>
          <w:p w14:paraId="7C642A4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67100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14:paraId="1FFE0BE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14:paraId="0311A38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14:paraId="038F6CF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461" w:type="dxa"/>
            <w:shd w:val="clear" w:color="000000" w:fill="FFFFFF"/>
            <w:noWrap w:val="0"/>
            <w:vAlign w:val="center"/>
          </w:tcPr>
          <w:p w14:paraId="097C3808">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790" w:type="dxa"/>
            <w:shd w:val="clear" w:color="000000" w:fill="FFFFFF"/>
            <w:noWrap w:val="0"/>
            <w:vAlign w:val="center"/>
          </w:tcPr>
          <w:p w14:paraId="3E3E4CD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14:paraId="4C38852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14:paraId="1D11F1FB">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945" w:type="dxa"/>
            <w:shd w:val="clear" w:color="000000" w:fill="FFFFFF"/>
            <w:noWrap w:val="0"/>
            <w:vAlign w:val="center"/>
          </w:tcPr>
          <w:p w14:paraId="35E45A6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08" w:type="dxa"/>
            <w:shd w:val="clear" w:color="000000" w:fill="FFFFFF"/>
            <w:noWrap w:val="0"/>
            <w:vAlign w:val="center"/>
          </w:tcPr>
          <w:p w14:paraId="6C490E9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4B9DC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5" w:hRule="atLeast"/>
          <w:jc w:val="center"/>
        </w:trPr>
        <w:tc>
          <w:tcPr>
            <w:tcW w:w="839" w:type="dxa"/>
            <w:vMerge w:val="continue"/>
            <w:shd w:val="clear" w:color="auto" w:fill="FFFFFF"/>
            <w:noWrap w:val="0"/>
            <w:vAlign w:val="center"/>
          </w:tcPr>
          <w:p w14:paraId="06C00CA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62BFFBE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6FE8201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461" w:type="dxa"/>
            <w:shd w:val="clear" w:color="auto" w:fill="FFFFFF"/>
            <w:noWrap w:val="0"/>
            <w:vAlign w:val="center"/>
          </w:tcPr>
          <w:p w14:paraId="495ED764">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790" w:type="dxa"/>
            <w:shd w:val="clear" w:color="auto" w:fill="FFFFFF"/>
            <w:noWrap w:val="0"/>
            <w:vAlign w:val="center"/>
          </w:tcPr>
          <w:p w14:paraId="6A8F5E47">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945" w:type="dxa"/>
            <w:shd w:val="clear" w:color="auto" w:fill="FFFFFF"/>
            <w:noWrap w:val="0"/>
            <w:vAlign w:val="center"/>
          </w:tcPr>
          <w:p w14:paraId="7D712821">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08" w:type="dxa"/>
            <w:shd w:val="clear" w:color="auto" w:fill="FFFFFF"/>
            <w:noWrap w:val="0"/>
            <w:vAlign w:val="center"/>
          </w:tcPr>
          <w:p w14:paraId="0E75DB3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4D2F7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1" w:hRule="atLeast"/>
          <w:jc w:val="center"/>
        </w:trPr>
        <w:tc>
          <w:tcPr>
            <w:tcW w:w="839" w:type="dxa"/>
            <w:vMerge w:val="restart"/>
            <w:shd w:val="clear" w:color="auto" w:fill="FFFFFF"/>
            <w:noWrap w:val="0"/>
            <w:vAlign w:val="center"/>
          </w:tcPr>
          <w:p w14:paraId="59703FB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4A617CF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14:paraId="1CCB109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14:paraId="0392F99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14:paraId="5E203BD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461" w:type="dxa"/>
            <w:shd w:val="clear" w:color="000000" w:fill="FFFFFF"/>
            <w:noWrap w:val="0"/>
            <w:vAlign w:val="center"/>
          </w:tcPr>
          <w:p w14:paraId="5C4EDA70">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790" w:type="dxa"/>
            <w:shd w:val="clear" w:color="000000" w:fill="FFFFFF"/>
            <w:noWrap w:val="0"/>
            <w:vAlign w:val="center"/>
          </w:tcPr>
          <w:p w14:paraId="4CDB78F8">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945" w:type="dxa"/>
            <w:shd w:val="clear" w:color="000000" w:fill="FFFFFF"/>
            <w:noWrap w:val="0"/>
            <w:vAlign w:val="center"/>
          </w:tcPr>
          <w:p w14:paraId="504B96D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08" w:type="dxa"/>
            <w:shd w:val="clear" w:color="000000" w:fill="FFFFFF"/>
            <w:noWrap w:val="0"/>
            <w:vAlign w:val="center"/>
          </w:tcPr>
          <w:p w14:paraId="470A1D9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3E4D6C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6" w:hRule="atLeast"/>
          <w:jc w:val="center"/>
        </w:trPr>
        <w:tc>
          <w:tcPr>
            <w:tcW w:w="839" w:type="dxa"/>
            <w:vMerge w:val="continue"/>
            <w:shd w:val="clear" w:color="auto" w:fill="FFFFFF"/>
            <w:noWrap w:val="0"/>
            <w:vAlign w:val="center"/>
          </w:tcPr>
          <w:p w14:paraId="7437034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restart"/>
            <w:shd w:val="clear" w:color="auto" w:fill="FFFFFF"/>
            <w:noWrap w:val="0"/>
            <w:vAlign w:val="center"/>
          </w:tcPr>
          <w:p w14:paraId="676F750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14:paraId="01838D8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14:paraId="797ED7F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14:paraId="1591C16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461" w:type="dxa"/>
            <w:shd w:val="clear" w:color="000000" w:fill="FFFFFF"/>
            <w:noWrap w:val="0"/>
            <w:vAlign w:val="center"/>
          </w:tcPr>
          <w:p w14:paraId="65960E46">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790" w:type="dxa"/>
            <w:shd w:val="clear" w:color="000000" w:fill="FFFFFF"/>
            <w:noWrap w:val="0"/>
            <w:vAlign w:val="center"/>
          </w:tcPr>
          <w:p w14:paraId="76764EAB">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945" w:type="dxa"/>
            <w:shd w:val="clear" w:color="000000" w:fill="FFFFFF"/>
            <w:noWrap w:val="0"/>
            <w:vAlign w:val="center"/>
          </w:tcPr>
          <w:p w14:paraId="1D1263E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08" w:type="dxa"/>
            <w:shd w:val="clear" w:color="000000" w:fill="FFFFFF"/>
            <w:noWrap w:val="0"/>
            <w:vAlign w:val="center"/>
          </w:tcPr>
          <w:p w14:paraId="4EDB2F7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6BEFB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9" w:type="dxa"/>
            <w:vMerge w:val="continue"/>
            <w:shd w:val="clear" w:color="auto" w:fill="FFFFFF"/>
            <w:noWrap w:val="0"/>
            <w:vAlign w:val="center"/>
          </w:tcPr>
          <w:p w14:paraId="4AB432E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14:paraId="2ACA6D0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14:paraId="5DD2FDF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14:paraId="05FBD65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461" w:type="dxa"/>
            <w:shd w:val="clear" w:color="000000" w:fill="FFFFFF"/>
            <w:noWrap w:val="0"/>
            <w:vAlign w:val="center"/>
          </w:tcPr>
          <w:p w14:paraId="5E44B485">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790" w:type="dxa"/>
            <w:shd w:val="clear" w:color="000000" w:fill="FFFFFF"/>
            <w:noWrap w:val="0"/>
            <w:vAlign w:val="center"/>
          </w:tcPr>
          <w:p w14:paraId="736E8E9A">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945" w:type="dxa"/>
            <w:shd w:val="clear" w:color="000000" w:fill="FFFFFF"/>
            <w:noWrap w:val="0"/>
            <w:vAlign w:val="center"/>
          </w:tcPr>
          <w:p w14:paraId="5C2CD83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008" w:type="dxa"/>
            <w:shd w:val="clear" w:color="000000" w:fill="FFFFFF"/>
            <w:noWrap w:val="0"/>
            <w:vAlign w:val="center"/>
          </w:tcPr>
          <w:p w14:paraId="1E2DB61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14:paraId="790672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2" w:hRule="atLeast"/>
          <w:jc w:val="center"/>
        </w:trPr>
        <w:tc>
          <w:tcPr>
            <w:tcW w:w="839" w:type="dxa"/>
            <w:shd w:val="clear" w:color="auto" w:fill="FFFFFF"/>
            <w:noWrap w:val="0"/>
            <w:vAlign w:val="center"/>
          </w:tcPr>
          <w:p w14:paraId="4611900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14:paraId="54CBE8B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14:paraId="4D0E724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461" w:type="dxa"/>
            <w:shd w:val="clear" w:color="000000" w:fill="FFFFFF"/>
            <w:noWrap w:val="0"/>
            <w:vAlign w:val="center"/>
          </w:tcPr>
          <w:p w14:paraId="734275CF">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790" w:type="dxa"/>
            <w:shd w:val="clear" w:color="000000" w:fill="FFFFFF"/>
            <w:noWrap w:val="0"/>
            <w:vAlign w:val="center"/>
          </w:tcPr>
          <w:p w14:paraId="7B095C9A">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945" w:type="dxa"/>
            <w:shd w:val="clear" w:color="000000" w:fill="FFFFFF"/>
            <w:noWrap w:val="0"/>
            <w:vAlign w:val="center"/>
          </w:tcPr>
          <w:p w14:paraId="32B8DB8D">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08" w:type="dxa"/>
            <w:shd w:val="clear" w:color="000000" w:fill="FFFFFF"/>
            <w:noWrap w:val="0"/>
            <w:vAlign w:val="center"/>
          </w:tcPr>
          <w:p w14:paraId="3E059913">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14:paraId="230A5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14:paraId="5335B35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14:paraId="7235D1A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14:paraId="7F81054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461" w:type="dxa"/>
            <w:shd w:val="clear" w:color="000000" w:fill="FFFFFF"/>
            <w:noWrap w:val="0"/>
            <w:vAlign w:val="center"/>
          </w:tcPr>
          <w:p w14:paraId="4F7A56B4">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790" w:type="dxa"/>
            <w:shd w:val="clear" w:color="000000" w:fill="FFFFFF"/>
            <w:noWrap w:val="0"/>
            <w:vAlign w:val="center"/>
          </w:tcPr>
          <w:p w14:paraId="1E28D02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14:paraId="048D6232">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45" w:type="dxa"/>
            <w:shd w:val="clear" w:color="000000" w:fill="FFFFFF"/>
            <w:noWrap w:val="0"/>
            <w:vAlign w:val="center"/>
          </w:tcPr>
          <w:p w14:paraId="215BEB3A">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08" w:type="dxa"/>
            <w:shd w:val="clear" w:color="000000" w:fill="FFFFFF"/>
            <w:noWrap w:val="0"/>
            <w:vAlign w:val="center"/>
          </w:tcPr>
          <w:p w14:paraId="0F51D25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w:t>
            </w:r>
          </w:p>
        </w:tc>
      </w:tr>
      <w:tr w14:paraId="0AC08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9" w:type="dxa"/>
            <w:vMerge w:val="continue"/>
            <w:shd w:val="clear" w:color="auto" w:fill="FFFFFF"/>
            <w:noWrap w:val="0"/>
            <w:vAlign w:val="center"/>
          </w:tcPr>
          <w:p w14:paraId="54C6522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14:paraId="01343B1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14:paraId="5BCBE7F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461" w:type="dxa"/>
            <w:shd w:val="clear" w:color="000000" w:fill="FFFFFF"/>
            <w:noWrap w:val="0"/>
            <w:vAlign w:val="center"/>
          </w:tcPr>
          <w:p w14:paraId="7B9E2E62">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790" w:type="dxa"/>
            <w:shd w:val="clear" w:color="000000" w:fill="FFFFFF"/>
            <w:noWrap w:val="0"/>
            <w:vAlign w:val="center"/>
          </w:tcPr>
          <w:p w14:paraId="31078885">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945" w:type="dxa"/>
            <w:shd w:val="clear" w:color="000000" w:fill="FFFFFF"/>
            <w:noWrap w:val="0"/>
            <w:vAlign w:val="center"/>
          </w:tcPr>
          <w:p w14:paraId="15535445">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08" w:type="dxa"/>
            <w:shd w:val="clear" w:color="000000" w:fill="FFFFFF"/>
            <w:noWrap w:val="0"/>
            <w:vAlign w:val="center"/>
          </w:tcPr>
          <w:p w14:paraId="181B1EA3">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14:paraId="03A93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76" w:hRule="atLeast"/>
          <w:jc w:val="center"/>
        </w:trPr>
        <w:tc>
          <w:tcPr>
            <w:tcW w:w="839" w:type="dxa"/>
            <w:vMerge w:val="continue"/>
            <w:shd w:val="clear" w:color="auto" w:fill="FFFFFF"/>
            <w:noWrap w:val="0"/>
            <w:vAlign w:val="center"/>
          </w:tcPr>
          <w:p w14:paraId="1D7F489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14:paraId="57E5518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14:paraId="755673F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461" w:type="dxa"/>
            <w:shd w:val="clear" w:color="000000" w:fill="FFFFFF"/>
            <w:noWrap w:val="0"/>
            <w:vAlign w:val="center"/>
          </w:tcPr>
          <w:p w14:paraId="2619AE67">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790" w:type="dxa"/>
            <w:shd w:val="clear" w:color="000000" w:fill="FFFFFF"/>
            <w:noWrap w:val="0"/>
            <w:vAlign w:val="center"/>
          </w:tcPr>
          <w:p w14:paraId="4781EA61">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945" w:type="dxa"/>
            <w:shd w:val="clear" w:color="000000" w:fill="FFFFFF"/>
            <w:noWrap w:val="0"/>
            <w:vAlign w:val="center"/>
          </w:tcPr>
          <w:p w14:paraId="12C9BD99">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08" w:type="dxa"/>
            <w:shd w:val="clear" w:color="000000" w:fill="FFFFFF"/>
            <w:noWrap w:val="0"/>
            <w:vAlign w:val="center"/>
          </w:tcPr>
          <w:p w14:paraId="761D0DD9">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4.13</w:t>
            </w:r>
          </w:p>
        </w:tc>
      </w:tr>
      <w:tr w14:paraId="3E435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9" w:hRule="atLeast"/>
          <w:jc w:val="center"/>
        </w:trPr>
        <w:tc>
          <w:tcPr>
            <w:tcW w:w="839" w:type="dxa"/>
            <w:vMerge w:val="restart"/>
            <w:shd w:val="clear" w:color="auto" w:fill="FFFFFF"/>
            <w:noWrap w:val="0"/>
            <w:vAlign w:val="center"/>
          </w:tcPr>
          <w:p w14:paraId="63064AA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14:paraId="3FBC167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14:paraId="3080BEE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461" w:type="dxa"/>
            <w:shd w:val="clear" w:color="auto" w:fill="FFFFFF"/>
            <w:noWrap w:val="0"/>
            <w:vAlign w:val="center"/>
          </w:tcPr>
          <w:p w14:paraId="51C2DCE5">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790" w:type="dxa"/>
            <w:shd w:val="clear" w:color="auto" w:fill="FFFFFF"/>
            <w:noWrap w:val="0"/>
            <w:vAlign w:val="center"/>
          </w:tcPr>
          <w:p w14:paraId="107C2C24">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945" w:type="dxa"/>
            <w:shd w:val="clear" w:color="auto" w:fill="FFFFFF"/>
            <w:noWrap w:val="0"/>
            <w:vAlign w:val="center"/>
          </w:tcPr>
          <w:p w14:paraId="0052C51F">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40</w:t>
            </w:r>
          </w:p>
        </w:tc>
        <w:tc>
          <w:tcPr>
            <w:tcW w:w="1008" w:type="dxa"/>
            <w:shd w:val="clear" w:color="auto" w:fill="FFFFFF"/>
            <w:noWrap w:val="0"/>
            <w:vAlign w:val="center"/>
          </w:tcPr>
          <w:p w14:paraId="4596059A">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37.34</w:t>
            </w:r>
          </w:p>
        </w:tc>
      </w:tr>
      <w:tr w14:paraId="747C6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7" w:hRule="atLeast"/>
          <w:jc w:val="center"/>
        </w:trPr>
        <w:tc>
          <w:tcPr>
            <w:tcW w:w="839" w:type="dxa"/>
            <w:vMerge w:val="continue"/>
            <w:shd w:val="clear" w:color="auto" w:fill="FFFFFF"/>
            <w:noWrap w:val="0"/>
            <w:vAlign w:val="center"/>
          </w:tcPr>
          <w:p w14:paraId="4B37D71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14:paraId="0B3E540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14:paraId="21D5250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461" w:type="dxa"/>
            <w:shd w:val="clear" w:color="000000" w:fill="FFFFFF"/>
            <w:noWrap w:val="0"/>
            <w:vAlign w:val="center"/>
          </w:tcPr>
          <w:p w14:paraId="07EA43E1">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790" w:type="dxa"/>
            <w:shd w:val="clear" w:color="000000" w:fill="FFFFFF"/>
            <w:noWrap w:val="0"/>
            <w:vAlign w:val="center"/>
          </w:tcPr>
          <w:p w14:paraId="2543B421">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945" w:type="dxa"/>
            <w:shd w:val="clear" w:color="000000" w:fill="FFFFFF"/>
            <w:noWrap w:val="0"/>
            <w:vAlign w:val="center"/>
          </w:tcPr>
          <w:p w14:paraId="15A6AFED">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008" w:type="dxa"/>
            <w:shd w:val="clear" w:color="000000" w:fill="FFFFFF"/>
            <w:noWrap w:val="0"/>
            <w:vAlign w:val="center"/>
          </w:tcPr>
          <w:p w14:paraId="27421E8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r>
    </w:tbl>
    <w:p w14:paraId="405FDC80">
      <w:pPr>
        <w:spacing w:line="540" w:lineRule="exact"/>
        <w:rPr>
          <w:rStyle w:val="21"/>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83332C-EE6E-48F0-9903-0CF8D97B7C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11BF8898-330A-44C9-863B-DFF80605CCC9}"/>
  </w:font>
  <w:font w:name="方正仿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F6633A87-5659-4EF0-AF57-342535243CB0}"/>
  </w:font>
  <w:font w:name="方正小标宋简体">
    <w:panose1 w:val="02000000000000000000"/>
    <w:charset w:val="86"/>
    <w:family w:val="auto"/>
    <w:pitch w:val="default"/>
    <w:sig w:usb0="00000001" w:usb1="08000000" w:usb2="00000000" w:usb3="00000000" w:csb0="00040000" w:csb1="00000000"/>
    <w:embedRegular r:id="rId4" w:fontKey="{995B80FE-9EF0-415E-A649-8FF0B68E4B8A}"/>
  </w:font>
  <w:font w:name="楷体_GB2312">
    <w:altName w:val="楷体"/>
    <w:panose1 w:val="00000000000000000000"/>
    <w:charset w:val="86"/>
    <w:family w:val="auto"/>
    <w:pitch w:val="default"/>
    <w:sig w:usb0="00000000" w:usb1="00000000" w:usb2="00000000" w:usb3="00000000" w:csb0="00040000" w:csb1="00000000"/>
    <w:embedRegular r:id="rId5" w:fontKey="{44CE24E2-702D-4D1A-BFB4-2BB77A42BCED}"/>
  </w:font>
  <w:font w:name="楷体">
    <w:panose1 w:val="02010609060101010101"/>
    <w:charset w:val="86"/>
    <w:family w:val="auto"/>
    <w:pitch w:val="default"/>
    <w:sig w:usb0="800002BF" w:usb1="38CF7CFA" w:usb2="00000016" w:usb3="00000000" w:csb0="00040001" w:csb1="00000000"/>
    <w:embedRegular r:id="rId6" w:fontKey="{A88A92D4-7ECB-42B0-88B5-42C948AAF411}"/>
  </w:font>
  <w:font w:name="仿宋">
    <w:panose1 w:val="02010609060101010101"/>
    <w:charset w:val="86"/>
    <w:family w:val="auto"/>
    <w:pitch w:val="default"/>
    <w:sig w:usb0="800002BF" w:usb1="38CF7CFA" w:usb2="00000016" w:usb3="00000000" w:csb0="00040001" w:csb1="00000000"/>
    <w:embedRegular r:id="rId7" w:fontKey="{A254FAF6-89B4-4420-A0F0-F3CD3A7DFF76}"/>
  </w:font>
  <w:font w:name="Tahoma">
    <w:panose1 w:val="020B0604030504040204"/>
    <w:charset w:val="00"/>
    <w:family w:val="swiss"/>
    <w:pitch w:val="default"/>
    <w:sig w:usb0="E1002EFF" w:usb1="C000605B" w:usb2="00000029" w:usb3="00000000" w:csb0="200101FF" w:csb1="20280000"/>
    <w:embedRegular r:id="rId8" w:fontKey="{23216D59-5869-4C9E-8473-BF74BD23FB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C6B2D59">
        <w:pPr>
          <w:pStyle w:val="15"/>
          <w:jc w:val="center"/>
        </w:pPr>
        <w:r>
          <w:fldChar w:fldCharType="begin"/>
        </w:r>
        <w:r>
          <w:instrText xml:space="preserve">PAGE   \* MERGEFORMAT</w:instrText>
        </w:r>
        <w:r>
          <w:fldChar w:fldCharType="separate"/>
        </w:r>
        <w:r>
          <w:rPr>
            <w:lang w:val="zh-CN"/>
          </w:rPr>
          <w:t>2</w:t>
        </w:r>
        <w:r>
          <w:fldChar w:fldCharType="end"/>
        </w:r>
      </w:p>
    </w:sdtContent>
  </w:sdt>
  <w:p w14:paraId="236FB480">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num w:numId="1">
    <w:abstractNumId w:val="2"/>
  </w:num>
  <w:num w:numId="2">
    <w:abstractNumId w:val="1"/>
  </w:num>
  <w:num w:numId="3">
    <w:abstractNumId w:val="6"/>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031F42"/>
    <w:rsid w:val="05047CBC"/>
    <w:rsid w:val="051A56F5"/>
    <w:rsid w:val="057E0253"/>
    <w:rsid w:val="061E27D0"/>
    <w:rsid w:val="066D6EAA"/>
    <w:rsid w:val="070126D6"/>
    <w:rsid w:val="08C662D4"/>
    <w:rsid w:val="0990766E"/>
    <w:rsid w:val="09BD4D95"/>
    <w:rsid w:val="0D2E5E8C"/>
    <w:rsid w:val="0D3A187C"/>
    <w:rsid w:val="0F8D41CB"/>
    <w:rsid w:val="107B490D"/>
    <w:rsid w:val="118E6BD6"/>
    <w:rsid w:val="11C75270"/>
    <w:rsid w:val="12637CC3"/>
    <w:rsid w:val="12E657C5"/>
    <w:rsid w:val="13CF3033"/>
    <w:rsid w:val="14240A7B"/>
    <w:rsid w:val="15785F00"/>
    <w:rsid w:val="167C7687"/>
    <w:rsid w:val="168B3546"/>
    <w:rsid w:val="16D82DEB"/>
    <w:rsid w:val="18B703EA"/>
    <w:rsid w:val="194737BA"/>
    <w:rsid w:val="19AE0516"/>
    <w:rsid w:val="1A2374E0"/>
    <w:rsid w:val="1BB02E52"/>
    <w:rsid w:val="1C317CE2"/>
    <w:rsid w:val="1CE34604"/>
    <w:rsid w:val="1DD45808"/>
    <w:rsid w:val="1DED42AC"/>
    <w:rsid w:val="20005763"/>
    <w:rsid w:val="20FB313D"/>
    <w:rsid w:val="220B4804"/>
    <w:rsid w:val="2338050B"/>
    <w:rsid w:val="26037334"/>
    <w:rsid w:val="26143699"/>
    <w:rsid w:val="265B37A8"/>
    <w:rsid w:val="26F80E53"/>
    <w:rsid w:val="282475E3"/>
    <w:rsid w:val="283C3C89"/>
    <w:rsid w:val="28803453"/>
    <w:rsid w:val="2C6100C1"/>
    <w:rsid w:val="2E616EA5"/>
    <w:rsid w:val="311944DF"/>
    <w:rsid w:val="3264220D"/>
    <w:rsid w:val="35C43550"/>
    <w:rsid w:val="3642584F"/>
    <w:rsid w:val="38A24166"/>
    <w:rsid w:val="38A82559"/>
    <w:rsid w:val="38BD4CD3"/>
    <w:rsid w:val="3963178C"/>
    <w:rsid w:val="3A0D6D43"/>
    <w:rsid w:val="3AF85C01"/>
    <w:rsid w:val="3B43043A"/>
    <w:rsid w:val="3C315F61"/>
    <w:rsid w:val="3CC10527"/>
    <w:rsid w:val="3D745C28"/>
    <w:rsid w:val="3F2B2578"/>
    <w:rsid w:val="40A6406C"/>
    <w:rsid w:val="41CC2676"/>
    <w:rsid w:val="45F35F76"/>
    <w:rsid w:val="46B21672"/>
    <w:rsid w:val="46FA3E34"/>
    <w:rsid w:val="47594682"/>
    <w:rsid w:val="48BB4427"/>
    <w:rsid w:val="48FB6220"/>
    <w:rsid w:val="4933250F"/>
    <w:rsid w:val="4C06218D"/>
    <w:rsid w:val="4C8E380F"/>
    <w:rsid w:val="4F552460"/>
    <w:rsid w:val="4FCC6863"/>
    <w:rsid w:val="500A214A"/>
    <w:rsid w:val="52003241"/>
    <w:rsid w:val="522D604D"/>
    <w:rsid w:val="5297585E"/>
    <w:rsid w:val="52AD7D6F"/>
    <w:rsid w:val="5549519D"/>
    <w:rsid w:val="5557596B"/>
    <w:rsid w:val="563C7FF3"/>
    <w:rsid w:val="57697E21"/>
    <w:rsid w:val="58C6070C"/>
    <w:rsid w:val="5B596DFC"/>
    <w:rsid w:val="5BAD57B9"/>
    <w:rsid w:val="5DAD0BF8"/>
    <w:rsid w:val="5DF03945"/>
    <w:rsid w:val="5E4A41B4"/>
    <w:rsid w:val="5FCC5F64"/>
    <w:rsid w:val="61816A0E"/>
    <w:rsid w:val="622108D0"/>
    <w:rsid w:val="622F17FA"/>
    <w:rsid w:val="62FF2B69"/>
    <w:rsid w:val="635600C0"/>
    <w:rsid w:val="637C2815"/>
    <w:rsid w:val="63CA00C9"/>
    <w:rsid w:val="64116CDF"/>
    <w:rsid w:val="64674186"/>
    <w:rsid w:val="6560284E"/>
    <w:rsid w:val="660E4FA4"/>
    <w:rsid w:val="67612E40"/>
    <w:rsid w:val="68D1452B"/>
    <w:rsid w:val="6A70188D"/>
    <w:rsid w:val="6AD93384"/>
    <w:rsid w:val="6B4F224E"/>
    <w:rsid w:val="6C5138D6"/>
    <w:rsid w:val="71B2014F"/>
    <w:rsid w:val="71E536A1"/>
    <w:rsid w:val="721E7E8C"/>
    <w:rsid w:val="73044393"/>
    <w:rsid w:val="77353D98"/>
    <w:rsid w:val="77F35779"/>
    <w:rsid w:val="78613310"/>
    <w:rsid w:val="7A171295"/>
    <w:rsid w:val="7A353D0B"/>
    <w:rsid w:val="7AC75877"/>
    <w:rsid w:val="7AE6388E"/>
    <w:rsid w:val="7C0C2506"/>
    <w:rsid w:val="7D3A5E2F"/>
    <w:rsid w:val="7DAB74B4"/>
    <w:rsid w:val="7E5E4EA9"/>
    <w:rsid w:val="7F393184"/>
    <w:rsid w:val="7FFA4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8"/>
    <w:semiHidden/>
    <w:unhideWhenUsed/>
    <w:qFormat/>
    <w:uiPriority w:val="99"/>
    <w:rPr>
      <w:sz w:val="18"/>
      <w:szCs w:val="18"/>
    </w:rPr>
  </w:style>
  <w:style w:type="paragraph" w:styleId="15">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3"/>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7"/>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6"/>
    <w:qFormat/>
    <w:uiPriority w:val="99"/>
    <w:rPr>
      <w:rFonts w:ascii="Calibri" w:hAnsi="Calibri" w:eastAsia="宋体"/>
      <w:kern w:val="2"/>
      <w:sz w:val="18"/>
      <w:szCs w:val="18"/>
    </w:rPr>
  </w:style>
  <w:style w:type="character" w:customStyle="1" w:styleId="47">
    <w:name w:val="页脚 字符"/>
    <w:basedOn w:val="20"/>
    <w:link w:val="15"/>
    <w:qFormat/>
    <w:uiPriority w:val="99"/>
    <w:rPr>
      <w:rFonts w:ascii="Calibri" w:hAnsi="Calibri" w:eastAsia="宋体"/>
      <w:kern w:val="2"/>
      <w:sz w:val="18"/>
      <w:szCs w:val="18"/>
    </w:rPr>
  </w:style>
  <w:style w:type="character" w:customStyle="1" w:styleId="48">
    <w:name w:val="批注框文本 字符"/>
    <w:basedOn w:val="20"/>
    <w:link w:val="14"/>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闻政-正文段落文字"/>
    <w:basedOn w:val="1"/>
    <w:qFormat/>
    <w:uiPriority w:val="3"/>
    <w:pPr>
      <w:spacing w:line="500" w:lineRule="exact"/>
      <w:ind w:firstLine="200"/>
    </w:pPr>
    <w:rPr>
      <w:rFonts w:ascii="Times New Roman" w:hAnsi="Times New Roman" w:cs="Times New Roman"/>
      <w:kern w:val="0"/>
      <w:szCs w:val="28"/>
    </w:rPr>
  </w:style>
  <w:style w:type="character" w:customStyle="1" w:styleId="52">
    <w:name w:val="font31"/>
    <w:basedOn w:val="20"/>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7327</Words>
  <Characters>8018</Characters>
  <Lines>63</Lines>
  <Paragraphs>17</Paragraphs>
  <TotalTime>19</TotalTime>
  <ScaleCrop>false</ScaleCrop>
  <LinksUpToDate>false</LinksUpToDate>
  <CharactersWithSpaces>8084</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2019-12-31T08:02:00Z</cp:lastPrinted>
  <dcterms:modified xsi:type="dcterms:W3CDTF">2025-09-03T12:13:45Z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2A2712C8A0424D72B5784A628CD7778A</vt:lpwstr>
  </property>
  <property fmtid="{D5CDD505-2E9C-101B-9397-08002B2CF9AE}" pid="4" name="KSOSaveFontToCloudKey">
    <vt:lpwstr>462561243_btnclosed</vt:lpwstr>
  </property>
  <property fmtid="{D5CDD505-2E9C-101B-9397-08002B2CF9AE}" pid="5" name="KSOTemplateDocerSaveRecord">
    <vt:lpwstr>eyJoZGlkIjoiN2VjMGM4YTNmZTY1NDFjMWFjNmVmZmU0NDA2ZTk0ZmMiLCJ1c2VySWQiOiI4NjI1NDMxNDkifQ==</vt:lpwstr>
  </property>
</Properties>
</file>