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30172">
      <w:pPr>
        <w:spacing w:line="540" w:lineRule="exact"/>
        <w:jc w:val="center"/>
        <w:rPr>
          <w:rFonts w:ascii="华文中宋" w:hAnsi="华文中宋" w:eastAsia="华文中宋" w:cs="宋体"/>
          <w:b/>
          <w:kern w:val="0"/>
          <w:sz w:val="52"/>
          <w:szCs w:val="52"/>
        </w:rPr>
      </w:pPr>
    </w:p>
    <w:p w14:paraId="11A75D33">
      <w:pPr>
        <w:spacing w:line="540" w:lineRule="exact"/>
        <w:jc w:val="center"/>
        <w:rPr>
          <w:rFonts w:ascii="华文中宋" w:hAnsi="华文中宋" w:eastAsia="华文中宋" w:cs="宋体"/>
          <w:b/>
          <w:kern w:val="0"/>
          <w:sz w:val="52"/>
          <w:szCs w:val="52"/>
        </w:rPr>
      </w:pPr>
    </w:p>
    <w:p w14:paraId="25A86108">
      <w:pPr>
        <w:spacing w:line="540" w:lineRule="exact"/>
        <w:jc w:val="center"/>
        <w:rPr>
          <w:rFonts w:ascii="华文中宋" w:hAnsi="华文中宋" w:eastAsia="华文中宋" w:cs="宋体"/>
          <w:b/>
          <w:kern w:val="0"/>
          <w:sz w:val="52"/>
          <w:szCs w:val="52"/>
        </w:rPr>
      </w:pPr>
    </w:p>
    <w:p w14:paraId="2F41395F">
      <w:pPr>
        <w:spacing w:line="540" w:lineRule="exact"/>
        <w:jc w:val="center"/>
        <w:rPr>
          <w:rFonts w:ascii="华文中宋" w:hAnsi="华文中宋" w:eastAsia="华文中宋" w:cs="宋体"/>
          <w:b/>
          <w:kern w:val="0"/>
          <w:sz w:val="52"/>
          <w:szCs w:val="52"/>
        </w:rPr>
      </w:pPr>
    </w:p>
    <w:p w14:paraId="03C1DDA0">
      <w:pPr>
        <w:spacing w:line="540" w:lineRule="exact"/>
        <w:jc w:val="center"/>
        <w:rPr>
          <w:rFonts w:ascii="华文中宋" w:hAnsi="华文中宋" w:eastAsia="华文中宋" w:cs="宋体"/>
          <w:b/>
          <w:kern w:val="0"/>
          <w:sz w:val="52"/>
          <w:szCs w:val="52"/>
        </w:rPr>
      </w:pPr>
    </w:p>
    <w:p w14:paraId="63AD61A2">
      <w:pPr>
        <w:spacing w:line="540" w:lineRule="exact"/>
        <w:jc w:val="center"/>
        <w:rPr>
          <w:rFonts w:ascii="华文中宋" w:hAnsi="华文中宋" w:eastAsia="华文中宋" w:cs="宋体"/>
          <w:b/>
          <w:kern w:val="0"/>
          <w:sz w:val="52"/>
          <w:szCs w:val="52"/>
        </w:rPr>
      </w:pPr>
    </w:p>
    <w:p w14:paraId="07F9674D">
      <w:pPr>
        <w:spacing w:line="540" w:lineRule="exact"/>
        <w:ind w:left="3360" w:hanging="3080" w:hangingChars="700"/>
        <w:jc w:val="center"/>
        <w:rPr>
          <w:rFonts w:hint="eastAsia" w:ascii="方正小标宋简体" w:hAnsi="方正小标宋简体" w:eastAsia="方正小标宋简体" w:cs="方正小标宋简体"/>
          <w:kern w:val="0"/>
          <w:sz w:val="44"/>
          <w:szCs w:val="44"/>
          <w:lang w:val="en-US" w:eastAsia="zh-CN"/>
        </w:rPr>
      </w:pPr>
      <w:r>
        <w:rPr>
          <w:rFonts w:hint="eastAsia" w:ascii="方正小标宋简体" w:hAnsi="方正小标宋简体" w:eastAsia="方正小标宋简体" w:cs="方正小标宋简体"/>
          <w:kern w:val="0"/>
          <w:sz w:val="44"/>
          <w:szCs w:val="44"/>
          <w:lang w:val="en-US" w:eastAsia="zh-CN"/>
        </w:rPr>
        <w:t>塔城地区第一高级中学国家助学金及</w:t>
      </w:r>
    </w:p>
    <w:p w14:paraId="0932F107">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val="en-US" w:eastAsia="zh-CN"/>
        </w:rPr>
        <w:t>免学费</w:t>
      </w:r>
      <w:r>
        <w:rPr>
          <w:rFonts w:hint="eastAsia" w:ascii="方正小标宋简体" w:hAnsi="方正小标宋简体" w:eastAsia="方正小标宋简体" w:cs="方正小标宋简体"/>
          <w:kern w:val="0"/>
          <w:sz w:val="44"/>
          <w:szCs w:val="44"/>
        </w:rPr>
        <w:t>资金项目支出绩效评价报告</w:t>
      </w:r>
    </w:p>
    <w:p w14:paraId="2C5CF04A">
      <w:pPr>
        <w:spacing w:line="540" w:lineRule="exact"/>
        <w:jc w:val="center"/>
        <w:rPr>
          <w:rFonts w:ascii="华文中宋" w:hAnsi="华文中宋" w:eastAsia="华文中宋" w:cs="宋体"/>
          <w:b/>
          <w:kern w:val="0"/>
          <w:sz w:val="52"/>
          <w:szCs w:val="52"/>
        </w:rPr>
      </w:pPr>
    </w:p>
    <w:p w14:paraId="55F52187">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14:paraId="04A070D5">
      <w:pPr>
        <w:spacing w:line="540" w:lineRule="exact"/>
        <w:jc w:val="center"/>
        <w:rPr>
          <w:rFonts w:hAnsi="宋体" w:eastAsia="仿宋_GB2312" w:cs="宋体"/>
          <w:kern w:val="0"/>
          <w:sz w:val="30"/>
          <w:szCs w:val="30"/>
        </w:rPr>
      </w:pPr>
    </w:p>
    <w:p w14:paraId="0CCC5FD3">
      <w:pPr>
        <w:spacing w:line="540" w:lineRule="exact"/>
        <w:jc w:val="center"/>
        <w:rPr>
          <w:rFonts w:hAnsi="宋体" w:eastAsia="仿宋_GB2312" w:cs="宋体"/>
          <w:kern w:val="0"/>
          <w:sz w:val="30"/>
          <w:szCs w:val="30"/>
        </w:rPr>
      </w:pPr>
    </w:p>
    <w:p w14:paraId="19D9EA5A">
      <w:pPr>
        <w:spacing w:line="540" w:lineRule="exact"/>
        <w:jc w:val="center"/>
        <w:rPr>
          <w:rFonts w:hAnsi="宋体" w:eastAsia="仿宋_GB2312" w:cs="宋体"/>
          <w:kern w:val="0"/>
          <w:sz w:val="30"/>
          <w:szCs w:val="30"/>
        </w:rPr>
      </w:pPr>
    </w:p>
    <w:p w14:paraId="057AD5AB">
      <w:pPr>
        <w:spacing w:line="540" w:lineRule="exact"/>
        <w:jc w:val="center"/>
        <w:rPr>
          <w:rFonts w:hAnsi="宋体" w:eastAsia="仿宋_GB2312" w:cs="宋体"/>
          <w:kern w:val="0"/>
          <w:sz w:val="30"/>
          <w:szCs w:val="30"/>
        </w:rPr>
      </w:pPr>
    </w:p>
    <w:p w14:paraId="5786899B">
      <w:pPr>
        <w:spacing w:line="540" w:lineRule="exact"/>
        <w:rPr>
          <w:rFonts w:hAnsi="宋体" w:eastAsia="仿宋_GB2312" w:cs="宋体"/>
          <w:kern w:val="0"/>
          <w:sz w:val="30"/>
          <w:szCs w:val="30"/>
        </w:rPr>
      </w:pPr>
    </w:p>
    <w:p w14:paraId="290F2C1F">
      <w:pPr>
        <w:spacing w:line="540" w:lineRule="exact"/>
        <w:ind w:left="2518" w:leftChars="342" w:hanging="1800" w:hangingChars="500"/>
        <w:jc w:val="center"/>
        <w:rPr>
          <w:rFonts w:hint="eastAsia" w:hAnsi="宋体" w:eastAsia="仿宋_GB2312" w:cs="宋体"/>
          <w:kern w:val="0"/>
          <w:sz w:val="36"/>
          <w:szCs w:val="36"/>
          <w:lang w:val="en-US" w:eastAsia="zh-CN"/>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项目名称：</w:t>
      </w:r>
      <w:r>
        <w:rPr>
          <w:rFonts w:hint="eastAsia" w:hAnsi="宋体" w:eastAsia="仿宋_GB2312" w:cs="宋体"/>
          <w:kern w:val="0"/>
          <w:sz w:val="36"/>
          <w:szCs w:val="36"/>
          <w:lang w:val="en-US" w:eastAsia="zh-CN"/>
        </w:rPr>
        <w:t>塔城地区第一高级中学国家助学金及</w:t>
      </w:r>
    </w:p>
    <w:p w14:paraId="2729EFAD">
      <w:pPr>
        <w:spacing w:line="540" w:lineRule="exact"/>
        <w:ind w:left="2514" w:leftChars="1197" w:firstLine="360" w:firstLineChars="100"/>
        <w:jc w:val="both"/>
        <w:rPr>
          <w:rFonts w:hint="eastAsia" w:hAnsi="宋体" w:eastAsia="仿宋_GB2312" w:cs="宋体"/>
          <w:kern w:val="0"/>
          <w:sz w:val="36"/>
          <w:szCs w:val="36"/>
        </w:rPr>
      </w:pPr>
      <w:r>
        <w:rPr>
          <w:rFonts w:hint="eastAsia" w:hAnsi="宋体" w:eastAsia="仿宋_GB2312" w:cs="宋体"/>
          <w:kern w:val="0"/>
          <w:sz w:val="36"/>
          <w:szCs w:val="36"/>
          <w:lang w:val="en-US" w:eastAsia="zh-CN"/>
        </w:rPr>
        <w:t>免学费</w:t>
      </w:r>
      <w:r>
        <w:rPr>
          <w:rFonts w:hint="eastAsia" w:hAnsi="宋体" w:eastAsia="仿宋_GB2312" w:cs="宋体"/>
          <w:kern w:val="0"/>
          <w:sz w:val="36"/>
          <w:szCs w:val="36"/>
        </w:rPr>
        <w:t>资金项目</w:t>
      </w:r>
    </w:p>
    <w:p w14:paraId="6953E35F">
      <w:pPr>
        <w:spacing w:line="540" w:lineRule="exact"/>
        <w:ind w:left="2517" w:leftChars="513" w:hanging="1440" w:hangingChars="400"/>
        <w:jc w:val="both"/>
        <w:rPr>
          <w:rFonts w:hint="default" w:hAnsi="宋体" w:eastAsia="仿宋_GB2312" w:cs="宋体"/>
          <w:kern w:val="0"/>
          <w:sz w:val="36"/>
          <w:szCs w:val="36"/>
          <w:lang w:val="en-US" w:eastAsia="zh-CN"/>
        </w:rPr>
      </w:pPr>
      <w:r>
        <w:rPr>
          <w:rFonts w:hint="eastAsia" w:hAnsi="宋体" w:eastAsia="仿宋_GB2312" w:cs="宋体"/>
          <w:kern w:val="0"/>
          <w:sz w:val="36"/>
          <w:szCs w:val="36"/>
        </w:rPr>
        <w:t>实施单位（公章）：</w:t>
      </w:r>
      <w:r>
        <w:rPr>
          <w:rFonts w:hint="eastAsia" w:hAnsi="宋体" w:eastAsia="仿宋_GB2312" w:cs="宋体"/>
          <w:kern w:val="0"/>
          <w:sz w:val="36"/>
          <w:szCs w:val="36"/>
          <w:lang w:val="en-US" w:eastAsia="zh-CN"/>
        </w:rPr>
        <w:t>塔城地区第一高级中学</w:t>
      </w:r>
    </w:p>
    <w:p w14:paraId="2E34FE64">
      <w:pPr>
        <w:spacing w:line="700" w:lineRule="exact"/>
        <w:ind w:firstLine="1080" w:firstLineChars="300"/>
        <w:jc w:val="both"/>
        <w:rPr>
          <w:rFonts w:hint="default"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地区教育局</w:t>
      </w:r>
    </w:p>
    <w:p w14:paraId="62CCCAF7">
      <w:pPr>
        <w:spacing w:line="700" w:lineRule="exact"/>
        <w:ind w:firstLine="1080" w:firstLineChars="300"/>
        <w:jc w:val="both"/>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王永涛</w:t>
      </w:r>
    </w:p>
    <w:p w14:paraId="0AD4586E">
      <w:pPr>
        <w:spacing w:line="700" w:lineRule="exact"/>
        <w:ind w:firstLine="1080" w:firstLineChars="300"/>
        <w:jc w:val="both"/>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2021</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w:t>
      </w:r>
      <w:r>
        <w:rPr>
          <w:rFonts w:hint="eastAsia" w:hAnsi="宋体" w:eastAsia="仿宋_GB2312" w:cs="宋体"/>
          <w:kern w:val="0"/>
          <w:sz w:val="36"/>
          <w:szCs w:val="36"/>
        </w:rPr>
        <w:t>日</w:t>
      </w:r>
    </w:p>
    <w:p w14:paraId="3BA4DD59">
      <w:pPr>
        <w:spacing w:line="540" w:lineRule="exact"/>
        <w:jc w:val="center"/>
        <w:rPr>
          <w:rFonts w:hAnsi="宋体" w:eastAsia="仿宋_GB2312" w:cs="宋体"/>
          <w:kern w:val="0"/>
          <w:sz w:val="30"/>
          <w:szCs w:val="30"/>
        </w:rPr>
      </w:pPr>
    </w:p>
    <w:p w14:paraId="330DCBC6">
      <w:pPr>
        <w:spacing w:line="540" w:lineRule="exact"/>
        <w:rPr>
          <w:rStyle w:val="22"/>
          <w:rFonts w:ascii="黑体" w:hAnsi="黑体" w:eastAsia="黑体"/>
          <w:b w:val="0"/>
          <w:spacing w:val="-4"/>
          <w:sz w:val="32"/>
          <w:szCs w:val="32"/>
        </w:rPr>
      </w:pPr>
    </w:p>
    <w:p w14:paraId="48EDA130">
      <w:pPr>
        <w:spacing w:line="540" w:lineRule="exact"/>
        <w:ind w:firstLine="640"/>
        <w:rPr>
          <w:rStyle w:val="22"/>
          <w:rFonts w:ascii="黑体" w:hAnsi="黑体" w:eastAsia="黑体"/>
          <w:b w:val="0"/>
          <w:spacing w:val="-4"/>
          <w:sz w:val="32"/>
          <w:szCs w:val="32"/>
        </w:rPr>
      </w:pPr>
    </w:p>
    <w:p w14:paraId="4377BCD5">
      <w:pPr>
        <w:pageBreakBefore w:val="0"/>
        <w:kinsoku/>
        <w:wordWrap/>
        <w:overflowPunct/>
        <w:topLinePunct w:val="0"/>
        <w:autoSpaceDE/>
        <w:autoSpaceDN/>
        <w:bidi w:val="0"/>
        <w:adjustRightInd/>
        <w:snapToGrid/>
        <w:spacing w:line="560" w:lineRule="exact"/>
        <w:textAlignment w:val="auto"/>
        <w:rPr>
          <w:rFonts w:ascii="黑体" w:hAnsi="黑体" w:eastAsia="黑体" w:cs="黑体"/>
          <w:b/>
          <w:bCs w:val="0"/>
          <w:sz w:val="32"/>
          <w:szCs w:val="32"/>
        </w:rPr>
      </w:pPr>
      <w:r>
        <w:rPr>
          <w:rFonts w:hint="eastAsia" w:ascii="黑体" w:hAnsi="黑体" w:eastAsia="黑体" w:cs="黑体"/>
          <w:b/>
          <w:bCs w:val="0"/>
          <w:sz w:val="32"/>
          <w:szCs w:val="32"/>
        </w:rPr>
        <w:t>一、基本情况</w:t>
      </w:r>
    </w:p>
    <w:p w14:paraId="0BA56DFE">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14:paraId="233213AF">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14:paraId="013BABF1">
      <w:pPr>
        <w:pStyle w:val="2"/>
        <w:keepNext w:val="0"/>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0"/>
          <w:lang w:val="en-US" w:eastAsia="zh-CN"/>
        </w:rPr>
      </w:pPr>
      <w:r>
        <w:rPr>
          <w:rFonts w:hint="eastAsia" w:ascii="仿宋_GB2312" w:hAnsi="仿宋_GB2312" w:eastAsia="仿宋_GB2312" w:cs="仿宋_GB2312"/>
          <w:b w:val="0"/>
          <w:bCs w:val="0"/>
          <w:kern w:val="0"/>
          <w:lang w:val="en-US" w:eastAsia="zh-CN"/>
        </w:rPr>
        <w:t>国运兴衰，系于教育；教育振兴，全民有责。党和国家始终坚持把教育摆在优先发展的位置。我国教育体系存在发展不平衡问题，部分学生因家庭贫困过早辍学。为有效推进教育均衡发展，党的十七大制定了《国家中长期教育改革和发展规划纲要</w:t>
      </w:r>
    </w:p>
    <w:p w14:paraId="5C5C53FC">
      <w:pPr>
        <w:pStyle w:val="2"/>
        <w:keepNext w:val="0"/>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0"/>
        </w:rPr>
      </w:pPr>
      <w:r>
        <w:rPr>
          <w:rFonts w:hint="eastAsia" w:ascii="仿宋_GB2312" w:hAnsi="仿宋_GB2312" w:eastAsia="仿宋_GB2312" w:cs="仿宋_GB2312"/>
          <w:b w:val="0"/>
          <w:bCs w:val="0"/>
          <w:kern w:val="0"/>
          <w:lang w:val="en-US" w:eastAsia="zh-CN"/>
        </w:rPr>
        <w:t>2020</w:t>
      </w:r>
      <w:r>
        <w:rPr>
          <w:rFonts w:hint="eastAsia" w:ascii="仿宋_GB2312" w:hAnsi="仿宋_GB2312" w:eastAsia="仿宋_GB2312" w:cs="仿宋_GB2312"/>
          <w:b w:val="0"/>
          <w:bCs w:val="0"/>
          <w:kern w:val="0"/>
        </w:rPr>
        <w:t>年普通高中国家助学金项目由</w:t>
      </w:r>
      <w:r>
        <w:rPr>
          <w:rFonts w:hint="eastAsia" w:ascii="仿宋_GB2312" w:hAnsi="仿宋_GB2312" w:eastAsia="仿宋_GB2312" w:cs="仿宋_GB2312"/>
          <w:b w:val="0"/>
          <w:bCs w:val="0"/>
          <w:kern w:val="0"/>
          <w:lang w:val="en-US" w:eastAsia="zh-CN"/>
        </w:rPr>
        <w:t>我校“</w:t>
      </w:r>
      <w:r>
        <w:rPr>
          <w:rFonts w:hint="eastAsia" w:ascii="仿宋_GB2312" w:hAnsi="仿宋_GB2312" w:eastAsia="仿宋_GB2312" w:cs="仿宋_GB2312"/>
          <w:b w:val="0"/>
          <w:bCs w:val="0"/>
          <w:kern w:val="0"/>
        </w:rPr>
        <w:t>学生资助管理中心”负责高中的特困生和贫困生。项目资助内容、对象、标准等情况如下：</w:t>
      </w:r>
    </w:p>
    <w:p w14:paraId="4B692E28">
      <w:pPr>
        <w:pStyle w:val="2"/>
        <w:keepNext w:val="0"/>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0"/>
          <w:lang w:val="en-US" w:eastAsia="zh-CN"/>
        </w:rPr>
      </w:pPr>
      <w:r>
        <w:rPr>
          <w:rFonts w:hint="eastAsia" w:ascii="仿宋_GB2312" w:hAnsi="仿宋_GB2312" w:eastAsia="仿宋_GB2312" w:cs="仿宋_GB2312"/>
          <w:b w:val="0"/>
          <w:bCs w:val="0"/>
          <w:kern w:val="0"/>
          <w:lang w:val="en-US" w:eastAsia="zh-CN"/>
        </w:rPr>
        <w:t>（1）实施主体：塔城地区第一高级中学学生资助管理中心作为项目实施部门，负责项目计划、资金预算的编制及项目绩效目标的申报，负责学生申报评审的检查、审核等执行与监控工作。</w:t>
      </w:r>
    </w:p>
    <w:p w14:paraId="2F8EC660">
      <w:pPr>
        <w:pStyle w:val="2"/>
        <w:pageBreakBefore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0"/>
          <w:lang w:val="en-US" w:eastAsia="zh-CN"/>
        </w:rPr>
      </w:pPr>
      <w:r>
        <w:rPr>
          <w:rFonts w:hint="eastAsia" w:ascii="仿宋_GB2312" w:hAnsi="仿宋_GB2312" w:eastAsia="仿宋_GB2312" w:cs="仿宋_GB2312"/>
          <w:b w:val="0"/>
          <w:bCs w:val="0"/>
          <w:kern w:val="0"/>
          <w:lang w:val="en-US" w:eastAsia="zh-CN"/>
        </w:rPr>
        <w:t>（2）资助对象：具有正式注册学籍的普通高中在校生中的家庭经济困难学生。优先资助经民政部门确认的城市和农村低保户、父母双亡或一方已故、家庭主要成员长期患病或丧失劳动能力造成生活困难的学生以及残疾学生；因重大自然灾害或其他突发事件，造成家庭经济困难的学生；计划生育独生子女户和双女绝育户的学生以及烈士子女。</w:t>
      </w:r>
    </w:p>
    <w:p w14:paraId="2C48EDE9">
      <w:pPr>
        <w:pStyle w:val="2"/>
        <w:pageBreakBefore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default" w:ascii="仿宋_GB2312" w:hAnsi="仿宋_GB2312" w:eastAsia="仿宋_GB2312" w:cs="仿宋_GB2312"/>
          <w:b w:val="0"/>
          <w:bCs w:val="0"/>
          <w:kern w:val="0"/>
          <w:lang w:val="en-US" w:eastAsia="zh-CN"/>
        </w:rPr>
      </w:pPr>
      <w:r>
        <w:rPr>
          <w:rFonts w:hint="eastAsia" w:ascii="仿宋_GB2312" w:hAnsi="仿宋_GB2312" w:eastAsia="仿宋_GB2312" w:cs="仿宋_GB2312"/>
          <w:b w:val="0"/>
          <w:bCs w:val="0"/>
          <w:kern w:val="0"/>
          <w:lang w:val="en-US" w:eastAsia="zh-CN"/>
        </w:rPr>
        <w:t>（3）资助标准：我校的特困生和贫困生2020年享受国家助学金补助。其中春季申报特困生和贫困生824人，秋季申报732人。助学金标准分为两档：1档1250元，2档1000元，3档750元，按学期发放（贫困生补助元2000/每年，特困生补助2500元/每年，实际平均资助标准平均2000元/每生每学年）。建档立卡免学费学生，本年审报55人，按年补助资金1430元/每年。</w:t>
      </w:r>
    </w:p>
    <w:p w14:paraId="6CE2ECED">
      <w:pPr>
        <w:pStyle w:val="2"/>
        <w:pageBreakBefore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0"/>
          <w:lang w:val="en-US" w:eastAsia="zh-CN"/>
        </w:rPr>
      </w:pPr>
      <w:r>
        <w:rPr>
          <w:rFonts w:hint="eastAsia" w:ascii="仿宋_GB2312" w:hAnsi="仿宋_GB2312" w:eastAsia="仿宋_GB2312" w:cs="仿宋_GB2312"/>
          <w:b w:val="0"/>
          <w:bCs w:val="0"/>
          <w:kern w:val="0"/>
          <w:lang w:val="en-US" w:eastAsia="zh-CN"/>
        </w:rPr>
        <w:t>（4）资金管理：严格执行国家财政法规和相关管理办法规定，对国家助学金实行分账核算，专款专用，同时接受财政、审计、纪检监察、主管机关等部门的监察和监督。</w:t>
      </w:r>
    </w:p>
    <w:p w14:paraId="076A1D0C">
      <w:pPr>
        <w:pageBreakBefore w:val="0"/>
        <w:numPr>
          <w:ilvl w:val="0"/>
          <w:numId w:val="1"/>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14:paraId="520C4988">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0"/>
          <w:lang w:eastAsia="zh-CN"/>
        </w:rPr>
      </w:pPr>
      <w:r>
        <w:rPr>
          <w:rFonts w:hint="eastAsia" w:ascii="仿宋_GB2312" w:hAnsi="仿宋_GB2312" w:eastAsia="仿宋_GB2312" w:cs="仿宋_GB2312"/>
          <w:b w:val="0"/>
          <w:bCs w:val="0"/>
          <w:kern w:val="0"/>
          <w:lang w:val="en-US" w:eastAsia="zh-CN"/>
        </w:rPr>
        <w:t>项目主要内容：主要包括</w:t>
      </w:r>
      <w:r>
        <w:rPr>
          <w:rFonts w:hint="eastAsia" w:ascii="仿宋_GB2312" w:hAnsi="仿宋_GB2312" w:eastAsia="仿宋_GB2312" w:cs="仿宋_GB2312"/>
          <w:b w:val="0"/>
          <w:bCs w:val="0"/>
          <w:kern w:val="0"/>
        </w:rPr>
        <w:t>普通高中国家助学金</w:t>
      </w:r>
      <w:r>
        <w:rPr>
          <w:rFonts w:hint="eastAsia" w:ascii="仿宋_GB2312" w:hAnsi="仿宋_GB2312" w:eastAsia="仿宋_GB2312" w:cs="仿宋_GB2312"/>
          <w:b w:val="0"/>
          <w:bCs w:val="0"/>
          <w:kern w:val="0"/>
          <w:lang w:val="en-US" w:eastAsia="zh-CN"/>
        </w:rPr>
        <w:t>和贫困生建档立卡免学费</w:t>
      </w:r>
      <w:r>
        <w:rPr>
          <w:rFonts w:hint="eastAsia" w:ascii="仿宋_GB2312" w:hAnsi="仿宋_GB2312" w:eastAsia="仿宋_GB2312" w:cs="仿宋_GB2312"/>
          <w:b w:val="0"/>
          <w:bCs w:val="0"/>
          <w:kern w:val="0"/>
        </w:rPr>
        <w:t>项目</w:t>
      </w:r>
      <w:r>
        <w:rPr>
          <w:rFonts w:hint="eastAsia" w:ascii="仿宋_GB2312" w:hAnsi="仿宋_GB2312" w:eastAsia="仿宋_GB2312" w:cs="仿宋_GB2312"/>
          <w:b w:val="0"/>
          <w:bCs w:val="0"/>
          <w:kern w:val="0"/>
          <w:lang w:eastAsia="zh-CN"/>
        </w:rPr>
        <w:t>。</w:t>
      </w:r>
    </w:p>
    <w:p w14:paraId="19073BD5">
      <w:pPr>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项目实施情况：项目目前已经完成实际设立的目标，项目在实施过程中严格按照目标设立的各阶段任务进行开展工作，在前期立项过程中严格把质量关，建立安全防护机制，保证项目实施各段安全顺利进行。</w:t>
      </w:r>
    </w:p>
    <w:p w14:paraId="349451D4">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0"/>
        </w:rPr>
      </w:pPr>
      <w:r>
        <w:rPr>
          <w:rFonts w:hint="default" w:ascii="仿宋_GB2312" w:hAnsi="仿宋_GB2312" w:eastAsia="仿宋_GB2312" w:cs="仿宋_GB2312"/>
          <w:b w:val="0"/>
          <w:bCs w:val="0"/>
          <w:kern w:val="2"/>
          <w:sz w:val="32"/>
          <w:szCs w:val="32"/>
          <w:lang w:val="en-US" w:eastAsia="zh-CN" w:bidi="ar-SA"/>
        </w:rPr>
        <w:t>本项目总投资</w:t>
      </w:r>
      <w:r>
        <w:rPr>
          <w:rFonts w:hint="eastAsia" w:ascii="仿宋_GB2312" w:hAnsi="仿宋_GB2312" w:eastAsia="仿宋_GB2312" w:cs="仿宋_GB2312"/>
          <w:b w:val="0"/>
          <w:bCs w:val="0"/>
          <w:kern w:val="0"/>
          <w:lang w:val="en-US" w:eastAsia="zh-CN"/>
        </w:rPr>
        <w:t>160.07</w:t>
      </w:r>
      <w:r>
        <w:rPr>
          <w:rFonts w:hint="eastAsia" w:ascii="仿宋_GB2312" w:hAnsi="仿宋_GB2312" w:eastAsia="仿宋_GB2312" w:cs="仿宋_GB2312"/>
          <w:b w:val="0"/>
          <w:bCs w:val="0"/>
          <w:kern w:val="0"/>
        </w:rPr>
        <w:t>万元，其中：</w:t>
      </w:r>
      <w:r>
        <w:rPr>
          <w:rFonts w:hint="eastAsia" w:ascii="仿宋_GB2312" w:hAnsi="仿宋_GB2312" w:eastAsia="仿宋_GB2312" w:cs="仿宋_GB2312"/>
          <w:b w:val="0"/>
          <w:bCs w:val="0"/>
          <w:kern w:val="0"/>
          <w:lang w:val="en-US" w:eastAsia="zh-CN"/>
        </w:rPr>
        <w:t>中央资金：126.96万元，自治区资金：23.24万元，</w:t>
      </w:r>
      <w:r>
        <w:rPr>
          <w:rFonts w:hint="eastAsia" w:ascii="仿宋_GB2312" w:hAnsi="仿宋_GB2312" w:eastAsia="仿宋_GB2312" w:cs="仿宋_GB2312"/>
          <w:b w:val="0"/>
          <w:bCs w:val="0"/>
          <w:kern w:val="0"/>
        </w:rPr>
        <w:t>财政本级资金</w:t>
      </w:r>
      <w:r>
        <w:rPr>
          <w:rFonts w:hint="eastAsia" w:ascii="仿宋_GB2312" w:hAnsi="仿宋_GB2312" w:eastAsia="仿宋_GB2312" w:cs="仿宋_GB2312"/>
          <w:b w:val="0"/>
          <w:bCs w:val="0"/>
          <w:kern w:val="0"/>
          <w:lang w:val="en-US" w:eastAsia="zh-CN"/>
        </w:rPr>
        <w:t>9.89</w:t>
      </w:r>
      <w:r>
        <w:rPr>
          <w:rFonts w:hint="eastAsia" w:ascii="仿宋_GB2312" w:hAnsi="仿宋_GB2312" w:eastAsia="仿宋_GB2312" w:cs="仿宋_GB2312"/>
          <w:b w:val="0"/>
          <w:bCs w:val="0"/>
          <w:kern w:val="0"/>
        </w:rPr>
        <w:t>万元。项目实际支出</w:t>
      </w:r>
      <w:r>
        <w:rPr>
          <w:rFonts w:hint="eastAsia" w:ascii="仿宋_GB2312" w:hAnsi="仿宋_GB2312" w:eastAsia="仿宋_GB2312" w:cs="仿宋_GB2312"/>
          <w:b w:val="0"/>
          <w:bCs w:val="0"/>
          <w:kern w:val="0"/>
          <w:lang w:val="en-US" w:eastAsia="zh-CN"/>
        </w:rPr>
        <w:t>160.07</w:t>
      </w:r>
      <w:r>
        <w:rPr>
          <w:rFonts w:hint="eastAsia" w:ascii="仿宋_GB2312" w:hAnsi="仿宋_GB2312" w:eastAsia="仿宋_GB2312" w:cs="仿宋_GB2312"/>
          <w:b w:val="0"/>
          <w:bCs w:val="0"/>
          <w:kern w:val="0"/>
        </w:rPr>
        <w:t>万元， 支出率为100%。</w:t>
      </w:r>
    </w:p>
    <w:p w14:paraId="65514B6F">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14:paraId="55353B5E">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14:paraId="1B60A8BA">
      <w:pPr>
        <w:pageBreakBefore w:val="0"/>
        <w:kinsoku/>
        <w:wordWrap/>
        <w:overflowPunct/>
        <w:topLinePunct w:val="0"/>
        <w:autoSpaceDE/>
        <w:autoSpaceDN/>
        <w:bidi w:val="0"/>
        <w:adjustRightInd/>
        <w:snapToGrid/>
        <w:spacing w:line="560" w:lineRule="exact"/>
        <w:ind w:firstLine="579" w:firstLineChars="181"/>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国家助学金</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val="en-US" w:eastAsia="zh-CN"/>
        </w:rPr>
        <w:t>160.07万元，按照《助学金资金管理办法》及我校相关规定，资金支出做到了专款专用。在项目资金拨付和使用过程中，为确保项目资金的安全性，提高项目资金使用效率，严格遵循助学资金的拨付程序，认真审核项目实施各阶段的相关材料和手续，根据项目实施进展情况拨付资金。</w:t>
      </w:r>
    </w:p>
    <w:p w14:paraId="25D6999F">
      <w:pPr>
        <w:pageBreakBefore w:val="0"/>
        <w:kinsoku/>
        <w:wordWrap/>
        <w:overflowPunct/>
        <w:topLinePunct w:val="0"/>
        <w:autoSpaceDE/>
        <w:autoSpaceDN/>
        <w:bidi w:val="0"/>
        <w:adjustRightInd/>
        <w:snapToGrid/>
        <w:spacing w:line="560" w:lineRule="exact"/>
        <w:ind w:firstLine="579" w:firstLineChars="181"/>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（2）预算资金来源及使用情况</w:t>
      </w:r>
      <w:bookmarkStart w:id="0" w:name="page10"/>
      <w:bookmarkEnd w:id="0"/>
    </w:p>
    <w:p w14:paraId="44010032">
      <w:pPr>
        <w:pageBreakBefore w:val="0"/>
        <w:kinsoku/>
        <w:wordWrap/>
        <w:overflowPunct/>
        <w:topLinePunct w:val="0"/>
        <w:autoSpaceDE/>
        <w:autoSpaceDN/>
        <w:bidi w:val="0"/>
        <w:adjustRightInd/>
        <w:snapToGrid/>
        <w:spacing w:line="560" w:lineRule="exact"/>
        <w:ind w:firstLine="579" w:firstLineChars="181"/>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项目预算资金来源</w:t>
      </w:r>
      <w:bookmarkStart w:id="2" w:name="_GoBack"/>
      <w:bookmarkEnd w:id="2"/>
      <w:r>
        <w:rPr>
          <w:rFonts w:hint="eastAsia" w:ascii="仿宋_GB2312" w:hAnsi="仿宋_GB2312" w:eastAsia="仿宋_GB2312" w:cs="仿宋_GB2312"/>
          <w:sz w:val="32"/>
          <w:szCs w:val="32"/>
          <w:lang w:val="en-US" w:eastAsia="zh-CN"/>
        </w:rPr>
        <w:t>达助学金资金155.57万元，建档立卡免学费资金4.5万元，项目资金到位160.07万元，实际支出160.07万元，用于支付贫困学生助学金项目。</w:t>
      </w:r>
    </w:p>
    <w:p w14:paraId="4869F0B8">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14:paraId="25055A0F">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14:paraId="68256FFD">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2020</w:t>
      </w:r>
      <w:r>
        <w:rPr>
          <w:rFonts w:hint="eastAsia" w:ascii="仿宋_GB2312" w:hAnsi="仿宋_GB2312" w:eastAsia="仿宋_GB2312" w:cs="仿宋_GB2312"/>
          <w:sz w:val="32"/>
          <w:szCs w:val="32"/>
        </w:rPr>
        <w:t>年普通高中国家助学金项目以“完善国家资助政策体系，均衡教育发展，普及高中阶段教育”为整体目标，以</w:t>
      </w:r>
      <w:r>
        <w:rPr>
          <w:rFonts w:hint="eastAsia" w:ascii="仿宋_GB2312" w:hAnsi="仿宋_GB2312" w:eastAsia="仿宋_GB2312" w:cs="仿宋_GB2312"/>
          <w:sz w:val="32"/>
          <w:szCs w:val="32"/>
          <w:lang w:val="en-US" w:eastAsia="zh-CN"/>
        </w:rPr>
        <w:t>塔城地区第一高级中学</w:t>
      </w:r>
      <w:r>
        <w:rPr>
          <w:rFonts w:hint="eastAsia" w:ascii="仿宋_GB2312" w:hAnsi="仿宋_GB2312" w:eastAsia="仿宋_GB2312" w:cs="仿宋_GB2312"/>
          <w:sz w:val="32"/>
          <w:szCs w:val="32"/>
        </w:rPr>
        <w:t>的特困生和贫困生为具体目标，预算资金</w:t>
      </w:r>
      <w:r>
        <w:rPr>
          <w:rFonts w:hint="eastAsia" w:ascii="仿宋_GB2312" w:hAnsi="仿宋_GB2312" w:eastAsia="仿宋_GB2312" w:cs="仿宋_GB2312"/>
          <w:sz w:val="32"/>
          <w:szCs w:val="32"/>
          <w:lang w:val="en-US" w:eastAsia="zh-CN"/>
        </w:rPr>
        <w:t>160.07</w:t>
      </w:r>
      <w:r>
        <w:rPr>
          <w:rFonts w:hint="eastAsia" w:ascii="仿宋_GB2312" w:hAnsi="仿宋_GB2312" w:eastAsia="仿宋_GB2312" w:cs="仿宋_GB2312"/>
          <w:sz w:val="32"/>
          <w:szCs w:val="32"/>
        </w:rPr>
        <w:t>万元。</w:t>
      </w:r>
    </w:p>
    <w:p w14:paraId="4CB37014">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14:paraId="4E8F51EF">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前期准备：一是申报、评审、公示程序执行有效。按照《普通高中国家助学金实施方案》规定，由各学校班主任参照贫困生标准，负责对全班进行评选，再由学校助学金审核小组对评选名单进行二次审核，审核无误后在学校进行公示，公示结束后报送学生资助管理中心，执行流程符合制度规定。</w:t>
      </w:r>
    </w:p>
    <w:p w14:paraId="3A2E8B74">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960" w:firstLineChars="3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二是发放标准符合管理办法要求。根据《家庭经济困难学生认定工作实施办法》及《普通高中国家助学金实施方案》规定，普通高中国家助学金项目补助资金实际发放标准符合政策要求。</w:t>
      </w:r>
    </w:p>
    <w:p w14:paraId="3CFCBAD0">
      <w:pPr>
        <w:pageBreakBefore w:val="0"/>
        <w:kinsoku/>
        <w:wordWrap/>
        <w:overflowPunct/>
        <w:topLinePunct w:val="0"/>
        <w:autoSpaceDE/>
        <w:autoSpaceDN/>
        <w:bidi w:val="0"/>
        <w:adjustRightInd/>
        <w:snapToGrid/>
        <w:spacing w:line="560" w:lineRule="exact"/>
        <w:ind w:firstLine="960" w:firstLineChars="3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三是审核制度执行基本有效。学生资助管理中心能够按照《普通高中国家助学金实施方案》开展具体审核工作，通过收集学校相关资料、随机对各学校的贫困生认定名单进行电话回访、访问学校教师等方式复核，核查无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有序开展后续工</w:t>
      </w:r>
      <w:r>
        <w:rPr>
          <w:rFonts w:hint="eastAsia" w:ascii="仿宋_GB2312" w:hAnsi="仿宋_GB2312" w:eastAsia="仿宋_GB2312" w:cs="仿宋_GB2312"/>
          <w:sz w:val="32"/>
          <w:szCs w:val="32"/>
          <w:lang w:val="en-US" w:eastAsia="zh-CN"/>
        </w:rPr>
        <w:t>作</w:t>
      </w:r>
      <w:r>
        <w:rPr>
          <w:rFonts w:hint="eastAsia" w:ascii="仿宋_GB2312" w:hAnsi="仿宋_GB2312" w:eastAsia="仿宋_GB2312" w:cs="仿宋_GB2312"/>
          <w:sz w:val="32"/>
          <w:szCs w:val="32"/>
          <w:lang w:eastAsia="zh-CN"/>
        </w:rPr>
        <w:t>，</w:t>
      </w:r>
    </w:p>
    <w:p w14:paraId="5D3A697A">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逐一进行项目部署安排，提高项目质量及效率性。</w:t>
      </w:r>
    </w:p>
    <w:p w14:paraId="32B2279D">
      <w:pPr>
        <w:pStyle w:val="2"/>
        <w:pageBreakBefore w:val="0"/>
        <w:kinsoku/>
        <w:wordWrap/>
        <w:overflowPunct/>
        <w:topLinePunct w:val="0"/>
        <w:autoSpaceDE/>
        <w:autoSpaceDN/>
        <w:bidi w:val="0"/>
        <w:adjustRightInd/>
        <w:snapToGrid/>
        <w:spacing w:before="0" w:after="0" w:line="560" w:lineRule="exact"/>
        <w:ind w:firstLine="960" w:firstLineChars="300"/>
        <w:jc w:val="left"/>
        <w:textAlignment w:val="auto"/>
      </w:pPr>
      <w:r>
        <w:rPr>
          <w:rFonts w:hint="eastAsia" w:ascii="仿宋_GB2312" w:hAnsi="仿宋_GB2312" w:eastAsia="仿宋_GB2312" w:cs="仿宋_GB2312"/>
          <w:b w:val="0"/>
          <w:bCs w:val="0"/>
          <w:kern w:val="28"/>
          <w:sz w:val="32"/>
          <w:szCs w:val="32"/>
          <w:lang w:val="en-US" w:eastAsia="zh-CN" w:bidi="ar-SA"/>
        </w:rPr>
        <w:t>四是档案管理基本规范。学校设立贫困资助办公室和档案管理小组对贫困学生申报表等材料进行专人管理；关于贫困生教育的资助申请表、评审资料、助学金发放确认表、公示等资料，档案资料整理规范完整，项目资料较为齐全。</w:t>
      </w:r>
    </w:p>
    <w:p w14:paraId="0AE27467">
      <w:pPr>
        <w:pageBreakBefore w:val="0"/>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二、绩效评价工作开展情况</w:t>
      </w:r>
    </w:p>
    <w:p w14:paraId="6F6C6A69">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14:paraId="3CE364D9">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14:paraId="2F3A7AE6">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221DE30D">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14:paraId="0CBE5B3F">
      <w:pPr>
        <w:keepNext w:val="0"/>
        <w:keepLines w:val="0"/>
        <w:pageBreakBefore w:val="0"/>
        <w:widowControl w:val="0"/>
        <w:kinsoku/>
        <w:wordWrap/>
        <w:overflowPunct/>
        <w:topLinePunct w:val="0"/>
        <w:autoSpaceDE/>
        <w:autoSpaceDN/>
        <w:bidi w:val="0"/>
        <w:adjustRightInd/>
        <w:snapToGrid/>
        <w:spacing w:line="560" w:lineRule="exac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14:paraId="031A8A08">
      <w:pPr>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14:paraId="53A35E1B">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14:paraId="1E37F08A">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0"/>
          <w:lang w:eastAsia="zh-CN"/>
        </w:rPr>
      </w:pPr>
      <w:r>
        <w:rPr>
          <w:rFonts w:hint="eastAsia" w:ascii="仿宋_GB2312" w:hAnsi="仿宋_GB2312" w:eastAsia="仿宋_GB2312" w:cs="仿宋_GB2312"/>
          <w:b w:val="0"/>
          <w:bCs w:val="0"/>
          <w:kern w:val="0"/>
        </w:rPr>
        <w:t>普通高中国家助学金</w:t>
      </w:r>
      <w:r>
        <w:rPr>
          <w:rFonts w:hint="eastAsia" w:ascii="仿宋_GB2312" w:hAnsi="仿宋_GB2312" w:eastAsia="仿宋_GB2312" w:cs="仿宋_GB2312"/>
          <w:b w:val="0"/>
          <w:bCs w:val="0"/>
          <w:kern w:val="0"/>
          <w:lang w:val="en-US" w:eastAsia="zh-CN"/>
        </w:rPr>
        <w:t>和贫困生建档立卡免学费</w:t>
      </w:r>
      <w:r>
        <w:rPr>
          <w:rFonts w:hint="eastAsia" w:ascii="仿宋_GB2312" w:hAnsi="仿宋_GB2312" w:eastAsia="仿宋_GB2312" w:cs="仿宋_GB2312"/>
          <w:b w:val="0"/>
          <w:bCs w:val="0"/>
          <w:kern w:val="0"/>
        </w:rPr>
        <w:t>项目</w:t>
      </w:r>
      <w:r>
        <w:rPr>
          <w:rFonts w:hint="eastAsia" w:ascii="仿宋_GB2312" w:hAnsi="仿宋_GB2312" w:eastAsia="仿宋_GB2312" w:cs="仿宋_GB2312"/>
          <w:b w:val="0"/>
          <w:bCs w:val="0"/>
          <w:kern w:val="0"/>
          <w:lang w:eastAsia="zh-CN"/>
        </w:rPr>
        <w:t>。</w:t>
      </w:r>
    </w:p>
    <w:p w14:paraId="71F307A7">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14:paraId="25FA53A3">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普通高中国家助学金</w:t>
      </w:r>
      <w:r>
        <w:rPr>
          <w:rFonts w:hint="eastAsia" w:ascii="仿宋_GB2312" w:hAnsi="仿宋_GB2312" w:eastAsia="仿宋_GB2312" w:cs="仿宋_GB2312"/>
          <w:sz w:val="32"/>
          <w:szCs w:val="32"/>
          <w:lang w:val="en-US" w:eastAsia="zh-CN"/>
        </w:rPr>
        <w:t>和贫困生建档立卡免学费</w:t>
      </w:r>
      <w:r>
        <w:rPr>
          <w:rFonts w:hint="eastAsia" w:ascii="仿宋_GB2312" w:hAnsi="仿宋_GB2312" w:eastAsia="仿宋_GB2312" w:cs="仿宋_GB2312"/>
          <w:sz w:val="32"/>
          <w:szCs w:val="32"/>
        </w:rPr>
        <w:t>项目的决策、过程、产出、效益等方面进行评价。</w:t>
      </w:r>
    </w:p>
    <w:p w14:paraId="4C9AEDA3">
      <w:pPr>
        <w:pageBreakBefore w:val="0"/>
        <w:kinsoku/>
        <w:wordWrap/>
        <w:overflowPunct/>
        <w:topLinePunct w:val="0"/>
        <w:autoSpaceDE/>
        <w:autoSpaceDN/>
        <w:bidi w:val="0"/>
        <w:adjustRightInd/>
        <w:snapToGrid/>
        <w:spacing w:line="560" w:lineRule="exac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14:paraId="321CC5DE">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14:paraId="2A9504DA">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14:paraId="0595D1DE">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14:paraId="7C55483B">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14:paraId="2D76AB14">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14:paraId="57722C02">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14:paraId="43A86ED0">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14:paraId="349E45CE">
      <w:pPr>
        <w:pageBreakBefore w:val="0"/>
        <w:kinsoku/>
        <w:wordWrap/>
        <w:overflowPunct/>
        <w:topLinePunct w:val="0"/>
        <w:autoSpaceDE/>
        <w:autoSpaceDN/>
        <w:bidi w:val="0"/>
        <w:adjustRightInd/>
        <w:snapToGrid/>
        <w:spacing w:line="560" w:lineRule="exac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4164BC56">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061A15C0">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产出</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效益</w:t>
      </w:r>
      <w:r>
        <w:rPr>
          <w:rFonts w:hint="eastAsia" w:ascii="仿宋_GB2312" w:hAnsi="仿宋_GB2312" w:eastAsia="仿宋_GB2312" w:cs="仿宋_GB2312"/>
          <w:color w:val="000000"/>
          <w:spacing w:val="17"/>
          <w:sz w:val="32"/>
          <w:szCs w:val="32"/>
        </w:rPr>
        <w:t>成的多层次指标体系。</w:t>
      </w:r>
    </w:p>
    <w:p w14:paraId="06B2D15D">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06D60EAF">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权重为</w:t>
      </w:r>
      <w:r>
        <w:rPr>
          <w:rFonts w:hint="eastAsia" w:ascii="仿宋_GB2312" w:hAnsi="仿宋_GB2312" w:eastAsia="仿宋_GB2312" w:cs="仿宋_GB2312"/>
          <w:color w:val="000000"/>
          <w:spacing w:val="17"/>
          <w:sz w:val="32"/>
          <w:szCs w:val="32"/>
          <w:lang w:val="en-US" w:eastAsia="zh-CN"/>
        </w:rPr>
        <w:t>5%</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权重占</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产出</w:t>
      </w:r>
      <w:r>
        <w:rPr>
          <w:rFonts w:hint="eastAsia" w:ascii="仿宋_GB2312" w:hAnsi="仿宋_GB2312" w:eastAsia="仿宋_GB2312" w:cs="仿宋_GB2312"/>
          <w:color w:val="000000"/>
          <w:spacing w:val="17"/>
          <w:sz w:val="32"/>
          <w:szCs w:val="32"/>
        </w:rPr>
        <w:t>权重值占</w:t>
      </w:r>
      <w:r>
        <w:rPr>
          <w:rFonts w:hint="eastAsia" w:ascii="仿宋_GB2312" w:hAnsi="仿宋_GB2312" w:eastAsia="仿宋_GB2312" w:cs="仿宋_GB2312"/>
          <w:color w:val="000000"/>
          <w:spacing w:val="17"/>
          <w:sz w:val="32"/>
          <w:szCs w:val="32"/>
          <w:lang w:val="en-US" w:eastAsia="zh-CN"/>
        </w:rPr>
        <w:t>50%</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效益</w:t>
      </w:r>
      <w:r>
        <w:rPr>
          <w:rFonts w:hint="eastAsia" w:ascii="仿宋_GB2312" w:hAnsi="仿宋_GB2312" w:eastAsia="仿宋_GB2312" w:cs="仿宋_GB2312"/>
          <w:color w:val="000000"/>
          <w:spacing w:val="17"/>
          <w:sz w:val="32"/>
          <w:szCs w:val="32"/>
        </w:rPr>
        <w:t>权重占</w:t>
      </w:r>
      <w:r>
        <w:rPr>
          <w:rFonts w:hint="eastAsia" w:ascii="仿宋_GB2312" w:hAnsi="仿宋_GB2312" w:eastAsia="仿宋_GB2312" w:cs="仿宋_GB2312"/>
          <w:color w:val="000000"/>
          <w:spacing w:val="17"/>
          <w:sz w:val="32"/>
          <w:szCs w:val="32"/>
          <w:lang w:val="en-US" w:eastAsia="zh-CN"/>
        </w:rPr>
        <w:t>40%</w:t>
      </w:r>
      <w:r>
        <w:rPr>
          <w:rFonts w:hint="eastAsia" w:ascii="仿宋_GB2312" w:hAnsi="仿宋_GB2312" w:eastAsia="仿宋_GB2312" w:cs="仿宋_GB2312"/>
          <w:color w:val="000000"/>
          <w:spacing w:val="17"/>
          <w:sz w:val="32"/>
          <w:szCs w:val="32"/>
        </w:rPr>
        <w:t>。</w:t>
      </w:r>
    </w:p>
    <w:p w14:paraId="10005C2C">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507F0E82">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62065AC7">
      <w:pPr>
        <w:pStyle w:val="2"/>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65F8812B">
      <w:pPr>
        <w:pStyle w:val="2"/>
        <w:pageBreakBefore w:val="0"/>
        <w:widowControl w:val="0"/>
        <w:kinsoku/>
        <w:wordWrap/>
        <w:overflowPunct/>
        <w:topLinePunct w:val="0"/>
        <w:autoSpaceDE/>
        <w:autoSpaceDN/>
        <w:bidi w:val="0"/>
        <w:adjustRightInd/>
        <w:snapToGrid/>
        <w:spacing w:before="0" w:after="0" w:line="560" w:lineRule="exact"/>
        <w:jc w:val="both"/>
        <w:textAlignment w:val="auto"/>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14:paraId="6155EFC4">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14:paraId="4B9AE22E">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2AD031C1">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14:paraId="6CF738BD">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14:paraId="5364E340">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14:paraId="4061E9F9">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14:paraId="0C91A6A5">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4、评价标准</w:t>
      </w:r>
    </w:p>
    <w:p w14:paraId="78B1888F">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绩效评价标准通常包括计划标准、行业标准、历史标准等，用于对绩效指标完成情况进行比较。本次评价主要采用了计划标准和行业标准。</w:t>
      </w:r>
    </w:p>
    <w:p w14:paraId="38EE0BC7">
      <w:pPr>
        <w:pageBreakBefore w:val="0"/>
        <w:kinsoku/>
        <w:wordWrap/>
        <w:overflowPunct/>
        <w:topLinePunct w:val="0"/>
        <w:autoSpaceDE/>
        <w:autoSpaceDN/>
        <w:bidi w:val="0"/>
        <w:adjustRightInd/>
        <w:snapToGrid/>
        <w:spacing w:line="560" w:lineRule="exact"/>
        <w:ind w:firstLine="641"/>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（三）绩效评价工作过程</w:t>
      </w:r>
    </w:p>
    <w:p w14:paraId="5E2CDDAD">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前期准备。首先成立评价工作组，开展前期调研；其次明确项目绩效目标，设计绩效评价指标体系并确定绩效评价方法；接着确定现场和非现场评价范围，设计资料清单；最后制定评价实施方案并进行论证。</w:t>
      </w:r>
    </w:p>
    <w:p w14:paraId="325EB907">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组织实施。制定绩效评价工作方案，具体包括项目概况、评价思路、方法手段、组织实施、进度安排等。收集项目立项依据、相关会议纪要、实施方案、财政资金分配方案、支付管理情况等相关评价资料并进行梳理。</w:t>
      </w:r>
    </w:p>
    <w:p w14:paraId="083B1387">
      <w:pPr>
        <w:pageBreakBefore w:val="0"/>
        <w:kinsoku/>
        <w:wordWrap/>
        <w:overflowPunct/>
        <w:topLinePunct w:val="0"/>
        <w:autoSpaceDE/>
        <w:autoSpaceDN/>
        <w:bidi w:val="0"/>
        <w:adjustRightInd/>
        <w:snapToGrid/>
        <w:spacing w:line="560" w:lineRule="exact"/>
        <w:ind w:firstLine="641"/>
        <w:textAlignment w:val="auto"/>
      </w:pPr>
      <w:r>
        <w:rPr>
          <w:rFonts w:hint="eastAsia" w:ascii="仿宋_GB2312" w:hAnsi="仿宋_GB2312" w:eastAsia="仿宋_GB2312" w:cs="仿宋_GB2312"/>
          <w:color w:val="000000"/>
          <w:spacing w:val="17"/>
          <w:sz w:val="32"/>
          <w:szCs w:val="32"/>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14:paraId="32E9F58F">
      <w:pPr>
        <w:pageBreakBefore w:val="0"/>
        <w:numPr>
          <w:ilvl w:val="0"/>
          <w:numId w:val="3"/>
        </w:numPr>
        <w:kinsoku/>
        <w:wordWrap/>
        <w:overflowPunct/>
        <w:topLinePunct w:val="0"/>
        <w:autoSpaceDE/>
        <w:autoSpaceDN/>
        <w:bidi w:val="0"/>
        <w:adjustRightInd/>
        <w:snapToGrid/>
        <w:spacing w:line="560" w:lineRule="exact"/>
        <w:ind w:firstLine="641"/>
        <w:textAlignment w:val="auto"/>
        <w:rPr>
          <w:rFonts w:ascii="黑体" w:hAnsi="黑体" w:eastAsia="黑体" w:cs="黑体"/>
          <w:b/>
          <w:bCs/>
          <w:sz w:val="32"/>
          <w:szCs w:val="32"/>
        </w:rPr>
      </w:pPr>
      <w:r>
        <w:rPr>
          <w:rFonts w:hint="eastAsia" w:ascii="黑体" w:hAnsi="黑体" w:eastAsia="黑体" w:cs="黑体"/>
          <w:b/>
          <w:bCs/>
          <w:sz w:val="32"/>
          <w:szCs w:val="32"/>
        </w:rPr>
        <w:t>综合评价情况及评价结论（附相关评分表）</w:t>
      </w:r>
    </w:p>
    <w:p w14:paraId="787286A7">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对国家助学金项目进行客观评价，最终评分结果：总得分为 96.67分，属于“优”。其中，项目决策类指标权重为5分，得分为 5分，得分率为 100%。项目过程类指标权重为5分，得分为5 分，得分率为 100%。项目产出类指标权重为50分，得分为46.67分，得分率为93.34%。项目效益类指标权重为40分，得分为40分，得分率为 100%。</w:t>
      </w:r>
    </w:p>
    <w:p w14:paraId="3F9A858C">
      <w:pPr>
        <w:pStyle w:val="2"/>
        <w:pageBreakBefore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sz w:val="30"/>
          <w:szCs w:val="30"/>
        </w:rPr>
      </w:pPr>
    </w:p>
    <w:p w14:paraId="0F94775D">
      <w:pPr>
        <w:pStyle w:val="2"/>
        <w:pageBreakBefore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sz w:val="30"/>
          <w:szCs w:val="30"/>
        </w:rPr>
      </w:pPr>
    </w:p>
    <w:p w14:paraId="0CBB4D23">
      <w:pPr>
        <w:pStyle w:val="2"/>
        <w:pageBreakBefore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sz w:val="30"/>
          <w:szCs w:val="30"/>
        </w:rPr>
      </w:pPr>
    </w:p>
    <w:p w14:paraId="538DB45E">
      <w:pPr>
        <w:pStyle w:val="2"/>
        <w:pageBreakBefore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sz w:val="30"/>
          <w:szCs w:val="30"/>
        </w:rPr>
      </w:pPr>
    </w:p>
    <w:p w14:paraId="0D86BAA8">
      <w:pPr>
        <w:pStyle w:val="2"/>
        <w:pageBreakBefore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sz w:val="30"/>
          <w:szCs w:val="30"/>
        </w:rPr>
      </w:pPr>
    </w:p>
    <w:p w14:paraId="7B66BE64">
      <w:pPr>
        <w:pStyle w:val="2"/>
        <w:pageBreakBefore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sz w:val="30"/>
          <w:szCs w:val="30"/>
        </w:rPr>
      </w:pPr>
    </w:p>
    <w:p w14:paraId="491D9070">
      <w:pPr>
        <w:pStyle w:val="2"/>
        <w:pageBreakBefore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sz w:val="30"/>
          <w:szCs w:val="30"/>
        </w:rPr>
      </w:pPr>
    </w:p>
    <w:p w14:paraId="07ED667A">
      <w:pPr>
        <w:pStyle w:val="2"/>
        <w:pageBreakBefore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sz w:val="30"/>
          <w:szCs w:val="30"/>
        </w:rPr>
      </w:pPr>
    </w:p>
    <w:p w14:paraId="0DF432DE">
      <w:pPr>
        <w:pStyle w:val="2"/>
        <w:pageBreakBefore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sz w:val="30"/>
          <w:szCs w:val="30"/>
        </w:rPr>
      </w:pPr>
    </w:p>
    <w:p w14:paraId="4CBB164A">
      <w:pPr>
        <w:pStyle w:val="2"/>
        <w:pageBreakBefore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sz w:val="30"/>
          <w:szCs w:val="30"/>
        </w:rPr>
      </w:pPr>
    </w:p>
    <w:p w14:paraId="53B9543D">
      <w:pPr>
        <w:pStyle w:val="2"/>
        <w:pageBreakBefore w:val="0"/>
        <w:kinsoku/>
        <w:wordWrap/>
        <w:overflowPunct/>
        <w:topLinePunct w:val="0"/>
        <w:autoSpaceDE/>
        <w:autoSpaceDN/>
        <w:bidi w:val="0"/>
        <w:adjustRightInd/>
        <w:snapToGrid/>
        <w:spacing w:before="0" w:after="0" w:line="560" w:lineRule="exact"/>
        <w:jc w:val="both"/>
        <w:textAlignment w:val="auto"/>
        <w:rPr>
          <w:rFonts w:hint="eastAsia" w:ascii="仿宋_GB2312" w:hAnsi="仿宋_GB2312" w:eastAsia="仿宋_GB2312" w:cs="仿宋_GB2312"/>
          <w:sz w:val="30"/>
          <w:szCs w:val="30"/>
        </w:rPr>
      </w:pPr>
    </w:p>
    <w:p w14:paraId="03814FB3">
      <w:pPr>
        <w:pStyle w:val="2"/>
        <w:pageBreakBefore w:val="0"/>
        <w:kinsoku/>
        <w:wordWrap/>
        <w:overflowPunct/>
        <w:topLinePunct w:val="0"/>
        <w:autoSpaceDE/>
        <w:autoSpaceDN/>
        <w:bidi w:val="0"/>
        <w:adjustRightInd/>
        <w:snapToGrid/>
        <w:spacing w:before="0" w:after="0" w:line="560" w:lineRule="exact"/>
        <w:jc w:val="both"/>
        <w:textAlignment w:val="auto"/>
        <w:rPr>
          <w:rFonts w:hint="eastAsia" w:ascii="仿宋_GB2312" w:hAnsi="仿宋_GB2312" w:eastAsia="仿宋_GB2312" w:cs="仿宋_GB2312"/>
          <w:sz w:val="30"/>
          <w:szCs w:val="30"/>
        </w:rPr>
      </w:pPr>
    </w:p>
    <w:p w14:paraId="2C6FACDF">
      <w:pPr>
        <w:pStyle w:val="2"/>
        <w:pageBreakBefore w:val="0"/>
        <w:kinsoku/>
        <w:wordWrap/>
        <w:overflowPunct/>
        <w:topLinePunct w:val="0"/>
        <w:autoSpaceDE/>
        <w:autoSpaceDN/>
        <w:bidi w:val="0"/>
        <w:adjustRightInd/>
        <w:snapToGrid/>
        <w:spacing w:before="0" w:after="0" w:line="560" w:lineRule="exact"/>
        <w:jc w:val="both"/>
        <w:textAlignment w:val="auto"/>
        <w:rPr>
          <w:rFonts w:hint="eastAsia" w:ascii="仿宋_GB2312" w:hAnsi="仿宋_GB2312" w:eastAsia="仿宋_GB2312" w:cs="仿宋_GB2312"/>
          <w:sz w:val="30"/>
          <w:szCs w:val="30"/>
        </w:rPr>
      </w:pPr>
    </w:p>
    <w:p w14:paraId="1180AE9A">
      <w:pPr>
        <w:pStyle w:val="2"/>
        <w:pageBreakBefore w:val="0"/>
        <w:kinsoku/>
        <w:wordWrap/>
        <w:overflowPunct/>
        <w:topLinePunct w:val="0"/>
        <w:autoSpaceDE/>
        <w:autoSpaceDN/>
        <w:bidi w:val="0"/>
        <w:adjustRightInd/>
        <w:snapToGrid/>
        <w:spacing w:before="0" w:after="0" w:line="560" w:lineRule="exact"/>
        <w:jc w:val="both"/>
        <w:textAlignment w:val="auto"/>
        <w:rPr>
          <w:rFonts w:hint="eastAsia" w:ascii="仿宋_GB2312" w:hAnsi="仿宋_GB2312" w:eastAsia="仿宋_GB2312" w:cs="仿宋_GB2312"/>
          <w:sz w:val="30"/>
          <w:szCs w:val="30"/>
        </w:rPr>
      </w:pPr>
    </w:p>
    <w:p w14:paraId="73A96D3D">
      <w:pPr>
        <w:pStyle w:val="2"/>
        <w:pageBreakBefore w:val="0"/>
        <w:kinsoku/>
        <w:wordWrap/>
        <w:overflowPunct/>
        <w:topLinePunct w:val="0"/>
        <w:autoSpaceDE/>
        <w:autoSpaceDN/>
        <w:bidi w:val="0"/>
        <w:adjustRightInd/>
        <w:snapToGrid/>
        <w:spacing w:before="0" w:after="0" w:line="560" w:lineRule="exact"/>
        <w:jc w:val="both"/>
        <w:textAlignment w:val="auto"/>
        <w:rPr>
          <w:rFonts w:hint="eastAsia" w:ascii="仿宋_GB2312" w:hAnsi="仿宋_GB2312" w:eastAsia="仿宋_GB2312" w:cs="仿宋_GB2312"/>
          <w:sz w:val="30"/>
          <w:szCs w:val="30"/>
        </w:rPr>
      </w:pPr>
    </w:p>
    <w:p w14:paraId="0BC54DBD">
      <w:pPr>
        <w:pStyle w:val="2"/>
        <w:pageBreakBefore w:val="0"/>
        <w:kinsoku/>
        <w:wordWrap/>
        <w:overflowPunct/>
        <w:topLinePunct w:val="0"/>
        <w:autoSpaceDE/>
        <w:autoSpaceDN/>
        <w:bidi w:val="0"/>
        <w:adjustRightInd/>
        <w:snapToGrid/>
        <w:spacing w:before="0" w:after="0" w:line="560" w:lineRule="exact"/>
        <w:jc w:val="both"/>
        <w:textAlignment w:val="auto"/>
        <w:rPr>
          <w:rFonts w:hint="eastAsia" w:ascii="仿宋_GB2312" w:hAnsi="仿宋_GB2312" w:eastAsia="仿宋_GB2312" w:cs="仿宋_GB2312"/>
          <w:sz w:val="30"/>
          <w:szCs w:val="30"/>
        </w:rPr>
      </w:pPr>
    </w:p>
    <w:p w14:paraId="65BAB21B">
      <w:pPr>
        <w:pStyle w:val="2"/>
        <w:pageBreakBefore w:val="0"/>
        <w:kinsoku/>
        <w:wordWrap/>
        <w:overflowPunct/>
        <w:topLinePunct w:val="0"/>
        <w:autoSpaceDE/>
        <w:autoSpaceDN/>
        <w:bidi w:val="0"/>
        <w:adjustRightInd/>
        <w:snapToGrid/>
        <w:spacing w:before="0" w:after="0" w:line="560" w:lineRule="exact"/>
        <w:jc w:val="center"/>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14:paraId="10F3E5B1"/>
    <w:tbl>
      <w:tblPr>
        <w:tblStyle w:val="20"/>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085744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14:paraId="4A01A8C4">
            <w:pPr>
              <w:pageBreakBefore w:val="0"/>
              <w:widowControl/>
              <w:kinsoku/>
              <w:wordWrap/>
              <w:overflowPunct/>
              <w:topLinePunct w:val="0"/>
              <w:autoSpaceDE/>
              <w:autoSpaceDN/>
              <w:bidi w:val="0"/>
              <w:adjustRightInd/>
              <w:snapToGrid/>
              <w:spacing w:line="56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14:paraId="698944FF">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14:paraId="3D62B39D">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14:paraId="6361FEE3">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14:paraId="347B5D4B">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14:paraId="47AD183A">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14:paraId="585A1B4A">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14:paraId="41895080">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14:paraId="40578591">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14:paraId="508CCE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46D12C5F">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14:paraId="6F828CF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14:paraId="4AAD5158">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14:paraId="6BF4686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90" w:type="dxa"/>
            <w:vMerge w:val="restart"/>
            <w:shd w:val="clear" w:color="auto" w:fill="FFFFFF"/>
            <w:vAlign w:val="center"/>
          </w:tcPr>
          <w:p w14:paraId="594CBBB6">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kern w:val="0"/>
                <w:sz w:val="18"/>
                <w:szCs w:val="18"/>
              </w:rPr>
              <w:t>5分</w:t>
            </w:r>
          </w:p>
        </w:tc>
        <w:tc>
          <w:tcPr>
            <w:tcW w:w="1283" w:type="dxa"/>
            <w:vMerge w:val="restart"/>
            <w:shd w:val="clear" w:color="auto" w:fill="FFFFFF"/>
            <w:vAlign w:val="center"/>
          </w:tcPr>
          <w:p w14:paraId="180098EF">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1707" w:type="dxa"/>
            <w:shd w:val="clear" w:color="auto" w:fill="FFFFFF"/>
            <w:vAlign w:val="center"/>
          </w:tcPr>
          <w:p w14:paraId="4D205B5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14:paraId="05F138D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727" w:type="dxa"/>
            <w:shd w:val="clear" w:color="auto" w:fill="FFFFFF"/>
            <w:vAlign w:val="center"/>
          </w:tcPr>
          <w:p w14:paraId="25972EA4">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1044" w:type="dxa"/>
            <w:shd w:val="clear" w:color="auto" w:fill="FFFFFF"/>
            <w:vAlign w:val="center"/>
          </w:tcPr>
          <w:p w14:paraId="2E97CD5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924" w:type="dxa"/>
            <w:shd w:val="clear" w:color="auto" w:fill="FFFFFF"/>
            <w:vAlign w:val="center"/>
          </w:tcPr>
          <w:p w14:paraId="4CCF000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1215" w:type="dxa"/>
            <w:shd w:val="clear" w:color="auto" w:fill="FFFFFF"/>
            <w:vAlign w:val="center"/>
          </w:tcPr>
          <w:p w14:paraId="0D42E24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14:paraId="1078E12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14:paraId="3F443C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B7F096F">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14:paraId="7F8B888F">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14:paraId="1913571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14:paraId="1DE9DAC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14:paraId="2FF93EEF">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727" w:type="dxa"/>
            <w:shd w:val="clear" w:color="auto" w:fill="FFFFFF"/>
            <w:vAlign w:val="center"/>
          </w:tcPr>
          <w:p w14:paraId="3DAA2F26">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1044" w:type="dxa"/>
            <w:shd w:val="clear" w:color="auto" w:fill="FFFFFF"/>
            <w:vAlign w:val="center"/>
          </w:tcPr>
          <w:p w14:paraId="5A8FBA2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924" w:type="dxa"/>
            <w:shd w:val="clear" w:color="auto" w:fill="FFFFFF"/>
            <w:vAlign w:val="center"/>
          </w:tcPr>
          <w:p w14:paraId="6A3B30CB">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1215" w:type="dxa"/>
            <w:shd w:val="clear" w:color="auto" w:fill="FFFFFF"/>
            <w:vAlign w:val="center"/>
          </w:tcPr>
          <w:p w14:paraId="690A76C5">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14:paraId="507C4E1F">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14:paraId="5FAF44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0AE586C">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14:paraId="2E949514">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restart"/>
            <w:shd w:val="clear" w:color="auto" w:fill="FFFFFF"/>
            <w:vAlign w:val="center"/>
          </w:tcPr>
          <w:p w14:paraId="21989277">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1707" w:type="dxa"/>
            <w:shd w:val="clear" w:color="auto" w:fill="FFFFFF"/>
            <w:vAlign w:val="center"/>
          </w:tcPr>
          <w:p w14:paraId="134BA49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14:paraId="30449E7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727" w:type="dxa"/>
            <w:shd w:val="clear" w:color="000000" w:fill="FFFFFF"/>
            <w:vAlign w:val="center"/>
          </w:tcPr>
          <w:p w14:paraId="6DFDC60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14:paraId="5DAD0BE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924" w:type="dxa"/>
            <w:shd w:val="clear" w:color="000000" w:fill="FFFFFF"/>
            <w:vAlign w:val="center"/>
          </w:tcPr>
          <w:p w14:paraId="38ECC166">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000000" w:fill="FFFFFF"/>
            <w:vAlign w:val="center"/>
          </w:tcPr>
          <w:p w14:paraId="4442A46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14:paraId="7F60E005">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540CAE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91FF546">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14:paraId="1A07FEE2">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14:paraId="5FCC44B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14:paraId="17682222">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14:paraId="3D742E5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727" w:type="dxa"/>
            <w:shd w:val="clear" w:color="000000" w:fill="FFFFFF"/>
            <w:vAlign w:val="center"/>
          </w:tcPr>
          <w:p w14:paraId="04632E4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14:paraId="48837D9F">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924" w:type="dxa"/>
            <w:shd w:val="clear" w:color="000000" w:fill="FFFFFF"/>
            <w:vAlign w:val="center"/>
          </w:tcPr>
          <w:p w14:paraId="0F8E30E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000000" w:fill="FFFFFF"/>
            <w:vAlign w:val="center"/>
          </w:tcPr>
          <w:p w14:paraId="269AF93C">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14:paraId="30B12F6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37783F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0DC01C5">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14:paraId="562E2C09">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restart"/>
            <w:shd w:val="clear" w:color="auto" w:fill="FFFFFF"/>
            <w:vAlign w:val="center"/>
          </w:tcPr>
          <w:p w14:paraId="113AE4CF">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tc>
        <w:tc>
          <w:tcPr>
            <w:tcW w:w="1707" w:type="dxa"/>
            <w:shd w:val="clear" w:color="auto" w:fill="FFFFFF"/>
            <w:vAlign w:val="center"/>
          </w:tcPr>
          <w:p w14:paraId="7B89C6A2">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14:paraId="131F72F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727" w:type="dxa"/>
            <w:shd w:val="clear" w:color="auto" w:fill="FFFFFF"/>
            <w:vAlign w:val="center"/>
          </w:tcPr>
          <w:p w14:paraId="47BDD69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auto" w:fill="FFFFFF"/>
            <w:vAlign w:val="center"/>
          </w:tcPr>
          <w:p w14:paraId="154CD4F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924" w:type="dxa"/>
            <w:shd w:val="clear" w:color="auto" w:fill="FFFFFF"/>
            <w:vAlign w:val="center"/>
          </w:tcPr>
          <w:p w14:paraId="4C017326">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auto" w:fill="FFFFFF"/>
            <w:vAlign w:val="center"/>
          </w:tcPr>
          <w:p w14:paraId="658BA392">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14:paraId="7EF61786">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3404A0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094DA7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14:paraId="4A84831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14:paraId="584ADE0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14:paraId="2745BAC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14:paraId="3B49D1F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727" w:type="dxa"/>
            <w:shd w:val="clear" w:color="auto" w:fill="FFFFFF"/>
            <w:vAlign w:val="center"/>
          </w:tcPr>
          <w:p w14:paraId="16E1487C">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auto" w:fill="FFFFFF"/>
            <w:vAlign w:val="center"/>
          </w:tcPr>
          <w:p w14:paraId="1EE5B4E4">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924" w:type="dxa"/>
            <w:shd w:val="clear" w:color="auto" w:fill="FFFFFF"/>
            <w:vAlign w:val="center"/>
          </w:tcPr>
          <w:p w14:paraId="00AC9B1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auto" w:fill="FFFFFF"/>
            <w:vAlign w:val="center"/>
          </w:tcPr>
          <w:p w14:paraId="5496CB43">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14:paraId="12D52E47">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4BAE1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5C6EB016">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p w14:paraId="69199930">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90" w:type="dxa"/>
            <w:vMerge w:val="restart"/>
            <w:shd w:val="clear" w:color="auto" w:fill="FFFFFF"/>
            <w:vAlign w:val="center"/>
          </w:tcPr>
          <w:p w14:paraId="6452D302">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kern w:val="0"/>
                <w:sz w:val="18"/>
                <w:szCs w:val="18"/>
              </w:rPr>
              <w:t>5分</w:t>
            </w:r>
          </w:p>
        </w:tc>
        <w:tc>
          <w:tcPr>
            <w:tcW w:w="1283" w:type="dxa"/>
            <w:vMerge w:val="restart"/>
            <w:shd w:val="clear" w:color="auto" w:fill="FFFFFF"/>
            <w:vAlign w:val="center"/>
          </w:tcPr>
          <w:p w14:paraId="0C917E73">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1707" w:type="dxa"/>
            <w:shd w:val="clear" w:color="auto" w:fill="FFFFFF"/>
            <w:vAlign w:val="center"/>
          </w:tcPr>
          <w:p w14:paraId="3180D683">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727" w:type="dxa"/>
            <w:shd w:val="clear" w:color="000000" w:fill="FFFFFF"/>
            <w:vAlign w:val="center"/>
          </w:tcPr>
          <w:p w14:paraId="407FE232">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14:paraId="78BA2A32">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924" w:type="dxa"/>
            <w:shd w:val="clear" w:color="000000" w:fill="FFFFFF"/>
            <w:vAlign w:val="center"/>
          </w:tcPr>
          <w:p w14:paraId="67BA82CB">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000000" w:fill="FFFFFF"/>
            <w:vAlign w:val="center"/>
          </w:tcPr>
          <w:p w14:paraId="6D0693B7">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14:paraId="2D46E12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4DDB91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2FD2CB8">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14:paraId="1B1613D1">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14:paraId="4B66F159">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14:paraId="02426FD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727" w:type="dxa"/>
            <w:shd w:val="clear" w:color="auto" w:fill="FFFFFF"/>
            <w:vAlign w:val="center"/>
          </w:tcPr>
          <w:p w14:paraId="0133FE7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auto" w:fill="FFFFFF"/>
            <w:vAlign w:val="center"/>
          </w:tcPr>
          <w:p w14:paraId="2686DFE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924" w:type="dxa"/>
            <w:shd w:val="clear" w:color="auto" w:fill="FFFFFF"/>
            <w:vAlign w:val="center"/>
          </w:tcPr>
          <w:p w14:paraId="69008A52">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auto" w:fill="FFFFFF"/>
            <w:vAlign w:val="center"/>
          </w:tcPr>
          <w:p w14:paraId="10CA49DB">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14:paraId="3BFACA3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3AC7D7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7A25BF9">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14:paraId="741CF527">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shd w:val="clear" w:color="auto" w:fill="FFFFFF"/>
            <w:vAlign w:val="center"/>
          </w:tcPr>
          <w:p w14:paraId="2315F0E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1707" w:type="dxa"/>
            <w:shd w:val="clear" w:color="auto" w:fill="FFFFFF"/>
            <w:vAlign w:val="center"/>
          </w:tcPr>
          <w:p w14:paraId="4356E1D5">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14:paraId="2D556E77">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727" w:type="dxa"/>
            <w:shd w:val="clear" w:color="000000" w:fill="FFFFFF"/>
            <w:vAlign w:val="center"/>
          </w:tcPr>
          <w:p w14:paraId="1DDED83F">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14:paraId="30C62A0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924" w:type="dxa"/>
            <w:shd w:val="clear" w:color="000000" w:fill="FFFFFF"/>
            <w:vAlign w:val="center"/>
          </w:tcPr>
          <w:p w14:paraId="2FA37755">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000000" w:fill="FFFFFF"/>
            <w:vAlign w:val="center"/>
          </w:tcPr>
          <w:p w14:paraId="2C0875C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14:paraId="422CFBF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4167BB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CC8A1A0">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14:paraId="51FB9B65">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restart"/>
            <w:shd w:val="clear" w:color="auto" w:fill="FFFFFF"/>
            <w:vAlign w:val="center"/>
          </w:tcPr>
          <w:p w14:paraId="78184C04">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tc>
        <w:tc>
          <w:tcPr>
            <w:tcW w:w="1707" w:type="dxa"/>
            <w:shd w:val="clear" w:color="auto" w:fill="FFFFFF"/>
            <w:vAlign w:val="center"/>
          </w:tcPr>
          <w:p w14:paraId="5C4DDDF4">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14:paraId="1A0CA027">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727" w:type="dxa"/>
            <w:shd w:val="clear" w:color="000000" w:fill="FFFFFF"/>
            <w:vAlign w:val="center"/>
          </w:tcPr>
          <w:p w14:paraId="4080765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14:paraId="4CAEFA5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924" w:type="dxa"/>
            <w:shd w:val="clear" w:color="000000" w:fill="FFFFFF"/>
            <w:vAlign w:val="center"/>
          </w:tcPr>
          <w:p w14:paraId="3DDC58DB">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000000" w:fill="FFFFFF"/>
            <w:vAlign w:val="center"/>
          </w:tcPr>
          <w:p w14:paraId="5E50914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14:paraId="1FB036E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2082FF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1E6A53B">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14:paraId="641FEDF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14:paraId="564CD57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14:paraId="37AEE0A5">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14:paraId="515BFD4C">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727" w:type="dxa"/>
            <w:shd w:val="clear" w:color="000000" w:fill="FFFFFF"/>
            <w:vAlign w:val="center"/>
          </w:tcPr>
          <w:p w14:paraId="62DEB157">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14:paraId="05E3234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924" w:type="dxa"/>
            <w:shd w:val="clear" w:color="000000" w:fill="FFFFFF"/>
            <w:vAlign w:val="center"/>
          </w:tcPr>
          <w:p w14:paraId="7E02C77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000000" w:fill="FFFFFF"/>
            <w:vAlign w:val="center"/>
          </w:tcPr>
          <w:p w14:paraId="40EE4E9B">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14:paraId="470BD39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581D18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7B23134C">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990" w:type="dxa"/>
            <w:vMerge w:val="restart"/>
            <w:shd w:val="clear" w:color="auto" w:fill="FFFFFF"/>
            <w:vAlign w:val="center"/>
          </w:tcPr>
          <w:p w14:paraId="1261D22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kern w:val="0"/>
                <w:sz w:val="18"/>
                <w:szCs w:val="18"/>
              </w:rPr>
              <w:t>50分</w:t>
            </w:r>
          </w:p>
        </w:tc>
        <w:tc>
          <w:tcPr>
            <w:tcW w:w="1283" w:type="dxa"/>
            <w:shd w:val="clear" w:color="auto" w:fill="FFFFFF"/>
            <w:vAlign w:val="center"/>
          </w:tcPr>
          <w:p w14:paraId="6E2C279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1707" w:type="dxa"/>
            <w:shd w:val="clear" w:color="auto" w:fill="FFFFFF"/>
            <w:vAlign w:val="center"/>
          </w:tcPr>
          <w:p w14:paraId="6DE2B97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727" w:type="dxa"/>
            <w:shd w:val="clear" w:color="000000" w:fill="FFFFFF"/>
            <w:vAlign w:val="center"/>
          </w:tcPr>
          <w:p w14:paraId="2B3FF6A5">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044" w:type="dxa"/>
            <w:shd w:val="clear" w:color="000000" w:fill="FFFFFF"/>
            <w:vAlign w:val="center"/>
          </w:tcPr>
          <w:p w14:paraId="0AA85A8C">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924" w:type="dxa"/>
            <w:shd w:val="clear" w:color="000000" w:fill="FFFFFF"/>
            <w:vAlign w:val="center"/>
          </w:tcPr>
          <w:p w14:paraId="47D9B672">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215" w:type="dxa"/>
            <w:shd w:val="clear" w:color="000000" w:fill="FFFFFF"/>
            <w:vAlign w:val="center"/>
          </w:tcPr>
          <w:p w14:paraId="11E3FB7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14:paraId="1A333893">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14:paraId="2E35E0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3F9ADA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14:paraId="7C42A07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shd w:val="clear" w:color="auto" w:fill="FFFFFF"/>
            <w:vAlign w:val="center"/>
          </w:tcPr>
          <w:p w14:paraId="25EBB2E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1707" w:type="dxa"/>
            <w:shd w:val="clear" w:color="auto" w:fill="FFFFFF"/>
            <w:vAlign w:val="center"/>
          </w:tcPr>
          <w:p w14:paraId="1956494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727" w:type="dxa"/>
            <w:shd w:val="clear" w:color="000000" w:fill="FFFFFF"/>
            <w:vAlign w:val="center"/>
          </w:tcPr>
          <w:p w14:paraId="34196FD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44" w:type="dxa"/>
            <w:shd w:val="clear" w:color="000000" w:fill="FFFFFF"/>
            <w:vAlign w:val="center"/>
          </w:tcPr>
          <w:p w14:paraId="1D27359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924" w:type="dxa"/>
            <w:shd w:val="clear" w:color="000000" w:fill="FFFFFF"/>
            <w:vAlign w:val="center"/>
          </w:tcPr>
          <w:p w14:paraId="5D13F66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215" w:type="dxa"/>
            <w:shd w:val="clear" w:color="000000" w:fill="FFFFFF"/>
            <w:vAlign w:val="center"/>
          </w:tcPr>
          <w:p w14:paraId="4EDD69C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66.7%</w:t>
            </w:r>
          </w:p>
        </w:tc>
        <w:tc>
          <w:tcPr>
            <w:tcW w:w="960" w:type="dxa"/>
            <w:shd w:val="clear" w:color="000000" w:fill="FFFFFF"/>
            <w:vAlign w:val="center"/>
          </w:tcPr>
          <w:p w14:paraId="465FD69C">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6.67</w:t>
            </w:r>
          </w:p>
        </w:tc>
      </w:tr>
      <w:tr w14:paraId="37C254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F0A0AF9">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14:paraId="44DDF74B">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shd w:val="clear" w:color="auto" w:fill="FFFFFF"/>
            <w:vAlign w:val="center"/>
          </w:tcPr>
          <w:p w14:paraId="260CA6DC">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1707" w:type="dxa"/>
            <w:shd w:val="clear" w:color="auto" w:fill="FFFFFF"/>
            <w:vAlign w:val="center"/>
          </w:tcPr>
          <w:p w14:paraId="537A9EA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727" w:type="dxa"/>
            <w:shd w:val="clear" w:color="000000" w:fill="FFFFFF"/>
            <w:vAlign w:val="center"/>
          </w:tcPr>
          <w:p w14:paraId="22DD196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044" w:type="dxa"/>
            <w:shd w:val="clear" w:color="000000" w:fill="FFFFFF"/>
            <w:vAlign w:val="center"/>
          </w:tcPr>
          <w:p w14:paraId="404D9CB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924" w:type="dxa"/>
            <w:shd w:val="clear" w:color="000000" w:fill="FFFFFF"/>
            <w:vAlign w:val="center"/>
          </w:tcPr>
          <w:p w14:paraId="3BC0F105">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215" w:type="dxa"/>
            <w:shd w:val="clear" w:color="000000" w:fill="FFFFFF"/>
            <w:vAlign w:val="center"/>
          </w:tcPr>
          <w:p w14:paraId="6C9CB066">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14:paraId="2838ECCF">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14:paraId="702966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927B48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14:paraId="19C22703">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shd w:val="clear" w:color="auto" w:fill="FFFFFF"/>
            <w:vAlign w:val="center"/>
          </w:tcPr>
          <w:p w14:paraId="20C2DEB4">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1707" w:type="dxa"/>
            <w:shd w:val="clear" w:color="auto" w:fill="FFFFFF"/>
            <w:vAlign w:val="center"/>
          </w:tcPr>
          <w:p w14:paraId="7D7AC14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727" w:type="dxa"/>
            <w:shd w:val="clear" w:color="000000" w:fill="FFFFFF"/>
            <w:vAlign w:val="center"/>
          </w:tcPr>
          <w:p w14:paraId="5EA31115">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44" w:type="dxa"/>
            <w:shd w:val="clear" w:color="000000" w:fill="FFFFFF"/>
            <w:vAlign w:val="center"/>
          </w:tcPr>
          <w:p w14:paraId="05DAFB2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924" w:type="dxa"/>
            <w:shd w:val="clear" w:color="000000" w:fill="FFFFFF"/>
            <w:vAlign w:val="center"/>
          </w:tcPr>
          <w:p w14:paraId="6B9E548C">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215" w:type="dxa"/>
            <w:shd w:val="clear" w:color="000000" w:fill="FFFFFF"/>
            <w:vAlign w:val="center"/>
          </w:tcPr>
          <w:p w14:paraId="0583C23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14:paraId="0080B52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14:paraId="167184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794D6FF2">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990" w:type="dxa"/>
            <w:vMerge w:val="restart"/>
            <w:shd w:val="clear" w:color="auto" w:fill="FFFFFF"/>
            <w:vAlign w:val="center"/>
          </w:tcPr>
          <w:p w14:paraId="05A1ED14">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40分</w:t>
            </w:r>
          </w:p>
        </w:tc>
        <w:tc>
          <w:tcPr>
            <w:tcW w:w="1283" w:type="dxa"/>
            <w:vMerge w:val="restart"/>
            <w:shd w:val="clear" w:color="auto" w:fill="FFFFFF"/>
            <w:vAlign w:val="center"/>
          </w:tcPr>
          <w:p w14:paraId="2AAE21A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1707" w:type="dxa"/>
            <w:shd w:val="clear" w:color="auto" w:fill="FFFFFF"/>
            <w:vAlign w:val="center"/>
          </w:tcPr>
          <w:p w14:paraId="4AECDC5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p w14:paraId="4C1D2563">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（社会效益、经济效益、可持续效益）</w:t>
            </w:r>
          </w:p>
        </w:tc>
        <w:tc>
          <w:tcPr>
            <w:tcW w:w="727" w:type="dxa"/>
            <w:shd w:val="clear" w:color="auto" w:fill="FFFFFF"/>
            <w:vAlign w:val="center"/>
          </w:tcPr>
          <w:p w14:paraId="56330BE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1044" w:type="dxa"/>
            <w:shd w:val="clear" w:color="auto" w:fill="FFFFFF"/>
            <w:vAlign w:val="center"/>
          </w:tcPr>
          <w:p w14:paraId="21268A1B">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c>
          <w:tcPr>
            <w:tcW w:w="924" w:type="dxa"/>
            <w:shd w:val="clear" w:color="auto" w:fill="FFFFFF"/>
            <w:vAlign w:val="center"/>
          </w:tcPr>
          <w:p w14:paraId="42E44EC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c>
          <w:tcPr>
            <w:tcW w:w="1215" w:type="dxa"/>
            <w:shd w:val="clear" w:color="auto" w:fill="FFFFFF"/>
            <w:vAlign w:val="center"/>
          </w:tcPr>
          <w:p w14:paraId="59C4B88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14:paraId="097B41A7">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r>
      <w:tr w14:paraId="3C83DF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909057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14:paraId="56F4D23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14:paraId="6CA5BFA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14:paraId="0F03E323">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727" w:type="dxa"/>
            <w:shd w:val="clear" w:color="000000" w:fill="FFFFFF"/>
            <w:vAlign w:val="center"/>
          </w:tcPr>
          <w:p w14:paraId="6D0BD50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44" w:type="dxa"/>
            <w:shd w:val="clear" w:color="000000" w:fill="FFFFFF"/>
            <w:vAlign w:val="center"/>
          </w:tcPr>
          <w:p w14:paraId="1D97B887">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924" w:type="dxa"/>
            <w:shd w:val="clear" w:color="000000" w:fill="FFFFFF"/>
            <w:vAlign w:val="center"/>
          </w:tcPr>
          <w:p w14:paraId="679BEA3F">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215" w:type="dxa"/>
            <w:shd w:val="clear" w:color="000000" w:fill="FFFFFF"/>
            <w:vAlign w:val="center"/>
          </w:tcPr>
          <w:p w14:paraId="734FDB1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14:paraId="073BE94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bl>
    <w:p w14:paraId="398F0FF4">
      <w:pPr>
        <w:pageBreakBefore w:val="0"/>
        <w:kinsoku/>
        <w:wordWrap/>
        <w:overflowPunct/>
        <w:topLinePunct w:val="0"/>
        <w:autoSpaceDE/>
        <w:autoSpaceDN/>
        <w:bidi w:val="0"/>
        <w:adjustRightInd/>
        <w:snapToGrid/>
        <w:spacing w:line="560" w:lineRule="exact"/>
        <w:ind w:firstLine="321" w:firstLineChars="100"/>
        <w:textAlignment w:val="auto"/>
        <w:rPr>
          <w:rFonts w:ascii="黑体" w:hAnsi="黑体" w:eastAsia="黑体"/>
          <w:b/>
          <w:bCs/>
          <w:sz w:val="32"/>
          <w:szCs w:val="32"/>
        </w:rPr>
      </w:pPr>
      <w:r>
        <w:rPr>
          <w:rFonts w:hint="eastAsia" w:ascii="黑体" w:hAnsi="黑体" w:eastAsia="黑体"/>
          <w:b/>
          <w:bCs/>
          <w:sz w:val="32"/>
          <w:szCs w:val="32"/>
        </w:rPr>
        <w:t>四、绩效评价指标分析</w:t>
      </w:r>
    </w:p>
    <w:p w14:paraId="0C9CCD4F">
      <w:pPr>
        <w:pStyle w:val="2"/>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14:paraId="733E582A">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主要评价项目立项和资金落实情况。指标赋值5分，评价得分5分，得分率100%。</w:t>
      </w:r>
    </w:p>
    <w:p w14:paraId="77FD67AC">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项目立项：主要评价项目立项规范性、绩效目标合理性和绩效指标明确性。指标赋值1分，评价得分1分。</w:t>
      </w:r>
    </w:p>
    <w:p w14:paraId="521F6EC7">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2020年普通高中国家助学金项目立项依据充分、项目实施具有可行性、申报、复审合理有序，整体立项较规范。</w:t>
      </w:r>
    </w:p>
    <w:p w14:paraId="697C8D19">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绩效目标合理性：指标赋值2分，评价得分2分。</w:t>
      </w:r>
    </w:p>
    <w:p w14:paraId="5493356C">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年普通高中国家助学金项目以“完善国家资助政策体系，均衡教育发展，普及高中阶段教育”为整体目标，以特困生和贫困生为具体目标，申请预算资金160.07万元。绩效目标设定与部门职能相符、资金预算与计划基本匹配，绩效目标总体较为合理。</w:t>
      </w:r>
    </w:p>
    <w:p w14:paraId="3BDC5763">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资金投入：指标赋值2分，评价得分2分。</w:t>
      </w:r>
    </w:p>
    <w:p w14:paraId="138D68D1">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2020年普通高中国家助学金项目年初预算金额为160.07万元，实际到位资金160.07万元，资金到位率100%。</w:t>
      </w:r>
    </w:p>
    <w:p w14:paraId="668C287F">
      <w:pPr>
        <w:pStyle w:val="2"/>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lang w:eastAsia="zh-CN"/>
        </w:rPr>
        <w:t>）</w:t>
      </w:r>
      <w:r>
        <w:rPr>
          <w:rFonts w:hint="eastAsia" w:ascii="楷体_GB2312" w:hAnsi="楷体_GB2312" w:eastAsia="楷体_GB2312" w:cs="楷体_GB2312"/>
        </w:rPr>
        <w:t>项目过程情况</w:t>
      </w:r>
    </w:p>
    <w:p w14:paraId="04DF1B25">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主要评价资金管理和组织实施情况。指标赋值5分，评价得分5分，得分率100%。</w:t>
      </w:r>
    </w:p>
    <w:p w14:paraId="24C87BAF">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1、资金管理：主要评价资助制度健全性、制度执行有效性及项目质量可控性。指标赋值3分，评价得分3分。</w:t>
      </w:r>
    </w:p>
    <w:p w14:paraId="3717F658">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2020年普通高中国家助学金项目年初预算金额为160.07万元，实际到位资金160.07万元，资金到位率100%。</w:t>
      </w:r>
    </w:p>
    <w:p w14:paraId="56DE207F">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2、组织实施：指标赋值2分，评价得分2分。</w:t>
      </w:r>
    </w:p>
    <w:p w14:paraId="59D0E845">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绩效项目实施资料，并与以上管理办法相比对，结果表明，项目实施程序基本规范，制度执行过程基本有效。具体表现为：</w:t>
      </w:r>
    </w:p>
    <w:p w14:paraId="409CD688">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一是申报、评审、公示程序执行有效。按照《新疆普通高中国家助学金实施方案》规定，由各学校班主任参照贫困生标准，负责对全班进行评选，再由学校助学金审核小组对评选名单进行二次审核，审核无误后在学校进行公示，公示结束后报送学生资助管理中心，执行流程符合制度规定。</w:t>
      </w:r>
    </w:p>
    <w:p w14:paraId="52FA912F">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二是发放标准符合管理办法要求。根据《新疆维吾尔自治区家庭经济困难学生认定工作实施办法》及《新疆普通高中国家助学金实施方案》规定，普通高中国家助学金项目补助资金实际发放标准符合政策要求。</w:t>
      </w:r>
    </w:p>
    <w:p w14:paraId="17112622">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三是审核制度执行基本有效。长安区学生资助管理中心能够按照《普通高中国家助学金实施方案》开展具体审核工作，通过收集学校相关资料、随机对各学校的贫困生认定名单进行电话回访、访问学校教师等方式复核，核查。</w:t>
      </w:r>
    </w:p>
    <w:p w14:paraId="2BE66E51">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四是档案管理基本规范。各高中学校设立贫困资助办公室和档案管理小组对贫困学生申报表等材料进行专人管理；贫困生教育的资助申请表、评审资料、助学金发放确认表、公示等资料，档案资料整理规范完整，项目资料较为齐全。</w:t>
      </w:r>
    </w:p>
    <w:p w14:paraId="27F3D271">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2020年普通高中国家助学金项目通过严格审核发放标准，规范发放流程进行质量监控，项目质量整体可控性较好。具体表现为：</w:t>
      </w:r>
    </w:p>
    <w:p w14:paraId="0463EB3B">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一是学生申请表经过严格审核。根据《新疆家庭经济困难学生认定工作实施办法》及《新疆普通高中国家助学金实施方案》，助学金项目申请流程为：①学校在新学年开学一个月内提前告知家庭经济困难学生申报认定工作事项；②申请人自愿如实填写申请表并向学校提交证明材料，学校各班级班主任在班级召开评审会完成初审；③初审完成后报政教处由学校助学金管理工作领导小组完成复审签署审核意见并加盖公章；④复审完成后将学生名单在学校进行不少于5个工作日的公示；⑤公示完毕后将受助学生信息上报学生资助管理中心进行终审并录入系统，以保障助学金项目入选学生符合条件和规定。审核流程规范，可有效保障受助学生符合规定标准。</w:t>
      </w:r>
    </w:p>
    <w:p w14:paraId="6D8E6BC6">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二是学生助学金审核、发放经过严格审核。办理银行卡，通过“国家助学金资助卡”银行卡形式发放给学生。学校统一集中为学生办理资助卡并在学生领取资助卡时签字确认，同时要求学生在确认助学金转入账户后在发放表上签字确认。</w:t>
      </w:r>
    </w:p>
    <w:p w14:paraId="55CC016C">
      <w:pPr>
        <w:pStyle w:val="2"/>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三</w:t>
      </w:r>
      <w:r>
        <w:rPr>
          <w:rFonts w:hint="eastAsia" w:ascii="楷体_GB2312" w:hAnsi="楷体_GB2312" w:eastAsia="楷体_GB2312" w:cs="楷体_GB2312"/>
          <w:lang w:eastAsia="zh-CN"/>
        </w:rPr>
        <w:t>）项目产出</w:t>
      </w:r>
    </w:p>
    <w:p w14:paraId="209BC240">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主要评价实际完成率、完成及时率、质量达标率及成本节约率等项目产出情况。指标赋值50分，评价得分46.67分，得分率93.34%。</w:t>
      </w:r>
    </w:p>
    <w:p w14:paraId="79A020FF">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数量指标方面、质量指标方面、时效指标方面、成本指标方面：</w:t>
      </w:r>
    </w:p>
    <w:p w14:paraId="34B9BE71">
      <w:pPr>
        <w:pStyle w:val="12"/>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2020年享受国家助学金补助，数量指标，享受国家助学金的学生年度目标值824人，完成值824人，完成率100%，建档立卡学生数年度目标值55人，完成值77人，完成率71.4%。具体表现为：2020年春季普通高中国家助学金资助计划总人数824人，实际资助总人数824人，助学金发放工作按计划全部完成。</w:t>
      </w:r>
    </w:p>
    <w:p w14:paraId="33886C0E">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2020年秋季普通高中国家助学金资助计划总人数723人，实际资助723人助学金发放工作按计划全部完成，其中建档立卡户春季55户，秋季77户特困生资助达到全覆盖。</w:t>
      </w:r>
    </w:p>
    <w:p w14:paraId="6679725A">
      <w:pPr>
        <w:pStyle w:val="2"/>
        <w:pageBreakBefore w:val="0"/>
        <w:kinsoku/>
        <w:wordWrap/>
        <w:overflowPunct/>
        <w:topLinePunct w:val="0"/>
        <w:autoSpaceDE/>
        <w:autoSpaceDN/>
        <w:bidi w:val="0"/>
        <w:adjustRightInd/>
        <w:snapToGrid/>
        <w:spacing w:before="0" w:after="0" w:line="560" w:lineRule="exact"/>
        <w:ind w:firstLine="708" w:firstLineChars="200"/>
        <w:jc w:val="left"/>
        <w:textAlignment w:val="auto"/>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2020年享受国家助学金补助，质量指标，贫困学生覆盖率年度目标值=100%，完成值100%，完成率100%.</w:t>
      </w:r>
    </w:p>
    <w:p w14:paraId="1BAC1240">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具体表现为：学生普遍反映能够按时拿到国家助学金；学校审核后，将助学金能够及时划拨至学生个人账户。</w:t>
      </w:r>
    </w:p>
    <w:p w14:paraId="2931DD52">
      <w:pPr>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2020年享受国家助学金补助，时效指标，国家助学金资助金发放及 时率年度目标值=100%，完成值100%，完成率100%.</w:t>
      </w:r>
    </w:p>
    <w:p w14:paraId="3AF2C463">
      <w:pPr>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我校学生资助管理中心2020年普通高中国家助学金项目分春季和秋季两个学期发放。根据绩效评价组抽查各学校发放资助款会计信息资料并访问各校学生结果，项目完成及时率100%。</w:t>
      </w:r>
    </w:p>
    <w:p w14:paraId="1396C414">
      <w:pPr>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2020年享受国家助学金补助，</w:t>
      </w:r>
      <w:r>
        <w:rPr>
          <w:rFonts w:hint="eastAsia" w:ascii="仿宋_GB2312" w:hAnsi="仿宋_GB2312" w:eastAsia="仿宋_GB2312" w:cs="仿宋_GB2312"/>
          <w:color w:val="000000"/>
          <w:spacing w:val="17"/>
          <w:sz w:val="32"/>
          <w:szCs w:val="32"/>
          <w:lang w:val="en-US" w:eastAsia="zh-CN"/>
        </w:rPr>
        <w:t>成本</w:t>
      </w:r>
      <w:r>
        <w:rPr>
          <w:rFonts w:hint="eastAsia" w:ascii="仿宋_GB2312" w:hAnsi="仿宋_GB2312" w:eastAsia="仿宋_GB2312" w:cs="仿宋_GB2312"/>
          <w:b w:val="0"/>
          <w:bCs w:val="0"/>
          <w:color w:val="000000"/>
          <w:spacing w:val="17"/>
          <w:kern w:val="2"/>
          <w:sz w:val="32"/>
          <w:szCs w:val="32"/>
          <w:lang w:val="en-US" w:eastAsia="zh-CN" w:bidi="ar-SA"/>
        </w:rPr>
        <w:t>指标，国家助学金资助金发放及时率年度目标值=100%，完成值100%，完成率100%。</w:t>
      </w:r>
    </w:p>
    <w:p w14:paraId="046B618C">
      <w:pPr>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绩效评价组从申报公示情况、申报对象准确度和建档立卡贫困户学生全覆盖三个方面，对项目质量进行评价。普通高中国家助学金项目质量达标率100%。具体表现为：</w:t>
      </w:r>
    </w:p>
    <w:p w14:paraId="3DE37EA9">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一是项目申报经有效公示。各学校均在初审、二次审核确认无误并签字盖章后在学校进行公示，且公示期不少于5个工作日，公示时未涉及学生个人敏感信息及隐私，并在公示期结束将信息去除。</w:t>
      </w:r>
    </w:p>
    <w:p w14:paraId="629050C6">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二是项目申报对象准确无差异。各校学生助学金申请表填报信息较为完整，包括学生基本信息、家庭成员资料、家庭经济信息申报、学生或监护人声明确认签字、系统核实结果以及学校复核结果，核实准确无差异。</w:t>
      </w:r>
    </w:p>
    <w:p w14:paraId="6CD378EB">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三是建档立卡贫困户学生全覆盖。长安区学生资助管理中心严格按照《新疆家庭经济困难学生认定工作实施办法》《新疆普通高中国家助学金实施方案》标准执行，且系统内建档立卡贫困户学生全部享受助学金补助，实现建档立卡贫困户学生覆盖率100%。</w:t>
      </w:r>
    </w:p>
    <w:p w14:paraId="4A278459">
      <w:pPr>
        <w:pStyle w:val="2"/>
        <w:pageBreakBefore w:val="0"/>
        <w:numPr>
          <w:ilvl w:val="0"/>
          <w:numId w:val="0"/>
        </w:numPr>
        <w:kinsoku/>
        <w:wordWrap/>
        <w:overflowPunct/>
        <w:topLinePunct w:val="0"/>
        <w:autoSpaceDE/>
        <w:autoSpaceDN/>
        <w:bidi w:val="0"/>
        <w:adjustRightInd/>
        <w:snapToGrid/>
        <w:spacing w:before="0" w:after="0" w:line="560" w:lineRule="exact"/>
        <w:ind w:firstLine="708" w:firstLineChars="200"/>
        <w:jc w:val="left"/>
        <w:textAlignment w:val="auto"/>
        <w:rPr>
          <w:rFonts w:hint="eastAsia" w:ascii="仿宋_GB2312" w:hAnsi="仿宋_GB2312" w:eastAsia="仿宋_GB2312" w:cs="仿宋_GB2312"/>
          <w:b w:val="0"/>
          <w:bCs w:val="0"/>
          <w:kern w:val="0"/>
        </w:rPr>
      </w:pPr>
      <w:r>
        <w:rPr>
          <w:rFonts w:hint="eastAsia" w:ascii="仿宋_GB2312" w:hAnsi="仿宋_GB2312" w:eastAsia="仿宋_GB2312" w:cs="仿宋_GB2312"/>
          <w:b w:val="0"/>
          <w:bCs w:val="0"/>
          <w:color w:val="000000"/>
          <w:spacing w:val="17"/>
          <w:kern w:val="2"/>
          <w:sz w:val="32"/>
          <w:szCs w:val="32"/>
          <w:lang w:val="en-US" w:eastAsia="zh-CN" w:bidi="ar-SA"/>
        </w:rPr>
        <w:t>2020年享受国家助学金补助，成本指标，生均资助标准（元/学年）年度目标值2000元，完成值2000元，完成率100%，建档立卡学生生均资助标准（元/学年）年度目标值1430元，完成值1430元，完成率100%。</w:t>
      </w:r>
    </w:p>
    <w:p w14:paraId="2C598AAC">
      <w:pPr>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我校的特困生和贫困生2020年享受国家助学金补助。其中春季申报特困生和贫困生824人，秋季申报732人。助学金标准分为两档：1档1250元，2档1000元，3档750元，按学期发放（贫困生补助元2000/每年，特困生补助2500元/每年，实际平均资助标准平均2000元/每生每学年）。建档立卡免学费学生，本年审报55人，按年补助资金1430元/每年。</w:t>
      </w:r>
    </w:p>
    <w:p w14:paraId="51A4141D">
      <w:pPr>
        <w:pStyle w:val="2"/>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四</w:t>
      </w:r>
      <w:r>
        <w:rPr>
          <w:rFonts w:hint="eastAsia" w:ascii="楷体_GB2312" w:hAnsi="楷体_GB2312" w:eastAsia="楷体_GB2312" w:cs="楷体_GB2312"/>
          <w:lang w:eastAsia="zh-CN"/>
        </w:rPr>
        <w:t>）效益情况</w:t>
      </w:r>
    </w:p>
    <w:p w14:paraId="11116B8A">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主要评价项目实施的社会效益、可持续影响、社会公众及受益人群满意度情况。指标赋值40分，评价得分40分，得分率100%。</w:t>
      </w:r>
    </w:p>
    <w:p w14:paraId="53DD7B75">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社会效益指标方面：指标赋值30分，评价得分30分</w:t>
      </w:r>
    </w:p>
    <w:p w14:paraId="3AA9299E">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2020年普通高中国家助学金项目实施后，对于缓解贫困家庭经济困难，促进区域教育公平起到重要作用，社会效益良好。具体表现为：</w:t>
      </w:r>
    </w:p>
    <w:p w14:paraId="1CEA8CD7">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一是有效缓解了贫困学生家庭经济压力。助学金项目的实施对于帮助建档立卡贫困户减轻家庭经济负担，缓解经济压力，增强贫困户学生完成高中阶段学业的信心均具有重要的意义。同时，根据新疆相关政策对贫困户家庭实现了建档立卡的全覆盖，使贫困学生应补尽补。根据针对我校进行的100份调查问卷统计结果，认为项目实施能有效缓解经济压力，减轻家庭负担的学生达99.39%。</w:t>
      </w:r>
    </w:p>
    <w:p w14:paraId="1FA88104">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二是帮助家庭经济困难学生完成高中阶段学业。2020年长安区享受普通高中国家助学金且参加高考的学生共1072人，全部顺利完成学业。</w:t>
      </w:r>
    </w:p>
    <w:p w14:paraId="32189F97">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三是有利于培养青少年社会责任意识。绩效评价组发放并回收100份针对学生和教师的有效调查问卷，被访问学生和教师均认为助学金发放在培养青少年社会责任意识方面意义重大，受助学生责任心显著提高。</w:t>
      </w:r>
    </w:p>
    <w:p w14:paraId="4E9093C1">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满意度指标方面：指标赋值10分，评价得分10分。</w:t>
      </w:r>
    </w:p>
    <w:p w14:paraId="3E031A9B">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绩效评价组针对100份学校教师和学生进行随机问卷调查，结果显示，师生对助学金补助政策的知晓率达100%，对学校资助管理中心工作人员日常工作质量满意度达100%。</w:t>
      </w:r>
    </w:p>
    <w:p w14:paraId="36A27CF5">
      <w:pPr>
        <w:pageBreakBefore w:val="0"/>
        <w:kinsoku/>
        <w:wordWrap/>
        <w:overflowPunct/>
        <w:topLinePunct w:val="0"/>
        <w:autoSpaceDE/>
        <w:autoSpaceDN/>
        <w:bidi w:val="0"/>
        <w:adjustRightInd/>
        <w:snapToGrid/>
        <w:spacing w:line="560" w:lineRule="exact"/>
        <w:textAlignment w:val="auto"/>
        <w:rPr>
          <w:rStyle w:val="51"/>
          <w:b/>
          <w:bCs/>
          <w:color w:val="auto"/>
        </w:rPr>
      </w:pPr>
      <w:r>
        <w:rPr>
          <w:rFonts w:hint="eastAsia" w:ascii="黑体" w:hAnsi="黑体" w:eastAsia="黑体"/>
          <w:b/>
          <w:bCs/>
          <w:sz w:val="32"/>
          <w:szCs w:val="32"/>
        </w:rPr>
        <w:t>五、主要经验及做法、存在的问题及原因分析</w:t>
      </w:r>
    </w:p>
    <w:p w14:paraId="4A74215C">
      <w:pPr>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14:paraId="727907F3">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533A84DE">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46A1CA67">
      <w:pPr>
        <w:keepNext/>
        <w:keepLines/>
        <w:pageBreakBefore w:val="0"/>
        <w:numPr>
          <w:ilvl w:val="0"/>
          <w:numId w:val="4"/>
        </w:numPr>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14:paraId="4BF1B5D0">
      <w:pPr>
        <w:pStyle w:val="2"/>
        <w:pageBreakBefore w:val="0"/>
        <w:numPr>
          <w:ilvl w:val="0"/>
          <w:numId w:val="5"/>
        </w:numPr>
        <w:kinsoku/>
        <w:wordWrap/>
        <w:overflowPunct/>
        <w:topLinePunct w:val="0"/>
        <w:autoSpaceDE/>
        <w:autoSpaceDN/>
        <w:bidi w:val="0"/>
        <w:adjustRightInd/>
        <w:snapToGrid/>
        <w:spacing w:before="0" w:after="0" w:line="560" w:lineRule="exact"/>
        <w:ind w:firstLine="643" w:firstLineChars="200"/>
        <w:jc w:val="both"/>
        <w:textAlignment w:val="auto"/>
        <w:rPr>
          <w:rFonts w:hint="eastAsia" w:ascii="仿宋_GB2312" w:hAnsi="仿宋_GB2312" w:eastAsia="仿宋_GB2312" w:cs="仿宋_GB2312"/>
          <w:b/>
          <w:bCs/>
          <w:kern w:val="2"/>
        </w:rPr>
      </w:pPr>
      <w:r>
        <w:rPr>
          <w:rFonts w:hint="eastAsia" w:ascii="仿宋_GB2312" w:hAnsi="仿宋_GB2312" w:eastAsia="仿宋_GB2312" w:cs="仿宋_GB2312"/>
          <w:b/>
          <w:bCs/>
          <w:kern w:val="2"/>
        </w:rPr>
        <w:t>存在的问题</w:t>
      </w:r>
    </w:p>
    <w:p w14:paraId="054D6330">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（一）绩效目标申报质量不高</w:t>
      </w:r>
    </w:p>
    <w:p w14:paraId="6E5AEB24">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按照财政部门要求填报了《2020年学生资助补助经（普通高中国家助学金）绩效目标申报表》，但总体填报质量不高，存在绩效目标填报不规范问题，具体表现为年度目标内容不清晰，未填报基本内容和项目概况，成本指标未实现细化分解等，无法有效反应项目计划与预期绩效，无法为后期监督检查与绩效评价工作提供有效衡量标准。</w:t>
      </w:r>
    </w:p>
    <w:p w14:paraId="2279012B">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（二）项目实施管理有待完善</w:t>
      </w:r>
    </w:p>
    <w:p w14:paraId="46FAFF30">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部分申请表填写不完整，如存在学生家庭经济信息申报填写不全、系统核实结果未打勾、校长审核未盖章等问题。个别学生由于自己的问题，注销、丢失、毁损银行卡，未及时告知助学金发放老师，导致助学金无法正常发放。调查问卷反映助学金标准偏低。绩效评价组针对学生和教师进行的问卷调查发现，有学生认为助学金发放标准相对目前的消费水平偏低，对于建档立卡贫困户家庭来说，生活的经济压力仍然较大。</w:t>
      </w:r>
    </w:p>
    <w:p w14:paraId="56327809">
      <w:pPr>
        <w:pageBreakBefore w:val="0"/>
        <w:numPr>
          <w:ilvl w:val="0"/>
          <w:numId w:val="5"/>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原因分析</w:t>
      </w:r>
    </w:p>
    <w:p w14:paraId="6070E65F">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针对项目实施中出现的申请表填写不完整、助学金发放不及时或无法发放等问题，建议如下：</w:t>
      </w:r>
    </w:p>
    <w:p w14:paraId="19919280">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一是各学校严格按规定填写《新疆家庭经济困难学生认定暨国家教育资助申请表》，保证内容填写完整及公章应盖尽盖。</w:t>
      </w:r>
    </w:p>
    <w:p w14:paraId="24636468">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二是各学校资助管理中心、财务科室与办理资助卡银行应加强沟通，以便第一时间知晓财政资金到账信息，强化责任意识，做好基础服务工作，保证学生卡号信息录入准确，避免由于信息错误等原因导致学生无法及时收到助学金；严格遵守助学金即刻发放的标准，使受助学生能够第一时间享受到助学金带来的帮助。</w:t>
      </w:r>
    </w:p>
    <w:p w14:paraId="48082B16">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三是各学校在普通高中国家助学金项目实施过程中建立班主任领卡签字单、资助卡发放确认表和助学金到账确认表，确保助学金发放准确无误。</w:t>
      </w:r>
    </w:p>
    <w:p w14:paraId="3437C425">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四是确保建档立卡贫困户学生家庭的生活问题。“普通高中国家助学金政策”是为了缓解在校高中学生学习中购买书籍发放的助学金补贴政策，并不能改善学生家庭的经济生活困难。对于家庭生活存在困难的学生家庭，可以通过学校同学生家庭所在辖区的村委会（社区）、街办的沟通，取得街办提供的各种帮助，保障高中学生在校期间不因为家庭生活困难造成学生失学。</w:t>
      </w:r>
    </w:p>
    <w:p w14:paraId="56AA7090">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kern w:val="2"/>
          <w:sz w:val="32"/>
          <w:szCs w:val="32"/>
          <w:lang w:val="en-US" w:eastAsia="zh-CN" w:bidi="ar-SA"/>
        </w:rPr>
      </w:pPr>
      <w:r>
        <w:rPr>
          <w:rFonts w:hint="eastAsia" w:ascii="仿宋_GB2312" w:hAnsi="仿宋_GB2312" w:eastAsia="仿宋_GB2312" w:cs="仿宋_GB2312"/>
          <w:color w:val="000000"/>
          <w:spacing w:val="17"/>
          <w:sz w:val="32"/>
          <w:szCs w:val="32"/>
          <w:lang w:val="en-US" w:eastAsia="zh-CN"/>
        </w:rPr>
        <w:t>五是建议各学校安排教师加强对受助学生思想、学习和生活中的帮扶。与受助学生从思想上进行交流探讨，对学生学习上的疑惑进行一一解答，对学生生活上的困难进行入户或行动上的关心和帮助，促进学生养成良好的学习态度，在顺利完成高中学业的情况下，树立正确</w:t>
      </w:r>
      <w:r>
        <w:rPr>
          <w:rFonts w:hint="eastAsia" w:ascii="仿宋_GB2312" w:hAnsi="仿宋_GB2312" w:eastAsia="仿宋_GB2312" w:cs="仿宋_GB2312"/>
          <w:color w:val="000000"/>
          <w:spacing w:val="17"/>
          <w:kern w:val="2"/>
          <w:sz w:val="32"/>
          <w:szCs w:val="32"/>
          <w:lang w:val="en-US" w:eastAsia="zh-CN" w:bidi="ar-SA"/>
        </w:rPr>
        <w:t>的人生观、价值观、世界观。</w:t>
      </w:r>
    </w:p>
    <w:p w14:paraId="6B84D433">
      <w:pPr>
        <w:pageBreakBefore w:val="0"/>
        <w:numPr>
          <w:ilvl w:val="0"/>
          <w:numId w:val="6"/>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有关建议</w:t>
      </w:r>
    </w:p>
    <w:p w14:paraId="3DFED8F5">
      <w:pPr>
        <w:pageBreakBefore w:val="0"/>
        <w:numPr>
          <w:ilvl w:val="0"/>
          <w:numId w:val="7"/>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14:paraId="11856586">
      <w:pPr>
        <w:pageBreakBefore w:val="0"/>
        <w:numPr>
          <w:ilvl w:val="0"/>
          <w:numId w:val="7"/>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14:paraId="7243BCC9">
      <w:pPr>
        <w:pageBreakBefore w:val="0"/>
        <w:numPr>
          <w:ilvl w:val="0"/>
          <w:numId w:val="6"/>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其他需要说</w:t>
      </w:r>
      <w:bookmarkStart w:id="1" w:name="page8"/>
      <w:bookmarkEnd w:id="1"/>
      <w:r>
        <w:rPr>
          <w:rFonts w:hint="eastAsia" w:ascii="黑体" w:hAnsi="黑体" w:eastAsia="黑体"/>
          <w:b/>
          <w:bCs/>
          <w:sz w:val="32"/>
          <w:szCs w:val="32"/>
        </w:rPr>
        <w:t>明的问题</w:t>
      </w:r>
    </w:p>
    <w:p w14:paraId="0D3BF708">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color w:val="000000"/>
          <w:spacing w:val="17"/>
          <w:kern w:val="2"/>
          <w:sz w:val="32"/>
          <w:szCs w:val="32"/>
          <w:lang w:val="en-US" w:eastAsia="zh-CN" w:bidi="ar-SA"/>
        </w:rPr>
      </w:pPr>
      <w:r>
        <w:rPr>
          <w:rFonts w:hint="eastAsia" w:ascii="仿宋_GB2312" w:hAnsi="仿宋_GB2312" w:eastAsia="仿宋_GB2312" w:cs="仿宋_GB2312"/>
          <w:color w:val="000000"/>
          <w:spacing w:val="17"/>
          <w:kern w:val="2"/>
          <w:sz w:val="32"/>
          <w:szCs w:val="32"/>
          <w:lang w:val="en-US" w:eastAsia="zh-CN" w:bidi="ar-SA"/>
        </w:rPr>
        <w:t>无。</w:t>
      </w:r>
    </w:p>
    <w:p w14:paraId="77F58399">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sectPr>
          <w:footerReference r:id="rId3" w:type="default"/>
          <w:pgSz w:w="11906" w:h="16838"/>
          <w:pgMar w:top="1440" w:right="1558" w:bottom="1440" w:left="1800" w:header="851" w:footer="992" w:gutter="0"/>
          <w:cols w:space="425" w:num="1"/>
          <w:docGrid w:type="lines" w:linePitch="312" w:charSpace="0"/>
        </w:sectPr>
      </w:pPr>
    </w:p>
    <w:tbl>
      <w:tblPr>
        <w:tblStyle w:val="20"/>
        <w:tblW w:w="8578" w:type="dxa"/>
        <w:tblInd w:w="0" w:type="dxa"/>
        <w:shd w:val="clear" w:color="auto" w:fill="auto"/>
        <w:tblLayout w:type="fixed"/>
        <w:tblCellMar>
          <w:top w:w="0" w:type="dxa"/>
          <w:left w:w="0" w:type="dxa"/>
          <w:bottom w:w="0" w:type="dxa"/>
          <w:right w:w="0" w:type="dxa"/>
        </w:tblCellMar>
      </w:tblPr>
      <w:tblGrid>
        <w:gridCol w:w="660"/>
        <w:gridCol w:w="660"/>
        <w:gridCol w:w="660"/>
        <w:gridCol w:w="660"/>
        <w:gridCol w:w="660"/>
        <w:gridCol w:w="507"/>
        <w:gridCol w:w="1904"/>
        <w:gridCol w:w="1321"/>
        <w:gridCol w:w="306"/>
        <w:gridCol w:w="1240"/>
      </w:tblGrid>
      <w:tr w14:paraId="3B503879">
        <w:tblPrEx>
          <w:tblCellMar>
            <w:top w:w="0" w:type="dxa"/>
            <w:left w:w="0" w:type="dxa"/>
            <w:bottom w:w="0" w:type="dxa"/>
            <w:right w:w="0" w:type="dxa"/>
          </w:tblCellMar>
        </w:tblPrEx>
        <w:trPr>
          <w:trHeight w:val="409" w:hRule="atLeast"/>
        </w:trPr>
        <w:tc>
          <w:tcPr>
            <w:tcW w:w="8578" w:type="dxa"/>
            <w:gridSpan w:val="10"/>
            <w:tcBorders>
              <w:top w:val="nil"/>
              <w:left w:val="nil"/>
              <w:bottom w:val="nil"/>
              <w:right w:val="nil"/>
            </w:tcBorders>
            <w:shd w:val="clear" w:color="auto" w:fill="auto"/>
            <w:tcMar>
              <w:top w:w="15" w:type="dxa"/>
              <w:left w:w="15" w:type="dxa"/>
              <w:right w:w="15" w:type="dxa"/>
            </w:tcMar>
            <w:vAlign w:val="center"/>
          </w:tcPr>
          <w:p w14:paraId="20D3BE37">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44"/>
                <w:szCs w:val="44"/>
                <w:u w:val="none"/>
                <w:lang w:val="en-US" w:eastAsia="zh-CN" w:bidi="ar"/>
              </w:rPr>
              <w:t>项目支出绩效自评表</w:t>
            </w:r>
          </w:p>
        </w:tc>
      </w:tr>
      <w:tr w14:paraId="5C2A6C69">
        <w:tblPrEx>
          <w:tblCellMar>
            <w:top w:w="0" w:type="dxa"/>
            <w:left w:w="0" w:type="dxa"/>
            <w:bottom w:w="0" w:type="dxa"/>
            <w:right w:w="0" w:type="dxa"/>
          </w:tblCellMar>
        </w:tblPrEx>
        <w:trPr>
          <w:trHeight w:val="409" w:hRule="atLeast"/>
        </w:trPr>
        <w:tc>
          <w:tcPr>
            <w:tcW w:w="8578" w:type="dxa"/>
            <w:gridSpan w:val="10"/>
            <w:tcBorders>
              <w:top w:val="nil"/>
              <w:left w:val="nil"/>
              <w:bottom w:val="nil"/>
              <w:right w:val="nil"/>
            </w:tcBorders>
            <w:shd w:val="clear" w:color="auto" w:fill="auto"/>
            <w:tcMar>
              <w:top w:w="15" w:type="dxa"/>
              <w:left w:w="15" w:type="dxa"/>
              <w:right w:w="15" w:type="dxa"/>
            </w:tcMar>
            <w:vAlign w:val="center"/>
          </w:tcPr>
          <w:p w14:paraId="0BEBF6B5">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14:paraId="6C7A9F28">
        <w:tblPrEx>
          <w:shd w:val="clear" w:color="auto" w:fill="auto"/>
          <w:tblCellMar>
            <w:top w:w="0" w:type="dxa"/>
            <w:left w:w="0" w:type="dxa"/>
            <w:bottom w:w="0" w:type="dxa"/>
            <w:right w:w="0" w:type="dxa"/>
          </w:tblCellMar>
        </w:tblPrEx>
        <w:trPr>
          <w:trHeight w:val="460" w:hRule="atLeast"/>
        </w:trPr>
        <w:tc>
          <w:tcPr>
            <w:tcW w:w="8578"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02CC1">
            <w:pPr>
              <w:jc w:val="center"/>
              <w:rPr>
                <w:rFonts w:hint="eastAsia" w:ascii="宋体" w:hAnsi="宋体" w:eastAsia="宋体" w:cs="宋体"/>
                <w:i w:val="0"/>
                <w:color w:val="000000"/>
                <w:sz w:val="18"/>
                <w:szCs w:val="18"/>
                <w:u w:val="none"/>
              </w:rPr>
            </w:pPr>
          </w:p>
        </w:tc>
      </w:tr>
      <w:tr w14:paraId="45097641">
        <w:tblPrEx>
          <w:shd w:val="clear" w:color="auto" w:fill="auto"/>
          <w:tblCellMar>
            <w:top w:w="0" w:type="dxa"/>
            <w:left w:w="0" w:type="dxa"/>
            <w:bottom w:w="0" w:type="dxa"/>
            <w:right w:w="0" w:type="dxa"/>
          </w:tblCellMar>
        </w:tblPrEx>
        <w:trPr>
          <w:trHeight w:val="400" w:hRule="atLeast"/>
        </w:trPr>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E6FF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25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CEC8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塔城地区第一高级中学国家助学金及免学费资金</w:t>
            </w:r>
          </w:p>
        </w:tc>
      </w:tr>
      <w:tr w14:paraId="55485AEE">
        <w:tblPrEx>
          <w:shd w:val="clear" w:color="auto" w:fill="auto"/>
          <w:tblCellMar>
            <w:top w:w="0" w:type="dxa"/>
            <w:left w:w="0" w:type="dxa"/>
            <w:bottom w:w="0" w:type="dxa"/>
            <w:right w:w="0" w:type="dxa"/>
          </w:tblCellMar>
        </w:tblPrEx>
        <w:trPr>
          <w:trHeight w:val="540" w:hRule="atLeast"/>
        </w:trPr>
        <w:tc>
          <w:tcPr>
            <w:tcW w:w="1320" w:type="dxa"/>
            <w:gridSpan w:val="2"/>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B26E4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39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B3837">
            <w:pPr>
              <w:jc w:val="center"/>
              <w:rPr>
                <w:rFonts w:hint="eastAsia" w:ascii="宋体" w:hAnsi="宋体" w:eastAsia="宋体" w:cs="宋体"/>
                <w:i w:val="0"/>
                <w:color w:val="000000"/>
                <w:sz w:val="18"/>
                <w:szCs w:val="18"/>
                <w:u w:val="none"/>
              </w:rPr>
            </w:pPr>
          </w:p>
        </w:tc>
        <w:tc>
          <w:tcPr>
            <w:tcW w:w="1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532B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0FE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塔城地区第一高级中学</w:t>
            </w:r>
          </w:p>
        </w:tc>
      </w:tr>
      <w:tr w14:paraId="5985345A">
        <w:tblPrEx>
          <w:shd w:val="clear" w:color="auto" w:fill="auto"/>
          <w:tblCellMar>
            <w:top w:w="0" w:type="dxa"/>
            <w:left w:w="0" w:type="dxa"/>
            <w:bottom w:w="0" w:type="dxa"/>
            <w:right w:w="0" w:type="dxa"/>
          </w:tblCellMar>
        </w:tblPrEx>
        <w:trPr>
          <w:trHeight w:val="433" w:hRule="atLeast"/>
        </w:trPr>
        <w:tc>
          <w:tcPr>
            <w:tcW w:w="1320" w:type="dxa"/>
            <w:gridSpan w:val="2"/>
            <w:tcBorders>
              <w:left w:val="single" w:color="000000" w:sz="4" w:space="0"/>
              <w:right w:val="single" w:color="000000" w:sz="4" w:space="0"/>
            </w:tcBorders>
            <w:shd w:val="clear" w:color="auto" w:fill="auto"/>
            <w:tcMar>
              <w:top w:w="15" w:type="dxa"/>
              <w:left w:w="15" w:type="dxa"/>
              <w:right w:w="15" w:type="dxa"/>
            </w:tcMar>
            <w:vAlign w:val="center"/>
          </w:tcPr>
          <w:p w14:paraId="0B3D6E0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90AEB84">
            <w:pPr>
              <w:rPr>
                <w:rFonts w:hint="eastAsia" w:ascii="宋体" w:hAnsi="宋体" w:eastAsia="宋体" w:cs="宋体"/>
                <w:i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FBA17CA"/>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73C8F">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年初预算数</w:t>
            </w:r>
          </w:p>
        </w:tc>
        <w:tc>
          <w:tcPr>
            <w:tcW w:w="24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9D0C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3DA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83A3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14:paraId="095BD9DE">
        <w:tblPrEx>
          <w:tblCellMar>
            <w:top w:w="0" w:type="dxa"/>
            <w:left w:w="0" w:type="dxa"/>
            <w:bottom w:w="0" w:type="dxa"/>
            <w:right w:w="0" w:type="dxa"/>
          </w:tblCellMar>
        </w:tblPrEx>
        <w:trPr>
          <w:trHeight w:val="433" w:hRule="atLeast"/>
        </w:trPr>
        <w:tc>
          <w:tcPr>
            <w:tcW w:w="1320" w:type="dxa"/>
            <w:gridSpan w:val="2"/>
            <w:tcBorders>
              <w:left w:val="single" w:color="000000" w:sz="4" w:space="0"/>
              <w:right w:val="single" w:color="000000" w:sz="4" w:space="0"/>
            </w:tcBorders>
            <w:shd w:val="clear" w:color="auto" w:fill="auto"/>
            <w:tcMar>
              <w:top w:w="15" w:type="dxa"/>
              <w:left w:w="15" w:type="dxa"/>
              <w:right w:w="15" w:type="dxa"/>
            </w:tcMar>
            <w:vAlign w:val="center"/>
          </w:tcPr>
          <w:p w14:paraId="5C9765B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（万元）</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A42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F20EC">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160.07</w:t>
            </w:r>
          </w:p>
        </w:tc>
        <w:tc>
          <w:tcPr>
            <w:tcW w:w="24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016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160.07</w:t>
            </w:r>
          </w:p>
        </w:tc>
        <w:tc>
          <w:tcPr>
            <w:tcW w:w="1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89A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160.07</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8383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14:paraId="1CF00931">
        <w:tblPrEx>
          <w:tblCellMar>
            <w:top w:w="0" w:type="dxa"/>
            <w:left w:w="0" w:type="dxa"/>
            <w:bottom w:w="0" w:type="dxa"/>
            <w:right w:w="0" w:type="dxa"/>
          </w:tblCellMar>
        </w:tblPrEx>
        <w:trPr>
          <w:trHeight w:val="433" w:hRule="atLeast"/>
        </w:trPr>
        <w:tc>
          <w:tcPr>
            <w:tcW w:w="1320" w:type="dxa"/>
            <w:gridSpan w:val="2"/>
            <w:tcBorders>
              <w:left w:val="single" w:color="000000" w:sz="4" w:space="0"/>
              <w:right w:val="single" w:color="000000" w:sz="4" w:space="0"/>
            </w:tcBorders>
            <w:shd w:val="clear" w:color="auto" w:fill="auto"/>
            <w:tcMar>
              <w:top w:w="15" w:type="dxa"/>
              <w:left w:w="15" w:type="dxa"/>
              <w:right w:w="15" w:type="dxa"/>
            </w:tcMar>
            <w:vAlign w:val="center"/>
          </w:tcPr>
          <w:p w14:paraId="6E065979">
            <w:pPr>
              <w:jc w:val="center"/>
              <w:rPr>
                <w:rFonts w:hint="eastAsia" w:ascii="宋体" w:hAnsi="宋体" w:eastAsia="宋体" w:cs="宋体"/>
                <w:i w:val="0"/>
                <w:color w:val="000000"/>
                <w:sz w:val="22"/>
                <w:szCs w:val="22"/>
                <w:u w:val="none"/>
              </w:rPr>
            </w:pP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CB5D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7C9FC">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160.07</w:t>
            </w:r>
          </w:p>
        </w:tc>
        <w:tc>
          <w:tcPr>
            <w:tcW w:w="24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3FFBC">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kern w:val="0"/>
                <w:sz w:val="18"/>
                <w:szCs w:val="18"/>
                <w:u w:val="none"/>
                <w:lang w:val="en-US" w:eastAsia="zh-CN" w:bidi="ar"/>
              </w:rPr>
              <w:t>160.07</w:t>
            </w:r>
          </w:p>
        </w:tc>
        <w:tc>
          <w:tcPr>
            <w:tcW w:w="1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6F51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160.07</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68DA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01EA8893">
        <w:tblPrEx>
          <w:shd w:val="clear" w:color="auto" w:fill="auto"/>
          <w:tblCellMar>
            <w:top w:w="0" w:type="dxa"/>
            <w:left w:w="0" w:type="dxa"/>
            <w:bottom w:w="0" w:type="dxa"/>
            <w:right w:w="0" w:type="dxa"/>
          </w:tblCellMar>
        </w:tblPrEx>
        <w:trPr>
          <w:trHeight w:val="270" w:hRule="atLeast"/>
        </w:trPr>
        <w:tc>
          <w:tcPr>
            <w:tcW w:w="1320" w:type="dxa"/>
            <w:gridSpan w:val="2"/>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7C5AF">
            <w:pPr>
              <w:jc w:val="center"/>
              <w:rPr>
                <w:rFonts w:hint="eastAsia" w:ascii="宋体" w:hAnsi="宋体" w:eastAsia="宋体" w:cs="宋体"/>
                <w:i w:val="0"/>
                <w:color w:val="000000"/>
                <w:sz w:val="22"/>
                <w:szCs w:val="22"/>
                <w:u w:val="none"/>
              </w:rPr>
            </w:pP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24A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6F8D1">
            <w:pPr>
              <w:jc w:val="center"/>
            </w:pPr>
          </w:p>
        </w:tc>
        <w:tc>
          <w:tcPr>
            <w:tcW w:w="24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A669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FC24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DCCE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1B6F22D8">
        <w:tblPrEx>
          <w:shd w:val="clear" w:color="auto" w:fill="auto"/>
          <w:tblCellMar>
            <w:top w:w="0" w:type="dxa"/>
            <w:left w:w="0" w:type="dxa"/>
            <w:bottom w:w="0" w:type="dxa"/>
            <w:right w:w="0" w:type="dxa"/>
          </w:tblCellMar>
        </w:tblPrEx>
        <w:trPr>
          <w:trHeight w:val="433" w:hRule="atLeast"/>
        </w:trPr>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AA16A">
            <w:pPr>
              <w:jc w:val="center"/>
              <w:rPr>
                <w:rFonts w:hint="eastAsia" w:ascii="宋体" w:hAnsi="宋体" w:eastAsia="宋体" w:cs="宋体"/>
                <w:i w:val="0"/>
                <w:color w:val="000000"/>
                <w:sz w:val="18"/>
                <w:szCs w:val="18"/>
                <w:u w:val="none"/>
              </w:rPr>
            </w:pP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254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9D604">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24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FF2A3">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9A20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D21DB">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14:paraId="5BE8B94D">
        <w:tblPrEx>
          <w:shd w:val="clear" w:color="auto" w:fill="auto"/>
          <w:tblCellMar>
            <w:top w:w="0" w:type="dxa"/>
            <w:left w:w="0" w:type="dxa"/>
            <w:bottom w:w="0" w:type="dxa"/>
            <w:right w:w="0" w:type="dxa"/>
          </w:tblCellMar>
        </w:tblPrEx>
        <w:trPr>
          <w:trHeight w:val="129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EF11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05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D4D">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预期目标</w:t>
            </w:r>
          </w:p>
        </w:tc>
        <w:tc>
          <w:tcPr>
            <w:tcW w:w="286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E9B9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44DB3CB3">
        <w:tblPrEx>
          <w:shd w:val="clear" w:color="auto" w:fill="auto"/>
          <w:tblCellMar>
            <w:top w:w="0" w:type="dxa"/>
            <w:left w:w="0" w:type="dxa"/>
            <w:bottom w:w="0" w:type="dxa"/>
            <w:right w:w="0" w:type="dxa"/>
          </w:tblCellMar>
        </w:tblPrEx>
        <w:trPr>
          <w:trHeight w:val="412"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78A7B">
            <w:pPr>
              <w:jc w:val="center"/>
              <w:rPr>
                <w:rFonts w:hint="eastAsia" w:ascii="宋体" w:hAnsi="宋体" w:eastAsia="宋体" w:cs="宋体"/>
                <w:i w:val="0"/>
                <w:color w:val="000000"/>
                <w:sz w:val="18"/>
                <w:szCs w:val="18"/>
                <w:u w:val="none"/>
              </w:rPr>
            </w:pPr>
          </w:p>
        </w:tc>
        <w:tc>
          <w:tcPr>
            <w:tcW w:w="505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7E41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1、完成国家助学金申请工作，做到严格审核，公正评定的原则申请，做到应助尽助。</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2、减轻家庭经济困难学生生活负担，帮助学生顺利完成学业。</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3、完善落实助学金发放工作。</w:t>
            </w:r>
          </w:p>
        </w:tc>
        <w:tc>
          <w:tcPr>
            <w:tcW w:w="286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AF609">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1、完成国家助学金申请工作，做到严格审核，公正评定的原则申请，做到应助尽助。</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2、减轻家庭经济困难学生生活负担，帮助学生顺利完成学业。</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3、完善落实助学金发放工作。</w:t>
            </w:r>
          </w:p>
        </w:tc>
      </w:tr>
      <w:tr w14:paraId="0DFEA43A">
        <w:tblPrEx>
          <w:shd w:val="clear" w:color="auto" w:fill="auto"/>
          <w:tblCellMar>
            <w:top w:w="0" w:type="dxa"/>
            <w:left w:w="0" w:type="dxa"/>
            <w:bottom w:w="0" w:type="dxa"/>
            <w:right w:w="0" w:type="dxa"/>
          </w:tblCellMar>
        </w:tblPrEx>
        <w:trPr>
          <w:trHeight w:val="270" w:hRule="atLeast"/>
        </w:trPr>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D13CA">
            <w:pPr>
              <w:jc w:val="center"/>
              <w:rPr>
                <w:rFonts w:hint="eastAsia" w:ascii="宋体" w:hAnsi="宋体" w:eastAsia="宋体" w:cs="宋体"/>
                <w:i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F4A8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1228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4C40B">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三级指标</w:t>
            </w:r>
          </w:p>
        </w:tc>
        <w:tc>
          <w:tcPr>
            <w:tcW w:w="1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D222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211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34E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663C95B6">
        <w:tblPrEx>
          <w:shd w:val="clear" w:color="auto" w:fill="auto"/>
          <w:tblCellMar>
            <w:top w:w="0" w:type="dxa"/>
            <w:left w:w="0" w:type="dxa"/>
            <w:bottom w:w="0" w:type="dxa"/>
            <w:right w:w="0" w:type="dxa"/>
          </w:tblCellMar>
        </w:tblPrEx>
        <w:trPr>
          <w:trHeight w:val="54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DCF5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E99A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F22B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05542">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 xml:space="preserve">享受国家助学金的学生 </w:t>
            </w:r>
          </w:p>
        </w:tc>
        <w:tc>
          <w:tcPr>
            <w:tcW w:w="1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4690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=824人</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D29B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824人</w:t>
            </w:r>
          </w:p>
        </w:tc>
        <w:tc>
          <w:tcPr>
            <w:tcW w:w="1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4A522">
            <w:pPr>
              <w:jc w:val="center"/>
              <w:rPr>
                <w:rFonts w:hint="default" w:ascii="宋体" w:hAnsi="宋体" w:eastAsia="宋体" w:cs="宋体"/>
                <w:i w:val="0"/>
                <w:color w:val="000000"/>
                <w:sz w:val="18"/>
                <w:szCs w:val="18"/>
                <w:u w:val="none"/>
                <w:lang w:val="en-US"/>
              </w:rPr>
            </w:pPr>
          </w:p>
        </w:tc>
      </w:tr>
      <w:tr w14:paraId="72C771EA">
        <w:tblPrEx>
          <w:tblCellMar>
            <w:top w:w="0" w:type="dxa"/>
            <w:left w:w="0" w:type="dxa"/>
            <w:bottom w:w="0" w:type="dxa"/>
            <w:right w:w="0" w:type="dxa"/>
          </w:tblCellMar>
        </w:tblPrEx>
        <w:trPr>
          <w:trHeight w:val="54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22AF4">
            <w:pPr>
              <w:jc w:val="center"/>
              <w:rPr>
                <w:rFonts w:hint="eastAsia" w:ascii="宋体" w:hAnsi="宋体" w:eastAsia="宋体" w:cs="宋体"/>
                <w:i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47456">
            <w:pPr>
              <w:jc w:val="center"/>
              <w:rPr>
                <w:rFonts w:hint="eastAsia" w:ascii="宋体" w:hAnsi="宋体" w:eastAsia="宋体" w:cs="宋体"/>
                <w:i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4E9BC">
            <w:pPr>
              <w:jc w:val="center"/>
              <w:rPr>
                <w:rFonts w:hint="eastAsia" w:ascii="宋体" w:hAnsi="宋体" w:eastAsia="宋体" w:cs="宋体"/>
                <w:i w:val="0"/>
                <w:color w:val="000000"/>
                <w:sz w:val="18"/>
                <w:szCs w:val="18"/>
                <w:u w:val="none"/>
              </w:rPr>
            </w:pP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EB3CE">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建档立卡学生数</w:t>
            </w:r>
          </w:p>
        </w:tc>
        <w:tc>
          <w:tcPr>
            <w:tcW w:w="1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2C8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≥55人</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2089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77人</w:t>
            </w:r>
          </w:p>
        </w:tc>
        <w:tc>
          <w:tcPr>
            <w:tcW w:w="1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EAB75">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人漏报学生</w:t>
            </w:r>
          </w:p>
        </w:tc>
      </w:tr>
      <w:tr w14:paraId="4AA0F801">
        <w:tblPrEx>
          <w:tblCellMar>
            <w:top w:w="0" w:type="dxa"/>
            <w:left w:w="0" w:type="dxa"/>
            <w:bottom w:w="0" w:type="dxa"/>
            <w:right w:w="0" w:type="dxa"/>
          </w:tblCellMar>
        </w:tblPrEx>
        <w:trPr>
          <w:trHeight w:val="54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03C63">
            <w:pPr>
              <w:jc w:val="center"/>
              <w:rPr>
                <w:rFonts w:hint="eastAsia" w:ascii="宋体" w:hAnsi="宋体" w:eastAsia="宋体" w:cs="宋体"/>
                <w:i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8FE6F">
            <w:pPr>
              <w:jc w:val="center"/>
              <w:rPr>
                <w:rFonts w:hint="eastAsia" w:ascii="宋体" w:hAnsi="宋体" w:eastAsia="宋体" w:cs="宋体"/>
                <w:i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4D8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22204">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贫困学生覆盖率</w:t>
            </w:r>
          </w:p>
        </w:tc>
        <w:tc>
          <w:tcPr>
            <w:tcW w:w="1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F39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BCB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7FA0C">
            <w:pPr>
              <w:jc w:val="center"/>
              <w:rPr>
                <w:rFonts w:hint="default" w:ascii="宋体" w:hAnsi="宋体" w:eastAsia="宋体" w:cs="宋体"/>
                <w:i w:val="0"/>
                <w:color w:val="000000"/>
                <w:sz w:val="18"/>
                <w:szCs w:val="18"/>
                <w:u w:val="none"/>
                <w:lang w:val="en-US"/>
              </w:rPr>
            </w:pPr>
          </w:p>
        </w:tc>
      </w:tr>
      <w:tr w14:paraId="74366FC6">
        <w:tblPrEx>
          <w:shd w:val="clear" w:color="auto" w:fill="auto"/>
          <w:tblCellMar>
            <w:top w:w="0" w:type="dxa"/>
            <w:left w:w="0" w:type="dxa"/>
            <w:bottom w:w="0" w:type="dxa"/>
            <w:right w:w="0" w:type="dxa"/>
          </w:tblCellMar>
        </w:tblPrEx>
        <w:trPr>
          <w:trHeight w:val="54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B23E3">
            <w:pPr>
              <w:jc w:val="center"/>
              <w:rPr>
                <w:rFonts w:hint="eastAsia" w:ascii="宋体" w:hAnsi="宋体" w:eastAsia="宋体" w:cs="宋体"/>
                <w:i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21AFC">
            <w:pPr>
              <w:jc w:val="center"/>
              <w:rPr>
                <w:rFonts w:hint="eastAsia" w:ascii="宋体" w:hAnsi="宋体" w:eastAsia="宋体" w:cs="宋体"/>
                <w:i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E4FA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043F0">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国家助学金资助金发放及 时率</w:t>
            </w:r>
          </w:p>
        </w:tc>
        <w:tc>
          <w:tcPr>
            <w:tcW w:w="1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59C2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37D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185EA">
            <w:pPr>
              <w:jc w:val="center"/>
              <w:rPr>
                <w:rFonts w:hint="default" w:ascii="宋体" w:hAnsi="宋体" w:eastAsia="宋体" w:cs="宋体"/>
                <w:i w:val="0"/>
                <w:color w:val="000000"/>
                <w:sz w:val="18"/>
                <w:szCs w:val="18"/>
                <w:u w:val="none"/>
                <w:lang w:val="en-US"/>
              </w:rPr>
            </w:pPr>
          </w:p>
        </w:tc>
      </w:tr>
      <w:tr w14:paraId="15250EE2">
        <w:tblPrEx>
          <w:tblCellMar>
            <w:top w:w="0" w:type="dxa"/>
            <w:left w:w="0" w:type="dxa"/>
            <w:bottom w:w="0" w:type="dxa"/>
            <w:right w:w="0" w:type="dxa"/>
          </w:tblCellMar>
        </w:tblPrEx>
        <w:trPr>
          <w:trHeight w:val="54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F27BF">
            <w:pPr>
              <w:jc w:val="center"/>
              <w:rPr>
                <w:rFonts w:hint="eastAsia" w:ascii="宋体" w:hAnsi="宋体" w:eastAsia="宋体" w:cs="宋体"/>
                <w:i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0C553">
            <w:pPr>
              <w:jc w:val="center"/>
              <w:rPr>
                <w:rFonts w:hint="eastAsia" w:ascii="宋体" w:hAnsi="宋体" w:eastAsia="宋体" w:cs="宋体"/>
                <w:i w:val="0"/>
                <w:color w:val="000000"/>
                <w:sz w:val="18"/>
                <w:szCs w:val="18"/>
                <w:u w:val="none"/>
              </w:rPr>
            </w:pP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B846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53087">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生均资助标准（元/学年）</w:t>
            </w:r>
          </w:p>
        </w:tc>
        <w:tc>
          <w:tcPr>
            <w:tcW w:w="1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2925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=2000元</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F40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2000元</w:t>
            </w:r>
          </w:p>
        </w:tc>
        <w:tc>
          <w:tcPr>
            <w:tcW w:w="1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8D2B6">
            <w:pPr>
              <w:jc w:val="center"/>
              <w:rPr>
                <w:rFonts w:hint="default" w:ascii="宋体" w:hAnsi="宋体" w:eastAsia="宋体" w:cs="宋体"/>
                <w:i w:val="0"/>
                <w:color w:val="000000"/>
                <w:sz w:val="18"/>
                <w:szCs w:val="18"/>
                <w:u w:val="none"/>
                <w:lang w:val="en-US"/>
              </w:rPr>
            </w:pPr>
          </w:p>
        </w:tc>
      </w:tr>
      <w:tr w14:paraId="73FE0FC9">
        <w:tblPrEx>
          <w:shd w:val="clear" w:color="auto" w:fill="auto"/>
          <w:tblCellMar>
            <w:top w:w="0" w:type="dxa"/>
            <w:left w:w="0" w:type="dxa"/>
            <w:bottom w:w="0" w:type="dxa"/>
            <w:right w:w="0" w:type="dxa"/>
          </w:tblCellMar>
        </w:tblPrEx>
        <w:trPr>
          <w:trHeight w:val="54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A3826">
            <w:pPr>
              <w:jc w:val="center"/>
              <w:rPr>
                <w:rFonts w:hint="eastAsia" w:ascii="宋体" w:hAnsi="宋体" w:eastAsia="宋体" w:cs="宋体"/>
                <w:i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B32AE">
            <w:pPr>
              <w:jc w:val="center"/>
              <w:rPr>
                <w:rFonts w:hint="eastAsia" w:ascii="宋体" w:hAnsi="宋体" w:eastAsia="宋体" w:cs="宋体"/>
                <w:i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C4241">
            <w:pPr>
              <w:jc w:val="center"/>
              <w:rPr>
                <w:rFonts w:hint="eastAsia" w:ascii="宋体" w:hAnsi="宋体" w:eastAsia="宋体" w:cs="宋体"/>
                <w:i w:val="0"/>
                <w:color w:val="000000"/>
                <w:sz w:val="18"/>
                <w:szCs w:val="18"/>
                <w:u w:val="none"/>
              </w:rPr>
            </w:pP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A788E">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建档立卡免学费标准（元/学年）</w:t>
            </w:r>
          </w:p>
        </w:tc>
        <w:tc>
          <w:tcPr>
            <w:tcW w:w="1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92B3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=1430元</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415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1430元</w:t>
            </w:r>
          </w:p>
        </w:tc>
        <w:tc>
          <w:tcPr>
            <w:tcW w:w="1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846BA">
            <w:pPr>
              <w:jc w:val="center"/>
              <w:rPr>
                <w:rFonts w:hint="default" w:ascii="宋体" w:hAnsi="宋体" w:eastAsia="宋体" w:cs="宋体"/>
                <w:i w:val="0"/>
                <w:color w:val="000000"/>
                <w:sz w:val="18"/>
                <w:szCs w:val="18"/>
                <w:u w:val="none"/>
                <w:lang w:val="en-US"/>
              </w:rPr>
            </w:pPr>
          </w:p>
        </w:tc>
      </w:tr>
      <w:tr w14:paraId="170DB3F1">
        <w:tblPrEx>
          <w:shd w:val="clear" w:color="auto" w:fill="auto"/>
          <w:tblCellMar>
            <w:top w:w="0" w:type="dxa"/>
            <w:left w:w="0" w:type="dxa"/>
            <w:bottom w:w="0" w:type="dxa"/>
            <w:right w:w="0" w:type="dxa"/>
          </w:tblCellMar>
        </w:tblPrEx>
        <w:trPr>
          <w:trHeight w:val="54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F54C4">
            <w:pPr>
              <w:jc w:val="center"/>
              <w:rPr>
                <w:rFonts w:hint="eastAsia" w:ascii="宋体" w:hAnsi="宋体" w:eastAsia="宋体" w:cs="宋体"/>
                <w:i w:val="0"/>
                <w:color w:val="000000"/>
                <w:sz w:val="18"/>
                <w:szCs w:val="18"/>
                <w:u w:val="none"/>
              </w:rPr>
            </w:pP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7915F">
            <w:pPr>
              <w:jc w:val="center"/>
              <w:rPr>
                <w:rFonts w:hint="eastAsia" w:ascii="宋体" w:hAnsi="宋体" w:eastAsia="宋体" w:cs="宋体"/>
                <w:i w:val="0"/>
                <w:color w:val="000000"/>
                <w:sz w:val="18"/>
                <w:szCs w:val="18"/>
                <w:u w:val="none"/>
              </w:rPr>
            </w:pP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8138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47E56">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学生 家长对政策知晓率不断提高</w:t>
            </w:r>
          </w:p>
        </w:tc>
        <w:tc>
          <w:tcPr>
            <w:tcW w:w="1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3F00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有所提高人</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B6FB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有所提高</w:t>
            </w:r>
          </w:p>
        </w:tc>
        <w:tc>
          <w:tcPr>
            <w:tcW w:w="1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73DD2">
            <w:pPr>
              <w:jc w:val="center"/>
              <w:rPr>
                <w:rFonts w:hint="eastAsia" w:ascii="宋体" w:hAnsi="宋体" w:eastAsia="宋体" w:cs="宋体"/>
                <w:i w:val="0"/>
                <w:color w:val="000000"/>
                <w:sz w:val="18"/>
                <w:szCs w:val="18"/>
                <w:u w:val="none"/>
              </w:rPr>
            </w:pPr>
          </w:p>
        </w:tc>
      </w:tr>
      <w:tr w14:paraId="24D0954E">
        <w:tblPrEx>
          <w:shd w:val="clear" w:color="auto" w:fill="auto"/>
          <w:tblCellMar>
            <w:top w:w="0" w:type="dxa"/>
            <w:left w:w="0" w:type="dxa"/>
            <w:bottom w:w="0" w:type="dxa"/>
            <w:right w:w="0" w:type="dxa"/>
          </w:tblCellMar>
        </w:tblPrEx>
        <w:trPr>
          <w:trHeight w:val="54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17BD1">
            <w:pPr>
              <w:jc w:val="center"/>
              <w:rPr>
                <w:rFonts w:hint="eastAsia" w:ascii="宋体" w:hAnsi="宋体" w:eastAsia="宋体" w:cs="宋体"/>
                <w:i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93D9C">
            <w:pPr>
              <w:jc w:val="center"/>
              <w:rPr>
                <w:rFonts w:hint="eastAsia" w:ascii="宋体" w:hAnsi="宋体" w:eastAsia="宋体" w:cs="宋体"/>
                <w:i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C0ED7">
            <w:pPr>
              <w:jc w:val="center"/>
              <w:rPr>
                <w:rFonts w:hint="eastAsia" w:ascii="宋体" w:hAnsi="宋体" w:eastAsia="宋体" w:cs="宋体"/>
                <w:i w:val="0"/>
                <w:color w:val="000000"/>
                <w:sz w:val="18"/>
                <w:szCs w:val="18"/>
                <w:u w:val="none"/>
              </w:rPr>
            </w:pP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F15F6">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家庭困难学生完成学业率</w:t>
            </w:r>
          </w:p>
        </w:tc>
        <w:tc>
          <w:tcPr>
            <w:tcW w:w="1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832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47CA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0D2CE">
            <w:pPr>
              <w:jc w:val="center"/>
              <w:rPr>
                <w:rFonts w:hint="default" w:ascii="宋体" w:hAnsi="宋体" w:eastAsia="宋体" w:cs="宋体"/>
                <w:i w:val="0"/>
                <w:color w:val="000000"/>
                <w:sz w:val="18"/>
                <w:szCs w:val="18"/>
                <w:u w:val="none"/>
                <w:lang w:val="en-US"/>
              </w:rPr>
            </w:pPr>
          </w:p>
        </w:tc>
      </w:tr>
      <w:tr w14:paraId="0E89F871">
        <w:tblPrEx>
          <w:tblCellMar>
            <w:top w:w="0" w:type="dxa"/>
            <w:left w:w="0" w:type="dxa"/>
            <w:bottom w:w="0" w:type="dxa"/>
            <w:right w:w="0" w:type="dxa"/>
          </w:tblCellMar>
        </w:tblPrEx>
        <w:trPr>
          <w:trHeight w:val="54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2184B">
            <w:pPr>
              <w:jc w:val="center"/>
              <w:rPr>
                <w:rFonts w:hint="eastAsia" w:ascii="宋体" w:hAnsi="宋体" w:eastAsia="宋体" w:cs="宋体"/>
                <w:i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4955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6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E128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8EB95">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 xml:space="preserve">享受资助家庭满意度很高　 </w:t>
            </w:r>
          </w:p>
        </w:tc>
        <w:tc>
          <w:tcPr>
            <w:tcW w:w="1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5C03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F34B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12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2C7E4">
            <w:pPr>
              <w:jc w:val="center"/>
              <w:rPr>
                <w:rFonts w:hint="default" w:ascii="宋体" w:hAnsi="宋体" w:eastAsia="宋体" w:cs="宋体"/>
                <w:i w:val="0"/>
                <w:color w:val="000000"/>
                <w:sz w:val="18"/>
                <w:szCs w:val="18"/>
                <w:u w:val="none"/>
                <w:lang w:val="en-US"/>
              </w:rPr>
            </w:pPr>
          </w:p>
        </w:tc>
      </w:tr>
    </w:tbl>
    <w:p w14:paraId="68B044BB">
      <w:pPr>
        <w:pStyle w:val="2"/>
        <w:jc w:val="both"/>
        <w:sectPr>
          <w:pgSz w:w="11906" w:h="16838"/>
          <w:pgMar w:top="1440" w:right="1558" w:bottom="1440" w:left="1800" w:header="851" w:footer="992" w:gutter="0"/>
          <w:cols w:space="425" w:num="1"/>
          <w:docGrid w:type="lines" w:linePitch="312" w:charSpace="0"/>
        </w:sectPr>
      </w:pPr>
    </w:p>
    <w:p w14:paraId="537F3CA0">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20"/>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14:paraId="52E8F7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14:paraId="196CF4D6">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14:paraId="0904401E">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14:paraId="67792E10">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14:paraId="05D86521">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14:paraId="3BDEB482">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14:paraId="0AEB3C86">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1363" w:type="dxa"/>
            <w:shd w:val="clear" w:color="auto" w:fill="FFFFFF"/>
            <w:noWrap w:val="0"/>
            <w:vAlign w:val="center"/>
          </w:tcPr>
          <w:p w14:paraId="19BEC57E">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14:paraId="7FFA7A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14:paraId="4361285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14:paraId="20757FB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14:paraId="526C6B8C">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7" w:type="dxa"/>
            <w:vMerge w:val="restart"/>
            <w:shd w:val="clear" w:color="auto" w:fill="FFFFFF"/>
            <w:noWrap w:val="0"/>
            <w:vAlign w:val="center"/>
          </w:tcPr>
          <w:p w14:paraId="6AA5D06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873" w:type="dxa"/>
            <w:shd w:val="clear" w:color="auto" w:fill="FFFFFF"/>
            <w:noWrap w:val="0"/>
            <w:vAlign w:val="center"/>
          </w:tcPr>
          <w:p w14:paraId="3F0E6E7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14:paraId="280714B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2353" w:type="dxa"/>
            <w:shd w:val="clear" w:color="auto" w:fill="FFFFFF"/>
            <w:noWrap w:val="0"/>
            <w:vAlign w:val="center"/>
          </w:tcPr>
          <w:p w14:paraId="375555E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5188" w:type="dxa"/>
            <w:shd w:val="clear" w:color="auto" w:fill="FFFFFF"/>
            <w:noWrap w:val="0"/>
            <w:vAlign w:val="center"/>
          </w:tcPr>
          <w:p w14:paraId="74D52DED">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1300" w:type="dxa"/>
            <w:shd w:val="clear" w:color="auto" w:fill="FFFFFF"/>
            <w:noWrap w:val="0"/>
            <w:vAlign w:val="center"/>
          </w:tcPr>
          <w:p w14:paraId="4C2CF024">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1363" w:type="dxa"/>
            <w:shd w:val="clear" w:color="auto" w:fill="FFFFFF"/>
            <w:noWrap w:val="0"/>
            <w:vAlign w:val="center"/>
          </w:tcPr>
          <w:p w14:paraId="2BDF4937">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14:paraId="0AEE0D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14:paraId="50321447">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14:paraId="49D1D1B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14:paraId="1918076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14:paraId="147732A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2353" w:type="dxa"/>
            <w:shd w:val="clear" w:color="auto" w:fill="FFFFFF"/>
            <w:noWrap w:val="0"/>
            <w:vAlign w:val="center"/>
          </w:tcPr>
          <w:p w14:paraId="78904C38">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5188" w:type="dxa"/>
            <w:shd w:val="clear" w:color="auto" w:fill="FFFFFF"/>
            <w:noWrap w:val="0"/>
            <w:vAlign w:val="center"/>
          </w:tcPr>
          <w:p w14:paraId="0E2BC44E">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1300" w:type="dxa"/>
            <w:shd w:val="clear" w:color="auto" w:fill="FFFFFF"/>
            <w:noWrap w:val="0"/>
            <w:vAlign w:val="center"/>
          </w:tcPr>
          <w:p w14:paraId="64BDC564">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1363" w:type="dxa"/>
            <w:shd w:val="clear" w:color="auto" w:fill="FFFFFF"/>
            <w:noWrap w:val="0"/>
            <w:vAlign w:val="center"/>
          </w:tcPr>
          <w:p w14:paraId="58CAF32A">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14:paraId="016AE1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14:paraId="7DCC4AA5">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14:paraId="19EE3F3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873" w:type="dxa"/>
            <w:shd w:val="clear" w:color="auto" w:fill="FFFFFF"/>
            <w:noWrap w:val="0"/>
            <w:vAlign w:val="center"/>
          </w:tcPr>
          <w:p w14:paraId="115ACD0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14:paraId="01B9774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000000" w:fill="FFFFFF"/>
            <w:noWrap w:val="0"/>
            <w:vAlign w:val="center"/>
          </w:tcPr>
          <w:p w14:paraId="248871BB">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5188" w:type="dxa"/>
            <w:shd w:val="clear" w:color="000000" w:fill="FFFFFF"/>
            <w:noWrap w:val="0"/>
            <w:vAlign w:val="center"/>
          </w:tcPr>
          <w:p w14:paraId="748C228A">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14:paraId="21B11C8D">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1300" w:type="dxa"/>
            <w:shd w:val="clear" w:color="000000" w:fill="FFFFFF"/>
            <w:noWrap w:val="0"/>
            <w:vAlign w:val="center"/>
          </w:tcPr>
          <w:p w14:paraId="1BCFAC50">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14:paraId="557BA545">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25490E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14:paraId="781CE9D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767" w:type="dxa"/>
            <w:shd w:val="clear" w:color="auto" w:fill="FFFFFF"/>
            <w:noWrap w:val="0"/>
            <w:vAlign w:val="center"/>
          </w:tcPr>
          <w:p w14:paraId="0E98131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873" w:type="dxa"/>
            <w:shd w:val="clear" w:color="auto" w:fill="FFFFFF"/>
            <w:noWrap w:val="0"/>
            <w:vAlign w:val="center"/>
          </w:tcPr>
          <w:p w14:paraId="08645F2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14:paraId="7238EA8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2353" w:type="dxa"/>
            <w:shd w:val="clear" w:color="000000" w:fill="FFFFFF"/>
            <w:noWrap w:val="0"/>
            <w:vAlign w:val="center"/>
          </w:tcPr>
          <w:p w14:paraId="45E5B240">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5188" w:type="dxa"/>
            <w:shd w:val="clear" w:color="000000" w:fill="FFFFFF"/>
            <w:noWrap w:val="0"/>
            <w:vAlign w:val="center"/>
          </w:tcPr>
          <w:p w14:paraId="1A7D0E31">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1300" w:type="dxa"/>
            <w:shd w:val="clear" w:color="000000" w:fill="FFFFFF"/>
            <w:noWrap w:val="0"/>
            <w:vAlign w:val="center"/>
          </w:tcPr>
          <w:p w14:paraId="4DDAFF5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14:paraId="45F219C6">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296DB9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14:paraId="4F3FE5AE">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restart"/>
            <w:shd w:val="clear" w:color="auto" w:fill="FFFFFF"/>
            <w:noWrap w:val="0"/>
            <w:vAlign w:val="center"/>
          </w:tcPr>
          <w:p w14:paraId="307A623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14:paraId="74590885">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14:paraId="0E21B80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14:paraId="4D43E66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2353" w:type="dxa"/>
            <w:shd w:val="clear" w:color="auto" w:fill="FFFFFF"/>
            <w:noWrap w:val="0"/>
            <w:vAlign w:val="center"/>
          </w:tcPr>
          <w:p w14:paraId="521151F6">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14:paraId="49076289">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1300" w:type="dxa"/>
            <w:shd w:val="clear" w:color="auto" w:fill="FFFFFF"/>
            <w:noWrap w:val="0"/>
            <w:vAlign w:val="center"/>
          </w:tcPr>
          <w:p w14:paraId="407AFAFF">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auto" w:fill="FFFFFF"/>
            <w:noWrap w:val="0"/>
            <w:vAlign w:val="center"/>
          </w:tcPr>
          <w:p w14:paraId="21A4929D">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22D213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14:paraId="591B89D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14:paraId="3D15934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14:paraId="4DE497F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14:paraId="065C69B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auto" w:fill="FFFFFF"/>
            <w:noWrap w:val="0"/>
            <w:vAlign w:val="center"/>
          </w:tcPr>
          <w:p w14:paraId="5BE1944E">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14:paraId="49E510CC">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1300" w:type="dxa"/>
            <w:shd w:val="clear" w:color="auto" w:fill="FFFFFF"/>
            <w:noWrap w:val="0"/>
            <w:vAlign w:val="center"/>
          </w:tcPr>
          <w:p w14:paraId="52026216">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auto" w:fill="FFFFFF"/>
            <w:noWrap w:val="0"/>
            <w:vAlign w:val="center"/>
          </w:tcPr>
          <w:p w14:paraId="340DD720">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60595A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14:paraId="2900962A">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767" w:type="dxa"/>
            <w:vMerge w:val="restart"/>
            <w:shd w:val="clear" w:color="auto" w:fill="FFFFFF"/>
            <w:noWrap w:val="0"/>
            <w:vAlign w:val="center"/>
          </w:tcPr>
          <w:p w14:paraId="65E0C9F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14:paraId="3CCFE31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2353" w:type="dxa"/>
            <w:shd w:val="clear" w:color="000000" w:fill="FFFFFF"/>
            <w:noWrap w:val="0"/>
            <w:vAlign w:val="center"/>
          </w:tcPr>
          <w:p w14:paraId="6BD94873">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5188" w:type="dxa"/>
            <w:shd w:val="clear" w:color="000000" w:fill="FFFFFF"/>
            <w:noWrap w:val="0"/>
            <w:vAlign w:val="center"/>
          </w:tcPr>
          <w:p w14:paraId="547D59EB">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14:paraId="694399CE">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14:paraId="7216963F">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1300" w:type="dxa"/>
            <w:shd w:val="clear" w:color="000000" w:fill="FFFFFF"/>
            <w:noWrap w:val="0"/>
            <w:vAlign w:val="center"/>
          </w:tcPr>
          <w:p w14:paraId="70B0A26F">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14:paraId="7D864D13">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7923DA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14:paraId="5BD24312">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14:paraId="7F1F5D51">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14:paraId="0593E23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2353" w:type="dxa"/>
            <w:shd w:val="clear" w:color="auto" w:fill="FFFFFF"/>
            <w:noWrap w:val="0"/>
            <w:vAlign w:val="center"/>
          </w:tcPr>
          <w:p w14:paraId="7FC24B58">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5188" w:type="dxa"/>
            <w:shd w:val="clear" w:color="auto" w:fill="FFFFFF"/>
            <w:noWrap w:val="0"/>
            <w:vAlign w:val="center"/>
          </w:tcPr>
          <w:p w14:paraId="749A3A66">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1300" w:type="dxa"/>
            <w:shd w:val="clear" w:color="auto" w:fill="FFFFFF"/>
            <w:noWrap w:val="0"/>
            <w:vAlign w:val="center"/>
          </w:tcPr>
          <w:p w14:paraId="61B5F190">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auto" w:fill="FFFFFF"/>
            <w:noWrap w:val="0"/>
            <w:vAlign w:val="center"/>
          </w:tcPr>
          <w:p w14:paraId="09258A99">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583389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14:paraId="0129A5F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14:paraId="6577BE00">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767" w:type="dxa"/>
            <w:shd w:val="clear" w:color="auto" w:fill="FFFFFF"/>
            <w:noWrap w:val="0"/>
            <w:vAlign w:val="center"/>
          </w:tcPr>
          <w:p w14:paraId="5EB86E9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14:paraId="7ADFE54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14:paraId="4D4FB42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2353" w:type="dxa"/>
            <w:shd w:val="clear" w:color="000000" w:fill="FFFFFF"/>
            <w:noWrap w:val="0"/>
            <w:vAlign w:val="center"/>
          </w:tcPr>
          <w:p w14:paraId="04ACEE4E">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5188" w:type="dxa"/>
            <w:shd w:val="clear" w:color="000000" w:fill="FFFFFF"/>
            <w:noWrap w:val="0"/>
            <w:vAlign w:val="center"/>
          </w:tcPr>
          <w:p w14:paraId="01A5BC52">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1300" w:type="dxa"/>
            <w:shd w:val="clear" w:color="000000" w:fill="FFFFFF"/>
            <w:noWrap w:val="0"/>
            <w:vAlign w:val="center"/>
          </w:tcPr>
          <w:p w14:paraId="57B090F1">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14:paraId="7FBF56CF">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76FB6C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14:paraId="0C166B2E">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restart"/>
            <w:shd w:val="clear" w:color="auto" w:fill="FFFFFF"/>
            <w:noWrap w:val="0"/>
            <w:vAlign w:val="center"/>
          </w:tcPr>
          <w:p w14:paraId="22E2BFF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14:paraId="3C204950">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14:paraId="6EB96E3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14:paraId="26E452C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2353" w:type="dxa"/>
            <w:shd w:val="clear" w:color="000000" w:fill="FFFFFF"/>
            <w:noWrap w:val="0"/>
            <w:vAlign w:val="center"/>
          </w:tcPr>
          <w:p w14:paraId="6C80CB47">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5188" w:type="dxa"/>
            <w:shd w:val="clear" w:color="000000" w:fill="FFFFFF"/>
            <w:noWrap w:val="0"/>
            <w:vAlign w:val="center"/>
          </w:tcPr>
          <w:p w14:paraId="1542EAEC">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1300" w:type="dxa"/>
            <w:shd w:val="clear" w:color="000000" w:fill="FFFFFF"/>
            <w:noWrap w:val="0"/>
            <w:vAlign w:val="center"/>
          </w:tcPr>
          <w:p w14:paraId="167658BB">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14:paraId="265DE854">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5617D6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14:paraId="244403C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14:paraId="7101E84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14:paraId="182A550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14:paraId="05FE891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2353" w:type="dxa"/>
            <w:shd w:val="clear" w:color="000000" w:fill="FFFFFF"/>
            <w:noWrap w:val="0"/>
            <w:vAlign w:val="center"/>
          </w:tcPr>
          <w:p w14:paraId="061732C7">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5188" w:type="dxa"/>
            <w:shd w:val="clear" w:color="000000" w:fill="FFFFFF"/>
            <w:noWrap w:val="0"/>
            <w:vAlign w:val="center"/>
          </w:tcPr>
          <w:p w14:paraId="7F53F1D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1300" w:type="dxa"/>
            <w:shd w:val="clear" w:color="000000" w:fill="FFFFFF"/>
            <w:noWrap w:val="0"/>
            <w:vAlign w:val="center"/>
          </w:tcPr>
          <w:p w14:paraId="13A0407B">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14:paraId="7086150C">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14:paraId="2E6DDA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14:paraId="3EA08C3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14:paraId="7B5AD35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873" w:type="dxa"/>
            <w:shd w:val="clear" w:color="auto" w:fill="FFFFFF"/>
            <w:noWrap w:val="0"/>
            <w:vAlign w:val="center"/>
          </w:tcPr>
          <w:p w14:paraId="0603C4E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2353" w:type="dxa"/>
            <w:shd w:val="clear" w:color="000000" w:fill="FFFFFF"/>
            <w:noWrap w:val="0"/>
            <w:vAlign w:val="center"/>
          </w:tcPr>
          <w:p w14:paraId="5FBAA8F1">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5188" w:type="dxa"/>
            <w:shd w:val="clear" w:color="000000" w:fill="FFFFFF"/>
            <w:noWrap w:val="0"/>
            <w:vAlign w:val="center"/>
          </w:tcPr>
          <w:p w14:paraId="3BADE2E0">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1300" w:type="dxa"/>
            <w:shd w:val="clear" w:color="000000" w:fill="FFFFFF"/>
            <w:noWrap w:val="0"/>
            <w:vAlign w:val="center"/>
          </w:tcPr>
          <w:p w14:paraId="585746D7">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363" w:type="dxa"/>
            <w:shd w:val="clear" w:color="000000" w:fill="FFFFFF"/>
            <w:noWrap w:val="0"/>
            <w:vAlign w:val="center"/>
          </w:tcPr>
          <w:p w14:paraId="6E9B7E64">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14:paraId="7E539B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14:paraId="69125DA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14:paraId="2D2EC71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873" w:type="dxa"/>
            <w:shd w:val="clear" w:color="auto" w:fill="FFFFFF"/>
            <w:noWrap w:val="0"/>
            <w:vAlign w:val="center"/>
          </w:tcPr>
          <w:p w14:paraId="55B4B24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2353" w:type="dxa"/>
            <w:shd w:val="clear" w:color="000000" w:fill="FFFFFF"/>
            <w:noWrap w:val="0"/>
            <w:vAlign w:val="center"/>
          </w:tcPr>
          <w:p w14:paraId="3E3C6C4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5188" w:type="dxa"/>
            <w:shd w:val="clear" w:color="000000" w:fill="FFFFFF"/>
            <w:noWrap w:val="0"/>
            <w:vAlign w:val="center"/>
          </w:tcPr>
          <w:p w14:paraId="7984512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14:paraId="0BEE22CD">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14:paraId="4AE9A5A6">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63" w:type="dxa"/>
            <w:shd w:val="clear" w:color="000000" w:fill="FFFFFF"/>
            <w:noWrap w:val="0"/>
            <w:vAlign w:val="center"/>
          </w:tcPr>
          <w:p w14:paraId="0EA7F7AF">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6.67</w:t>
            </w:r>
          </w:p>
        </w:tc>
      </w:tr>
      <w:tr w14:paraId="741BB1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14:paraId="50BCACA5">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14:paraId="2AD09D47">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873" w:type="dxa"/>
            <w:shd w:val="clear" w:color="auto" w:fill="FFFFFF"/>
            <w:noWrap w:val="0"/>
            <w:vAlign w:val="center"/>
          </w:tcPr>
          <w:p w14:paraId="69635B5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2353" w:type="dxa"/>
            <w:shd w:val="clear" w:color="000000" w:fill="FFFFFF"/>
            <w:noWrap w:val="0"/>
            <w:vAlign w:val="center"/>
          </w:tcPr>
          <w:p w14:paraId="148C5BB6">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5188" w:type="dxa"/>
            <w:shd w:val="clear" w:color="000000" w:fill="FFFFFF"/>
            <w:noWrap w:val="0"/>
            <w:vAlign w:val="center"/>
          </w:tcPr>
          <w:p w14:paraId="4FFC35A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1300" w:type="dxa"/>
            <w:shd w:val="clear" w:color="000000" w:fill="FFFFFF"/>
            <w:noWrap w:val="0"/>
            <w:vAlign w:val="center"/>
          </w:tcPr>
          <w:p w14:paraId="50D6FF30">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363" w:type="dxa"/>
            <w:shd w:val="clear" w:color="000000" w:fill="FFFFFF"/>
            <w:noWrap w:val="0"/>
            <w:vAlign w:val="center"/>
          </w:tcPr>
          <w:p w14:paraId="150212F1">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14:paraId="02C3C6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14:paraId="08568AF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14:paraId="4513A41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873" w:type="dxa"/>
            <w:shd w:val="clear" w:color="auto" w:fill="FFFFFF"/>
            <w:noWrap w:val="0"/>
            <w:vAlign w:val="center"/>
          </w:tcPr>
          <w:p w14:paraId="084EBB0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2353" w:type="dxa"/>
            <w:shd w:val="clear" w:color="000000" w:fill="FFFFFF"/>
            <w:noWrap w:val="0"/>
            <w:vAlign w:val="center"/>
          </w:tcPr>
          <w:p w14:paraId="052505FE">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5188" w:type="dxa"/>
            <w:shd w:val="clear" w:color="000000" w:fill="FFFFFF"/>
            <w:noWrap w:val="0"/>
            <w:vAlign w:val="center"/>
          </w:tcPr>
          <w:p w14:paraId="7FF8F344">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1300" w:type="dxa"/>
            <w:shd w:val="clear" w:color="000000" w:fill="FFFFFF"/>
            <w:noWrap w:val="0"/>
            <w:vAlign w:val="center"/>
          </w:tcPr>
          <w:p w14:paraId="7A0BE3A4">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63" w:type="dxa"/>
            <w:shd w:val="clear" w:color="000000" w:fill="FFFFFF"/>
            <w:noWrap w:val="0"/>
            <w:vAlign w:val="center"/>
          </w:tcPr>
          <w:p w14:paraId="01E31EED">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14:paraId="2FE9E0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14:paraId="67B68C7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767" w:type="dxa"/>
            <w:vMerge w:val="restart"/>
            <w:shd w:val="clear" w:color="auto" w:fill="FFFFFF"/>
            <w:noWrap w:val="0"/>
            <w:vAlign w:val="center"/>
          </w:tcPr>
          <w:p w14:paraId="6C9D3AB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873" w:type="dxa"/>
            <w:shd w:val="clear" w:color="auto" w:fill="FFFFFF"/>
            <w:noWrap w:val="0"/>
            <w:vAlign w:val="center"/>
          </w:tcPr>
          <w:p w14:paraId="423E7F1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2353" w:type="dxa"/>
            <w:shd w:val="clear" w:color="auto" w:fill="FFFFFF"/>
            <w:noWrap w:val="0"/>
            <w:vAlign w:val="center"/>
          </w:tcPr>
          <w:p w14:paraId="25203AF8">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5188" w:type="dxa"/>
            <w:shd w:val="clear" w:color="auto" w:fill="FFFFFF"/>
            <w:noWrap w:val="0"/>
            <w:vAlign w:val="center"/>
          </w:tcPr>
          <w:p w14:paraId="5BD94B61">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1300" w:type="dxa"/>
            <w:shd w:val="clear" w:color="auto" w:fill="FFFFFF"/>
            <w:noWrap w:val="0"/>
            <w:vAlign w:val="center"/>
          </w:tcPr>
          <w:p w14:paraId="0D7108D0">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c>
          <w:tcPr>
            <w:tcW w:w="1363" w:type="dxa"/>
            <w:shd w:val="clear" w:color="auto" w:fill="FFFFFF"/>
            <w:noWrap w:val="0"/>
            <w:vAlign w:val="center"/>
          </w:tcPr>
          <w:p w14:paraId="4B1F97B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r>
      <w:tr w14:paraId="628F96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14:paraId="41DA9FA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14:paraId="5B3383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14:paraId="1C29A7D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2353" w:type="dxa"/>
            <w:shd w:val="clear" w:color="000000" w:fill="FFFFFF"/>
            <w:noWrap w:val="0"/>
            <w:vAlign w:val="center"/>
          </w:tcPr>
          <w:p w14:paraId="16A9A939">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5188" w:type="dxa"/>
            <w:shd w:val="clear" w:color="000000" w:fill="FFFFFF"/>
            <w:noWrap w:val="0"/>
            <w:vAlign w:val="center"/>
          </w:tcPr>
          <w:p w14:paraId="22A928B9">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1300" w:type="dxa"/>
            <w:shd w:val="clear" w:color="000000" w:fill="FFFFFF"/>
            <w:noWrap w:val="0"/>
            <w:vAlign w:val="center"/>
          </w:tcPr>
          <w:p w14:paraId="230FC2E9">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63" w:type="dxa"/>
            <w:shd w:val="clear" w:color="000000" w:fill="FFFFFF"/>
            <w:noWrap w:val="0"/>
            <w:vAlign w:val="center"/>
          </w:tcPr>
          <w:p w14:paraId="4482A0A8">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bl>
    <w:p w14:paraId="6332B6D2">
      <w:pPr>
        <w:keepNext w:val="0"/>
        <w:keepLines w:val="0"/>
        <w:pageBreakBefore w:val="0"/>
        <w:kinsoku/>
        <w:wordWrap/>
        <w:overflowPunct/>
        <w:topLinePunct w:val="0"/>
        <w:autoSpaceDE/>
        <w:autoSpaceDN/>
        <w:bidi w:val="0"/>
        <w:adjustRightInd/>
        <w:snapToGrid/>
        <w:spacing w:line="560" w:lineRule="exact"/>
        <w:textAlignment w:val="auto"/>
        <w:rPr>
          <w:rStyle w:val="22"/>
          <w:rFonts w:hint="eastAsia" w:ascii="宋体" w:hAnsi="宋体" w:eastAsia="宋体" w:cs="宋体"/>
          <w:b w:val="0"/>
          <w:spacing w:val="-4"/>
          <w:sz w:val="18"/>
          <w:szCs w:val="18"/>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7497575-25EF-4513-B676-FE92CC6F27B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2" w:fontKey="{8B533CFA-7530-491D-81DB-9571EA4C3147}"/>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3" w:fontKey="{5E900D5B-C34E-4660-AFE1-AC252C42DD7A}"/>
  </w:font>
  <w:font w:name="方正小标宋简体">
    <w:panose1 w:val="02000000000000000000"/>
    <w:charset w:val="86"/>
    <w:family w:val="auto"/>
    <w:pitch w:val="default"/>
    <w:sig w:usb0="00000001" w:usb1="08000000" w:usb2="00000000" w:usb3="00000000" w:csb0="00040000" w:csb1="00000000"/>
    <w:embedRegular r:id="rId4" w:fontKey="{2198469A-26C3-4DE2-98EA-BCCB482718F4}"/>
  </w:font>
  <w:font w:name="楷体_GB2312">
    <w:altName w:val="楷体"/>
    <w:panose1 w:val="00000000000000000000"/>
    <w:charset w:val="86"/>
    <w:family w:val="auto"/>
    <w:pitch w:val="default"/>
    <w:sig w:usb0="00000000" w:usb1="00000000" w:usb2="00000000" w:usb3="00000000" w:csb0="00040000" w:csb1="00000000"/>
    <w:embedRegular r:id="rId5" w:fontKey="{0352BAAD-2BB7-46EC-9E51-54385C8128A6}"/>
  </w:font>
  <w:font w:name="楷体">
    <w:panose1 w:val="02010609060101010101"/>
    <w:charset w:val="86"/>
    <w:family w:val="auto"/>
    <w:pitch w:val="default"/>
    <w:sig w:usb0="800002BF" w:usb1="38CF7CFA" w:usb2="00000016" w:usb3="00000000" w:csb0="00040001" w:csb1="00000000"/>
    <w:embedRegular r:id="rId6" w:fontKey="{0F234236-F1D3-455E-824C-5CED4552B42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3E94372">
        <w:pPr>
          <w:pStyle w:val="15"/>
          <w:jc w:val="center"/>
        </w:pPr>
        <w:r>
          <w:fldChar w:fldCharType="begin"/>
        </w:r>
        <w:r>
          <w:instrText xml:space="preserve">PAGE   \* MERGEFORMAT</w:instrText>
        </w:r>
        <w:r>
          <w:fldChar w:fldCharType="separate"/>
        </w:r>
        <w:r>
          <w:rPr>
            <w:lang w:val="zh-CN"/>
          </w:rPr>
          <w:t>2</w:t>
        </w:r>
        <w:r>
          <w:fldChar w:fldCharType="end"/>
        </w:r>
      </w:p>
    </w:sdtContent>
  </w:sdt>
  <w:p w14:paraId="1C41E52A">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AB960680"/>
    <w:multiLevelType w:val="singleLevel"/>
    <w:tmpl w:val="AB960680"/>
    <w:lvl w:ilvl="0" w:tentative="0">
      <w:start w:val="1"/>
      <w:numFmt w:val="decimal"/>
      <w:suff w:val="nothing"/>
      <w:lvlText w:val="%1、"/>
      <w:lvlJc w:val="left"/>
    </w:lvl>
  </w:abstractNum>
  <w:abstractNum w:abstractNumId="2">
    <w:nsid w:val="DEF60FE1"/>
    <w:multiLevelType w:val="singleLevel"/>
    <w:tmpl w:val="DEF60FE1"/>
    <w:lvl w:ilvl="0" w:tentative="0">
      <w:start w:val="1"/>
      <w:numFmt w:val="decimal"/>
      <w:suff w:val="nothing"/>
      <w:lvlText w:val="（%1）"/>
      <w:lvlJc w:val="left"/>
    </w:lvl>
  </w:abstractNum>
  <w:abstractNum w:abstractNumId="3">
    <w:nsid w:val="EE5C6BF8"/>
    <w:multiLevelType w:val="singleLevel"/>
    <w:tmpl w:val="EE5C6BF8"/>
    <w:lvl w:ilvl="0" w:tentative="0">
      <w:start w:val="2"/>
      <w:numFmt w:val="decimal"/>
      <w:suff w:val="nothing"/>
      <w:lvlText w:val="%1、"/>
      <w:lvlJc w:val="left"/>
    </w:lvl>
  </w:abstractNum>
  <w:abstractNum w:abstractNumId="4">
    <w:nsid w:val="FF4BB6DE"/>
    <w:multiLevelType w:val="singleLevel"/>
    <w:tmpl w:val="FF4BB6DE"/>
    <w:lvl w:ilvl="0" w:tentative="0">
      <w:start w:val="1"/>
      <w:numFmt w:val="decimal"/>
      <w:suff w:val="nothing"/>
      <w:lvlText w:val="%1、"/>
      <w:lvlJc w:val="left"/>
    </w:lvl>
  </w:abstractNum>
  <w:abstractNum w:abstractNumId="5">
    <w:nsid w:val="FF9379A8"/>
    <w:multiLevelType w:val="singleLevel"/>
    <w:tmpl w:val="FF9379A8"/>
    <w:lvl w:ilvl="0" w:tentative="0">
      <w:start w:val="2"/>
      <w:numFmt w:val="chineseCounting"/>
      <w:suff w:val="nothing"/>
      <w:lvlText w:val="（%1）"/>
      <w:lvlJc w:val="left"/>
      <w:rPr>
        <w:rFonts w:hint="eastAsia"/>
      </w:rPr>
    </w:lvl>
  </w:abstractNum>
  <w:abstractNum w:abstractNumId="6">
    <w:nsid w:val="116B29BF"/>
    <w:multiLevelType w:val="singleLevel"/>
    <w:tmpl w:val="116B29BF"/>
    <w:lvl w:ilvl="0" w:tentative="0">
      <w:start w:val="3"/>
      <w:numFmt w:val="chineseCounting"/>
      <w:suff w:val="nothing"/>
      <w:lvlText w:val="%1、"/>
      <w:lvlJc w:val="left"/>
      <w:rPr>
        <w:rFonts w:hint="eastAsia"/>
      </w:rPr>
    </w:lvl>
  </w:abstractNum>
  <w:num w:numId="1">
    <w:abstractNumId w:val="3"/>
  </w:num>
  <w:num w:numId="2">
    <w:abstractNumId w:val="2"/>
  </w:num>
  <w:num w:numId="3">
    <w:abstractNumId w:val="6"/>
  </w:num>
  <w:num w:numId="4">
    <w:abstractNumId w:val="5"/>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4A59B8"/>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24B4193"/>
    <w:rsid w:val="02C85BD8"/>
    <w:rsid w:val="02F83D87"/>
    <w:rsid w:val="03193145"/>
    <w:rsid w:val="03DB1182"/>
    <w:rsid w:val="042C25CB"/>
    <w:rsid w:val="051A56F5"/>
    <w:rsid w:val="053158B4"/>
    <w:rsid w:val="05E46776"/>
    <w:rsid w:val="066D6EAA"/>
    <w:rsid w:val="06985A5B"/>
    <w:rsid w:val="08C662D4"/>
    <w:rsid w:val="09BD4D95"/>
    <w:rsid w:val="0AA2147D"/>
    <w:rsid w:val="0AB41490"/>
    <w:rsid w:val="0AD7064B"/>
    <w:rsid w:val="0C5C35D9"/>
    <w:rsid w:val="0C795489"/>
    <w:rsid w:val="0D38434A"/>
    <w:rsid w:val="0E995646"/>
    <w:rsid w:val="0EBB5AFA"/>
    <w:rsid w:val="0F4224C1"/>
    <w:rsid w:val="0F6117D1"/>
    <w:rsid w:val="0F8D41CB"/>
    <w:rsid w:val="0FD7633B"/>
    <w:rsid w:val="103972A3"/>
    <w:rsid w:val="11012BBE"/>
    <w:rsid w:val="11466D80"/>
    <w:rsid w:val="11A05FF6"/>
    <w:rsid w:val="11C75270"/>
    <w:rsid w:val="12430823"/>
    <w:rsid w:val="12637CC3"/>
    <w:rsid w:val="12E657C5"/>
    <w:rsid w:val="13743EB8"/>
    <w:rsid w:val="13E03D6F"/>
    <w:rsid w:val="148E6685"/>
    <w:rsid w:val="15030C47"/>
    <w:rsid w:val="15480934"/>
    <w:rsid w:val="15EC3FCD"/>
    <w:rsid w:val="167C7687"/>
    <w:rsid w:val="168B3546"/>
    <w:rsid w:val="17195F82"/>
    <w:rsid w:val="179071F1"/>
    <w:rsid w:val="17F339D4"/>
    <w:rsid w:val="182604B9"/>
    <w:rsid w:val="19D2520D"/>
    <w:rsid w:val="1A2374E0"/>
    <w:rsid w:val="1AFD07F1"/>
    <w:rsid w:val="1B063705"/>
    <w:rsid w:val="1B8271B3"/>
    <w:rsid w:val="1C317CE2"/>
    <w:rsid w:val="1D6C15BE"/>
    <w:rsid w:val="1DD45808"/>
    <w:rsid w:val="1DD90078"/>
    <w:rsid w:val="1DED42AC"/>
    <w:rsid w:val="1F327C94"/>
    <w:rsid w:val="1F4008BB"/>
    <w:rsid w:val="1F6F28F5"/>
    <w:rsid w:val="1FB7780B"/>
    <w:rsid w:val="20005763"/>
    <w:rsid w:val="20516248"/>
    <w:rsid w:val="20D11CD2"/>
    <w:rsid w:val="20FB313D"/>
    <w:rsid w:val="21AA1283"/>
    <w:rsid w:val="21E26490"/>
    <w:rsid w:val="220B4804"/>
    <w:rsid w:val="22EB41D1"/>
    <w:rsid w:val="24154471"/>
    <w:rsid w:val="245F2F47"/>
    <w:rsid w:val="27FF4A51"/>
    <w:rsid w:val="282475E3"/>
    <w:rsid w:val="29114FA3"/>
    <w:rsid w:val="298F47C5"/>
    <w:rsid w:val="2A6711C8"/>
    <w:rsid w:val="2AED5EB3"/>
    <w:rsid w:val="2B1E1C1D"/>
    <w:rsid w:val="2B4F64C9"/>
    <w:rsid w:val="2B615526"/>
    <w:rsid w:val="2C6100C1"/>
    <w:rsid w:val="2F4E5321"/>
    <w:rsid w:val="314955FC"/>
    <w:rsid w:val="321A064C"/>
    <w:rsid w:val="3264220D"/>
    <w:rsid w:val="32C664C5"/>
    <w:rsid w:val="32EC64BC"/>
    <w:rsid w:val="34663048"/>
    <w:rsid w:val="35B364E6"/>
    <w:rsid w:val="37CD4837"/>
    <w:rsid w:val="3875264A"/>
    <w:rsid w:val="39216987"/>
    <w:rsid w:val="3963178C"/>
    <w:rsid w:val="3AF126ED"/>
    <w:rsid w:val="3B52707C"/>
    <w:rsid w:val="3BED4659"/>
    <w:rsid w:val="3D571A3C"/>
    <w:rsid w:val="3EC639DE"/>
    <w:rsid w:val="3F2F209A"/>
    <w:rsid w:val="3F9227AB"/>
    <w:rsid w:val="3FFC6F4E"/>
    <w:rsid w:val="412934CA"/>
    <w:rsid w:val="41CC2676"/>
    <w:rsid w:val="421B1CA8"/>
    <w:rsid w:val="438B0978"/>
    <w:rsid w:val="466B2E5F"/>
    <w:rsid w:val="46B21672"/>
    <w:rsid w:val="48104523"/>
    <w:rsid w:val="48C23E20"/>
    <w:rsid w:val="4A4E61A7"/>
    <w:rsid w:val="4A646E7E"/>
    <w:rsid w:val="4D2628F7"/>
    <w:rsid w:val="4DD27732"/>
    <w:rsid w:val="4E4D459B"/>
    <w:rsid w:val="4EC63515"/>
    <w:rsid w:val="4F552460"/>
    <w:rsid w:val="4FC1531C"/>
    <w:rsid w:val="4FCC6863"/>
    <w:rsid w:val="500A214A"/>
    <w:rsid w:val="50602F19"/>
    <w:rsid w:val="522D604D"/>
    <w:rsid w:val="5297585E"/>
    <w:rsid w:val="52AD7D6F"/>
    <w:rsid w:val="54295424"/>
    <w:rsid w:val="544A12E3"/>
    <w:rsid w:val="54BA574B"/>
    <w:rsid w:val="5549519D"/>
    <w:rsid w:val="5557596B"/>
    <w:rsid w:val="55B042B4"/>
    <w:rsid w:val="56573DD4"/>
    <w:rsid w:val="579F6C41"/>
    <w:rsid w:val="593B555F"/>
    <w:rsid w:val="59464B37"/>
    <w:rsid w:val="59D55C57"/>
    <w:rsid w:val="5AB048B8"/>
    <w:rsid w:val="5B1A15A0"/>
    <w:rsid w:val="5B596DFC"/>
    <w:rsid w:val="5D66462D"/>
    <w:rsid w:val="5DF03945"/>
    <w:rsid w:val="5DF34A52"/>
    <w:rsid w:val="5FAC078B"/>
    <w:rsid w:val="637C2815"/>
    <w:rsid w:val="63AA3F9A"/>
    <w:rsid w:val="64A50C16"/>
    <w:rsid w:val="64FD03A3"/>
    <w:rsid w:val="65327E4A"/>
    <w:rsid w:val="668C30D4"/>
    <w:rsid w:val="669E70AF"/>
    <w:rsid w:val="68611183"/>
    <w:rsid w:val="687B0872"/>
    <w:rsid w:val="6BED4A86"/>
    <w:rsid w:val="70F91E80"/>
    <w:rsid w:val="743A3E0C"/>
    <w:rsid w:val="754576DF"/>
    <w:rsid w:val="758B388A"/>
    <w:rsid w:val="7656076A"/>
    <w:rsid w:val="76AF21CA"/>
    <w:rsid w:val="76B943AB"/>
    <w:rsid w:val="779B10F5"/>
    <w:rsid w:val="77B645C0"/>
    <w:rsid w:val="78F74BCA"/>
    <w:rsid w:val="7A353D0B"/>
    <w:rsid w:val="7A9C7222"/>
    <w:rsid w:val="7C8A7E2C"/>
    <w:rsid w:val="7CA148F0"/>
    <w:rsid w:val="7D3A5E2F"/>
    <w:rsid w:val="7DC96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alloon Text"/>
    <w:basedOn w:val="1"/>
    <w:link w:val="49"/>
    <w:semiHidden/>
    <w:unhideWhenUsed/>
    <w:qFormat/>
    <w:uiPriority w:val="99"/>
    <w:rPr>
      <w:sz w:val="18"/>
      <w:szCs w:val="18"/>
    </w:rPr>
  </w:style>
  <w:style w:type="paragraph" w:styleId="15">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9">
    <w:name w:val="Body Text First Indent"/>
    <w:basedOn w:val="13"/>
    <w:qFormat/>
    <w:uiPriority w:val="0"/>
    <w:pPr>
      <w:spacing w:after="0"/>
      <w:ind w:firstLine="20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3"/>
    <w:qFormat/>
    <w:uiPriority w:val="9"/>
    <w:rPr>
      <w:rFonts w:asciiTheme="majorHAnsi" w:hAnsiTheme="majorHAnsi" w:eastAsiaTheme="majorEastAsia"/>
      <w:b/>
      <w:bCs/>
      <w:kern w:val="32"/>
      <w:sz w:val="32"/>
      <w:szCs w:val="32"/>
    </w:rPr>
  </w:style>
  <w:style w:type="character" w:customStyle="1" w:styleId="25">
    <w:name w:val="标题 2 字符"/>
    <w:basedOn w:val="21"/>
    <w:link w:val="4"/>
    <w:semiHidden/>
    <w:qFormat/>
    <w:uiPriority w:val="9"/>
    <w:rPr>
      <w:rFonts w:asciiTheme="majorHAnsi" w:hAnsiTheme="majorHAnsi" w:eastAsiaTheme="majorEastAsia"/>
      <w:b/>
      <w:bCs/>
      <w:i/>
      <w:iCs/>
      <w:sz w:val="28"/>
      <w:szCs w:val="28"/>
    </w:rPr>
  </w:style>
  <w:style w:type="character" w:customStyle="1" w:styleId="26">
    <w:name w:val="标题 3 字符"/>
    <w:basedOn w:val="21"/>
    <w:link w:val="5"/>
    <w:semiHidden/>
    <w:qFormat/>
    <w:uiPriority w:val="9"/>
    <w:rPr>
      <w:rFonts w:asciiTheme="majorHAnsi" w:hAnsiTheme="majorHAnsi" w:eastAsiaTheme="majorEastAsia"/>
      <w:b/>
      <w:bCs/>
      <w:sz w:val="26"/>
      <w:szCs w:val="26"/>
    </w:rPr>
  </w:style>
  <w:style w:type="character" w:customStyle="1" w:styleId="27">
    <w:name w:val="标题 4 字符"/>
    <w:basedOn w:val="21"/>
    <w:link w:val="6"/>
    <w:semiHidden/>
    <w:qFormat/>
    <w:uiPriority w:val="9"/>
    <w:rPr>
      <w:b/>
      <w:bCs/>
      <w:sz w:val="28"/>
      <w:szCs w:val="28"/>
    </w:rPr>
  </w:style>
  <w:style w:type="character" w:customStyle="1" w:styleId="28">
    <w:name w:val="标题 5 字符"/>
    <w:basedOn w:val="21"/>
    <w:link w:val="7"/>
    <w:semiHidden/>
    <w:qFormat/>
    <w:uiPriority w:val="9"/>
    <w:rPr>
      <w:b/>
      <w:bCs/>
      <w:i/>
      <w:iCs/>
      <w:sz w:val="26"/>
      <w:szCs w:val="26"/>
    </w:rPr>
  </w:style>
  <w:style w:type="character" w:customStyle="1" w:styleId="29">
    <w:name w:val="标题 6 字符"/>
    <w:basedOn w:val="21"/>
    <w:link w:val="8"/>
    <w:semiHidden/>
    <w:qFormat/>
    <w:uiPriority w:val="9"/>
    <w:rPr>
      <w:b/>
      <w:bCs/>
    </w:rPr>
  </w:style>
  <w:style w:type="character" w:customStyle="1" w:styleId="30">
    <w:name w:val="标题 7 字符"/>
    <w:basedOn w:val="21"/>
    <w:link w:val="9"/>
    <w:semiHidden/>
    <w:qFormat/>
    <w:uiPriority w:val="9"/>
    <w:rPr>
      <w:sz w:val="24"/>
      <w:szCs w:val="24"/>
    </w:rPr>
  </w:style>
  <w:style w:type="character" w:customStyle="1" w:styleId="31">
    <w:name w:val="标题 8 字符"/>
    <w:basedOn w:val="21"/>
    <w:link w:val="10"/>
    <w:semiHidden/>
    <w:qFormat/>
    <w:uiPriority w:val="9"/>
    <w:rPr>
      <w:i/>
      <w:iCs/>
      <w:sz w:val="24"/>
      <w:szCs w:val="24"/>
    </w:rPr>
  </w:style>
  <w:style w:type="character" w:customStyle="1" w:styleId="32">
    <w:name w:val="标题 9 字符"/>
    <w:basedOn w:val="21"/>
    <w:link w:val="11"/>
    <w:semiHidden/>
    <w:qFormat/>
    <w:uiPriority w:val="9"/>
    <w:rPr>
      <w:rFonts w:asciiTheme="majorHAnsi" w:hAnsiTheme="majorHAnsi" w:eastAsiaTheme="majorEastAsia"/>
    </w:rPr>
  </w:style>
  <w:style w:type="character" w:customStyle="1" w:styleId="33">
    <w:name w:val="标题 字符"/>
    <w:basedOn w:val="21"/>
    <w:link w:val="2"/>
    <w:qFormat/>
    <w:uiPriority w:val="10"/>
    <w:rPr>
      <w:rFonts w:asciiTheme="majorHAnsi" w:hAnsiTheme="majorHAnsi" w:eastAsiaTheme="majorEastAsia"/>
      <w:b/>
      <w:bCs/>
      <w:kern w:val="28"/>
      <w:sz w:val="32"/>
      <w:szCs w:val="32"/>
    </w:rPr>
  </w:style>
  <w:style w:type="character" w:customStyle="1" w:styleId="34">
    <w:name w:val="副标题 字符"/>
    <w:basedOn w:val="21"/>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1"/>
    <w:link w:val="16"/>
    <w:qFormat/>
    <w:uiPriority w:val="99"/>
    <w:rPr>
      <w:rFonts w:ascii="Calibri" w:hAnsi="Calibri" w:eastAsia="宋体"/>
      <w:kern w:val="2"/>
      <w:sz w:val="18"/>
      <w:szCs w:val="18"/>
    </w:rPr>
  </w:style>
  <w:style w:type="character" w:customStyle="1" w:styleId="48">
    <w:name w:val="页脚 字符"/>
    <w:basedOn w:val="21"/>
    <w:link w:val="15"/>
    <w:qFormat/>
    <w:uiPriority w:val="99"/>
    <w:rPr>
      <w:rFonts w:ascii="Calibri" w:hAnsi="Calibri" w:eastAsia="宋体"/>
      <w:kern w:val="2"/>
      <w:sz w:val="18"/>
      <w:szCs w:val="18"/>
    </w:rPr>
  </w:style>
  <w:style w:type="character" w:customStyle="1" w:styleId="49">
    <w:name w:val="批注框文本 字符"/>
    <w:basedOn w:val="21"/>
    <w:link w:val="14"/>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10278</Words>
  <Characters>10870</Characters>
  <Lines>63</Lines>
  <Paragraphs>17</Paragraphs>
  <TotalTime>8</TotalTime>
  <ScaleCrop>false</ScaleCrop>
  <LinksUpToDate>false</LinksUpToDate>
  <CharactersWithSpaces>10917</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周而</cp:lastModifiedBy>
  <cp:lastPrinted>2019-12-31T08:02:00Z</cp:lastPrinted>
  <dcterms:modified xsi:type="dcterms:W3CDTF">2025-09-03T12:11:11Z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10A6AC0F7DFB45F0834F0D29624EA89B</vt:lpwstr>
  </property>
  <property fmtid="{D5CDD505-2E9C-101B-9397-08002B2CF9AE}" pid="4" name="KSOSaveFontToCloudKey">
    <vt:lpwstr>462561243_btnclosed</vt:lpwstr>
  </property>
  <property fmtid="{D5CDD505-2E9C-101B-9397-08002B2CF9AE}" pid="5" name="KSOTemplateDocerSaveRecord">
    <vt:lpwstr>eyJoZGlkIjoiN2VjMGM4YTNmZTY1NDFjMWFjNmVmZmU0NDA2ZTk0ZmMiLCJ1c2VySWQiOiI4NjI1NDMxNDkifQ==</vt:lpwstr>
  </property>
</Properties>
</file>