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4"/>
          <w:szCs w:val="44"/>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eastAsia="zh-CN"/>
        </w:rPr>
        <w:t>彩票市场业务费</w:t>
      </w:r>
      <w:r>
        <w:rPr>
          <w:rFonts w:hint="eastAsia" w:ascii="方正小标宋简体" w:hAnsi="方正小标宋简体" w:eastAsia="方正小标宋简体" w:cs="方正小标宋简体"/>
          <w:kern w:val="0"/>
          <w:sz w:val="44"/>
          <w:szCs w:val="44"/>
        </w:rPr>
        <w:t>资金项目</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1080" w:firstLineChars="300"/>
        <w:jc w:val="both"/>
        <w:rPr>
          <w:rFonts w:hint="default"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彩票市场业务费</w:t>
      </w:r>
    </w:p>
    <w:p>
      <w:pPr>
        <w:spacing w:line="700" w:lineRule="exact"/>
        <w:ind w:firstLine="720" w:firstLineChars="200"/>
        <w:jc w:val="center"/>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塔城地区福利彩票发行中心</w:t>
      </w:r>
    </w:p>
    <w:p>
      <w:pPr>
        <w:spacing w:line="700" w:lineRule="exact"/>
        <w:ind w:firstLine="1080" w:firstLineChars="300"/>
        <w:jc w:val="both"/>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塔城地区民政局</w:t>
      </w:r>
    </w:p>
    <w:p>
      <w:pPr>
        <w:spacing w:line="700" w:lineRule="exact"/>
        <w:ind w:firstLine="1080" w:firstLineChars="300"/>
        <w:jc w:val="both"/>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汪巧荣</w:t>
      </w:r>
    </w:p>
    <w:p>
      <w:pPr>
        <w:spacing w:line="700" w:lineRule="exact"/>
        <w:ind w:firstLine="1080" w:firstLineChars="300"/>
        <w:jc w:val="both"/>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spacing w:line="540" w:lineRule="exact"/>
        <w:rPr>
          <w:rStyle w:val="20"/>
          <w:rFonts w:ascii="黑体" w:hAnsi="黑体" w:eastAsia="黑体"/>
          <w:b w:val="0"/>
          <w:spacing w:val="-4"/>
          <w:sz w:val="32"/>
          <w:szCs w:val="32"/>
        </w:rPr>
      </w:pPr>
    </w:p>
    <w:p>
      <w:pPr>
        <w:pageBreakBefore w:val="0"/>
        <w:kinsoku/>
        <w:wordWrap/>
        <w:overflowPunct/>
        <w:topLinePunct w:val="0"/>
        <w:autoSpaceDE/>
        <w:autoSpaceDN/>
        <w:bidi w:val="0"/>
        <w:adjustRightIn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keepNext w:val="0"/>
        <w:keepLines w:val="0"/>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kern w:val="1"/>
          <w:sz w:val="32"/>
          <w:szCs w:val="32"/>
          <w:highlight w:val="none"/>
          <w:lang w:val="en-US" w:eastAsia="zh-CN"/>
        </w:rPr>
      </w:pPr>
      <w:r>
        <w:rPr>
          <w:rFonts w:hint="eastAsia" w:ascii="仿宋_GB2312" w:hAnsi="仿宋_GB2312" w:eastAsia="仿宋_GB2312" w:cs="仿宋_GB2312"/>
          <w:kern w:val="1"/>
          <w:sz w:val="32"/>
          <w:szCs w:val="32"/>
          <w:highlight w:val="none"/>
          <w:lang w:val="en-US" w:eastAsia="zh-CN"/>
        </w:rPr>
        <w:t>保证我中心2020年日常工作正常运转，促进福利彩票销售的稳步增长。本项目严格按照塔城地区福利彩票发行中心日常管理流程执行，按照财政局审核及上级部门的要求进行日常检查和监督。</w:t>
      </w:r>
    </w:p>
    <w:p>
      <w:pPr>
        <w:pageBreakBefore w:val="0"/>
        <w:numPr>
          <w:ilvl w:val="0"/>
          <w:numId w:val="1"/>
        </w:numPr>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项目主要内容：彩票市场业务费总投入319.35，主要用于支付聘用人员工资、缴纳社保，日常工作正常运转经费。</w:t>
      </w:r>
    </w:p>
    <w:p>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319.35</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319.35</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266.32</w:t>
      </w:r>
      <w:r>
        <w:rPr>
          <w:rFonts w:hint="eastAsia" w:ascii="仿宋_GB2312" w:hAnsi="仿宋_GB2312" w:eastAsia="仿宋_GB2312" w:cs="仿宋_GB2312"/>
          <w:sz w:val="32"/>
          <w:szCs w:val="32"/>
          <w:highlight w:val="none"/>
        </w:rPr>
        <w:t>万元， 支出率为</w:t>
      </w:r>
      <w:r>
        <w:rPr>
          <w:rFonts w:hint="eastAsia" w:ascii="仿宋_GB2312" w:hAnsi="仿宋_GB2312" w:eastAsia="仿宋_GB2312" w:cs="仿宋_GB2312"/>
          <w:sz w:val="32"/>
          <w:szCs w:val="32"/>
          <w:highlight w:val="none"/>
          <w:lang w:val="en-US" w:eastAsia="zh-CN"/>
        </w:rPr>
        <w:t>83.39</w:t>
      </w:r>
      <w:r>
        <w:rPr>
          <w:rFonts w:hint="eastAsia" w:ascii="仿宋_GB2312" w:hAnsi="仿宋_GB2312" w:eastAsia="仿宋_GB2312" w:cs="仿宋_GB2312"/>
          <w:sz w:val="32"/>
          <w:szCs w:val="32"/>
          <w:highlight w:val="none"/>
        </w:rPr>
        <w:t>%。</w:t>
      </w:r>
    </w:p>
    <w:p>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（1）资金安排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319.35</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彩票市场</w:t>
      </w:r>
      <w:r>
        <w:rPr>
          <w:rFonts w:hint="eastAsia" w:ascii="仿宋_GB2312" w:hAnsi="仿宋_GB2312" w:eastAsia="仿宋_GB2312" w:cs="仿宋_GB2312"/>
          <w:sz w:val="32"/>
          <w:szCs w:val="32"/>
          <w:highlight w:val="none"/>
        </w:rPr>
        <w:t>管理办法》及单位财务制度等相关规定，资金支出符合</w:t>
      </w:r>
      <w:r>
        <w:rPr>
          <w:rFonts w:hint="eastAsia" w:ascii="仿宋_GB2312" w:hAnsi="仿宋_GB2312" w:eastAsia="仿宋_GB2312" w:cs="仿宋_GB2312"/>
          <w:sz w:val="32"/>
          <w:szCs w:val="32"/>
          <w:highlight w:val="none"/>
          <w:lang w:val="en-US" w:eastAsia="zh-CN"/>
        </w:rPr>
        <w:t>彩票市场业务费</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彩票市场业务费</w:t>
      </w:r>
      <w:r>
        <w:rPr>
          <w:rFonts w:hint="eastAsia" w:ascii="仿宋_GB2312" w:hAnsi="仿宋_GB2312" w:eastAsia="仿宋_GB2312" w:cs="仿宋_GB2312"/>
          <w:sz w:val="32"/>
          <w:szCs w:val="32"/>
          <w:highlight w:val="none"/>
        </w:rPr>
        <w:t>专项资金的拨付程序，认真审核项目实施各阶段的相关材料和手续，根据项目实施进展情况拨付资金。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exact"/>
        <w:ind w:firstLine="579" w:firstLineChars="181"/>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项目预算资金来源于文件中批复的资金，项目资金到位</w:t>
      </w:r>
      <w:r>
        <w:rPr>
          <w:rFonts w:hint="eastAsia" w:ascii="仿宋_GB2312" w:hAnsi="仿宋_GB2312" w:eastAsia="仿宋_GB2312" w:cs="仿宋_GB2312"/>
          <w:sz w:val="32"/>
          <w:szCs w:val="32"/>
          <w:highlight w:val="none"/>
          <w:lang w:val="en-US" w:eastAsia="zh-CN"/>
        </w:rPr>
        <w:t>319.35</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266.32</w:t>
      </w:r>
      <w:r>
        <w:rPr>
          <w:rFonts w:hint="eastAsia" w:ascii="仿宋_GB2312" w:hAnsi="仿宋_GB2312" w:eastAsia="仿宋_GB2312" w:cs="仿宋_GB2312"/>
          <w:sz w:val="32"/>
          <w:szCs w:val="32"/>
          <w:highlight w:val="none"/>
        </w:rPr>
        <w:t>万元，用于支付项目实施进程中的各项费用。</w:t>
      </w:r>
    </w:p>
    <w:p>
      <w:pPr>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确保聘用人员工资正常发放、社保及时缴纳，日常工作正常运转。</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w:t>
      </w:r>
    </w:p>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eastAsia="zh-CN"/>
        </w:rPr>
        <w:t>彩票管理条例实施细则</w:t>
      </w:r>
      <w:r>
        <w:rPr>
          <w:rFonts w:hint="eastAsia" w:ascii="仿宋_GB2312" w:hAnsi="仿宋_GB2312" w:eastAsia="仿宋_GB2312" w:cs="仿宋_GB2312"/>
          <w:sz w:val="32"/>
          <w:szCs w:val="32"/>
          <w:highlight w:val="none"/>
        </w:rPr>
        <w:t>》，通过制定项目实施方案，经项目负责人审核通过后，有序开展后续工程。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highlight w:val="none"/>
        </w:rPr>
        <w:t>组织实施：资金一到位，立即根据项目要求实施项目。项目责任人按照《</w:t>
      </w:r>
      <w:r>
        <w:rPr>
          <w:rFonts w:hint="eastAsia" w:ascii="仿宋_GB2312" w:hAnsi="仿宋_GB2312" w:eastAsia="仿宋_GB2312" w:cs="仿宋_GB2312"/>
          <w:sz w:val="32"/>
          <w:szCs w:val="32"/>
          <w:highlight w:val="none"/>
          <w:lang w:eastAsia="zh-CN"/>
        </w:rPr>
        <w:t>彩票管理条例实施细则</w:t>
      </w:r>
      <w:r>
        <w:rPr>
          <w:rFonts w:hint="eastAsia" w:ascii="仿宋_GB2312" w:hAnsi="仿宋_GB2312" w:eastAsia="仿宋_GB2312" w:cs="仿宋_GB2312"/>
          <w:sz w:val="32"/>
          <w:szCs w:val="32"/>
          <w:highlight w:val="none"/>
        </w:rPr>
        <w:t>》要求逐一进行项目部署安排，提高项目质量及效率性。</w:t>
      </w:r>
    </w:p>
    <w:p>
      <w:pPr>
        <w:pageBreakBefore w:val="0"/>
        <w:kinsoku/>
        <w:wordWrap/>
        <w:overflowPunct/>
        <w:topLinePunct w:val="0"/>
        <w:autoSpaceDE/>
        <w:autoSpaceDN/>
        <w:bidi w:val="0"/>
        <w:adjustRightIn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highlight w:val="none"/>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kern w:val="1"/>
          <w:sz w:val="32"/>
          <w:szCs w:val="32"/>
          <w:highlight w:val="none"/>
          <w:lang w:val="en-US" w:eastAsia="zh-CN"/>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w:t>
      </w:r>
      <w:r>
        <w:rPr>
          <w:rFonts w:hint="eastAsia" w:ascii="仿宋_GB2312" w:hAnsi="仿宋_GB2312" w:eastAsia="仿宋_GB2312" w:cs="仿宋_GB2312"/>
          <w:kern w:val="1"/>
          <w:sz w:val="32"/>
          <w:szCs w:val="32"/>
          <w:highlight w:val="none"/>
          <w:lang w:val="en-US" w:eastAsia="zh-CN"/>
        </w:rPr>
        <w:t>程，是对财政支出效益、管理水平、投入风险等方面的综合评价；是发挥财政调控功能、提高财政资金安排科学性、促进财政支持社会经济目标实现的重要保证。</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kern w:val="1"/>
          <w:sz w:val="32"/>
          <w:szCs w:val="32"/>
          <w:highlight w:val="none"/>
          <w:lang w:val="en-US" w:eastAsia="zh-CN"/>
        </w:rPr>
      </w:pPr>
      <w:r>
        <w:rPr>
          <w:rFonts w:hint="eastAsia" w:ascii="仿宋_GB2312" w:hAnsi="仿宋_GB2312" w:eastAsia="仿宋_GB2312" w:cs="仿宋_GB2312"/>
          <w:kern w:val="1"/>
          <w:sz w:val="32"/>
          <w:szCs w:val="32"/>
          <w:highlight w:val="none"/>
          <w:lang w:val="en-US" w:eastAsia="zh-CN"/>
        </w:rPr>
        <w:t>项目在实施前向项目负责人提供财政支出绩效方面的资金管理信息，促进项目支出严格按照资金管理规定进行。</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kern w:val="1"/>
          <w:sz w:val="32"/>
          <w:szCs w:val="32"/>
          <w:highlight w:val="none"/>
          <w:lang w:val="en-US" w:eastAsia="zh-CN"/>
        </w:rPr>
      </w:pPr>
      <w:r>
        <w:rPr>
          <w:rFonts w:hint="eastAsia" w:ascii="仿宋_GB2312" w:hAnsi="仿宋_GB2312" w:eastAsia="仿宋_GB2312" w:cs="仿宋_GB2312"/>
          <w:kern w:val="1"/>
          <w:sz w:val="32"/>
          <w:szCs w:val="32"/>
          <w:highlight w:val="none"/>
          <w:lang w:val="en-US" w:eastAsia="zh-CN"/>
        </w:rPr>
        <w:t>（2）项目绩效管理财政支出运行提供及时、有效的信息。</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kern w:val="1"/>
          <w:sz w:val="32"/>
          <w:szCs w:val="32"/>
          <w:highlight w:val="none"/>
          <w:lang w:val="en-US" w:eastAsia="zh-CN"/>
        </w:rPr>
      </w:pPr>
      <w:r>
        <w:rPr>
          <w:rFonts w:hint="eastAsia" w:ascii="仿宋_GB2312" w:hAnsi="仿宋_GB2312" w:eastAsia="仿宋_GB2312" w:cs="仿宋_GB2312"/>
          <w:kern w:val="1"/>
          <w:sz w:val="32"/>
          <w:szCs w:val="32"/>
          <w:highlight w:val="none"/>
          <w:lang w:val="en-US" w:eastAsia="zh-CN"/>
        </w:rPr>
        <w:t>综合来看，通过开展有效的财政支出绩效评价管理，达到改进预算管理、控制节约成本，提高预算资金使用效益的目的。</w:t>
      </w:r>
    </w:p>
    <w:p>
      <w:pPr>
        <w:pStyle w:val="34"/>
        <w:keepNext w:val="0"/>
        <w:keepLines w:val="0"/>
        <w:pageBreakBefore w:val="0"/>
        <w:kinsoku/>
        <w:wordWrap/>
        <w:overflowPunct/>
        <w:topLinePunct w:val="0"/>
        <w:autoSpaceDE/>
        <w:autoSpaceDN/>
        <w:bidi w:val="0"/>
        <w:adjustRightInd/>
        <w:snapToGrid w:val="0"/>
        <w:spacing w:line="560" w:lineRule="exact"/>
        <w:ind w:left="0" w:leftChars="0" w:firstLine="643" w:firstLineChars="200"/>
        <w:textAlignment w:val="auto"/>
        <w:rPr>
          <w:rFonts w:hint="eastAsia" w:ascii="仿宋_GB2312" w:hAnsi="仿宋_GB2312" w:eastAsia="仿宋_GB2312" w:cs="仿宋_GB2312"/>
          <w:b/>
          <w:bCs/>
          <w:kern w:val="1"/>
          <w:sz w:val="32"/>
          <w:szCs w:val="32"/>
          <w:highlight w:val="none"/>
          <w:lang w:val="en-US" w:eastAsia="zh-CN"/>
        </w:rPr>
      </w:pPr>
      <w:r>
        <w:rPr>
          <w:rFonts w:hint="eastAsia" w:ascii="仿宋_GB2312" w:hAnsi="仿宋_GB2312" w:eastAsia="仿宋_GB2312" w:cs="仿宋_GB2312"/>
          <w:b/>
          <w:bCs/>
          <w:kern w:val="1"/>
          <w:sz w:val="32"/>
          <w:szCs w:val="32"/>
          <w:highlight w:val="none"/>
          <w:lang w:val="en-US" w:eastAsia="zh-CN"/>
        </w:rPr>
        <w:t>2、绩效评价的对象</w:t>
      </w:r>
    </w:p>
    <w:p>
      <w:pPr>
        <w:keepNext w:val="0"/>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评价对象为彩票市场业务费项目。</w:t>
      </w:r>
    </w:p>
    <w:p>
      <w:pPr>
        <w:pStyle w:val="2"/>
        <w:keepNext w:val="0"/>
        <w:keepLines w:val="0"/>
        <w:pageBreakBefore w:val="0"/>
        <w:widowControl w:val="0"/>
        <w:numPr>
          <w:ilvl w:val="0"/>
          <w:numId w:val="1"/>
        </w:numPr>
        <w:kinsoku/>
        <w:wordWrap/>
        <w:overflowPunct/>
        <w:topLinePunct w:val="0"/>
        <w:autoSpaceDE/>
        <w:autoSpaceDN/>
        <w:bidi w:val="0"/>
        <w:adjustRightInd/>
        <w:spacing w:before="0" w:after="0" w:line="560" w:lineRule="exact"/>
        <w:ind w:left="0" w:leftChars="0" w:firstLine="641" w:firstLineChars="0"/>
        <w:jc w:val="both"/>
        <w:textAlignment w:val="auto"/>
        <w:outlineLvl w:val="9"/>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绩效评价的范围</w:t>
      </w:r>
    </w:p>
    <w:p>
      <w:pPr>
        <w:keepNext w:val="0"/>
        <w:keepLines w:val="0"/>
        <w:pageBreakBefore w:val="0"/>
        <w:kinsoku/>
        <w:wordWrap/>
        <w:overflowPunct/>
        <w:topLinePunct w:val="0"/>
        <w:autoSpaceDE/>
        <w:autoSpaceDN/>
        <w:bidi w:val="0"/>
        <w:adjustRightInd/>
        <w:spacing w:line="560" w:lineRule="exac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评价范围将从此项目的项目决策、项目过程、项目产出、项目效益等方面进行综合评价。</w:t>
      </w:r>
    </w:p>
    <w:p>
      <w:pPr>
        <w:pageBreakBefore w:val="0"/>
        <w:kinsoku/>
        <w:wordWrap/>
        <w:overflowPunct/>
        <w:topLinePunct w:val="0"/>
        <w:autoSpaceDE/>
        <w:autoSpaceDN/>
        <w:bidi w:val="0"/>
        <w:adjustRightIn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w:t>
      </w:r>
      <w:r>
        <w:rPr>
          <w:rFonts w:hint="eastAsia" w:ascii="楷体_GB2312" w:hAnsi="楷体_GB2312" w:eastAsia="楷体_GB2312" w:cs="楷体_GB2312"/>
          <w:b/>
          <w:bCs/>
          <w:sz w:val="32"/>
          <w:szCs w:val="32"/>
          <w:highlight w:val="none"/>
        </w:rPr>
        <w:t>评价标准。</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1、绩效评价原则</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本次项目绩效评价遵循以下基本原则：</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决策权重5</w:t>
      </w:r>
      <w:r>
        <w:rPr>
          <w:rFonts w:hint="eastAsia" w:ascii="仿宋_GB2312" w:hAnsi="仿宋_GB2312" w:eastAsia="仿宋_GB2312" w:cs="仿宋_GB2312"/>
          <w:color w:val="000000"/>
          <w:spacing w:val="17"/>
          <w:sz w:val="32"/>
          <w:szCs w:val="32"/>
          <w:highlight w:val="none"/>
          <w:lang w:val="en-US" w:eastAsia="zh-CN"/>
        </w:rPr>
        <w:t>%</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highlight w:val="none"/>
        </w:rPr>
        <w:t>权重</w:t>
      </w:r>
      <w:r>
        <w:rPr>
          <w:rFonts w:hint="eastAsia" w:ascii="仿宋_GB2312" w:hAnsi="仿宋_GB2312" w:eastAsia="仿宋_GB2312" w:cs="仿宋_GB2312"/>
          <w:color w:val="000000"/>
          <w:spacing w:val="17"/>
          <w:sz w:val="32"/>
          <w:szCs w:val="32"/>
          <w:highlight w:val="none"/>
          <w:lang w:val="en-US" w:eastAsia="zh-CN"/>
        </w:rPr>
        <w:t>5%，项目产出权重50%，项目效益权重40%</w:t>
      </w:r>
      <w:r>
        <w:rPr>
          <w:rFonts w:hint="eastAsia" w:ascii="仿宋_GB2312" w:hAnsi="仿宋_GB2312" w:eastAsia="仿宋_GB2312" w:cs="仿宋_GB2312"/>
          <w:color w:val="000000"/>
          <w:spacing w:val="17"/>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left="641" w:leftChars="0"/>
        <w:jc w:val="both"/>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4、评价标准</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keepNext w:val="0"/>
        <w:keepLines w:val="0"/>
        <w:pageBreakBefore w:val="0"/>
        <w:kinsoku/>
        <w:wordWrap/>
        <w:overflowPunct/>
        <w:topLinePunct w:val="0"/>
        <w:autoSpaceDE/>
        <w:autoSpaceDN/>
        <w:bidi w:val="0"/>
        <w:adjustRightInd/>
        <w:snapToGrid/>
        <w:spacing w:line="560" w:lineRule="exact"/>
        <w:ind w:firstLine="321" w:firstLineChars="1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 （三）评价工作过程</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前期准备。首先成立评价工作组，开展前期调研；其次明确项目绩效目标，最后制定评价实施方案并进行论证。</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hint="default"/>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彩票市场业务</w:t>
      </w:r>
      <w:r>
        <w:rPr>
          <w:rFonts w:hint="eastAsia" w:ascii="仿宋_GB2312" w:hAnsi="仿宋_GB2312" w:eastAsia="仿宋_GB2312" w:cs="仿宋_GB2312"/>
          <w:b w:val="0"/>
          <w:bCs w:val="0"/>
          <w:highlight w:val="none"/>
        </w:rPr>
        <w:t>项目进行客观评价，最终评分结果：总得分为</w:t>
      </w:r>
      <w:r>
        <w:rPr>
          <w:rFonts w:hint="eastAsia" w:ascii="仿宋_GB2312" w:hAnsi="仿宋_GB2312" w:eastAsia="仿宋_GB2312" w:cs="仿宋_GB2312"/>
          <w:b w:val="0"/>
          <w:bCs w:val="0"/>
          <w:highlight w:val="none"/>
          <w:lang w:val="en-US" w:eastAsia="zh-CN"/>
        </w:rPr>
        <w:t>97.67</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4.83</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96.6</w:t>
      </w:r>
      <w:r>
        <w:rPr>
          <w:rFonts w:hint="eastAsia" w:ascii="仿宋_GB2312" w:hAnsi="仿宋_GB2312" w:eastAsia="仿宋_GB2312" w:cs="仿宋_GB2312"/>
          <w:b w:val="0"/>
          <w:bCs w:val="0"/>
          <w:highlight w:val="none"/>
        </w:rPr>
        <w:t>%。项目产出类指标权重为50分，得分为</w:t>
      </w:r>
      <w:r>
        <w:rPr>
          <w:rFonts w:hint="eastAsia" w:ascii="仿宋_GB2312" w:hAnsi="仿宋_GB2312" w:eastAsia="仿宋_GB2312" w:cs="仿宋_GB2312"/>
          <w:b w:val="0"/>
          <w:bCs w:val="0"/>
          <w:highlight w:val="none"/>
          <w:lang w:val="en-US" w:eastAsia="zh-CN"/>
        </w:rPr>
        <w:t>48.34</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96.68</w:t>
      </w:r>
      <w:r>
        <w:rPr>
          <w:rFonts w:hint="eastAsia" w:ascii="仿宋_GB2312" w:hAnsi="仿宋_GB2312" w:eastAsia="仿宋_GB2312" w:cs="仿宋_GB2312"/>
          <w:b w:val="0"/>
          <w:bCs w:val="0"/>
          <w:highlight w:val="none"/>
        </w:rPr>
        <w:t>%。项目效益类指标权重为40分，得分为</w:t>
      </w:r>
      <w:r>
        <w:rPr>
          <w:rFonts w:hint="eastAsia" w:ascii="仿宋_GB2312" w:hAnsi="仿宋_GB2312" w:eastAsia="仿宋_GB2312" w:cs="仿宋_GB2312"/>
          <w:b w:val="0"/>
          <w:bCs w:val="0"/>
          <w:highlight w:val="none"/>
          <w:lang w:val="en-US" w:eastAsia="zh-CN"/>
        </w:rPr>
        <w:t>39.5</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98.75</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pacing w:line="560" w:lineRule="exact"/>
        <w:textAlignment w:val="auto"/>
      </w:pPr>
    </w:p>
    <w:p>
      <w:pPr>
        <w:pageBreakBefore w:val="0"/>
        <w:kinsoku/>
        <w:wordWrap/>
        <w:overflowPunct/>
        <w:topLinePunct w:val="0"/>
        <w:autoSpaceDE/>
        <w:autoSpaceDN/>
        <w:bidi w:val="0"/>
        <w:adjustRightInd/>
        <w:spacing w:line="560" w:lineRule="exact"/>
        <w:textAlignment w:val="auto"/>
      </w:pPr>
    </w:p>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eastAsia="zh-CN"/>
              </w:rPr>
              <w:t>0</w:t>
            </w:r>
            <w:r>
              <w:rPr>
                <w:rFonts w:hint="eastAsia" w:ascii="宋体" w:hAnsi="宋体" w:eastAsia="宋体" w:cs="宋体"/>
                <w:color w:val="000000"/>
                <w:kern w:val="0"/>
                <w:sz w:val="18"/>
                <w:szCs w:val="18"/>
                <w:lang w:val="en-US" w:eastAsia="zh-CN"/>
              </w:rPr>
              <w:t>.5</w:t>
            </w: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0.83</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83.39</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8.34</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83.39</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bl>
    <w:p>
      <w:pPr>
        <w:keepNext w:val="0"/>
        <w:keepLines w:val="0"/>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项目决策指标从绩效目标、资金投入</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个方面对项目的决策进行考察，项目决策类指标分值</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分，实际得分</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分，得分率100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pStyle w:val="5"/>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对于“绩效目标”，</w:t>
      </w:r>
      <w:r>
        <w:rPr>
          <w:rFonts w:hint="eastAsia" w:ascii="仿宋_GB2312" w:hAnsi="仿宋_GB2312" w:eastAsia="仿宋_GB2312" w:cs="仿宋_GB2312"/>
          <w:b w:val="0"/>
          <w:bCs w:val="0"/>
          <w:kern w:val="2"/>
          <w:sz w:val="32"/>
          <w:szCs w:val="32"/>
          <w:lang w:eastAsia="zh-CN"/>
        </w:rPr>
        <w:t>塔城地区福利彩票发行中心</w:t>
      </w:r>
      <w:r>
        <w:rPr>
          <w:rFonts w:hint="eastAsia" w:ascii="仿宋_GB2312" w:hAnsi="仿宋_GB2312" w:eastAsia="仿宋_GB2312" w:cs="仿宋_GB2312"/>
          <w:b w:val="0"/>
          <w:bCs w:val="0"/>
          <w:kern w:val="2"/>
          <w:sz w:val="32"/>
          <w:szCs w:val="32"/>
        </w:rPr>
        <w:t>项目，设置了较为详细的项目支出绩效目标，项目绩效目标的设置，满足合理性和明确性的要求。</w:t>
      </w:r>
    </w:p>
    <w:p>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对于“资金投入”，</w:t>
      </w:r>
      <w:r>
        <w:rPr>
          <w:rFonts w:hint="eastAsia" w:ascii="仿宋_GB2312" w:hAnsi="仿宋_GB2312" w:eastAsia="仿宋_GB2312" w:cs="仿宋_GB2312"/>
          <w:b w:val="0"/>
          <w:bCs w:val="0"/>
          <w:kern w:val="2"/>
          <w:sz w:val="32"/>
          <w:szCs w:val="32"/>
          <w:lang w:eastAsia="zh-CN"/>
        </w:rPr>
        <w:t>塔城地区福利彩票发行中心</w:t>
      </w:r>
      <w:r>
        <w:rPr>
          <w:rFonts w:hint="eastAsia" w:ascii="仿宋_GB2312" w:hAnsi="仿宋_GB2312" w:eastAsia="仿宋_GB2312" w:cs="仿宋_GB2312"/>
          <w:b w:val="0"/>
          <w:bCs w:val="0"/>
          <w:kern w:val="2"/>
          <w:sz w:val="32"/>
          <w:szCs w:val="32"/>
        </w:rPr>
        <w:t>针对20</w:t>
      </w:r>
      <w:r>
        <w:rPr>
          <w:rFonts w:ascii="仿宋_GB2312" w:hAnsi="仿宋_GB2312" w:eastAsia="仿宋_GB2312" w:cs="仿宋_GB2312"/>
          <w:b w:val="0"/>
          <w:bCs w:val="0"/>
          <w:kern w:val="2"/>
          <w:sz w:val="32"/>
          <w:szCs w:val="32"/>
        </w:rPr>
        <w:t>20</w:t>
      </w:r>
      <w:r>
        <w:rPr>
          <w:rFonts w:hint="eastAsia" w:ascii="仿宋_GB2312" w:hAnsi="仿宋_GB2312" w:eastAsia="仿宋_GB2312" w:cs="仿宋_GB2312"/>
          <w:b w:val="0"/>
          <w:bCs w:val="0"/>
          <w:kern w:val="2"/>
          <w:sz w:val="32"/>
          <w:szCs w:val="32"/>
        </w:rPr>
        <w:t>年</w:t>
      </w:r>
      <w:r>
        <w:rPr>
          <w:rFonts w:hint="eastAsia" w:ascii="仿宋_GB2312" w:hAnsi="仿宋_GB2312" w:eastAsia="仿宋_GB2312" w:cs="仿宋_GB2312"/>
          <w:b w:val="0"/>
          <w:bCs w:val="0"/>
          <w:kern w:val="2"/>
          <w:sz w:val="32"/>
          <w:szCs w:val="32"/>
          <w:lang w:eastAsia="zh-CN"/>
        </w:rPr>
        <w:t>彩票市场业务费</w:t>
      </w:r>
      <w:r>
        <w:rPr>
          <w:rFonts w:hint="eastAsia" w:ascii="仿宋_GB2312" w:hAnsi="仿宋_GB2312" w:eastAsia="仿宋_GB2312" w:cs="仿宋_GB2312"/>
          <w:b w:val="0"/>
          <w:bCs w:val="0"/>
          <w:kern w:val="2"/>
          <w:sz w:val="32"/>
          <w:szCs w:val="32"/>
        </w:rPr>
        <w:t>项目，资金全部投入到位，总到位资</w:t>
      </w:r>
      <w:r>
        <w:rPr>
          <w:rFonts w:hint="eastAsia" w:ascii="仿宋_GB2312" w:hAnsi="仿宋_GB2312" w:eastAsia="仿宋_GB2312" w:cs="仿宋_GB2312"/>
          <w:b w:val="0"/>
          <w:bCs w:val="0"/>
          <w:kern w:val="2"/>
          <w:sz w:val="32"/>
          <w:szCs w:val="32"/>
          <w:lang w:val="en-US" w:eastAsia="zh-CN"/>
        </w:rPr>
        <w:t>319.35</w:t>
      </w:r>
      <w:r>
        <w:rPr>
          <w:rFonts w:hint="eastAsia" w:ascii="仿宋_GB2312" w:hAnsi="仿宋_GB2312" w:eastAsia="仿宋_GB2312" w:cs="仿宋_GB2312"/>
          <w:b w:val="0"/>
          <w:bCs w:val="0"/>
          <w:kern w:val="2"/>
          <w:sz w:val="32"/>
          <w:szCs w:val="32"/>
        </w:rPr>
        <w:t>万元。根据评分标准，该指标实际得分率</w:t>
      </w:r>
      <w:r>
        <w:rPr>
          <w:rFonts w:hint="eastAsia" w:ascii="仿宋_GB2312" w:hAnsi="仿宋_GB2312" w:eastAsia="仿宋_GB2312" w:cs="仿宋_GB2312"/>
          <w:b w:val="0"/>
          <w:bCs w:val="0"/>
          <w:kern w:val="2"/>
          <w:sz w:val="32"/>
          <w:szCs w:val="32"/>
          <w:lang w:val="en-US" w:eastAsia="zh-CN"/>
        </w:rPr>
        <w:t>83.39</w:t>
      </w:r>
      <w:r>
        <w:rPr>
          <w:rFonts w:hint="eastAsia" w:ascii="仿宋_GB2312" w:hAnsi="仿宋_GB2312" w:eastAsia="仿宋_GB2312" w:cs="仿宋_GB2312"/>
          <w:b w:val="0"/>
          <w:bCs w:val="0"/>
          <w:kern w:val="2"/>
          <w:sz w:val="32"/>
          <w:szCs w:val="32"/>
        </w:rPr>
        <w:t>%。</w:t>
      </w:r>
    </w:p>
    <w:p>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对于“预算执行率”，项目经过向本级财政申请资金，</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年取得财政拨款资金</w:t>
      </w:r>
      <w:r>
        <w:rPr>
          <w:rFonts w:hint="eastAsia" w:ascii="仿宋_GB2312" w:hAnsi="仿宋_GB2312" w:eastAsia="仿宋_GB2312" w:cs="仿宋_GB2312"/>
          <w:sz w:val="32"/>
          <w:szCs w:val="32"/>
          <w:lang w:val="en-US" w:eastAsia="zh-CN"/>
        </w:rPr>
        <w:t>319.35</w:t>
      </w:r>
      <w:r>
        <w:rPr>
          <w:rFonts w:hint="eastAsia" w:ascii="仿宋_GB2312" w:hAnsi="仿宋_GB2312" w:eastAsia="仿宋_GB2312" w:cs="仿宋_GB2312"/>
          <w:sz w:val="32"/>
          <w:szCs w:val="32"/>
        </w:rPr>
        <w:t>万元，项目资金预算经过集体讨论，并经批复。项目预算资金为</w:t>
      </w:r>
      <w:r>
        <w:rPr>
          <w:rFonts w:hint="eastAsia" w:ascii="仿宋_GB2312" w:hAnsi="仿宋_GB2312" w:eastAsia="仿宋_GB2312" w:cs="仿宋_GB2312"/>
          <w:sz w:val="32"/>
          <w:szCs w:val="32"/>
          <w:lang w:val="en-US" w:eastAsia="zh-CN"/>
        </w:rPr>
        <w:t>319.35</w:t>
      </w:r>
      <w:r>
        <w:rPr>
          <w:rFonts w:hint="eastAsia" w:ascii="仿宋_GB2312" w:hAnsi="仿宋_GB2312" w:eastAsia="仿宋_GB2312" w:cs="仿宋_GB2312"/>
          <w:sz w:val="32"/>
          <w:szCs w:val="32"/>
        </w:rPr>
        <w:t>万元，实际使用</w:t>
      </w:r>
      <w:r>
        <w:rPr>
          <w:rFonts w:hint="eastAsia" w:ascii="仿宋_GB2312" w:hAnsi="仿宋_GB2312" w:eastAsia="仿宋_GB2312" w:cs="仿宋_GB2312"/>
          <w:sz w:val="32"/>
          <w:szCs w:val="32"/>
          <w:lang w:val="en-US" w:eastAsia="zh-CN"/>
        </w:rPr>
        <w:t>266.32</w:t>
      </w:r>
      <w:r>
        <w:rPr>
          <w:rFonts w:hint="eastAsia" w:ascii="仿宋_GB2312" w:hAnsi="仿宋_GB2312" w:eastAsia="仿宋_GB2312" w:cs="仿宋_GB2312"/>
          <w:sz w:val="32"/>
          <w:szCs w:val="32"/>
        </w:rPr>
        <w:t>万元。根据评分标准，该指标实际得分率</w:t>
      </w:r>
      <w:r>
        <w:rPr>
          <w:rFonts w:hint="eastAsia" w:ascii="仿宋_GB2312" w:hAnsi="仿宋_GB2312" w:eastAsia="仿宋_GB2312" w:cs="仿宋_GB2312"/>
          <w:sz w:val="32"/>
          <w:szCs w:val="32"/>
          <w:lang w:val="en-US" w:eastAsia="zh-CN"/>
        </w:rPr>
        <w:t>83.39</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，得分</w:t>
      </w:r>
      <w:r>
        <w:rPr>
          <w:rFonts w:hint="eastAsia" w:ascii="仿宋_GB2312" w:hAnsi="仿宋_GB2312" w:eastAsia="仿宋_GB2312" w:cs="仿宋_GB2312"/>
          <w:sz w:val="32"/>
          <w:szCs w:val="32"/>
          <w:lang w:val="en-US" w:eastAsia="zh-CN"/>
        </w:rPr>
        <w:t>8.34</w:t>
      </w:r>
      <w:r>
        <w:rPr>
          <w:rFonts w:hint="eastAsia" w:ascii="仿宋_GB2312" w:hAnsi="仿宋_GB2312" w:eastAsia="仿宋_GB2312" w:cs="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。根据评分标准，该指标不扣分。对于“资金使用合规性”</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彩票市场业务费</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塔城地区福利彩票发行中心</w:t>
      </w:r>
      <w:r>
        <w:rPr>
          <w:rFonts w:hint="eastAsia" w:ascii="仿宋_GB2312" w:hAnsi="仿宋_GB2312" w:eastAsia="仿宋_GB2312" w:cs="仿宋_GB2312"/>
          <w:sz w:val="32"/>
          <w:szCs w:val="32"/>
        </w:rPr>
        <w:t>按照专项资金列支的范围使用资金，支出范围合规；资金支出能按财务制度执行，并能按国库集中支付制度规定执行，不存在资金违纪违规使用情况。按评分标准，指标实际得分率100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pacing w:line="560" w:lineRule="exact"/>
        <w:textAlignment w:val="auto"/>
      </w:pPr>
    </w:p>
    <w:p>
      <w:pPr>
        <w:pStyle w:val="1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三）</w:t>
      </w:r>
      <w:r>
        <w:rPr>
          <w:rFonts w:hint="eastAsia" w:ascii="楷体_GB2312" w:hAnsi="楷体_GB2312" w:eastAsia="楷体_GB2312" w:cs="楷体_GB2312"/>
          <w:b/>
          <w:bCs/>
          <w:sz w:val="32"/>
          <w:szCs w:val="32"/>
          <w:highlight w:val="none"/>
        </w:rPr>
        <w:t>项目产出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绩效工资支付人数，年度指标值=8人，实际完成值8人，指标完成率100%；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社会保险费支付人数，年度指标值=8人，实际完成值8人，指标完成率100%；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彩票促销横幅，年度指标值=230个，实际完成值230个，指标完成率100%；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配送次数，年度指标值&gt;60次,实际完成值60次,指标完成率100%;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电脑票营销资金,年度指标值&gt;20万,实际完成值20万,指标完成率100%;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督察投注站数,年度指标值&gt;215个,实际完成值215个,指标完成率100%;</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质量指标方面：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库房合格率</w:t>
      </w:r>
      <w:r>
        <w:rPr>
          <w:rFonts w:hint="eastAsia" w:ascii="仿宋_GB2312" w:hAnsi="仿宋_GB2312" w:eastAsia="仿宋_GB2312" w:cs="仿宋_GB2312"/>
          <w:sz w:val="32"/>
          <w:szCs w:val="32"/>
          <w:lang w:val="en-US" w:eastAsia="zh-CN"/>
        </w:rPr>
        <w:t>，年度指标值=100%，实际完成值100%，指标完成率100%；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督察完成率，年度指标值=100%，实际完成值100%，指标完成率100%；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兑奖率，年度指标值=100%，实际完成值100%，指标完成率100%；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费用完成率，年度指标值</w:t>
      </w:r>
      <w:r>
        <w:rPr>
          <w:rFonts w:hint="eastAsia" w:ascii="宋体" w:hAnsi="宋体" w:eastAsia="宋体" w:cs="宋体"/>
          <w:sz w:val="32"/>
          <w:szCs w:val="32"/>
          <w:lang w:val="en-US" w:eastAsia="zh-CN"/>
        </w:rPr>
        <w:t>≥</w:t>
      </w:r>
      <w:r>
        <w:rPr>
          <w:rFonts w:hint="eastAsia" w:ascii="仿宋_GB2312" w:hAnsi="仿宋_GB2312" w:eastAsia="仿宋_GB2312" w:cs="仿宋_GB2312"/>
          <w:sz w:val="32"/>
          <w:szCs w:val="32"/>
          <w:lang w:val="en-US" w:eastAsia="zh-CN"/>
        </w:rPr>
        <w:t>85%，实际完成值85%，指标完成率100%；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项目总成本，年度指标值</w:t>
      </w:r>
      <w:r>
        <w:rPr>
          <w:rFonts w:hint="eastAsia" w:ascii="宋体" w:hAnsi="宋体" w:eastAsia="宋体" w:cs="宋体"/>
          <w:sz w:val="32"/>
          <w:szCs w:val="32"/>
          <w:lang w:val="en-US" w:eastAsia="zh-CN"/>
        </w:rPr>
        <w:t>≤</w:t>
      </w:r>
      <w:r>
        <w:rPr>
          <w:rFonts w:hint="eastAsia" w:ascii="仿宋_GB2312" w:hAnsi="仿宋_GB2312" w:eastAsia="仿宋_GB2312" w:cs="仿宋_GB2312"/>
          <w:sz w:val="32"/>
          <w:szCs w:val="32"/>
          <w:lang w:val="en-US" w:eastAsia="zh-CN"/>
        </w:rPr>
        <w:t>319.35万元，实际完成266.32万元，指标完成率83.39%；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维修及时率，年度指标值</w:t>
      </w:r>
      <w:r>
        <w:rPr>
          <w:rFonts w:hint="eastAsia" w:ascii="仿宋_GB2312" w:hAnsi="仿宋_GB2312" w:eastAsia="仿宋_GB2312" w:cs="仿宋_GB2312"/>
          <w:sz w:val="36"/>
          <w:szCs w:val="36"/>
          <w:lang w:val="en-US" w:eastAsia="zh-CN"/>
        </w:rPr>
        <w:t>〉95%</w:t>
      </w:r>
      <w:r>
        <w:rPr>
          <w:rFonts w:hint="eastAsia" w:ascii="仿宋_GB2312" w:hAnsi="仿宋_GB2312" w:eastAsia="仿宋_GB2312" w:cs="仿宋_GB2312"/>
          <w:sz w:val="32"/>
          <w:szCs w:val="32"/>
          <w:lang w:val="en-US" w:eastAsia="zh-CN"/>
        </w:rPr>
        <w:t>，实际完成95%，指标完成率100%；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保险费缴纳及时率，年度指标值=100%，实际完成100%，指标完成率100%。</w:t>
      </w:r>
    </w:p>
    <w:p>
      <w:pPr>
        <w:pStyle w:val="1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3" w:firstLineChars="2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w:t>
      </w:r>
      <w:r>
        <w:rPr>
          <w:rFonts w:hint="eastAsia" w:ascii="楷体_GB2312" w:hAnsi="楷体_GB2312" w:eastAsia="楷体_GB2312" w:cs="楷体_GB2312"/>
          <w:b/>
          <w:bCs/>
          <w:sz w:val="32"/>
          <w:szCs w:val="32"/>
          <w:highlight w:val="none"/>
          <w:lang w:val="en-US" w:eastAsia="zh-CN"/>
        </w:rPr>
        <w:t>四）</w:t>
      </w:r>
      <w:r>
        <w:rPr>
          <w:rFonts w:hint="eastAsia" w:ascii="楷体_GB2312" w:hAnsi="楷体_GB2312" w:eastAsia="楷体_GB2312" w:cs="楷体_GB2312"/>
          <w:b/>
          <w:bCs/>
          <w:sz w:val="32"/>
          <w:szCs w:val="32"/>
          <w:highlight w:val="none"/>
        </w:rPr>
        <w:t>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保障彩票仓储安全，年度指标值显著保障，实际完成显著保障，指标完成率100%；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保障彩票运输安全，年度指标值显著保障，实际完成显著保障，指标完成率100%；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提升彩民知晓率，年度指标值显著提升，实际完成显著提升，指标完成率100%；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提升社会保险征缴率，年度指标值有所提升，实际完成有所提升，指标完成率100%；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保险工作人员生活水平，年度指标值绝对保障，实际完成绝对保障，指标完成率100%；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满意度指标方面：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彩民满意度，年度指标值</w:t>
      </w:r>
      <w:r>
        <w:rPr>
          <w:rFonts w:hint="eastAsia" w:ascii="宋体" w:hAnsi="宋体" w:eastAsia="宋体" w:cs="宋体"/>
          <w:sz w:val="32"/>
          <w:szCs w:val="32"/>
          <w:lang w:val="en-US" w:eastAsia="zh-CN"/>
        </w:rPr>
        <w:t>≥</w:t>
      </w:r>
      <w:r>
        <w:rPr>
          <w:rFonts w:hint="eastAsia" w:ascii="仿宋_GB2312" w:hAnsi="仿宋_GB2312" w:eastAsia="仿宋_GB2312" w:cs="仿宋_GB2312"/>
          <w:sz w:val="32"/>
          <w:szCs w:val="32"/>
          <w:lang w:val="en-US" w:eastAsia="zh-CN"/>
        </w:rPr>
        <w:t>95%，实际完成95%，指标完成率100%；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单位人员满意度，年度指标值</w:t>
      </w:r>
      <w:r>
        <w:rPr>
          <w:rFonts w:hint="eastAsia" w:ascii="宋体" w:hAnsi="宋体" w:cs="宋体"/>
          <w:sz w:val="32"/>
          <w:szCs w:val="32"/>
          <w:lang w:val="en-US" w:eastAsia="zh-CN"/>
        </w:rPr>
        <w:t>〉</w:t>
      </w:r>
      <w:r>
        <w:rPr>
          <w:rFonts w:hint="eastAsia" w:ascii="仿宋_GB2312" w:hAnsi="仿宋_GB2312" w:eastAsia="仿宋_GB2312" w:cs="仿宋_GB2312"/>
          <w:sz w:val="32"/>
          <w:szCs w:val="32"/>
          <w:lang w:val="en-US" w:eastAsia="zh-CN"/>
        </w:rPr>
        <w:t>95%，实际完成95%，指标完成率100%。</w:t>
      </w:r>
    </w:p>
    <w:p>
      <w:pPr>
        <w:keepNext w:val="0"/>
        <w:keepLines w:val="0"/>
        <w:pageBreakBefore w:val="0"/>
        <w:kinsoku/>
        <w:wordWrap/>
        <w:overflowPunct/>
        <w:topLinePunct w:val="0"/>
        <w:autoSpaceDE/>
        <w:autoSpaceDN/>
        <w:bidi w:val="0"/>
        <w:adjustRightInd/>
        <w:snapToGrid/>
        <w:spacing w:line="560" w:lineRule="exact"/>
        <w:ind w:firstLine="641"/>
        <w:textAlignment w:val="auto"/>
        <w:rPr>
          <w:rStyle w:val="49"/>
          <w:b/>
          <w:bCs/>
          <w:color w:val="auto"/>
        </w:rPr>
      </w:pPr>
      <w:r>
        <w:rPr>
          <w:rFonts w:hint="eastAsia" w:ascii="黑体" w:hAnsi="黑体" w:eastAsia="黑体"/>
          <w:b/>
          <w:bCs/>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4"/>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pPr>
      <w:r>
        <w:rPr>
          <w:rFonts w:hint="eastAsia" w:ascii="仿宋_GB2312" w:hAnsi="仿宋_GB2312" w:eastAsia="仿宋_GB2312" w:cs="仿宋_GB2312"/>
          <w:b w:val="0"/>
          <w:bCs w:val="0"/>
          <w:kern w:val="2"/>
        </w:rPr>
        <w:t>存在的问题是项目前期工作不全面，没有深入细致科学规划地做好各项前期工作，</w:t>
      </w:r>
      <w:r>
        <w:rPr>
          <w:rFonts w:hint="eastAsia" w:ascii="仿宋_GB2312" w:hAnsi="仿宋_GB2312" w:eastAsia="仿宋_GB2312" w:cs="仿宋_GB2312"/>
          <w:b w:val="0"/>
          <w:bCs w:val="0"/>
          <w:kern w:val="2"/>
          <w:lang w:eastAsia="zh-CN"/>
        </w:rPr>
        <w:t>实际实施项目过程中，遇到彩票销售收入的不确定性，项目执行不能统一。</w:t>
      </w:r>
      <w:r>
        <w:rPr>
          <w:rFonts w:hint="eastAsia" w:ascii="仿宋_GB2312" w:hAnsi="仿宋_GB2312" w:eastAsia="仿宋_GB2312" w:cs="仿宋_GB2312"/>
          <w:b w:val="0"/>
          <w:bCs w:val="0"/>
          <w:kern w:val="2"/>
        </w:rPr>
        <w:t xml:space="preserve"> </w:t>
      </w:r>
    </w:p>
    <w:p>
      <w:pPr>
        <w:pageBreakBefore w:val="0"/>
        <w:numPr>
          <w:ilvl w:val="0"/>
          <w:numId w:val="4"/>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rPr>
        <w:t>由于2020年</w:t>
      </w:r>
      <w:r>
        <w:rPr>
          <w:rFonts w:hint="eastAsia" w:ascii="仿宋_GB2312" w:hAnsi="仿宋_GB2312" w:eastAsia="仿宋_GB2312" w:cs="仿宋_GB2312"/>
          <w:b w:val="0"/>
          <w:bCs w:val="0"/>
          <w:kern w:val="2"/>
          <w:lang w:eastAsia="zh-CN"/>
        </w:rPr>
        <w:t>传染病防控</w:t>
      </w:r>
      <w:r>
        <w:rPr>
          <w:rFonts w:hint="eastAsia" w:ascii="仿宋_GB2312" w:hAnsi="仿宋_GB2312" w:eastAsia="仿宋_GB2312" w:cs="仿宋_GB2312"/>
          <w:b w:val="0"/>
          <w:bCs w:val="0"/>
          <w:kern w:val="2"/>
        </w:rPr>
        <w:t>情影响，</w:t>
      </w:r>
      <w:r>
        <w:rPr>
          <w:rFonts w:hint="eastAsia" w:ascii="仿宋_GB2312" w:hAnsi="仿宋_GB2312" w:eastAsia="仿宋_GB2312" w:cs="仿宋_GB2312"/>
          <w:b w:val="0"/>
          <w:bCs w:val="0"/>
          <w:kern w:val="2"/>
          <w:lang w:eastAsia="zh-CN"/>
        </w:rPr>
        <w:t>部分项目资金未执行。</w:t>
      </w:r>
    </w:p>
    <w:p>
      <w:pPr>
        <w:pageBreakBefore w:val="0"/>
        <w:numPr>
          <w:ilvl w:val="0"/>
          <w:numId w:val="5"/>
        </w:numPr>
        <w:kinsoku/>
        <w:wordWrap/>
        <w:overflowPunct/>
        <w:topLinePunct w:val="0"/>
        <w:autoSpaceDE/>
        <w:autoSpaceDN/>
        <w:bidi w:val="0"/>
        <w:adjustRightIn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5"/>
        </w:numPr>
        <w:kinsoku/>
        <w:wordWrap/>
        <w:overflowPunct/>
        <w:topLinePunct w:val="0"/>
        <w:autoSpaceDE/>
        <w:autoSpaceDN/>
        <w:bidi w:val="0"/>
        <w:adjustRightIn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Style w:val="2"/>
        <w:pageBreakBefore w:val="0"/>
        <w:kinsoku/>
        <w:wordWrap/>
        <w:overflowPunct/>
        <w:topLinePunct w:val="0"/>
        <w:autoSpaceDE/>
        <w:autoSpaceDN/>
        <w:bidi w:val="0"/>
        <w:adjustRightInd/>
        <w:spacing w:before="0" w:after="0" w:line="560" w:lineRule="exact"/>
        <w:ind w:firstLine="640" w:firstLineChars="200"/>
        <w:jc w:val="both"/>
        <w:textAlignment w:val="auto"/>
        <w:rPr>
          <w:rFonts w:hint="eastAsia" w:ascii="黑体" w:hAnsi="黑体" w:eastAsia="黑体"/>
          <w:sz w:val="32"/>
          <w:szCs w:val="32"/>
        </w:rPr>
      </w:pPr>
      <w:r>
        <w:rPr>
          <w:rFonts w:hint="eastAsia" w:ascii="仿宋_GB2312" w:hAnsi="仿宋_GB2312" w:eastAsia="仿宋_GB2312" w:cs="仿宋_GB2312"/>
          <w:b w:val="0"/>
          <w:bCs w:val="0"/>
          <w:kern w:val="2"/>
          <w:sz w:val="32"/>
          <w:szCs w:val="32"/>
          <w:lang w:val="en-US" w:eastAsia="zh-CN" w:bidi="ar-SA"/>
        </w:rPr>
        <w:t>无。</w:t>
      </w:r>
    </w:p>
    <w:p>
      <w:pPr>
        <w:pStyle w:val="2"/>
        <w:pageBreakBefore w:val="0"/>
        <w:kinsoku/>
        <w:wordWrap/>
        <w:overflowPunct/>
        <w:topLinePunct w:val="0"/>
        <w:autoSpaceDE/>
        <w:autoSpaceDN/>
        <w:bidi w:val="0"/>
        <w:adjustRightInd/>
        <w:spacing w:before="0" w:after="0" w:line="560" w:lineRule="exact"/>
        <w:jc w:val="both"/>
        <w:textAlignment w:val="auto"/>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r>
    </w:tbl>
    <w:p>
      <w:pPr>
        <w:pStyle w:val="2"/>
        <w:rPr>
          <w:rFonts w:hint="eastAsia" w:ascii="宋体" w:hAnsi="宋体" w:eastAsia="宋体" w:cs="宋体"/>
          <w:sz w:val="18"/>
          <w:szCs w:val="18"/>
          <w:lang w:val="en-US" w:eastAsia="zh-CN"/>
        </w:rPr>
      </w:pPr>
    </w:p>
    <w:p/>
    <w:p>
      <w:pPr>
        <w:pStyle w:val="2"/>
      </w:pPr>
    </w:p>
    <w:p/>
    <w:p>
      <w:pPr>
        <w:pStyle w:val="2"/>
      </w:pPr>
    </w:p>
    <w:p/>
    <w:p/>
    <w:p>
      <w:pPr>
        <w:pStyle w:val="2"/>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sectPr>
          <w:pgSz w:w="16838" w:h="11906" w:orient="landscape"/>
          <w:pgMar w:top="1800" w:right="1440" w:bottom="1558" w:left="1440" w:header="851" w:footer="992" w:gutter="0"/>
          <w:cols w:space="425" w:num="1"/>
          <w:docGrid w:type="lines" w:linePitch="312" w:charSpace="0"/>
        </w:sectPr>
      </w:pPr>
    </w:p>
    <w:tbl>
      <w:tblPr>
        <w:tblStyle w:val="18"/>
        <w:tblW w:w="9508" w:type="dxa"/>
        <w:tblInd w:w="93" w:type="dxa"/>
        <w:shd w:val="clear" w:color="auto" w:fill="auto"/>
        <w:tblLayout w:type="fixed"/>
        <w:tblCellMar>
          <w:top w:w="0" w:type="dxa"/>
          <w:left w:w="108" w:type="dxa"/>
          <w:bottom w:w="0" w:type="dxa"/>
          <w:right w:w="108" w:type="dxa"/>
        </w:tblCellMar>
      </w:tblPr>
      <w:tblGrid>
        <w:gridCol w:w="731"/>
        <w:gridCol w:w="731"/>
        <w:gridCol w:w="731"/>
        <w:gridCol w:w="731"/>
        <w:gridCol w:w="731"/>
        <w:gridCol w:w="731"/>
        <w:gridCol w:w="2106"/>
        <w:gridCol w:w="1292"/>
        <w:gridCol w:w="431"/>
        <w:gridCol w:w="1293"/>
      </w:tblGrid>
      <w:tr>
        <w:tblPrEx>
          <w:shd w:val="clear" w:color="auto" w:fill="auto"/>
          <w:tblCellMar>
            <w:top w:w="0" w:type="dxa"/>
            <w:left w:w="108" w:type="dxa"/>
            <w:bottom w:w="0" w:type="dxa"/>
            <w:right w:w="108" w:type="dxa"/>
          </w:tblCellMar>
        </w:tblPrEx>
        <w:trPr>
          <w:trHeight w:val="409" w:hRule="atLeast"/>
        </w:trPr>
        <w:tc>
          <w:tcPr>
            <w:tcW w:w="9508"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9508"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9508"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0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彩票市场业务费</w:t>
            </w:r>
          </w:p>
        </w:tc>
      </w:tr>
      <w:tr>
        <w:tblPrEx>
          <w:shd w:val="clear" w:color="auto" w:fill="auto"/>
          <w:tblCellMar>
            <w:top w:w="0" w:type="dxa"/>
            <w:left w:w="108" w:type="dxa"/>
            <w:bottom w:w="0" w:type="dxa"/>
            <w:right w:w="108" w:type="dxa"/>
          </w:tblCellMar>
        </w:tblPrEx>
        <w:trPr>
          <w:trHeight w:val="27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主管部门</w:t>
            </w:r>
          </w:p>
        </w:tc>
        <w:tc>
          <w:tcPr>
            <w:tcW w:w="50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实施单位</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塔城地区福利彩票发行中心</w:t>
            </w:r>
          </w:p>
        </w:tc>
      </w:tr>
      <w:tr>
        <w:tblPrEx>
          <w:shd w:val="clear" w:color="auto" w:fill="auto"/>
          <w:tblCellMar>
            <w:top w:w="0" w:type="dxa"/>
            <w:left w:w="108" w:type="dxa"/>
            <w:bottom w:w="0" w:type="dxa"/>
            <w:right w:w="108" w:type="dxa"/>
          </w:tblCellMar>
        </w:tblPrEx>
        <w:trPr>
          <w:trHeight w:val="560" w:hRule="atLeast"/>
        </w:trPr>
        <w:tc>
          <w:tcPr>
            <w:tcW w:w="146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31" w:type="dxa"/>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731"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2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433" w:hRule="atLeast"/>
        </w:trPr>
        <w:tc>
          <w:tcPr>
            <w:tcW w:w="1462" w:type="dxa"/>
            <w:gridSpan w:val="2"/>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319.35</w:t>
            </w:r>
          </w:p>
        </w:tc>
        <w:tc>
          <w:tcPr>
            <w:tcW w:w="2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319.35</w:t>
            </w:r>
          </w:p>
        </w:tc>
        <w:tc>
          <w:tcPr>
            <w:tcW w:w="172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266.32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83.39%</w:t>
            </w:r>
          </w:p>
        </w:tc>
      </w:tr>
      <w:tr>
        <w:tblPrEx>
          <w:shd w:val="clear" w:color="auto" w:fill="auto"/>
          <w:tblCellMar>
            <w:top w:w="0" w:type="dxa"/>
            <w:left w:w="108" w:type="dxa"/>
            <w:bottom w:w="0" w:type="dxa"/>
            <w:right w:w="108" w:type="dxa"/>
          </w:tblCellMar>
        </w:tblPrEx>
        <w:trPr>
          <w:trHeight w:val="433" w:hRule="atLeast"/>
        </w:trPr>
        <w:tc>
          <w:tcPr>
            <w:tcW w:w="1462" w:type="dxa"/>
            <w:gridSpan w:val="2"/>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319.35</w:t>
            </w:r>
          </w:p>
        </w:tc>
        <w:tc>
          <w:tcPr>
            <w:tcW w:w="2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319.35</w:t>
            </w:r>
          </w:p>
        </w:tc>
        <w:tc>
          <w:tcPr>
            <w:tcW w:w="172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266.32</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462" w:type="dxa"/>
            <w:gridSpan w:val="2"/>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2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462" w:type="dxa"/>
            <w:gridSpan w:val="2"/>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23"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7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2922"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1、确保人员绩效工资支付和社会保险费的缴纳。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2、组织开展 “各项促销”派奖活动。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3、做好塔城地区电脑票投注站强化促销活动的工作。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4、加大力度开展即开票销售工作，夯实销售基础。</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5、做好时时彩投注站标准化建设工作。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6、加大宣传力度，促进福利彩票销售。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7、强化培训，巩固提高销售员业务、实战销售能力。</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8、力争2019年度福利彩票销售任务的顺利完成。</w:t>
            </w:r>
          </w:p>
        </w:tc>
        <w:tc>
          <w:tcPr>
            <w:tcW w:w="30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1、确保人员绩效工资支付和社会保险费的缴纳。</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2、组织开展 “各项促销”派奖活动。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3、做好塔城地区电脑票投注站强化促销活动的工作。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4、加大力度开展即开票销售工作，夯实销售基础。</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5、做好时时彩投注站标准化建设工作。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6、加大宣传力度，促进福利彩票销售。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7、强化培训，巩固提高销售员业务、实战销售能力。</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8、力争2019年度福利彩票销售任务的顺利完成。</w:t>
            </w:r>
          </w:p>
        </w:tc>
      </w:tr>
      <w:tr>
        <w:tblPrEx>
          <w:shd w:val="clear" w:color="auto" w:fill="auto"/>
          <w:tblCellMar>
            <w:top w:w="0" w:type="dxa"/>
            <w:left w:w="108" w:type="dxa"/>
            <w:bottom w:w="0" w:type="dxa"/>
            <w:right w:w="108" w:type="dxa"/>
          </w:tblCellMar>
        </w:tblPrEx>
        <w:trPr>
          <w:trHeight w:val="412" w:hRule="atLeast"/>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19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7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75" w:hRule="atLeast"/>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绩效工资支付人数</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=8人</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8人</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8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社会保险费支付人数</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=8人</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8人</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47"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彩票促销横幅</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=230个</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230个</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1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配送次数</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&gt;60次</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60次</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7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电脑票营销资金</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&gt;20万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57"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督察投注站数</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&gt;215个</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215个</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62"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库房合格率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7"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督察完成率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82"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兑奖率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35"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费用完成率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67"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保险费用项目完成率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0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维修及时率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72"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保险费缴纳及时率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0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项目总成本</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=3193482元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2663172.35元</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bookmarkStart w:id="2" w:name="_GoBack"/>
            <w:bookmarkEnd w:id="2"/>
            <w:r>
              <w:rPr>
                <w:rFonts w:hint="eastAsia" w:ascii="宋体" w:hAnsi="宋体" w:eastAsia="宋体" w:cs="宋体"/>
                <w:i w:val="0"/>
                <w:color w:val="000000"/>
                <w:kern w:val="0"/>
                <w:sz w:val="18"/>
                <w:szCs w:val="18"/>
                <w:u w:val="none"/>
                <w:lang w:val="en-US" w:eastAsia="zh-CN" w:bidi="ar"/>
              </w:rPr>
              <w:t>影响，部分业务未开展</w:t>
            </w:r>
          </w:p>
        </w:tc>
      </w:tr>
      <w:tr>
        <w:tblPrEx>
          <w:tblCellMar>
            <w:top w:w="0" w:type="dxa"/>
            <w:left w:w="108" w:type="dxa"/>
            <w:bottom w:w="0" w:type="dxa"/>
            <w:right w:w="108" w:type="dxa"/>
          </w:tblCellMar>
        </w:tblPrEx>
        <w:trPr>
          <w:trHeight w:val="434"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保障彩票仓储安全</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显著保障</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显著保障</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15"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保障彩票运输安全</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显著保障</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显著保障</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8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提升彩民知晓率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45"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提升彩票网点规范化建设</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15"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提升社会保险征缴率</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15"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保障工作人员生活水平</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绝对保障</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绝对保障</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739"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彩民满意度</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675"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单位人员的满意度</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540" w:lineRule="exact"/>
        <w:rPr>
          <w:rStyle w:val="20"/>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仿宋_GB2312"/>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7CDDAD45"/>
    <w:multiLevelType w:val="singleLevel"/>
    <w:tmpl w:val="7CDDAD45"/>
    <w:lvl w:ilvl="0" w:tentative="0">
      <w:start w:val="1"/>
      <w:numFmt w:val="decimal"/>
      <w:suff w:val="nothing"/>
      <w:lvlText w:val="%1、"/>
      <w:lvlJc w:val="left"/>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210AC"/>
    <w:rsid w:val="004366A8"/>
    <w:rsid w:val="00464900"/>
    <w:rsid w:val="00502BA7"/>
    <w:rsid w:val="005162F1"/>
    <w:rsid w:val="00535153"/>
    <w:rsid w:val="00554F82"/>
    <w:rsid w:val="0056390D"/>
    <w:rsid w:val="005719B0"/>
    <w:rsid w:val="005D10D6"/>
    <w:rsid w:val="007518ED"/>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AD1ACC"/>
    <w:rsid w:val="02CE4869"/>
    <w:rsid w:val="04342A6B"/>
    <w:rsid w:val="043B0391"/>
    <w:rsid w:val="048C3378"/>
    <w:rsid w:val="04AD08B1"/>
    <w:rsid w:val="051A56F5"/>
    <w:rsid w:val="05E17D65"/>
    <w:rsid w:val="063327DA"/>
    <w:rsid w:val="066D6EAA"/>
    <w:rsid w:val="07DB6E56"/>
    <w:rsid w:val="08136AFA"/>
    <w:rsid w:val="08C662D4"/>
    <w:rsid w:val="09BD4D95"/>
    <w:rsid w:val="0A44606B"/>
    <w:rsid w:val="0BBF08C5"/>
    <w:rsid w:val="0C6117F1"/>
    <w:rsid w:val="0E0579FD"/>
    <w:rsid w:val="0E3B0766"/>
    <w:rsid w:val="0E6E6987"/>
    <w:rsid w:val="0F8D41CB"/>
    <w:rsid w:val="11C75270"/>
    <w:rsid w:val="12637CC3"/>
    <w:rsid w:val="12E657C5"/>
    <w:rsid w:val="13587938"/>
    <w:rsid w:val="13C22C55"/>
    <w:rsid w:val="145925E4"/>
    <w:rsid w:val="149D58C9"/>
    <w:rsid w:val="164E16BE"/>
    <w:rsid w:val="167C7687"/>
    <w:rsid w:val="168B3546"/>
    <w:rsid w:val="16F05D92"/>
    <w:rsid w:val="17743CE0"/>
    <w:rsid w:val="1A2374E0"/>
    <w:rsid w:val="1A9E7AFB"/>
    <w:rsid w:val="1B3721D6"/>
    <w:rsid w:val="1C1B7801"/>
    <w:rsid w:val="1C317CE2"/>
    <w:rsid w:val="1D682138"/>
    <w:rsid w:val="1DD45808"/>
    <w:rsid w:val="1DED42AC"/>
    <w:rsid w:val="1E366F57"/>
    <w:rsid w:val="20005763"/>
    <w:rsid w:val="20A53AE3"/>
    <w:rsid w:val="20FB313D"/>
    <w:rsid w:val="220B4804"/>
    <w:rsid w:val="24711375"/>
    <w:rsid w:val="2545076A"/>
    <w:rsid w:val="282475E3"/>
    <w:rsid w:val="29D605E2"/>
    <w:rsid w:val="2C6100C1"/>
    <w:rsid w:val="2D4158E6"/>
    <w:rsid w:val="2D6738C4"/>
    <w:rsid w:val="2D722945"/>
    <w:rsid w:val="2EB1059C"/>
    <w:rsid w:val="2FB10064"/>
    <w:rsid w:val="32211D87"/>
    <w:rsid w:val="3264220D"/>
    <w:rsid w:val="32DD1ACF"/>
    <w:rsid w:val="34355F21"/>
    <w:rsid w:val="348351E8"/>
    <w:rsid w:val="36422379"/>
    <w:rsid w:val="36565D4C"/>
    <w:rsid w:val="36995481"/>
    <w:rsid w:val="36BD0EE3"/>
    <w:rsid w:val="3791256F"/>
    <w:rsid w:val="3963178C"/>
    <w:rsid w:val="3D396E34"/>
    <w:rsid w:val="3FBD26ED"/>
    <w:rsid w:val="41CC2676"/>
    <w:rsid w:val="434D2A87"/>
    <w:rsid w:val="44F40435"/>
    <w:rsid w:val="465601E4"/>
    <w:rsid w:val="46687A02"/>
    <w:rsid w:val="46B21672"/>
    <w:rsid w:val="47647FE3"/>
    <w:rsid w:val="4781560A"/>
    <w:rsid w:val="48137ECA"/>
    <w:rsid w:val="4860475E"/>
    <w:rsid w:val="48FA7EE8"/>
    <w:rsid w:val="49D774AB"/>
    <w:rsid w:val="4CE80E0E"/>
    <w:rsid w:val="4D4D7115"/>
    <w:rsid w:val="4D8F513E"/>
    <w:rsid w:val="4F552460"/>
    <w:rsid w:val="4FCC6863"/>
    <w:rsid w:val="500A214A"/>
    <w:rsid w:val="507D6AF9"/>
    <w:rsid w:val="522D604D"/>
    <w:rsid w:val="525B3387"/>
    <w:rsid w:val="5297585E"/>
    <w:rsid w:val="52AD7D6F"/>
    <w:rsid w:val="53AE7B1F"/>
    <w:rsid w:val="5549519D"/>
    <w:rsid w:val="5557596B"/>
    <w:rsid w:val="57763059"/>
    <w:rsid w:val="58420415"/>
    <w:rsid w:val="5B596DFC"/>
    <w:rsid w:val="5BF41D8A"/>
    <w:rsid w:val="5BF464C6"/>
    <w:rsid w:val="5DF03945"/>
    <w:rsid w:val="5ED917F9"/>
    <w:rsid w:val="613F2290"/>
    <w:rsid w:val="63743551"/>
    <w:rsid w:val="637C2815"/>
    <w:rsid w:val="63BA5294"/>
    <w:rsid w:val="64E227CB"/>
    <w:rsid w:val="65BF1991"/>
    <w:rsid w:val="67564B6F"/>
    <w:rsid w:val="6A671FA0"/>
    <w:rsid w:val="6B02181B"/>
    <w:rsid w:val="6E1C3665"/>
    <w:rsid w:val="6E8A07BD"/>
    <w:rsid w:val="73C6773E"/>
    <w:rsid w:val="74554383"/>
    <w:rsid w:val="74EA713F"/>
    <w:rsid w:val="766B1AFD"/>
    <w:rsid w:val="77BD7DB6"/>
    <w:rsid w:val="788B2ACB"/>
    <w:rsid w:val="78EE5BA9"/>
    <w:rsid w:val="7A353D0B"/>
    <w:rsid w:val="7C0B7921"/>
    <w:rsid w:val="7D3A5E2F"/>
    <w:rsid w:val="7D7B1646"/>
    <w:rsid w:val="7F594DE3"/>
    <w:rsid w:val="7FA14C10"/>
    <w:rsid w:val="7FCB0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4</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2021-04-13T02:40:00Z</cp:lastPrinted>
  <dcterms:modified xsi:type="dcterms:W3CDTF">2025-09-04T01:39:51Z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1AC290018D6C43D298AA3371C1FF86A8</vt:lpwstr>
  </property>
  <property fmtid="{D5CDD505-2E9C-101B-9397-08002B2CF9AE}" pid="4" name="KSOSaveFontToCloudKey">
    <vt:lpwstr>462561243_btnclosed</vt:lpwstr>
  </property>
</Properties>
</file>