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护理人员工资项目支出绩效评价报告</w:t>
      </w:r>
    </w:p>
    <w:p>
      <w:pPr>
        <w:spacing w:line="540" w:lineRule="exact"/>
        <w:jc w:val="center"/>
        <w:rPr>
          <w:rFonts w:hint="eastAsia" w:ascii="方正小标宋简体" w:hAnsi="方正小标宋简体" w:eastAsia="方正小标宋简体" w:cs="方正小标宋简体"/>
          <w:b/>
          <w:kern w:val="0"/>
          <w:sz w:val="44"/>
          <w:szCs w:val="44"/>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项目名称：护理人员工资</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实施单位（公章）：塔城地区社会福利院</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主管部门（公章）：塔城地区民政局</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项目负责人（签章）：石桂琴</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填报时间：2021年4月3日</w:t>
      </w:r>
    </w:p>
    <w:p>
      <w:pPr>
        <w:spacing w:line="700" w:lineRule="exact"/>
        <w:ind w:firstLine="720" w:firstLineChars="200"/>
        <w:jc w:val="left"/>
        <w:rPr>
          <w:rFonts w:hAnsi="宋体" w:eastAsia="仿宋_GB2312" w:cs="宋体"/>
          <w:kern w:val="0"/>
          <w:sz w:val="36"/>
          <w:szCs w:val="36"/>
        </w:rPr>
      </w:pPr>
    </w:p>
    <w:p>
      <w:pPr>
        <w:spacing w:line="540" w:lineRule="exact"/>
        <w:rPr>
          <w:rStyle w:val="22"/>
          <w:rFonts w:ascii="黑体" w:hAnsi="黑体" w:eastAsia="黑体"/>
          <w:b w:val="0"/>
          <w:spacing w:val="-4"/>
          <w:sz w:val="32"/>
          <w:szCs w:val="32"/>
        </w:rPr>
      </w:pPr>
    </w:p>
    <w:p>
      <w:pPr>
        <w:spacing w:line="540" w:lineRule="exact"/>
        <w:ind w:firstLine="640"/>
        <w:rPr>
          <w:rStyle w:val="22"/>
          <w:rFonts w:ascii="黑体" w:hAnsi="黑体" w:eastAsia="黑体"/>
          <w:b w:val="0"/>
          <w:spacing w:val="-4"/>
          <w:sz w:val="32"/>
          <w:szCs w:val="32"/>
        </w:rPr>
      </w:pPr>
    </w:p>
    <w:p>
      <w:pPr>
        <w:spacing w:line="540" w:lineRule="exact"/>
        <w:rPr>
          <w:rStyle w:val="22"/>
          <w:rFonts w:ascii="黑体" w:hAnsi="黑体" w:eastAsia="黑体"/>
          <w:b w:val="0"/>
          <w:spacing w:val="-4"/>
          <w:sz w:val="32"/>
          <w:szCs w:val="32"/>
        </w:rPr>
      </w:pPr>
    </w:p>
    <w:p>
      <w:pPr>
        <w:pStyle w:val="2"/>
      </w:pPr>
    </w:p>
    <w:p>
      <w:pPr>
        <w:pageBreakBefore w:val="0"/>
        <w:kinsoku/>
        <w:wordWrap/>
        <w:overflowPunct/>
        <w:topLinePunct w:val="0"/>
        <w:autoSpaceDE/>
        <w:autoSpaceDN/>
        <w:bidi w:val="0"/>
        <w:adjustRightIn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pacing w:line="560" w:lineRule="atLeast"/>
        <w:ind w:firstLine="640"/>
        <w:textAlignment w:val="auto"/>
        <w:rPr>
          <w:rFonts w:ascii="仿宋_GB2312" w:eastAsia="仿宋_GB2312"/>
          <w:b/>
          <w:bCs/>
          <w:sz w:val="32"/>
          <w:szCs w:val="32"/>
        </w:rPr>
      </w:pPr>
      <w:r>
        <w:rPr>
          <w:rFonts w:hint="eastAsia" w:ascii="仿宋_GB2312" w:eastAsia="仿宋_GB2312"/>
          <w:b/>
          <w:bCs/>
          <w:sz w:val="32"/>
          <w:szCs w:val="32"/>
        </w:rPr>
        <w:t>1、项目背景</w:t>
      </w:r>
    </w:p>
    <w:p>
      <w:pPr>
        <w:pageBreakBefore w:val="0"/>
        <w:kinsoku/>
        <w:wordWrap/>
        <w:overflowPunct/>
        <w:topLinePunct w:val="0"/>
        <w:autoSpaceDE/>
        <w:autoSpaceDN/>
        <w:bidi w:val="0"/>
        <w:adjustRightInd/>
        <w:spacing w:line="560" w:lineRule="atLeast"/>
        <w:ind w:firstLine="640"/>
        <w:textAlignment w:val="auto"/>
        <w:rPr>
          <w:rFonts w:ascii="仿宋_GB2312" w:eastAsia="仿宋_GB2312"/>
          <w:sz w:val="32"/>
          <w:szCs w:val="32"/>
        </w:rPr>
      </w:pPr>
      <w:r>
        <w:rPr>
          <w:rFonts w:hint="eastAsia" w:ascii="仿宋_GB2312" w:eastAsia="仿宋_GB2312"/>
          <w:sz w:val="32"/>
          <w:szCs w:val="32"/>
        </w:rPr>
        <w:t>（1）项目实施的政策背景</w:t>
      </w:r>
    </w:p>
    <w:p>
      <w:pPr>
        <w:pageBreakBefore w:val="0"/>
        <w:kinsoku/>
        <w:wordWrap/>
        <w:overflowPunct/>
        <w:topLinePunct w:val="0"/>
        <w:autoSpaceDE/>
        <w:autoSpaceDN/>
        <w:bidi w:val="0"/>
        <w:adjustRightInd/>
        <w:spacing w:line="560" w:lineRule="atLeast"/>
        <w:ind w:firstLine="640"/>
        <w:textAlignment w:val="auto"/>
        <w:rPr>
          <w:rFonts w:ascii="仿宋_GB2312" w:eastAsia="仿宋_GB2312"/>
          <w:sz w:val="32"/>
          <w:szCs w:val="32"/>
        </w:rPr>
      </w:pPr>
      <w:r>
        <w:rPr>
          <w:rFonts w:hint="eastAsia" w:ascii="仿宋_GB2312" w:eastAsia="仿宋_GB2312"/>
          <w:sz w:val="32"/>
          <w:szCs w:val="32"/>
        </w:rPr>
        <w:t>进一步加强政策保障，完善公共服务体系，不断提高集中供养力度。为提高双集中工作的开展，同时安排护理人员，为集中供养人员提供专业服务。</w:t>
      </w:r>
    </w:p>
    <w:p>
      <w:pPr>
        <w:pageBreakBefore w:val="0"/>
        <w:kinsoku/>
        <w:wordWrap/>
        <w:overflowPunct/>
        <w:topLinePunct w:val="0"/>
        <w:autoSpaceDE/>
        <w:autoSpaceDN/>
        <w:bidi w:val="0"/>
        <w:adjustRightInd/>
        <w:spacing w:line="560" w:lineRule="atLeast"/>
        <w:ind w:firstLine="640"/>
        <w:textAlignment w:val="auto"/>
        <w:rPr>
          <w:rFonts w:ascii="仿宋_GB2312" w:eastAsia="仿宋_GB2312"/>
          <w:sz w:val="32"/>
          <w:szCs w:val="32"/>
        </w:rPr>
      </w:pPr>
      <w:r>
        <w:rPr>
          <w:rFonts w:hint="eastAsia" w:ascii="仿宋_GB2312" w:eastAsia="仿宋_GB2312"/>
          <w:sz w:val="32"/>
          <w:szCs w:val="32"/>
        </w:rPr>
        <w:t>（2）项目实施的历史概况</w:t>
      </w:r>
    </w:p>
    <w:p>
      <w:pPr>
        <w:pageBreakBefore w:val="0"/>
        <w:kinsoku/>
        <w:wordWrap/>
        <w:overflowPunct/>
        <w:topLinePunct w:val="0"/>
        <w:autoSpaceDE/>
        <w:autoSpaceDN/>
        <w:bidi w:val="0"/>
        <w:adjustRightInd/>
        <w:spacing w:line="560" w:lineRule="atLeast"/>
        <w:ind w:firstLine="640"/>
        <w:textAlignment w:val="auto"/>
        <w:rPr>
          <w:rFonts w:ascii="仿宋_GB2312" w:eastAsia="仿宋_GB2312"/>
          <w:sz w:val="32"/>
          <w:szCs w:val="32"/>
        </w:rPr>
      </w:pPr>
      <w:r>
        <w:rPr>
          <w:rFonts w:hint="eastAsia" w:ascii="仿宋_GB2312" w:eastAsia="仿宋_GB2312"/>
          <w:sz w:val="32"/>
          <w:szCs w:val="32"/>
        </w:rPr>
        <w:t>塔城地区社会福利院前身为塔城市老残院，1985年改建为塔城地区社会福利院和塔城地区光荣院，两块牌子，一套班子，是塔城地区唯一收养城镇“三无”对象（无劳动能力、无经济来源、无法定赡养、抚养人）和荣复军人的民政福利事业单位，在职职工15人。2017年10月，迁入塔城地区福利园区新址，建筑面积2088平方米，设计有床位数50张。目前我院收养有汉、哈、俄、回等6个民族老人32人，平均年龄在70岁，残疾人占50%以上。</w:t>
      </w:r>
    </w:p>
    <w:p>
      <w:pPr>
        <w:pageBreakBefore w:val="0"/>
        <w:kinsoku/>
        <w:wordWrap/>
        <w:overflowPunct/>
        <w:topLinePunct w:val="0"/>
        <w:autoSpaceDE/>
        <w:autoSpaceDN/>
        <w:bidi w:val="0"/>
        <w:adjustRightInd/>
        <w:spacing w:line="560" w:lineRule="atLeast"/>
        <w:ind w:firstLine="640"/>
        <w:textAlignment w:val="auto"/>
        <w:rPr>
          <w:rStyle w:val="22"/>
          <w:rFonts w:ascii="黑体" w:hAnsi="黑体" w:eastAsia="仿宋_GB2312"/>
          <w:bCs w:val="0"/>
          <w:spacing w:val="-4"/>
          <w:sz w:val="32"/>
          <w:szCs w:val="32"/>
        </w:rPr>
      </w:pPr>
      <w:r>
        <w:rPr>
          <w:rFonts w:hint="eastAsia" w:ascii="仿宋_GB2312" w:eastAsia="仿宋_GB2312"/>
          <w:sz w:val="32"/>
          <w:szCs w:val="32"/>
        </w:rPr>
        <w:t>该项资金用于供（收）养服务机构照料护理人员工资开支。为老人的日常生活提供更好的服务。</w:t>
      </w:r>
    </w:p>
    <w:p>
      <w:pPr>
        <w:pageBreakBefore w:val="0"/>
        <w:kinsoku/>
        <w:wordWrap/>
        <w:overflowPunct/>
        <w:topLinePunct w:val="0"/>
        <w:autoSpaceDE/>
        <w:autoSpaceDN/>
        <w:bidi w:val="0"/>
        <w:adjustRightInd/>
        <w:spacing w:line="560" w:lineRule="atLeast"/>
        <w:ind w:firstLine="640"/>
        <w:textAlignment w:val="auto"/>
        <w:rPr>
          <w:rFonts w:ascii="仿宋_GB2312" w:eastAsia="仿宋_GB2312"/>
          <w:b/>
          <w:bCs/>
          <w:sz w:val="32"/>
          <w:szCs w:val="32"/>
        </w:rPr>
      </w:pPr>
      <w:r>
        <w:rPr>
          <w:rFonts w:hint="eastAsia" w:ascii="仿宋_GB2312" w:eastAsia="仿宋_GB2312"/>
          <w:b/>
          <w:bCs/>
          <w:sz w:val="32"/>
          <w:szCs w:val="32"/>
        </w:rPr>
        <w:t>2、项目主要内容及实施情况</w:t>
      </w:r>
    </w:p>
    <w:p>
      <w:pPr>
        <w:pageBreakBefore w:val="0"/>
        <w:kinsoku/>
        <w:wordWrap/>
        <w:overflowPunct/>
        <w:topLinePunct w:val="0"/>
        <w:autoSpaceDE/>
        <w:autoSpaceDN/>
        <w:bidi w:val="0"/>
        <w:adjustRightInd/>
        <w:spacing w:line="560" w:lineRule="atLeast"/>
        <w:ind w:firstLine="640"/>
        <w:textAlignment w:val="auto"/>
      </w:pPr>
      <w:r>
        <w:rPr>
          <w:rFonts w:hint="eastAsia" w:ascii="仿宋_GB2312" w:eastAsia="仿宋_GB2312"/>
          <w:sz w:val="32"/>
          <w:szCs w:val="32"/>
        </w:rPr>
        <w:t>项目主要内容：该项目总投入17.08万元，聘用护理人员5人。</w:t>
      </w:r>
    </w:p>
    <w:p>
      <w:pPr>
        <w:pageBreakBefore w:val="0"/>
        <w:kinsoku/>
        <w:wordWrap/>
        <w:overflowPunct/>
        <w:topLinePunct w:val="0"/>
        <w:autoSpaceDE/>
        <w:autoSpaceDN/>
        <w:bidi w:val="0"/>
        <w:adjustRightInd/>
        <w:spacing w:line="560" w:lineRule="atLeast"/>
        <w:ind w:firstLine="640"/>
        <w:textAlignment w:val="auto"/>
        <w:rPr>
          <w:rFonts w:ascii="仿宋_GB2312" w:eastAsia="仿宋_GB2312"/>
          <w:sz w:val="32"/>
          <w:szCs w:val="32"/>
        </w:rPr>
      </w:pPr>
      <w:r>
        <w:rPr>
          <w:rFonts w:hint="eastAsia" w:ascii="仿宋_GB2312"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本项目总投资17.08万元，其中：财政本级资金0万元，财政自治区资金17.08万元。项目实际支出14.88万元， 支出率为87.12%。</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17.08万元，按照单位财务制度相关规定，资金支出符合护理人员工资专项资金费用范围，做到了专款专用。在项目资金拨付和使用过程中，为确保项目资金的安全性，提高项目资金使用效率，严格遵循护理人员工资资金的拨付程序，认真审核项目实施各阶段的相关材料和手续，根据项目实施进展情况拨付资金。</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2019年“双集中”项目资金（塔地财社[2019]24号）、提前下达2020年中央专项彩票公益金用于“双集中”补助资金的通知（塔地财社[2020]12号）文件中批复的资金，项目资金到位17.08万元，用于支付项目实施进程中的各项费用。</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（二）项目绩效目标</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保障聘用护理人员的工资正常发放。</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eastAsia="zh-CN"/>
        </w:rPr>
        <w:t>《财务制度管理办法》</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通过制定项目实施方案，经项目负责人审核通过后，有序开展后续工程。</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eastAsia="zh-CN"/>
        </w:rPr>
        <w:t>《财务制度管理办法》</w:t>
      </w:r>
      <w:r>
        <w:rPr>
          <w:rFonts w:hint="eastAsia" w:ascii="仿宋_GB2312" w:hAnsi="仿宋_GB2312" w:eastAsia="仿宋_GB2312" w:cs="仿宋_GB2312"/>
          <w:sz w:val="32"/>
          <w:szCs w:val="32"/>
        </w:rPr>
        <w:t>要求逐一进行项目部署安排，提高项目质量及效率性。</w:t>
      </w:r>
    </w:p>
    <w:p>
      <w:pPr>
        <w:pageBreakBefore w:val="0"/>
        <w:kinsoku/>
        <w:wordWrap/>
        <w:overflowPunct/>
        <w:topLinePunct w:val="0"/>
        <w:autoSpaceDE/>
        <w:autoSpaceDN/>
        <w:bidi w:val="0"/>
        <w:adjustRightIn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（一）绩效评价目的、对象和范围</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1、绩效评价的目的</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pacing w:line="560" w:lineRule="atLeas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2、绩效评价的对象</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护理人员工资资金项目。</w:t>
      </w:r>
    </w:p>
    <w:p>
      <w:pPr>
        <w:pageBreakBefore w:val="0"/>
        <w:numPr>
          <w:ilvl w:val="0"/>
          <w:numId w:val="2"/>
        </w:numPr>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绩效评价的范围</w:t>
      </w:r>
    </w:p>
    <w:p>
      <w:pPr>
        <w:pageBreakBefore w:val="0"/>
        <w:kinsoku/>
        <w:wordWrap/>
        <w:overflowPunct/>
        <w:topLinePunct w:val="0"/>
        <w:autoSpaceDE/>
        <w:autoSpaceDN/>
        <w:bidi w:val="0"/>
        <w:adjustRightInd/>
        <w:spacing w:line="560" w:lineRule="atLeast"/>
        <w:ind w:firstLine="641"/>
        <w:textAlignment w:val="auto"/>
      </w:pPr>
      <w:r>
        <w:rPr>
          <w:rFonts w:hint="eastAsia" w:ascii="仿宋_GB2312" w:hAnsi="仿宋_GB2312" w:eastAsia="仿宋_GB2312" w:cs="仿宋_GB2312"/>
          <w:sz w:val="32"/>
          <w:szCs w:val="32"/>
        </w:rPr>
        <w:t>本次绩效评价范围从决策、过程、产出、效益4个一级指标评价。其中：决策下项目立项、绩效目标、资金投入3个二级指标；过程下设资金管理和组织实施2个二级指标。产出下设产出数量、产出质量、产出时效、产出成本4个2级指标，效益下设项目效益1个二级指标。10个二级指标下设到17个三级指标综合评价。</w:t>
      </w:r>
    </w:p>
    <w:p>
      <w:pPr>
        <w:pageBreakBefore w:val="0"/>
        <w:kinsoku/>
        <w:wordWrap/>
        <w:overflowPunct/>
        <w:topLinePunct w:val="0"/>
        <w:autoSpaceDE/>
        <w:autoSpaceDN/>
        <w:bidi w:val="0"/>
        <w:adjustRightIn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1、绩效评价原则</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本次项目绩效评价遵循以下基本原则：</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（4）公开透明。绩效评价结果应依法依规公开，并自觉接受社会监督。</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2、评价指标体系</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（1）确定评价指标</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采用层次分析法，建立评价指标体系。绩效评价将指标分为项目</w:t>
      </w:r>
      <w:r>
        <w:rPr>
          <w:rFonts w:hint="eastAsia" w:ascii="仿宋_GB2312" w:hAnsi="仿宋_GB2312" w:eastAsia="仿宋_GB2312" w:cs="仿宋_GB2312"/>
          <w:sz w:val="32"/>
          <w:szCs w:val="32"/>
          <w:lang w:val="en-US" w:eastAsia="zh-CN"/>
        </w:rPr>
        <w:t>决策</w:t>
      </w:r>
      <w:r>
        <w:rPr>
          <w:rFonts w:hint="eastAsia" w:ascii="仿宋_GB2312" w:hAnsi="仿宋_GB2312" w:eastAsia="仿宋_GB2312" w:cs="仿宋_GB2312"/>
          <w:sz w:val="32"/>
          <w:szCs w:val="32"/>
        </w:rPr>
        <w:t>、项目产出、项目效益、项目</w:t>
      </w:r>
      <w:r>
        <w:rPr>
          <w:rFonts w:hint="eastAsia" w:ascii="仿宋_GB2312" w:hAnsi="仿宋_GB2312" w:eastAsia="仿宋_GB2312" w:cs="仿宋_GB2312"/>
          <w:sz w:val="32"/>
          <w:szCs w:val="32"/>
          <w:lang w:val="en-US" w:eastAsia="zh-CN"/>
        </w:rPr>
        <w:t>过程</w:t>
      </w:r>
      <w:r>
        <w:rPr>
          <w:rFonts w:hint="eastAsia" w:ascii="仿宋_GB2312" w:hAnsi="仿宋_GB2312" w:eastAsia="仿宋_GB2312" w:cs="仿宋_GB2312"/>
          <w:sz w:val="32"/>
          <w:szCs w:val="32"/>
        </w:rPr>
        <w:t>指标四个维度，最终形成一个由多个相互联系的指标组成的多层次指标体系。</w:t>
      </w:r>
    </w:p>
    <w:p>
      <w:pPr>
        <w:pageBreakBefore w:val="0"/>
        <w:numPr>
          <w:ilvl w:val="0"/>
          <w:numId w:val="1"/>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确定权重</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确定各个指标相对于项目总体绩效的权重分值。在绩效评价指标体系中，项目决策权重为5分，项目过程权重值占5分，项目产出权重值占50分，项目效益权重占40分。</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（3）确定指标标准值</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指标标准值是绩效评价指标的尺度，既要反映同类项目的先进水平，又要符合项目的实际绩效水平。具体采用计划标准等确定此次绩效评价指标标准值。</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具体评价指标体系详情见附件1</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3、绩效评价方法</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（1）比较法</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（2）因素分析法</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pacing w:line="560" w:lineRule="atLeast"/>
        <w:ind w:firstLine="581" w:firstLineChars="181"/>
        <w:textAlignment w:val="auto"/>
        <w:rPr>
          <w:rFonts w:ascii="仿宋_GB2312" w:hAnsi="仿宋_GB2312" w:eastAsia="仿宋_GB2312" w:cs="仿宋_GB2312"/>
          <w:b/>
          <w:bCs/>
          <w:sz w:val="32"/>
          <w:szCs w:val="32"/>
        </w:rPr>
      </w:pPr>
      <w:bookmarkStart w:id="2" w:name="_GoBack"/>
      <w:r>
        <w:rPr>
          <w:rFonts w:hint="eastAsia" w:ascii="仿宋_GB2312" w:hAnsi="仿宋_GB2312" w:eastAsia="仿宋_GB2312" w:cs="仿宋_GB2312"/>
          <w:b/>
          <w:bCs/>
          <w:sz w:val="32"/>
          <w:szCs w:val="32"/>
        </w:rPr>
        <w:t>4、评价标准</w:t>
      </w:r>
    </w:p>
    <w:bookmarkEnd w:id="2"/>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ascii="仿宋_GB2312" w:hAnsi="仿宋_GB2312" w:eastAsia="仿宋_GB2312" w:cs="仿宋_GB2312"/>
          <w:sz w:val="32"/>
          <w:szCs w:val="32"/>
        </w:rPr>
        <w:t>绩效评价标准通常包括计划标准、行业标准、历史标准等，用于对绩效指标完成情况进行比较。本次评价主要采用了计划标准和行业标准。</w:t>
      </w:r>
    </w:p>
    <w:p>
      <w:pPr>
        <w:pStyle w:val="2"/>
        <w:pageBreakBefore w:val="0"/>
        <w:numPr>
          <w:ilvl w:val="0"/>
          <w:numId w:val="3"/>
        </w:numPr>
        <w:kinsoku/>
        <w:wordWrap/>
        <w:overflowPunct/>
        <w:topLinePunct w:val="0"/>
        <w:autoSpaceDE/>
        <w:autoSpaceDN/>
        <w:bidi w:val="0"/>
        <w:adjustRightInd/>
        <w:spacing w:before="0" w:after="0" w:line="560" w:lineRule="atLeast"/>
        <w:ind w:firstLine="321" w:firstLineChars="1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评价工作过程</w:t>
      </w:r>
    </w:p>
    <w:p>
      <w:pPr>
        <w:pageBreakBefore w:val="0"/>
        <w:kinsoku/>
        <w:wordWrap/>
        <w:overflowPunct/>
        <w:topLinePunct w:val="0"/>
        <w:autoSpaceDE/>
        <w:autoSpaceDN/>
        <w:bidi w:val="0"/>
        <w:adjustRightIn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前期准备。首先成立评价工作组，开展前期调研；其次明确项目绩效目标，最后制定评价实施方案并进行论证。</w:t>
      </w:r>
    </w:p>
    <w:p>
      <w:pPr>
        <w:pageBreakBefore w:val="0"/>
        <w:kinsoku/>
        <w:wordWrap/>
        <w:overflowPunct/>
        <w:topLinePunct w:val="0"/>
        <w:autoSpaceDE/>
        <w:autoSpaceDN/>
        <w:bidi w:val="0"/>
        <w:adjustRightIn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pacing w:line="560" w:lineRule="atLeast"/>
        <w:ind w:firstLine="641"/>
        <w:textAlignment w:val="auto"/>
        <w:rPr>
          <w:rFonts w:hint="default"/>
          <w:lang w:val="en-US" w:eastAsia="zh-CN"/>
        </w:rPr>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ageBreakBefore w:val="0"/>
        <w:kinsoku/>
        <w:wordWrap/>
        <w:overflowPunct/>
        <w:topLinePunct w:val="0"/>
        <w:autoSpaceDE/>
        <w:autoSpaceDN/>
        <w:bidi w:val="0"/>
        <w:adjustRightIn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对护理人员工资项目进行客观评价，最终评分结果：总得分为98.5分，属于“优”。其中，项目决策类指标权重为5分，得分为 5分，得分率为 100%。项目过程类指标权重为5分，得分为4.87分，得分率为 97.4%。项目产出类指标权重为50分，得分为48.63分，得分率为 97.26%。项目效益类指标权重为40分，得分为40分，得分率为 100%。</w:t>
      </w:r>
    </w:p>
    <w:p>
      <w:pPr>
        <w:pStyle w:val="2"/>
        <w:pageBreakBefore w:val="0"/>
        <w:kinsoku/>
        <w:wordWrap/>
        <w:overflowPunct/>
        <w:topLinePunct w:val="0"/>
        <w:autoSpaceDE/>
        <w:autoSpaceDN/>
        <w:bidi w:val="0"/>
        <w:adjustRightIn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pageBreakBefore w:val="0"/>
        <w:kinsoku/>
        <w:wordWrap/>
        <w:overflowPunct/>
        <w:topLinePunct w:val="0"/>
        <w:autoSpaceDE/>
        <w:autoSpaceDN/>
        <w:bidi w:val="0"/>
        <w:adjustRightInd/>
        <w:spacing w:line="560" w:lineRule="atLeast"/>
        <w:textAlignment w:val="auto"/>
      </w:pPr>
    </w:p>
    <w:tbl>
      <w:tblPr>
        <w:tblStyle w:val="20"/>
        <w:tblpPr w:leftFromText="180" w:rightFromText="180" w:vertAnchor="text" w:horzAnchor="page" w:tblpX="2358" w:tblpY="142"/>
        <w:tblOverlap w:val="never"/>
        <w:tblW w:w="798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87.12</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0.87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87.12</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8.71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99.2</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总分</w:t>
            </w:r>
          </w:p>
        </w:tc>
        <w:tc>
          <w:tcPr>
            <w:tcW w:w="990"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textAlignment w:val="auto"/>
              <w:rPr>
                <w:rFonts w:hint="eastAsia" w:ascii="宋体" w:hAnsi="宋体" w:cs="宋体"/>
                <w:color w:val="000000"/>
                <w:kern w:val="0"/>
                <w:sz w:val="22"/>
                <w:szCs w:val="22"/>
              </w:rPr>
            </w:pP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98.5%</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98.5</w:t>
            </w:r>
          </w:p>
        </w:tc>
      </w:tr>
    </w:tbl>
    <w:p>
      <w:pPr>
        <w:pageBreakBefore w:val="0"/>
        <w:kinsoku/>
        <w:wordWrap/>
        <w:overflowPunct/>
        <w:topLinePunct w:val="0"/>
        <w:autoSpaceDE/>
        <w:autoSpaceDN/>
        <w:bidi w:val="0"/>
        <w:adjustRightInd/>
        <w:spacing w:line="560" w:lineRule="atLeast"/>
        <w:textAlignment w:val="auto"/>
      </w:pPr>
    </w:p>
    <w:p>
      <w:pPr>
        <w:pStyle w:val="2"/>
        <w:pageBreakBefore w:val="0"/>
        <w:kinsoku/>
        <w:wordWrap/>
        <w:overflowPunct/>
        <w:topLinePunct w:val="0"/>
        <w:autoSpaceDE/>
        <w:autoSpaceDN/>
        <w:bidi w:val="0"/>
        <w:adjustRightInd/>
        <w:spacing w:before="0" w:after="0" w:line="560" w:lineRule="atLeast"/>
        <w:textAlignment w:val="auto"/>
      </w:pPr>
    </w:p>
    <w:p>
      <w:pPr>
        <w:pageBreakBefore w:val="0"/>
        <w:kinsoku/>
        <w:wordWrap/>
        <w:overflowPunct/>
        <w:topLinePunct w:val="0"/>
        <w:autoSpaceDE/>
        <w:autoSpaceDN/>
        <w:bidi w:val="0"/>
        <w:adjustRightIn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pacing w:before="0" w:after="0" w:line="560" w:lineRule="atLeas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项目决策指标从绩效目标、资金投入2个方面对项目的决策进行考察，项目决策类指标分值</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分，实际得分</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分，得分率100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。项目决策指标得分情况如表所示。</w:t>
      </w:r>
    </w:p>
    <w:p>
      <w:pPr>
        <w:pStyle w:val="5"/>
        <w:keepNext w:val="0"/>
        <w:pageBreakBefore w:val="0"/>
        <w:kinsoku/>
        <w:wordWrap/>
        <w:overflowPunct/>
        <w:topLinePunct w:val="0"/>
        <w:autoSpaceDE/>
        <w:autoSpaceDN/>
        <w:bidi w:val="0"/>
        <w:adjustRightInd/>
        <w:spacing w:before="0" w:after="0" w:line="560" w:lineRule="atLeast"/>
        <w:ind w:firstLine="640" w:firstLineChars="200"/>
        <w:jc w:val="both"/>
        <w:textAlignment w:val="auto"/>
        <w:rPr>
          <w:rFonts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对于“绩效目标”，塔城地区社会福利院针对20</w:t>
      </w:r>
      <w:r>
        <w:rPr>
          <w:rFonts w:ascii="仿宋_GB2312" w:hAnsi="仿宋_GB2312" w:eastAsia="仿宋_GB2312" w:cs="仿宋_GB2312"/>
          <w:b w:val="0"/>
          <w:bCs w:val="0"/>
          <w:kern w:val="2"/>
          <w:sz w:val="32"/>
          <w:szCs w:val="32"/>
        </w:rPr>
        <w:t>20</w:t>
      </w:r>
      <w:r>
        <w:rPr>
          <w:rFonts w:hint="eastAsia" w:ascii="仿宋_GB2312" w:hAnsi="仿宋_GB2312" w:eastAsia="仿宋_GB2312" w:cs="仿宋_GB2312"/>
          <w:b w:val="0"/>
          <w:bCs w:val="0"/>
          <w:kern w:val="2"/>
          <w:sz w:val="32"/>
          <w:szCs w:val="32"/>
        </w:rPr>
        <w:t>年聘用人员工资补助项目，设置了较为详细的项目支出绩效目标，项目绩效目标的设置，满足合理性和明确性的要求。</w:t>
      </w:r>
    </w:p>
    <w:p>
      <w:pPr>
        <w:pStyle w:val="5"/>
        <w:keepNext w:val="0"/>
        <w:pageBreakBefore w:val="0"/>
        <w:kinsoku/>
        <w:wordWrap/>
        <w:overflowPunct/>
        <w:topLinePunct w:val="0"/>
        <w:autoSpaceDE/>
        <w:autoSpaceDN/>
        <w:bidi w:val="0"/>
        <w:adjustRightInd/>
        <w:spacing w:before="0" w:after="0" w:line="560" w:lineRule="atLeast"/>
        <w:ind w:firstLine="640" w:firstLineChars="200"/>
        <w:textAlignment w:val="auto"/>
      </w:pPr>
      <w:r>
        <w:rPr>
          <w:rFonts w:hint="eastAsia" w:ascii="仿宋_GB2312" w:hAnsi="仿宋_GB2312" w:eastAsia="仿宋_GB2312" w:cs="仿宋_GB2312"/>
          <w:b w:val="0"/>
          <w:bCs w:val="0"/>
          <w:kern w:val="2"/>
          <w:sz w:val="32"/>
          <w:szCs w:val="32"/>
        </w:rPr>
        <w:t>对于“资金投入”，塔城地区社会福利院针对20</w:t>
      </w:r>
      <w:r>
        <w:rPr>
          <w:rFonts w:ascii="仿宋_GB2312" w:hAnsi="仿宋_GB2312" w:eastAsia="仿宋_GB2312" w:cs="仿宋_GB2312"/>
          <w:b w:val="0"/>
          <w:bCs w:val="0"/>
          <w:kern w:val="2"/>
          <w:sz w:val="32"/>
          <w:szCs w:val="32"/>
        </w:rPr>
        <w:t>20</w:t>
      </w:r>
      <w:r>
        <w:rPr>
          <w:rFonts w:hint="eastAsia" w:ascii="仿宋_GB2312" w:hAnsi="仿宋_GB2312" w:eastAsia="仿宋_GB2312" w:cs="仿宋_GB2312"/>
          <w:b w:val="0"/>
          <w:bCs w:val="0"/>
          <w:kern w:val="2"/>
          <w:sz w:val="32"/>
          <w:szCs w:val="32"/>
        </w:rPr>
        <w:t>年聘用人员工资补助项目，资金全部投入到位，总到位资17.08万元。根据评分标准，该指标实际得分率100%。</w:t>
      </w:r>
    </w:p>
    <w:p>
      <w:pPr>
        <w:pStyle w:val="2"/>
        <w:pageBreakBefore w:val="0"/>
        <w:numPr>
          <w:ilvl w:val="0"/>
          <w:numId w:val="5"/>
        </w:numPr>
        <w:kinsoku/>
        <w:wordWrap/>
        <w:overflowPunct/>
        <w:topLinePunct w:val="0"/>
        <w:autoSpaceDE/>
        <w:autoSpaceDN/>
        <w:bidi w:val="0"/>
        <w:adjustRightInd/>
        <w:spacing w:before="0" w:after="0" w:line="560" w:lineRule="atLeast"/>
        <w:ind w:firstLine="321" w:firstLineChars="1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对于“预算执行率”，项目经过向本级财政申请资金，</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年取得财政拨款资金17.08万元，项目资金预算经过集体讨论，并经批复。项目预算资金为17.08万元，实际使用14.88万元。根据评分标准，该指标实际得分率87.12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，得分2.99分。</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根据评分标准，该指标不扣分。对于“资金使用合规性”2020年聘用护理人员工资项目塔城地区社会福利院按照专项资金列支的范围使用资金，支出范围合规；资金支出能按财务制度执行，并能按国库集中支付制度规定执行，不存在资金违纪违规使用情况。按评分标准，指标实际得分率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pStyle w:val="19"/>
        <w:pageBreakBefore w:val="0"/>
        <w:kinsoku/>
        <w:wordWrap/>
        <w:overflowPunct/>
        <w:topLinePunct w:val="0"/>
        <w:autoSpaceDE/>
        <w:autoSpaceDN/>
        <w:bidi w:val="0"/>
        <w:adjustRightInd/>
        <w:spacing w:after="0" w:line="560" w:lineRule="atLeast"/>
        <w:ind w:firstLine="643"/>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项目产出</w:t>
      </w:r>
      <w:r>
        <w:rPr>
          <w:rFonts w:hint="eastAsia" w:ascii="楷体_GB2312" w:hAnsi="楷体_GB2312" w:eastAsia="楷体_GB2312" w:cs="楷体_GB2312"/>
          <w:b/>
          <w:bCs/>
          <w:sz w:val="32"/>
          <w:szCs w:val="32"/>
          <w:lang w:val="en-US" w:eastAsia="zh-CN"/>
        </w:rPr>
        <w:t>情况</w:t>
      </w:r>
    </w:p>
    <w:p>
      <w:pPr>
        <w:pStyle w:val="19"/>
        <w:pageBreakBefore w:val="0"/>
        <w:kinsoku/>
        <w:wordWrap/>
        <w:overflowPunct/>
        <w:topLinePunct w:val="0"/>
        <w:autoSpaceDE/>
        <w:autoSpaceDN/>
        <w:bidi w:val="0"/>
        <w:adjustRightInd/>
        <w:spacing w:after="0" w:line="560" w:lineRule="atLeast"/>
        <w:ind w:firstLine="640"/>
        <w:textAlignment w:val="auto"/>
        <w:rPr>
          <w:rStyle w:val="22"/>
          <w:rFonts w:hint="eastAsia" w:ascii="仿宋" w:hAnsi="仿宋" w:eastAsia="仿宋_GB2312" w:cs="仿宋"/>
          <w:b w:val="0"/>
          <w:spacing w:val="-4"/>
          <w:sz w:val="32"/>
          <w:szCs w:val="32"/>
          <w:lang w:eastAsia="zh-CN"/>
        </w:rPr>
      </w:pPr>
      <w:r>
        <w:rPr>
          <w:rFonts w:hint="eastAsia" w:ascii="仿宋_GB2312" w:hAnsi="仿宋_GB2312" w:eastAsia="仿宋_GB2312" w:cs="仿宋_GB2312"/>
          <w:sz w:val="32"/>
          <w:szCs w:val="32"/>
        </w:rPr>
        <w:t>项目绩效主要从项目产出的产出数量、产出质量、产出时效、成本情况及项目效果的经济效益、社会效益、可持续影响指标、服务对象满意度4个方面对项目的绩效情况进行评价。项目绩效类指标分值</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分，实际得分</w:t>
      </w:r>
      <w:r>
        <w:rPr>
          <w:rFonts w:hint="eastAsia" w:ascii="仿宋_GB2312" w:hAnsi="仿宋_GB2312" w:eastAsia="仿宋_GB2312" w:cs="仿宋_GB2312"/>
          <w:sz w:val="32"/>
          <w:szCs w:val="32"/>
          <w:lang w:val="en-US" w:eastAsia="zh-CN"/>
        </w:rPr>
        <w:t>47.4</w:t>
      </w:r>
      <w:r>
        <w:rPr>
          <w:rFonts w:hint="eastAsia" w:ascii="仿宋_GB2312" w:hAnsi="仿宋_GB2312" w:eastAsia="仿宋_GB2312" w:cs="仿宋_GB2312"/>
          <w:sz w:val="32"/>
          <w:szCs w:val="32"/>
        </w:rPr>
        <w:t>分，得分率为</w:t>
      </w:r>
      <w:r>
        <w:rPr>
          <w:rFonts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4.80</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adjustRightInd/>
        <w:spacing w:line="560" w:lineRule="atLeast"/>
        <w:ind w:firstLine="64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数量指标方面：</w:t>
      </w:r>
    </w:p>
    <w:p>
      <w:pPr>
        <w:pageBreakBefore w:val="0"/>
        <w:kinsoku/>
        <w:wordWrap/>
        <w:overflowPunct/>
        <w:topLinePunct w:val="0"/>
        <w:autoSpaceDE/>
        <w:autoSpaceDN/>
        <w:bidi w:val="0"/>
        <w:adjustRightInd/>
        <w:spacing w:line="560" w:lineRule="atLeast"/>
        <w:ind w:firstLine="64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护理人员人数，年度指标值≥5人，实际完成值=5人，指标完成率100%；</w:t>
      </w:r>
    </w:p>
    <w:p>
      <w:pPr>
        <w:pageBreakBefore w:val="0"/>
        <w:kinsoku/>
        <w:wordWrap/>
        <w:overflowPunct/>
        <w:topLinePunct w:val="0"/>
        <w:autoSpaceDE/>
        <w:autoSpaceDN/>
        <w:bidi w:val="0"/>
        <w:adjustRightInd/>
        <w:spacing w:line="560" w:lineRule="atLeast"/>
        <w:ind w:firstLine="64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质量指标方面：</w:t>
      </w:r>
    </w:p>
    <w:p>
      <w:pPr>
        <w:pageBreakBefore w:val="0"/>
        <w:kinsoku/>
        <w:wordWrap/>
        <w:overflowPunct/>
        <w:topLinePunct w:val="0"/>
        <w:autoSpaceDE/>
        <w:autoSpaceDN/>
        <w:bidi w:val="0"/>
        <w:adjustRightInd/>
        <w:spacing w:line="560" w:lineRule="atLeast"/>
        <w:ind w:firstLine="64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护理人员工资发放完成率，年度指标值=100%，实际完成值=87.19%，指标完成率87.19%；</w:t>
      </w:r>
      <w:r>
        <w:rPr>
          <w:rStyle w:val="22"/>
          <w:rFonts w:hint="eastAsia" w:ascii="仿宋" w:hAnsi="仿宋" w:eastAsia="仿宋" w:cs="仿宋"/>
          <w:b w:val="0"/>
          <w:spacing w:val="-4"/>
          <w:sz w:val="32"/>
          <w:szCs w:val="32"/>
          <w:lang w:eastAsia="zh-CN"/>
        </w:rPr>
        <w:t>未完成的原因：延续下年使用。</w:t>
      </w:r>
    </w:p>
    <w:p>
      <w:pPr>
        <w:pageBreakBefore w:val="0"/>
        <w:kinsoku/>
        <w:wordWrap/>
        <w:overflowPunct/>
        <w:topLinePunct w:val="0"/>
        <w:autoSpaceDE/>
        <w:autoSpaceDN/>
        <w:bidi w:val="0"/>
        <w:adjustRightInd/>
        <w:spacing w:line="560" w:lineRule="atLeast"/>
        <w:ind w:firstLine="64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成本指标方面：</w:t>
      </w:r>
    </w:p>
    <w:p>
      <w:pPr>
        <w:pageBreakBefore w:val="0"/>
        <w:kinsoku/>
        <w:wordWrap/>
        <w:overflowPunct/>
        <w:topLinePunct w:val="0"/>
        <w:autoSpaceDE/>
        <w:autoSpaceDN/>
        <w:bidi w:val="0"/>
        <w:adjustRightInd/>
        <w:spacing w:line="560" w:lineRule="atLeast"/>
        <w:ind w:firstLine="640"/>
        <w:textAlignment w:val="auto"/>
        <w:rPr>
          <w:rStyle w:val="22"/>
          <w:rFonts w:hint="eastAsia" w:ascii="仿宋" w:hAnsi="仿宋" w:eastAsia="仿宋" w:cs="仿宋"/>
          <w:b w:val="0"/>
          <w:spacing w:val="-4"/>
          <w:sz w:val="32"/>
          <w:szCs w:val="32"/>
          <w:lang w:eastAsia="zh-CN"/>
        </w:rPr>
      </w:pPr>
      <w:r>
        <w:rPr>
          <w:rStyle w:val="22"/>
          <w:rFonts w:hint="eastAsia" w:ascii="仿宋" w:hAnsi="仿宋" w:eastAsia="仿宋" w:cs="仿宋"/>
          <w:b w:val="0"/>
          <w:spacing w:val="-4"/>
          <w:sz w:val="32"/>
          <w:szCs w:val="32"/>
        </w:rPr>
        <w:t>单位护理人员成本，年度指标值≤2500元，实际完成值=2480元，指标完成率99.2%；</w:t>
      </w:r>
      <w:r>
        <w:rPr>
          <w:rStyle w:val="22"/>
          <w:rFonts w:hint="eastAsia" w:ascii="仿宋" w:hAnsi="仿宋" w:eastAsia="仿宋" w:cs="仿宋"/>
          <w:b w:val="0"/>
          <w:spacing w:val="-4"/>
          <w:sz w:val="32"/>
          <w:szCs w:val="32"/>
          <w:lang w:eastAsia="zh-CN"/>
        </w:rPr>
        <w:t>未完成的原因：延续下年使用。</w:t>
      </w:r>
    </w:p>
    <w:p>
      <w:pPr>
        <w:pageBreakBefore w:val="0"/>
        <w:kinsoku/>
        <w:wordWrap/>
        <w:overflowPunct/>
        <w:topLinePunct w:val="0"/>
        <w:autoSpaceDE/>
        <w:autoSpaceDN/>
        <w:bidi w:val="0"/>
        <w:adjustRightInd/>
        <w:spacing w:line="560" w:lineRule="atLeast"/>
        <w:ind w:firstLine="64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时效指标方面：</w:t>
      </w:r>
    </w:p>
    <w:p>
      <w:pPr>
        <w:pageBreakBefore w:val="0"/>
        <w:kinsoku/>
        <w:wordWrap/>
        <w:overflowPunct/>
        <w:topLinePunct w:val="0"/>
        <w:autoSpaceDE/>
        <w:autoSpaceDN/>
        <w:bidi w:val="0"/>
        <w:adjustRightInd/>
        <w:spacing w:line="560" w:lineRule="atLeast"/>
        <w:ind w:firstLine="64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工资发放及时率，年度指标值=100%，实际完成值=100%，指标完成率100%；</w:t>
      </w:r>
    </w:p>
    <w:p>
      <w:pPr>
        <w:pStyle w:val="18"/>
        <w:pageBreakBefore w:val="0"/>
        <w:kinsoku/>
        <w:wordWrap/>
        <w:overflowPunct/>
        <w:topLinePunct w:val="0"/>
        <w:autoSpaceDE/>
        <w:autoSpaceDN/>
        <w:bidi w:val="0"/>
        <w:adjustRightInd/>
        <w:spacing w:line="560" w:lineRule="atLeast"/>
        <w:textAlignment w:val="auto"/>
      </w:pPr>
    </w:p>
    <w:p>
      <w:pPr>
        <w:pStyle w:val="19"/>
        <w:pageBreakBefore w:val="0"/>
        <w:numPr>
          <w:ilvl w:val="0"/>
          <w:numId w:val="0"/>
        </w:numPr>
        <w:kinsoku/>
        <w:wordWrap/>
        <w:overflowPunct/>
        <w:topLinePunct w:val="0"/>
        <w:autoSpaceDE/>
        <w:autoSpaceDN/>
        <w:bidi w:val="0"/>
        <w:adjustRightInd/>
        <w:spacing w:after="0" w:line="560" w:lineRule="atLeas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四）项目</w:t>
      </w: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pacing w:line="560" w:lineRule="atLeast"/>
        <w:ind w:firstLine="640"/>
        <w:textAlignment w:val="auto"/>
        <w:rPr>
          <w:rStyle w:val="51"/>
          <w:color w:val="auto"/>
        </w:rPr>
      </w:pPr>
      <w:r>
        <w:rPr>
          <w:rStyle w:val="51"/>
          <w:rFonts w:hint="eastAsia"/>
          <w:color w:val="auto"/>
        </w:rPr>
        <w:t>社会效益指标方面：</w:t>
      </w:r>
    </w:p>
    <w:p>
      <w:pPr>
        <w:pageBreakBefore w:val="0"/>
        <w:kinsoku/>
        <w:wordWrap/>
        <w:overflowPunct/>
        <w:topLinePunct w:val="0"/>
        <w:autoSpaceDE/>
        <w:autoSpaceDN/>
        <w:bidi w:val="0"/>
        <w:adjustRightInd/>
        <w:spacing w:line="560" w:lineRule="atLeast"/>
        <w:ind w:firstLine="640"/>
        <w:textAlignment w:val="auto"/>
        <w:rPr>
          <w:rStyle w:val="51"/>
          <w:color w:val="auto"/>
        </w:rPr>
      </w:pPr>
      <w:r>
        <w:rPr>
          <w:rStyle w:val="51"/>
          <w:rFonts w:hint="eastAsia"/>
          <w:color w:val="auto"/>
        </w:rPr>
        <w:t>“集中供养”人员的生活情况，年度指标值：有所提升，实际完成值：有所提升，指标完成率100%；</w:t>
      </w:r>
    </w:p>
    <w:p>
      <w:pPr>
        <w:pageBreakBefore w:val="0"/>
        <w:kinsoku/>
        <w:wordWrap/>
        <w:overflowPunct/>
        <w:topLinePunct w:val="0"/>
        <w:autoSpaceDE/>
        <w:autoSpaceDN/>
        <w:bidi w:val="0"/>
        <w:adjustRightInd/>
        <w:spacing w:line="560" w:lineRule="atLeast"/>
        <w:ind w:firstLine="640"/>
        <w:textAlignment w:val="auto"/>
        <w:rPr>
          <w:rStyle w:val="51"/>
          <w:color w:val="auto"/>
        </w:rPr>
      </w:pPr>
      <w:r>
        <w:rPr>
          <w:rStyle w:val="51"/>
          <w:color w:val="auto"/>
        </w:rPr>
        <w:t>社会服务能力提升</w:t>
      </w:r>
      <w:r>
        <w:rPr>
          <w:rStyle w:val="51"/>
          <w:rFonts w:hint="eastAsia"/>
          <w:color w:val="auto"/>
        </w:rPr>
        <w:t>，年度指标值：有所提升，实际完成值：有所提升，指标完成率100%；</w:t>
      </w:r>
    </w:p>
    <w:p>
      <w:pPr>
        <w:pageBreakBefore w:val="0"/>
        <w:kinsoku/>
        <w:wordWrap/>
        <w:overflowPunct/>
        <w:topLinePunct w:val="0"/>
        <w:autoSpaceDE/>
        <w:autoSpaceDN/>
        <w:bidi w:val="0"/>
        <w:adjustRightInd/>
        <w:spacing w:line="560" w:lineRule="atLeast"/>
        <w:ind w:firstLine="640"/>
        <w:textAlignment w:val="auto"/>
        <w:rPr>
          <w:rStyle w:val="51"/>
          <w:color w:val="auto"/>
        </w:rPr>
      </w:pPr>
      <w:r>
        <w:rPr>
          <w:rStyle w:val="51"/>
          <w:rFonts w:hint="eastAsia"/>
          <w:color w:val="auto"/>
        </w:rPr>
        <w:t>满意度指标方面：</w:t>
      </w:r>
    </w:p>
    <w:p>
      <w:pPr>
        <w:pageBreakBefore w:val="0"/>
        <w:kinsoku/>
        <w:wordWrap/>
        <w:overflowPunct/>
        <w:topLinePunct w:val="0"/>
        <w:autoSpaceDE/>
        <w:autoSpaceDN/>
        <w:bidi w:val="0"/>
        <w:adjustRightInd/>
        <w:spacing w:line="560" w:lineRule="atLeast"/>
        <w:ind w:firstLine="640"/>
        <w:textAlignment w:val="auto"/>
        <w:rPr>
          <w:rStyle w:val="51"/>
          <w:color w:val="auto"/>
        </w:rPr>
      </w:pPr>
      <w:r>
        <w:rPr>
          <w:rStyle w:val="51"/>
          <w:rFonts w:hint="eastAsia"/>
          <w:color w:val="auto"/>
        </w:rPr>
        <w:t>护理人员满意率，年度指标值：≥95%，实际完成值：95%，指标完成率100%；</w:t>
      </w:r>
    </w:p>
    <w:p>
      <w:pPr>
        <w:pStyle w:val="18"/>
        <w:pageBreakBefore w:val="0"/>
        <w:kinsoku/>
        <w:wordWrap/>
        <w:overflowPunct/>
        <w:topLinePunct w:val="0"/>
        <w:autoSpaceDE/>
        <w:autoSpaceDN/>
        <w:bidi w:val="0"/>
        <w:adjustRightInd/>
        <w:spacing w:line="560" w:lineRule="atLeast"/>
        <w:textAlignment w:val="auto"/>
      </w:pPr>
    </w:p>
    <w:p>
      <w:pPr>
        <w:pageBreakBefore w:val="0"/>
        <w:kinsoku/>
        <w:wordWrap/>
        <w:overflowPunct/>
        <w:topLinePunct w:val="0"/>
        <w:autoSpaceDE/>
        <w:autoSpaceDN/>
        <w:bidi w:val="0"/>
        <w:adjustRightInd/>
        <w:spacing w:line="560" w:lineRule="atLeast"/>
        <w:ind w:firstLine="641"/>
        <w:textAlignment w:val="auto"/>
        <w:rPr>
          <w:rStyle w:val="51"/>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6"/>
        </w:numPr>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7"/>
        </w:numPr>
        <w:kinsoku/>
        <w:wordWrap/>
        <w:overflowPunct/>
        <w:topLinePunct w:val="0"/>
        <w:autoSpaceDE/>
        <w:autoSpaceDN/>
        <w:bidi w:val="0"/>
        <w:adjustRightInd/>
        <w:spacing w:before="0" w:after="0" w:line="560" w:lineRule="atLeast"/>
        <w:ind w:firstLine="643" w:firstLineChars="200"/>
        <w:jc w:val="both"/>
        <w:textAlignment w:val="auto"/>
        <w:rPr>
          <w:rFonts w:ascii="仿宋_GB2312" w:hAnsi="仿宋_GB2312" w:eastAsia="仿宋_GB2312" w:cs="仿宋_GB2312"/>
          <w:b/>
          <w:bCs/>
          <w:kern w:val="2"/>
        </w:rPr>
      </w:pPr>
      <w:r>
        <w:rPr>
          <w:rFonts w:hint="eastAsia" w:ascii="仿宋_GB2312" w:hAnsi="仿宋_GB2312" w:eastAsia="仿宋_GB2312" w:cs="仿宋_GB2312"/>
          <w:b/>
          <w:bCs/>
          <w:kern w:val="2"/>
        </w:rPr>
        <w:t>存在的问题</w:t>
      </w:r>
    </w:p>
    <w:p>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w:t>
      </w:r>
    </w:p>
    <w:p>
      <w:pPr>
        <w:pageBreakBefore w:val="0"/>
        <w:kinsoku/>
        <w:wordWrap/>
        <w:overflowPunct/>
        <w:topLinePunct w:val="0"/>
        <w:autoSpaceDE/>
        <w:autoSpaceDN/>
        <w:bidi w:val="0"/>
        <w:adjustRightInd/>
        <w:spacing w:line="560" w:lineRule="atLeas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2、原因分析</w:t>
      </w:r>
    </w:p>
    <w:p>
      <w:pPr>
        <w:pageBreakBefore w:val="0"/>
        <w:kinsoku/>
        <w:wordWrap/>
        <w:overflowPunct/>
        <w:topLinePunct w:val="0"/>
        <w:autoSpaceDE/>
        <w:autoSpaceDN/>
        <w:bidi w:val="0"/>
        <w:adjustRightInd/>
        <w:spacing w:line="560" w:lineRule="atLeast"/>
        <w:ind w:firstLine="640" w:firstLineChars="200"/>
        <w:textAlignment w:val="auto"/>
      </w:pPr>
      <w:r>
        <w:rPr>
          <w:rFonts w:hint="eastAsia" w:ascii="仿宋_GB2312" w:hAnsi="仿宋_GB2312" w:eastAsia="仿宋_GB2312" w:cs="仿宋_GB2312"/>
          <w:sz w:val="32"/>
          <w:szCs w:val="32"/>
        </w:rPr>
        <w:t>政策知晓度不够。</w:t>
      </w:r>
    </w:p>
    <w:p>
      <w:pPr>
        <w:pageBreakBefore w:val="0"/>
        <w:numPr>
          <w:ilvl w:val="0"/>
          <w:numId w:val="8"/>
        </w:numPr>
        <w:kinsoku/>
        <w:wordWrap/>
        <w:overflowPunct/>
        <w:topLinePunct w:val="0"/>
        <w:autoSpaceDE/>
        <w:autoSpaceDN/>
        <w:bidi w:val="0"/>
        <w:adjustRightIn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9"/>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9"/>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9"/>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建议在进行绩效目标设定时，考虑成本指标的设置，社会效益指标的可衡量性，及时对项目运行情况进行监控，真正做到预算编制有目标、预算执行有跟踪监控、预算完成有评价、评价结果有反馈、反馈结果有应用。</w:t>
      </w:r>
    </w:p>
    <w:p>
      <w:pPr>
        <w:pageBreakBefore w:val="0"/>
        <w:numPr>
          <w:ilvl w:val="0"/>
          <w:numId w:val="8"/>
        </w:numPr>
        <w:kinsoku/>
        <w:wordWrap/>
        <w:overflowPunct/>
        <w:topLinePunct w:val="0"/>
        <w:autoSpaceDE/>
        <w:autoSpaceDN/>
        <w:bidi w:val="0"/>
        <w:adjustRightIn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18"/>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pStyle w:val="2"/>
        <w:rPr>
          <w:rFonts w:ascii="黑体" w:hAnsi="黑体" w:eastAsia="黑体"/>
        </w:rPr>
      </w:pPr>
    </w:p>
    <w:p>
      <w:pPr>
        <w:rPr>
          <w:rFonts w:ascii="黑体" w:hAnsi="黑体" w:eastAsia="黑体"/>
          <w:sz w:val="32"/>
          <w:szCs w:val="32"/>
        </w:rPr>
      </w:pPr>
    </w:p>
    <w:tbl>
      <w:tblPr>
        <w:tblW w:w="9345" w:type="dxa"/>
        <w:tblInd w:w="0" w:type="dxa"/>
        <w:shd w:val="clear"/>
        <w:tblLayout w:type="autofit"/>
        <w:tblCellMar>
          <w:top w:w="0" w:type="dxa"/>
          <w:left w:w="0" w:type="dxa"/>
          <w:bottom w:w="0" w:type="dxa"/>
          <w:right w:w="0" w:type="dxa"/>
        </w:tblCellMar>
      </w:tblPr>
      <w:tblGrid>
        <w:gridCol w:w="840"/>
        <w:gridCol w:w="840"/>
        <w:gridCol w:w="840"/>
        <w:gridCol w:w="840"/>
        <w:gridCol w:w="1086"/>
        <w:gridCol w:w="75"/>
        <w:gridCol w:w="1020"/>
        <w:gridCol w:w="1824"/>
        <w:gridCol w:w="1980"/>
      </w:tblGrid>
      <w:tr>
        <w:tblPrEx>
          <w:shd w:val="clear"/>
          <w:tblCellMar>
            <w:top w:w="0" w:type="dxa"/>
            <w:left w:w="0" w:type="dxa"/>
            <w:bottom w:w="0" w:type="dxa"/>
            <w:right w:w="0" w:type="dxa"/>
          </w:tblCellMar>
        </w:tblPrEx>
        <w:trPr>
          <w:trHeight w:val="409" w:hRule="atLeast"/>
        </w:trPr>
        <w:tc>
          <w:tcPr>
            <w:tcW w:w="9345" w:type="dxa"/>
            <w:gridSpan w:val="9"/>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bdr w:val="none" w:color="auto" w:sz="0" w:space="0"/>
                <w:lang w:val="en-US" w:eastAsia="zh-CN" w:bidi="ar"/>
              </w:rPr>
              <w:t>项目支出绩效自评表</w:t>
            </w:r>
          </w:p>
        </w:tc>
      </w:tr>
      <w:tr>
        <w:tblPrEx>
          <w:tblCellMar>
            <w:top w:w="0" w:type="dxa"/>
            <w:left w:w="0" w:type="dxa"/>
            <w:bottom w:w="0" w:type="dxa"/>
            <w:right w:w="0" w:type="dxa"/>
          </w:tblCellMar>
        </w:tblPrEx>
        <w:trPr>
          <w:trHeight w:val="409" w:hRule="atLeast"/>
        </w:trPr>
        <w:tc>
          <w:tcPr>
            <w:tcW w:w="9345" w:type="dxa"/>
            <w:gridSpan w:val="9"/>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bdr w:val="none" w:color="auto" w:sz="0" w:space="0"/>
                <w:lang w:val="en-US" w:eastAsia="zh-CN" w:bidi="ar"/>
              </w:rPr>
              <w:t>（   2020 年度）</w:t>
            </w:r>
          </w:p>
        </w:tc>
      </w:tr>
      <w:tr>
        <w:tblPrEx>
          <w:tblCellMar>
            <w:top w:w="0" w:type="dxa"/>
            <w:left w:w="0" w:type="dxa"/>
            <w:bottom w:w="0" w:type="dxa"/>
            <w:right w:w="0" w:type="dxa"/>
          </w:tblCellMar>
        </w:tblPrEx>
        <w:trPr>
          <w:trHeight w:val="270" w:hRule="atLeast"/>
        </w:trPr>
        <w:tc>
          <w:tcPr>
            <w:tcW w:w="9345" w:type="dxa"/>
            <w:gridSpan w:val="9"/>
            <w:tcBorders>
              <w:top w:val="nil"/>
              <w:left w:val="nil"/>
              <w:bottom w:val="nil"/>
              <w:right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项目名称</w:t>
            </w:r>
          </w:p>
        </w:tc>
        <w:tc>
          <w:tcPr>
            <w:tcW w:w="7665"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护理人员工资</w:t>
            </w:r>
          </w:p>
        </w:tc>
      </w:tr>
      <w:tr>
        <w:tblPrEx>
          <w:tblCellMar>
            <w:top w:w="0" w:type="dxa"/>
            <w:left w:w="0" w:type="dxa"/>
            <w:bottom w:w="0" w:type="dxa"/>
            <w:right w:w="0" w:type="dxa"/>
          </w:tblCellMar>
        </w:tblPrEx>
        <w:trPr>
          <w:trHeight w:val="5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主管部门</w:t>
            </w:r>
          </w:p>
        </w:tc>
        <w:tc>
          <w:tcPr>
            <w:tcW w:w="3861" w:type="dxa"/>
            <w:gridSpan w:val="5"/>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实施单位</w:t>
            </w:r>
          </w:p>
        </w:tc>
        <w:tc>
          <w:tcPr>
            <w:tcW w:w="19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塔城地区社会福利院</w:t>
            </w:r>
          </w:p>
        </w:tc>
      </w:tr>
      <w:tr>
        <w:tblPrEx>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项目资金</w:t>
            </w:r>
          </w:p>
        </w:tc>
        <w:tc>
          <w:tcPr>
            <w:tcW w:w="0" w:type="auto"/>
            <w:tcBorders>
              <w:top w:val="nil"/>
              <w:left w:val="nil"/>
              <w:bottom w:val="nil"/>
              <w:right w:val="nil"/>
            </w:tcBorders>
            <w:shd w:val="clear"/>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noWrap/>
            <w:tcMar>
              <w:top w:w="15" w:type="dxa"/>
              <w:left w:w="15" w:type="dxa"/>
              <w:right w:w="15" w:type="dxa"/>
            </w:tcMar>
            <w:vAlign w:val="bottom"/>
          </w:tcPr>
          <w:p>
            <w:pPr>
              <w:rPr>
                <w:rFonts w:hint="default" w:ascii="Arial" w:hAnsi="Arial" w:cs="Arial"/>
                <w:i w:val="0"/>
                <w:color w:val="000000"/>
                <w:sz w:val="20"/>
                <w:szCs w:val="20"/>
                <w:u w:val="none"/>
              </w:rPr>
            </w:pPr>
          </w:p>
        </w:tc>
        <w:tc>
          <w:tcPr>
            <w:tcW w:w="116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年初预算数</w:t>
            </w: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全年预算数</w:t>
            </w:r>
          </w:p>
        </w:tc>
        <w:tc>
          <w:tcPr>
            <w:tcW w:w="1824"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全年执行数</w:t>
            </w:r>
          </w:p>
        </w:tc>
        <w:tc>
          <w:tcPr>
            <w:tcW w:w="19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执行率</w:t>
            </w:r>
          </w:p>
        </w:tc>
      </w:tr>
      <w:tr>
        <w:tblPrEx>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年度资金总额</w:t>
            </w:r>
          </w:p>
        </w:tc>
        <w:tc>
          <w:tcPr>
            <w:tcW w:w="116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17.08</w:t>
            </w: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17.08</w:t>
            </w:r>
          </w:p>
        </w:tc>
        <w:tc>
          <w:tcPr>
            <w:tcW w:w="1824"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14.88</w:t>
            </w:r>
          </w:p>
        </w:tc>
        <w:tc>
          <w:tcPr>
            <w:tcW w:w="19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87.12%</w:t>
            </w:r>
          </w:p>
        </w:tc>
      </w:tr>
      <w:tr>
        <w:tblPrEx>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其中：当年财政拨款</w:t>
            </w:r>
          </w:p>
        </w:tc>
        <w:tc>
          <w:tcPr>
            <w:tcW w:w="116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17.08</w:t>
            </w: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17.08</w:t>
            </w:r>
          </w:p>
        </w:tc>
        <w:tc>
          <w:tcPr>
            <w:tcW w:w="1824"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14.88</w:t>
            </w:r>
          </w:p>
        </w:tc>
        <w:tc>
          <w:tcPr>
            <w:tcW w:w="19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      上年结转资金</w:t>
            </w:r>
          </w:p>
        </w:tc>
        <w:tc>
          <w:tcPr>
            <w:tcW w:w="116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824"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9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  其他资金</w:t>
            </w:r>
          </w:p>
        </w:tc>
        <w:tc>
          <w:tcPr>
            <w:tcW w:w="116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02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824"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980" w:type="dxa"/>
            <w:tcBorders>
              <w:top w:val="nil"/>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年度总体目标</w:t>
            </w:r>
          </w:p>
        </w:tc>
        <w:tc>
          <w:tcPr>
            <w:tcW w:w="4701"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预期目标</w:t>
            </w:r>
          </w:p>
        </w:tc>
        <w:tc>
          <w:tcPr>
            <w:tcW w:w="380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实际完成情况</w:t>
            </w:r>
          </w:p>
        </w:tc>
      </w:tr>
      <w:tr>
        <w:tblPrEx>
          <w:tblCellMar>
            <w:top w:w="0" w:type="dxa"/>
            <w:left w:w="0" w:type="dxa"/>
            <w:bottom w:w="0" w:type="dxa"/>
            <w:right w:w="0" w:type="dxa"/>
          </w:tblCellMar>
        </w:tblPrEx>
        <w:trPr>
          <w:trHeight w:val="7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701"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护理人员工资发放人数5人，全年工作任务制定工作计划方案，实施工作落实情况，确保工作有序正常开展。</w:t>
            </w:r>
          </w:p>
        </w:tc>
        <w:tc>
          <w:tcPr>
            <w:tcW w:w="380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护理人员工资发放人数5人，全年工作任务制定工作计划方案，实施工作落实情况，确保工作有序正常开展。</w:t>
            </w:r>
          </w:p>
        </w:tc>
      </w:tr>
      <w:tr>
        <w:tblPrEx>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二级指标</w:t>
            </w:r>
          </w:p>
        </w:tc>
        <w:tc>
          <w:tcPr>
            <w:tcW w:w="192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三级指标</w:t>
            </w:r>
          </w:p>
        </w:tc>
        <w:tc>
          <w:tcPr>
            <w:tcW w:w="109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年度指标值</w:t>
            </w:r>
          </w:p>
        </w:tc>
        <w:tc>
          <w:tcPr>
            <w:tcW w:w="1824"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实际完成值</w:t>
            </w:r>
          </w:p>
        </w:tc>
        <w:tc>
          <w:tcPr>
            <w:tcW w:w="198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偏差原因分析及改进措施</w:t>
            </w:r>
          </w:p>
        </w:tc>
      </w:tr>
      <w:tr>
        <w:tblPrEx>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2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9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824"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92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护理人员人数</w:t>
            </w:r>
          </w:p>
        </w:tc>
        <w:tc>
          <w:tcPr>
            <w:tcW w:w="109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≥5人</w:t>
            </w:r>
          </w:p>
        </w:tc>
        <w:tc>
          <w:tcPr>
            <w:tcW w:w="18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5人</w:t>
            </w:r>
          </w:p>
        </w:tc>
        <w:tc>
          <w:tcPr>
            <w:tcW w:w="19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92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护理人员工资发放完成率</w:t>
            </w:r>
          </w:p>
        </w:tc>
        <w:tc>
          <w:tcPr>
            <w:tcW w:w="109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8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87.19</w:t>
            </w:r>
          </w:p>
        </w:tc>
        <w:tc>
          <w:tcPr>
            <w:tcW w:w="19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延续下年使用。</w:t>
            </w:r>
          </w:p>
        </w:tc>
      </w:tr>
      <w:tr>
        <w:tblPrEx>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192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工资发放及时率</w:t>
            </w:r>
          </w:p>
        </w:tc>
        <w:tc>
          <w:tcPr>
            <w:tcW w:w="109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8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19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192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单位护理人员成本</w:t>
            </w:r>
          </w:p>
        </w:tc>
        <w:tc>
          <w:tcPr>
            <w:tcW w:w="109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≤2500元</w:t>
            </w:r>
          </w:p>
        </w:tc>
        <w:tc>
          <w:tcPr>
            <w:tcW w:w="18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2480元</w:t>
            </w:r>
          </w:p>
        </w:tc>
        <w:tc>
          <w:tcPr>
            <w:tcW w:w="19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延续下年使用。</w:t>
            </w: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nil"/>
              <w:left w:val="single" w:color="000000" w:sz="4" w:space="0"/>
              <w:bottom w:val="nil"/>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192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“集中供养”人员的生活情况 </w:t>
            </w:r>
          </w:p>
        </w:tc>
        <w:tc>
          <w:tcPr>
            <w:tcW w:w="109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有所提升</w:t>
            </w:r>
          </w:p>
        </w:tc>
        <w:tc>
          <w:tcPr>
            <w:tcW w:w="18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有所提升</w:t>
            </w:r>
          </w:p>
        </w:tc>
        <w:tc>
          <w:tcPr>
            <w:tcW w:w="19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nil"/>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2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社会服务能力提升</w:t>
            </w:r>
          </w:p>
        </w:tc>
        <w:tc>
          <w:tcPr>
            <w:tcW w:w="109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有所提升</w:t>
            </w:r>
          </w:p>
        </w:tc>
        <w:tc>
          <w:tcPr>
            <w:tcW w:w="18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有所提升</w:t>
            </w:r>
          </w:p>
        </w:tc>
        <w:tc>
          <w:tcPr>
            <w:tcW w:w="19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服务对象满意度指标</w:t>
            </w:r>
          </w:p>
        </w:tc>
        <w:tc>
          <w:tcPr>
            <w:tcW w:w="192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护理人员满意率</w:t>
            </w:r>
          </w:p>
        </w:tc>
        <w:tc>
          <w:tcPr>
            <w:tcW w:w="109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182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19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
      <w:pPr>
        <w:pStyle w:val="2"/>
        <w:rPr>
          <w:rFonts w:ascii="黑体" w:hAnsi="黑体" w:eastAsia="黑体"/>
        </w:rPr>
      </w:pPr>
    </w:p>
    <w:p>
      <w:pPr>
        <w:rPr>
          <w:rFonts w:ascii="黑体" w:hAnsi="黑体" w:eastAsia="黑体"/>
          <w:sz w:val="32"/>
          <w:szCs w:val="32"/>
        </w:rPr>
      </w:pPr>
    </w:p>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67" w:type="dxa"/>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73" w:type="dxa"/>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353" w:type="dxa"/>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5188" w:type="dxa"/>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300" w:type="dxa"/>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363" w:type="dxa"/>
            <w:shd w:val="clear" w:color="auto" w:fill="FFFFFF"/>
            <w:noWrap/>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767"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353"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1300"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36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767" w:type="dxa"/>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353"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5188" w:type="dxa"/>
            <w:shd w:val="clear" w:color="auto"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1300"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36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767"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767"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767"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353"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1300"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3"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1300"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767"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767" w:type="dxa"/>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353"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5188"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1300"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0.87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767"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767"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8.71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ign w:val="center"/>
          </w:tcPr>
          <w:p>
            <w:pPr>
              <w:spacing w:line="0" w:lineRule="atLeast"/>
              <w:jc w:val="center"/>
              <w:rPr>
                <w:rFonts w:ascii="宋体" w:hAnsi="宋体" w:cs="宋体"/>
                <w:color w:val="000000"/>
                <w:kern w:val="0"/>
                <w:sz w:val="22"/>
                <w:szCs w:val="22"/>
              </w:rPr>
            </w:pPr>
          </w:p>
        </w:tc>
        <w:tc>
          <w:tcPr>
            <w:tcW w:w="767" w:type="dxa"/>
            <w:shd w:val="clear" w:color="auto" w:fill="FFFFFF"/>
            <w:noWrap/>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767"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9.92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767" w:type="dxa"/>
            <w:vMerge w:val="restart"/>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353" w:type="dxa"/>
            <w:shd w:val="clear" w:color="auto" w:fill="FFFFFF"/>
            <w:noWrap/>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5188" w:type="dxa"/>
            <w:shd w:val="clear" w:color="auto"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36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noWrap/>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353"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5188" w:type="dxa"/>
            <w:shd w:val="clear" w:color="000000" w:fill="FFFFFF"/>
            <w:noWrap/>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3" w:type="dxa"/>
            <w:shd w:val="clear" w:color="000000" w:fill="FFFFFF"/>
            <w:noWrap/>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bl>
    <w:p>
      <w:pPr>
        <w:pStyle w:val="2"/>
      </w:pPr>
    </w:p>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pStyle w:val="18"/>
        <w:rPr>
          <w:rStyle w:val="22"/>
          <w:rFonts w:ascii="黑体" w:hAnsi="黑体" w:eastAsia="黑体"/>
          <w:bCs w:val="0"/>
          <w:spacing w:val="-4"/>
          <w:sz w:val="32"/>
          <w:szCs w:val="32"/>
        </w:rPr>
      </w:pPr>
    </w:p>
    <w:p>
      <w:pPr>
        <w:pStyle w:val="18"/>
        <w:rPr>
          <w:rStyle w:val="22"/>
          <w:rFonts w:ascii="黑体" w:hAnsi="黑体" w:eastAsia="黑体"/>
          <w:bCs w:val="0"/>
          <w:spacing w:val="-4"/>
          <w:sz w:val="32"/>
          <w:szCs w:val="32"/>
        </w:rPr>
      </w:pPr>
    </w:p>
    <w:p>
      <w:pPr>
        <w:pStyle w:val="18"/>
        <w:rPr>
          <w:rStyle w:val="22"/>
          <w:rFonts w:ascii="黑体" w:hAnsi="黑体" w:eastAsia="黑体"/>
          <w:bCs w:val="0"/>
          <w:spacing w:val="-4"/>
          <w:sz w:val="32"/>
          <w:szCs w:val="32"/>
        </w:rPr>
      </w:pPr>
    </w:p>
    <w:p>
      <w:pPr>
        <w:pStyle w:val="18"/>
        <w:rPr>
          <w:rStyle w:val="22"/>
          <w:rFonts w:ascii="黑体" w:hAnsi="黑体" w:eastAsia="黑体"/>
          <w:bCs w:val="0"/>
          <w:spacing w:val="-4"/>
          <w:sz w:val="32"/>
          <w:szCs w:val="32"/>
        </w:rPr>
      </w:pPr>
    </w:p>
    <w:p>
      <w:pPr>
        <w:pStyle w:val="18"/>
        <w:rPr>
          <w:rStyle w:val="22"/>
          <w:rFonts w:ascii="黑体" w:hAnsi="黑体" w:eastAsia="黑体"/>
          <w:bCs w:val="0"/>
          <w:spacing w:val="-4"/>
          <w:sz w:val="32"/>
          <w:szCs w:val="32"/>
        </w:rPr>
      </w:pPr>
    </w:p>
    <w:p>
      <w:pPr>
        <w:pStyle w:val="18"/>
        <w:rPr>
          <w:rStyle w:val="22"/>
          <w:rFonts w:ascii="黑体" w:hAnsi="黑体" w:eastAsia="黑体"/>
          <w:bCs w:val="0"/>
          <w:spacing w:val="-4"/>
          <w:sz w:val="32"/>
          <w:szCs w:val="32"/>
        </w:rPr>
      </w:pPr>
    </w:p>
    <w:tbl>
      <w:tblPr>
        <w:tblStyle w:val="20"/>
        <w:tblW w:w="90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6"/>
        <w:gridCol w:w="697"/>
        <w:gridCol w:w="696"/>
        <w:gridCol w:w="696"/>
        <w:gridCol w:w="1232"/>
        <w:gridCol w:w="1740"/>
        <w:gridCol w:w="1365"/>
        <w:gridCol w:w="1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060" w:type="dxa"/>
            <w:gridSpan w:val="8"/>
            <w:shd w:val="clear" w:color="auto" w:fill="auto"/>
            <w:vAlign w:val="center"/>
          </w:tcPr>
          <w:p>
            <w:pPr>
              <w:keepNext w:val="0"/>
              <w:keepLines w:val="0"/>
              <w:widowControl/>
              <w:suppressLineNumbers w:val="0"/>
              <w:jc w:val="center"/>
              <w:textAlignment w:val="center"/>
              <w:rPr>
                <w:rFonts w:ascii="宋体" w:hAnsi="宋体" w:cs="宋体"/>
                <w:b/>
                <w:bCs/>
                <w:color w:val="00000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9060" w:type="dxa"/>
            <w:gridSpan w:val="8"/>
            <w:shd w:val="clear" w:color="auto" w:fill="auto"/>
            <w:vAlign w:val="center"/>
          </w:tcPr>
          <w:p>
            <w:pPr>
              <w:keepNext w:val="0"/>
              <w:keepLines w:val="0"/>
              <w:widowControl/>
              <w:suppressLineNumbers w:val="0"/>
              <w:jc w:val="center"/>
              <w:textAlignment w:val="center"/>
              <w:rPr>
                <w:rFonts w:ascii="宋体" w:hAnsi="宋体" w:cs="宋体"/>
                <w:color w:val="00000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60" w:type="dxa"/>
            <w:gridSpan w:val="8"/>
            <w:shd w:val="clear" w:color="auto" w:fill="auto"/>
            <w:vAlign w:val="center"/>
          </w:tcPr>
          <w:p>
            <w:pPr>
              <w:jc w:val="center"/>
              <w:rPr>
                <w:rFonts w:ascii="宋体" w:hAnsi="宋体" w:cs="宋体"/>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93"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7667" w:type="dxa"/>
            <w:gridSpan w:val="6"/>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93"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4364" w:type="dxa"/>
            <w:gridSpan w:val="4"/>
            <w:shd w:val="clear" w:color="auto" w:fill="auto"/>
            <w:vAlign w:val="center"/>
          </w:tcPr>
          <w:p>
            <w:pPr>
              <w:jc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393"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696" w:type="dxa"/>
            <w:shd w:val="clear" w:color="auto" w:fill="auto"/>
            <w:noWrap/>
            <w:vAlign w:val="bottom"/>
          </w:tcPr>
          <w:p>
            <w:pPr>
              <w:rPr>
                <w:rFonts w:ascii="Arial" w:hAnsi="Arial" w:cs="Arial"/>
                <w:color w:val="000000"/>
                <w:sz w:val="20"/>
                <w:szCs w:val="20"/>
              </w:rPr>
            </w:pPr>
          </w:p>
        </w:tc>
        <w:tc>
          <w:tcPr>
            <w:tcW w:w="696" w:type="dxa"/>
            <w:shd w:val="clear" w:color="auto" w:fill="auto"/>
            <w:noWrap/>
            <w:vAlign w:val="bottom"/>
          </w:tcPr>
          <w:p>
            <w:pPr>
              <w:rPr>
                <w:rFonts w:ascii="Arial" w:hAnsi="Arial" w:cs="Arial"/>
                <w:color w:val="000000"/>
                <w:sz w:val="20"/>
                <w:szCs w:val="20"/>
              </w:rPr>
            </w:pPr>
          </w:p>
        </w:tc>
        <w:tc>
          <w:tcPr>
            <w:tcW w:w="1232"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393"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92"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232"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393" w:type="dxa"/>
            <w:gridSpan w:val="2"/>
            <w:shd w:val="clear" w:color="auto" w:fill="auto"/>
            <w:vAlign w:val="center"/>
          </w:tcPr>
          <w:p>
            <w:pPr>
              <w:jc w:val="center"/>
              <w:rPr>
                <w:rFonts w:ascii="宋体" w:hAnsi="宋体" w:cs="宋体"/>
                <w:color w:val="000000"/>
                <w:sz w:val="22"/>
                <w:szCs w:val="22"/>
              </w:rPr>
            </w:pPr>
          </w:p>
        </w:tc>
        <w:tc>
          <w:tcPr>
            <w:tcW w:w="1392"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232"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trPr>
        <w:tc>
          <w:tcPr>
            <w:tcW w:w="1393" w:type="dxa"/>
            <w:gridSpan w:val="2"/>
            <w:shd w:val="clear" w:color="auto" w:fill="auto"/>
            <w:vAlign w:val="center"/>
          </w:tcPr>
          <w:p>
            <w:pPr>
              <w:jc w:val="center"/>
              <w:rPr>
                <w:rFonts w:ascii="宋体" w:hAnsi="宋体" w:cs="宋体"/>
                <w:color w:val="000000"/>
                <w:sz w:val="22"/>
                <w:szCs w:val="22"/>
              </w:rPr>
            </w:pPr>
          </w:p>
        </w:tc>
        <w:tc>
          <w:tcPr>
            <w:tcW w:w="1392"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232" w:type="dxa"/>
            <w:shd w:val="clear" w:color="auto" w:fill="auto"/>
            <w:vAlign w:val="center"/>
          </w:tcPr>
          <w:p>
            <w:pPr>
              <w:jc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93" w:type="dxa"/>
            <w:gridSpan w:val="2"/>
            <w:shd w:val="clear" w:color="auto" w:fill="auto"/>
            <w:vAlign w:val="center"/>
          </w:tcPr>
          <w:p>
            <w:pPr>
              <w:jc w:val="center"/>
              <w:rPr>
                <w:rFonts w:ascii="宋体" w:hAnsi="宋体" w:cs="宋体"/>
                <w:color w:val="000000"/>
                <w:sz w:val="22"/>
                <w:szCs w:val="22"/>
              </w:rPr>
            </w:pPr>
          </w:p>
        </w:tc>
        <w:tc>
          <w:tcPr>
            <w:tcW w:w="1392"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232"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trPr>
        <w:tc>
          <w:tcPr>
            <w:tcW w:w="696"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5061" w:type="dxa"/>
            <w:gridSpan w:val="5"/>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3303"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96" w:type="dxa"/>
            <w:vMerge w:val="continue"/>
            <w:shd w:val="clear" w:color="auto" w:fill="auto"/>
            <w:vAlign w:val="center"/>
          </w:tcPr>
          <w:p>
            <w:pPr>
              <w:jc w:val="center"/>
              <w:rPr>
                <w:rFonts w:ascii="宋体" w:hAnsi="宋体" w:cs="宋体"/>
                <w:color w:val="000000"/>
                <w:sz w:val="18"/>
                <w:szCs w:val="18"/>
              </w:rPr>
            </w:pPr>
          </w:p>
        </w:tc>
        <w:tc>
          <w:tcPr>
            <w:tcW w:w="5061" w:type="dxa"/>
            <w:gridSpan w:val="5"/>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p>
        </w:tc>
        <w:tc>
          <w:tcPr>
            <w:tcW w:w="3303" w:type="dxa"/>
            <w:gridSpan w:val="2"/>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696" w:type="dxa"/>
            <w:vMerge w:val="restart"/>
            <w:shd w:val="clear" w:color="auto" w:fill="auto"/>
            <w:vAlign w:val="center"/>
          </w:tcPr>
          <w:p>
            <w:pPr>
              <w:jc w:val="center"/>
              <w:rPr>
                <w:rFonts w:ascii="宋体" w:hAnsi="宋体" w:cs="宋体"/>
                <w:color w:val="000000"/>
                <w:sz w:val="18"/>
                <w:szCs w:val="18"/>
              </w:rPr>
            </w:pPr>
          </w:p>
        </w:tc>
        <w:tc>
          <w:tcPr>
            <w:tcW w:w="697"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696"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28" w:type="dxa"/>
            <w:gridSpan w:val="2"/>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shd w:val="clear" w:color="auto" w:fill="auto"/>
            <w:vAlign w:val="center"/>
          </w:tcPr>
          <w:p>
            <w:pPr>
              <w:jc w:val="center"/>
              <w:rPr>
                <w:rFonts w:ascii="宋体" w:hAnsi="宋体" w:cs="宋体"/>
                <w:color w:val="000000"/>
                <w:sz w:val="18"/>
                <w:szCs w:val="18"/>
              </w:rPr>
            </w:pPr>
          </w:p>
        </w:tc>
        <w:tc>
          <w:tcPr>
            <w:tcW w:w="0" w:type="auto"/>
            <w:vMerge w:val="continue"/>
            <w:shd w:val="clear" w:color="auto" w:fill="auto"/>
            <w:vAlign w:val="center"/>
          </w:tcPr>
          <w:p>
            <w:pPr>
              <w:jc w:val="center"/>
              <w:rPr>
                <w:rFonts w:ascii="宋体" w:hAnsi="宋体" w:cs="宋体"/>
                <w:color w:val="000000"/>
                <w:sz w:val="18"/>
                <w:szCs w:val="18"/>
              </w:rPr>
            </w:pPr>
          </w:p>
        </w:tc>
        <w:tc>
          <w:tcPr>
            <w:tcW w:w="0" w:type="auto"/>
            <w:vMerge w:val="continue"/>
            <w:shd w:val="clear" w:color="auto" w:fill="auto"/>
            <w:vAlign w:val="center"/>
          </w:tcPr>
          <w:p>
            <w:pPr>
              <w:jc w:val="center"/>
              <w:rPr>
                <w:rFonts w:ascii="宋体" w:hAnsi="宋体" w:cs="宋体"/>
                <w:color w:val="000000"/>
                <w:sz w:val="18"/>
                <w:szCs w:val="18"/>
              </w:rPr>
            </w:pPr>
          </w:p>
        </w:tc>
        <w:tc>
          <w:tcPr>
            <w:tcW w:w="1928" w:type="dxa"/>
            <w:gridSpan w:val="2"/>
            <w:vMerge w:val="continue"/>
            <w:shd w:val="clear" w:color="auto" w:fill="auto"/>
            <w:vAlign w:val="center"/>
          </w:tcPr>
          <w:p>
            <w:pPr>
              <w:jc w:val="center"/>
              <w:rPr>
                <w:rFonts w:ascii="宋体" w:hAnsi="宋体" w:cs="宋体"/>
                <w:color w:val="000000"/>
                <w:sz w:val="18"/>
                <w:szCs w:val="18"/>
              </w:rPr>
            </w:pPr>
          </w:p>
        </w:tc>
        <w:tc>
          <w:tcPr>
            <w:tcW w:w="1740" w:type="dxa"/>
            <w:vMerge w:val="continue"/>
            <w:shd w:val="clear" w:color="auto" w:fill="auto"/>
            <w:vAlign w:val="center"/>
          </w:tcPr>
          <w:p>
            <w:pPr>
              <w:jc w:val="center"/>
              <w:rPr>
                <w:rFonts w:ascii="宋体" w:hAnsi="宋体" w:cs="宋体"/>
                <w:color w:val="000000"/>
                <w:sz w:val="18"/>
                <w:szCs w:val="18"/>
              </w:rPr>
            </w:pPr>
          </w:p>
        </w:tc>
        <w:tc>
          <w:tcPr>
            <w:tcW w:w="1365" w:type="dxa"/>
            <w:vMerge w:val="continue"/>
            <w:shd w:val="clear" w:color="auto" w:fill="auto"/>
            <w:vAlign w:val="center"/>
          </w:tcPr>
          <w:p>
            <w:pPr>
              <w:jc w:val="center"/>
              <w:rPr>
                <w:rFonts w:ascii="宋体" w:hAnsi="宋体" w:cs="宋体"/>
                <w:color w:val="000000"/>
                <w:sz w:val="18"/>
                <w:szCs w:val="18"/>
              </w:rPr>
            </w:pPr>
          </w:p>
        </w:tc>
        <w:tc>
          <w:tcPr>
            <w:tcW w:w="1938" w:type="dxa"/>
            <w:vMerge w:val="continue"/>
            <w:shd w:val="clear" w:color="auto" w:fill="auto"/>
            <w:vAlign w:val="center"/>
          </w:tcPr>
          <w:p>
            <w:pPr>
              <w:jc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696"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697"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696"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28"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jc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696" w:type="dxa"/>
            <w:vMerge w:val="continue"/>
            <w:shd w:val="clear" w:color="auto" w:fill="auto"/>
            <w:vAlign w:val="center"/>
          </w:tcPr>
          <w:p>
            <w:pPr>
              <w:jc w:val="center"/>
              <w:rPr>
                <w:rFonts w:ascii="宋体" w:hAnsi="宋体" w:cs="宋体"/>
                <w:color w:val="000000"/>
                <w:sz w:val="18"/>
                <w:szCs w:val="18"/>
              </w:rPr>
            </w:pPr>
          </w:p>
        </w:tc>
        <w:tc>
          <w:tcPr>
            <w:tcW w:w="697" w:type="dxa"/>
            <w:vMerge w:val="continue"/>
            <w:shd w:val="clear" w:color="auto" w:fill="auto"/>
            <w:vAlign w:val="center"/>
          </w:tcPr>
          <w:p>
            <w:pPr>
              <w:jc w:val="center"/>
              <w:rPr>
                <w:rFonts w:ascii="宋体" w:hAnsi="宋体" w:cs="宋体"/>
                <w:color w:val="000000"/>
                <w:sz w:val="18"/>
                <w:szCs w:val="18"/>
              </w:rPr>
            </w:pPr>
          </w:p>
        </w:tc>
        <w:tc>
          <w:tcPr>
            <w:tcW w:w="696"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28"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trPr>
        <w:tc>
          <w:tcPr>
            <w:tcW w:w="696" w:type="dxa"/>
            <w:vMerge w:val="continue"/>
            <w:shd w:val="clear" w:color="auto" w:fill="auto"/>
            <w:vAlign w:val="center"/>
          </w:tcPr>
          <w:p>
            <w:pPr>
              <w:jc w:val="center"/>
              <w:rPr>
                <w:rFonts w:ascii="宋体" w:hAnsi="宋体" w:cs="宋体"/>
                <w:color w:val="000000"/>
                <w:sz w:val="18"/>
                <w:szCs w:val="18"/>
              </w:rPr>
            </w:pPr>
          </w:p>
        </w:tc>
        <w:tc>
          <w:tcPr>
            <w:tcW w:w="697" w:type="dxa"/>
            <w:vMerge w:val="continue"/>
            <w:shd w:val="clear" w:color="auto" w:fill="auto"/>
            <w:vAlign w:val="center"/>
          </w:tcPr>
          <w:p>
            <w:pPr>
              <w:jc w:val="center"/>
              <w:rPr>
                <w:rFonts w:ascii="宋体" w:hAnsi="宋体" w:cs="宋体"/>
                <w:color w:val="000000"/>
                <w:sz w:val="18"/>
                <w:szCs w:val="18"/>
              </w:rPr>
            </w:pPr>
          </w:p>
        </w:tc>
        <w:tc>
          <w:tcPr>
            <w:tcW w:w="696"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28"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jc w:val="left"/>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atLeast"/>
        </w:trPr>
        <w:tc>
          <w:tcPr>
            <w:tcW w:w="696" w:type="dxa"/>
            <w:vMerge w:val="continue"/>
            <w:shd w:val="clear" w:color="auto" w:fill="auto"/>
            <w:vAlign w:val="center"/>
          </w:tcPr>
          <w:p>
            <w:pPr>
              <w:jc w:val="center"/>
              <w:rPr>
                <w:rFonts w:ascii="宋体" w:hAnsi="宋体" w:cs="宋体"/>
                <w:color w:val="000000"/>
                <w:sz w:val="18"/>
                <w:szCs w:val="18"/>
              </w:rPr>
            </w:pPr>
          </w:p>
        </w:tc>
        <w:tc>
          <w:tcPr>
            <w:tcW w:w="697" w:type="dxa"/>
            <w:vMerge w:val="continue"/>
            <w:shd w:val="clear" w:color="auto" w:fill="auto"/>
            <w:vAlign w:val="center"/>
          </w:tcPr>
          <w:p>
            <w:pPr>
              <w:jc w:val="center"/>
              <w:rPr>
                <w:rFonts w:ascii="宋体" w:hAnsi="宋体" w:cs="宋体"/>
                <w:color w:val="000000"/>
                <w:sz w:val="18"/>
                <w:szCs w:val="18"/>
              </w:rPr>
            </w:pPr>
          </w:p>
        </w:tc>
        <w:tc>
          <w:tcPr>
            <w:tcW w:w="696"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28"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atLeast"/>
        </w:trPr>
        <w:tc>
          <w:tcPr>
            <w:tcW w:w="696" w:type="dxa"/>
            <w:vMerge w:val="continue"/>
            <w:shd w:val="clear" w:color="auto" w:fill="auto"/>
            <w:vAlign w:val="center"/>
          </w:tcPr>
          <w:p>
            <w:pPr>
              <w:jc w:val="center"/>
              <w:rPr>
                <w:rFonts w:ascii="宋体" w:hAnsi="宋体" w:cs="宋体"/>
                <w:color w:val="000000"/>
                <w:sz w:val="18"/>
                <w:szCs w:val="18"/>
              </w:rPr>
            </w:pPr>
          </w:p>
        </w:tc>
        <w:tc>
          <w:tcPr>
            <w:tcW w:w="697" w:type="dxa"/>
            <w:vMerge w:val="restart"/>
            <w:shd w:val="clear" w:color="auto" w:fill="auto"/>
            <w:vAlign w:val="center"/>
          </w:tcPr>
          <w:p>
            <w:pPr>
              <w:jc w:val="center"/>
              <w:rPr>
                <w:rFonts w:ascii="宋体" w:hAnsi="宋体" w:cs="宋体"/>
                <w:color w:val="000000"/>
                <w:sz w:val="18"/>
                <w:szCs w:val="18"/>
              </w:rPr>
            </w:pPr>
          </w:p>
        </w:tc>
        <w:tc>
          <w:tcPr>
            <w:tcW w:w="696" w:type="dxa"/>
            <w:vMerge w:val="restart"/>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28"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jc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96" w:type="dxa"/>
            <w:vMerge w:val="continue"/>
            <w:shd w:val="clear" w:color="auto" w:fill="auto"/>
            <w:vAlign w:val="center"/>
          </w:tcPr>
          <w:p>
            <w:pPr>
              <w:jc w:val="center"/>
              <w:rPr>
                <w:rFonts w:ascii="宋体" w:hAnsi="宋体" w:cs="宋体"/>
                <w:color w:val="000000"/>
                <w:sz w:val="18"/>
                <w:szCs w:val="18"/>
              </w:rPr>
            </w:pPr>
          </w:p>
        </w:tc>
        <w:tc>
          <w:tcPr>
            <w:tcW w:w="697" w:type="dxa"/>
            <w:vMerge w:val="continue"/>
            <w:shd w:val="clear" w:color="auto" w:fill="auto"/>
            <w:vAlign w:val="center"/>
          </w:tcPr>
          <w:p>
            <w:pPr>
              <w:jc w:val="center"/>
              <w:rPr>
                <w:rFonts w:ascii="宋体" w:hAnsi="宋体" w:cs="宋体"/>
                <w:color w:val="000000"/>
                <w:sz w:val="18"/>
                <w:szCs w:val="18"/>
              </w:rPr>
            </w:pPr>
          </w:p>
        </w:tc>
        <w:tc>
          <w:tcPr>
            <w:tcW w:w="696" w:type="dxa"/>
            <w:vMerge w:val="continue"/>
            <w:shd w:val="clear" w:color="auto" w:fill="auto"/>
            <w:vAlign w:val="center"/>
          </w:tcPr>
          <w:p>
            <w:pPr>
              <w:jc w:val="center"/>
              <w:rPr>
                <w:rFonts w:ascii="宋体" w:hAnsi="宋体" w:cs="宋体"/>
                <w:color w:val="000000"/>
                <w:sz w:val="18"/>
                <w:szCs w:val="18"/>
              </w:rPr>
            </w:pPr>
          </w:p>
        </w:tc>
        <w:tc>
          <w:tcPr>
            <w:tcW w:w="1928"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jc w:val="center"/>
              <w:rPr>
                <w:rFonts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4" w:hRule="atLeast"/>
        </w:trPr>
        <w:tc>
          <w:tcPr>
            <w:tcW w:w="696" w:type="dxa"/>
            <w:vMerge w:val="continue"/>
            <w:shd w:val="clear" w:color="auto" w:fill="auto"/>
            <w:vAlign w:val="center"/>
          </w:tcPr>
          <w:p>
            <w:pPr>
              <w:jc w:val="center"/>
              <w:rPr>
                <w:rFonts w:ascii="宋体" w:hAnsi="宋体" w:cs="宋体"/>
                <w:color w:val="000000"/>
                <w:sz w:val="18"/>
                <w:szCs w:val="18"/>
              </w:rPr>
            </w:pPr>
          </w:p>
        </w:tc>
        <w:tc>
          <w:tcPr>
            <w:tcW w:w="697"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696"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28" w:type="dxa"/>
            <w:gridSpan w:val="2"/>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740"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365" w:type="dxa"/>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p>
        </w:tc>
        <w:tc>
          <w:tcPr>
            <w:tcW w:w="1938" w:type="dxa"/>
            <w:shd w:val="clear" w:color="auto" w:fill="auto"/>
            <w:vAlign w:val="center"/>
          </w:tcPr>
          <w:p>
            <w:pPr>
              <w:jc w:val="center"/>
              <w:rPr>
                <w:rFonts w:ascii="宋体" w:hAnsi="宋体" w:cs="宋体"/>
                <w:color w:val="000000"/>
                <w:sz w:val="18"/>
                <w:szCs w:val="18"/>
              </w:rPr>
            </w:pPr>
          </w:p>
        </w:tc>
      </w:tr>
    </w:tbl>
    <w:p>
      <w:pPr>
        <w:spacing w:line="540" w:lineRule="exact"/>
        <w:rPr>
          <w:rStyle w:val="22"/>
          <w:rFonts w:hint="eastAsia" w:ascii="仿宋" w:hAnsi="仿宋" w:eastAsia="仿宋"/>
          <w:b w:val="0"/>
          <w:spacing w:val="-4"/>
          <w:sz w:val="32"/>
          <w:szCs w:val="32"/>
        </w:rPr>
      </w:pPr>
    </w:p>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20</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C70C0554"/>
    <w:multiLevelType w:val="singleLevel"/>
    <w:tmpl w:val="C70C0554"/>
    <w:lvl w:ilvl="0" w:tentative="0">
      <w:start w:val="1"/>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049E50BA"/>
    <w:multiLevelType w:val="singleLevel"/>
    <w:tmpl w:val="049E50BA"/>
    <w:lvl w:ilvl="0" w:tentative="0">
      <w:start w:val="3"/>
      <w:numFmt w:val="decimal"/>
      <w:suff w:val="nothing"/>
      <w:lvlText w:val="%1、"/>
      <w:lvlJc w:val="left"/>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1FADF2D4"/>
    <w:multiLevelType w:val="singleLevel"/>
    <w:tmpl w:val="1FADF2D4"/>
    <w:lvl w:ilvl="0" w:tentative="0">
      <w:start w:val="3"/>
      <w:numFmt w:val="chineseCounting"/>
      <w:suff w:val="nothing"/>
      <w:lvlText w:val="（%1）"/>
      <w:lvlJc w:val="left"/>
      <w:rPr>
        <w:rFonts w:hint="eastAsia"/>
      </w:rPr>
    </w:lvl>
  </w:abstractNum>
  <w:abstractNum w:abstractNumId="8">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5"/>
  </w:num>
  <w:num w:numId="3">
    <w:abstractNumId w:val="7"/>
  </w:num>
  <w:num w:numId="4">
    <w:abstractNumId w:val="6"/>
  </w:num>
  <w:num w:numId="5">
    <w:abstractNumId w:val="8"/>
  </w:num>
  <w:num w:numId="6">
    <w:abstractNumId w:val="4"/>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E50F0"/>
    <w:rsid w:val="000E586C"/>
    <w:rsid w:val="00121AE4"/>
    <w:rsid w:val="00146AAD"/>
    <w:rsid w:val="00153B8B"/>
    <w:rsid w:val="001B3A40"/>
    <w:rsid w:val="003C18BC"/>
    <w:rsid w:val="004366A8"/>
    <w:rsid w:val="00464900"/>
    <w:rsid w:val="00502BA7"/>
    <w:rsid w:val="005162F1"/>
    <w:rsid w:val="00535153"/>
    <w:rsid w:val="00554F82"/>
    <w:rsid w:val="0056390D"/>
    <w:rsid w:val="005719B0"/>
    <w:rsid w:val="005D10D6"/>
    <w:rsid w:val="00622DE2"/>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2CF7BF7"/>
    <w:rsid w:val="02F217F4"/>
    <w:rsid w:val="03197DA9"/>
    <w:rsid w:val="04266F0A"/>
    <w:rsid w:val="051A56F5"/>
    <w:rsid w:val="053E0034"/>
    <w:rsid w:val="060432BA"/>
    <w:rsid w:val="066D6EAA"/>
    <w:rsid w:val="068750A3"/>
    <w:rsid w:val="06A123CD"/>
    <w:rsid w:val="06A22187"/>
    <w:rsid w:val="08564BED"/>
    <w:rsid w:val="08C662D4"/>
    <w:rsid w:val="09BD4D95"/>
    <w:rsid w:val="0A943A8B"/>
    <w:rsid w:val="0B026B50"/>
    <w:rsid w:val="0B2238B3"/>
    <w:rsid w:val="0BC67E34"/>
    <w:rsid w:val="0CA22D01"/>
    <w:rsid w:val="0DC1532D"/>
    <w:rsid w:val="0E8D0881"/>
    <w:rsid w:val="0EA8289F"/>
    <w:rsid w:val="0F026AFF"/>
    <w:rsid w:val="0F8D41CB"/>
    <w:rsid w:val="1132068A"/>
    <w:rsid w:val="11C75270"/>
    <w:rsid w:val="11F0493E"/>
    <w:rsid w:val="12637CC3"/>
    <w:rsid w:val="12893DCC"/>
    <w:rsid w:val="12E657C5"/>
    <w:rsid w:val="13B46CFE"/>
    <w:rsid w:val="13BA35FB"/>
    <w:rsid w:val="1425407D"/>
    <w:rsid w:val="146C2F3F"/>
    <w:rsid w:val="14AC3341"/>
    <w:rsid w:val="14E959CA"/>
    <w:rsid w:val="15025179"/>
    <w:rsid w:val="153E6562"/>
    <w:rsid w:val="155C610C"/>
    <w:rsid w:val="1564666E"/>
    <w:rsid w:val="1572117A"/>
    <w:rsid w:val="1624288C"/>
    <w:rsid w:val="167C7687"/>
    <w:rsid w:val="168B3546"/>
    <w:rsid w:val="175A7726"/>
    <w:rsid w:val="175B5C48"/>
    <w:rsid w:val="17A77292"/>
    <w:rsid w:val="18987820"/>
    <w:rsid w:val="18CA7E86"/>
    <w:rsid w:val="1A2374E0"/>
    <w:rsid w:val="1B212DAC"/>
    <w:rsid w:val="1B8614F3"/>
    <w:rsid w:val="1B910CC1"/>
    <w:rsid w:val="1B9C402A"/>
    <w:rsid w:val="1C317CE2"/>
    <w:rsid w:val="1CE712CA"/>
    <w:rsid w:val="1CFD0BBD"/>
    <w:rsid w:val="1D721B05"/>
    <w:rsid w:val="1D84403F"/>
    <w:rsid w:val="1DD45808"/>
    <w:rsid w:val="1DED42AC"/>
    <w:rsid w:val="1E8F2F02"/>
    <w:rsid w:val="1ED90806"/>
    <w:rsid w:val="1EEF51BA"/>
    <w:rsid w:val="20005763"/>
    <w:rsid w:val="20FB313D"/>
    <w:rsid w:val="21910E1C"/>
    <w:rsid w:val="220B4804"/>
    <w:rsid w:val="221C74F6"/>
    <w:rsid w:val="23780A8B"/>
    <w:rsid w:val="241664DC"/>
    <w:rsid w:val="242E3C5D"/>
    <w:rsid w:val="24F04309"/>
    <w:rsid w:val="24FD4BD1"/>
    <w:rsid w:val="25765FF3"/>
    <w:rsid w:val="25F568CA"/>
    <w:rsid w:val="26262ABC"/>
    <w:rsid w:val="274A5F38"/>
    <w:rsid w:val="275646D7"/>
    <w:rsid w:val="282475E3"/>
    <w:rsid w:val="28C165B2"/>
    <w:rsid w:val="299335BA"/>
    <w:rsid w:val="2C580699"/>
    <w:rsid w:val="2C6100C1"/>
    <w:rsid w:val="2F000D35"/>
    <w:rsid w:val="2F014549"/>
    <w:rsid w:val="2FA7434C"/>
    <w:rsid w:val="315E54E7"/>
    <w:rsid w:val="315F27AF"/>
    <w:rsid w:val="316C0898"/>
    <w:rsid w:val="318B19F0"/>
    <w:rsid w:val="321237C1"/>
    <w:rsid w:val="3264220D"/>
    <w:rsid w:val="32BC2929"/>
    <w:rsid w:val="339E2D99"/>
    <w:rsid w:val="341F4759"/>
    <w:rsid w:val="35785B84"/>
    <w:rsid w:val="35C572CC"/>
    <w:rsid w:val="35F93126"/>
    <w:rsid w:val="36101466"/>
    <w:rsid w:val="369E078B"/>
    <w:rsid w:val="37597B3C"/>
    <w:rsid w:val="38C704DB"/>
    <w:rsid w:val="3963178C"/>
    <w:rsid w:val="3CC75234"/>
    <w:rsid w:val="3FA5274A"/>
    <w:rsid w:val="40DC5BE5"/>
    <w:rsid w:val="41251821"/>
    <w:rsid w:val="41306D6D"/>
    <w:rsid w:val="41CC2676"/>
    <w:rsid w:val="41E72734"/>
    <w:rsid w:val="42680F07"/>
    <w:rsid w:val="43692160"/>
    <w:rsid w:val="43A85C73"/>
    <w:rsid w:val="459A2B35"/>
    <w:rsid w:val="467D24D0"/>
    <w:rsid w:val="46B21672"/>
    <w:rsid w:val="46B243BF"/>
    <w:rsid w:val="47B017AB"/>
    <w:rsid w:val="489E1B26"/>
    <w:rsid w:val="492A3E6D"/>
    <w:rsid w:val="496069E2"/>
    <w:rsid w:val="49D64286"/>
    <w:rsid w:val="4B7A20E7"/>
    <w:rsid w:val="4BD8196D"/>
    <w:rsid w:val="4C384843"/>
    <w:rsid w:val="4CDA128C"/>
    <w:rsid w:val="4CFB527B"/>
    <w:rsid w:val="4D1E1F2A"/>
    <w:rsid w:val="4D2420C3"/>
    <w:rsid w:val="4D6A1F0B"/>
    <w:rsid w:val="4F3546AC"/>
    <w:rsid w:val="4F407C8D"/>
    <w:rsid w:val="4F552460"/>
    <w:rsid w:val="4FCC6863"/>
    <w:rsid w:val="500A214A"/>
    <w:rsid w:val="503F0ADE"/>
    <w:rsid w:val="50E371EA"/>
    <w:rsid w:val="522D604D"/>
    <w:rsid w:val="5297585E"/>
    <w:rsid w:val="52AD7D6F"/>
    <w:rsid w:val="53853B4C"/>
    <w:rsid w:val="53C94098"/>
    <w:rsid w:val="53F84456"/>
    <w:rsid w:val="54D05BB2"/>
    <w:rsid w:val="5549519D"/>
    <w:rsid w:val="5557596B"/>
    <w:rsid w:val="55DE6126"/>
    <w:rsid w:val="56426933"/>
    <w:rsid w:val="5AA21982"/>
    <w:rsid w:val="5B514B1D"/>
    <w:rsid w:val="5B596DFC"/>
    <w:rsid w:val="5B7D2270"/>
    <w:rsid w:val="5C412BC4"/>
    <w:rsid w:val="5D3077CE"/>
    <w:rsid w:val="5D6C5CA1"/>
    <w:rsid w:val="5D6D1137"/>
    <w:rsid w:val="5DB45358"/>
    <w:rsid w:val="5DF03945"/>
    <w:rsid w:val="5E44678E"/>
    <w:rsid w:val="5F380709"/>
    <w:rsid w:val="5F8E46BA"/>
    <w:rsid w:val="5F9C7FEB"/>
    <w:rsid w:val="5FBF3BD7"/>
    <w:rsid w:val="60480E94"/>
    <w:rsid w:val="606F74D9"/>
    <w:rsid w:val="62E31CA2"/>
    <w:rsid w:val="637C2815"/>
    <w:rsid w:val="670E2210"/>
    <w:rsid w:val="685525E5"/>
    <w:rsid w:val="68E94BCF"/>
    <w:rsid w:val="69B23DFD"/>
    <w:rsid w:val="69CD3B50"/>
    <w:rsid w:val="6A567B50"/>
    <w:rsid w:val="6A9E7D96"/>
    <w:rsid w:val="6B265302"/>
    <w:rsid w:val="6CA31E36"/>
    <w:rsid w:val="6DAA302E"/>
    <w:rsid w:val="6E197FE1"/>
    <w:rsid w:val="6E371F33"/>
    <w:rsid w:val="6E7F777C"/>
    <w:rsid w:val="6FD124CC"/>
    <w:rsid w:val="70932D3D"/>
    <w:rsid w:val="70B709BA"/>
    <w:rsid w:val="72252200"/>
    <w:rsid w:val="72276A5B"/>
    <w:rsid w:val="723B7C3C"/>
    <w:rsid w:val="725D439E"/>
    <w:rsid w:val="72734412"/>
    <w:rsid w:val="72737535"/>
    <w:rsid w:val="74DD3870"/>
    <w:rsid w:val="76C22FFD"/>
    <w:rsid w:val="77142091"/>
    <w:rsid w:val="77266A80"/>
    <w:rsid w:val="777424A0"/>
    <w:rsid w:val="77A60890"/>
    <w:rsid w:val="77C12AE6"/>
    <w:rsid w:val="78445825"/>
    <w:rsid w:val="7870473A"/>
    <w:rsid w:val="78A06241"/>
    <w:rsid w:val="78BE7B4F"/>
    <w:rsid w:val="79055461"/>
    <w:rsid w:val="7A353D0B"/>
    <w:rsid w:val="7A504883"/>
    <w:rsid w:val="7B8A15AA"/>
    <w:rsid w:val="7BC658B9"/>
    <w:rsid w:val="7BFC202C"/>
    <w:rsid w:val="7CA341C7"/>
    <w:rsid w:val="7CDC6552"/>
    <w:rsid w:val="7D1354B7"/>
    <w:rsid w:val="7D1B0AC0"/>
    <w:rsid w:val="7D3A5E2F"/>
    <w:rsid w:val="7E7620B2"/>
    <w:rsid w:val="7E9C5F90"/>
    <w:rsid w:val="7F147BAD"/>
    <w:rsid w:val="7F2A23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footnote text"/>
    <w:basedOn w:val="1"/>
    <w:qFormat/>
    <w:uiPriority w:val="0"/>
    <w:pPr>
      <w:snapToGrid w:val="0"/>
      <w:jc w:val="left"/>
    </w:pPr>
    <w:rPr>
      <w:sz w:val="18"/>
      <w:szCs w:val="18"/>
    </w:rPr>
  </w:style>
  <w:style w:type="paragraph" w:styleId="19">
    <w:name w:val="Body Text First Indent"/>
    <w:basedOn w:val="13"/>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Char"/>
    <w:basedOn w:val="21"/>
    <w:link w:val="3"/>
    <w:qFormat/>
    <w:uiPriority w:val="9"/>
    <w:rPr>
      <w:rFonts w:asciiTheme="majorHAnsi" w:hAnsiTheme="majorHAnsi" w:eastAsiaTheme="majorEastAsia"/>
      <w:b/>
      <w:bCs/>
      <w:kern w:val="32"/>
      <w:sz w:val="32"/>
      <w:szCs w:val="32"/>
    </w:rPr>
  </w:style>
  <w:style w:type="character" w:customStyle="1" w:styleId="25">
    <w:name w:val="标题 2 Char"/>
    <w:basedOn w:val="21"/>
    <w:link w:val="4"/>
    <w:semiHidden/>
    <w:qFormat/>
    <w:uiPriority w:val="9"/>
    <w:rPr>
      <w:rFonts w:asciiTheme="majorHAnsi" w:hAnsiTheme="majorHAnsi" w:eastAsiaTheme="majorEastAsia"/>
      <w:b/>
      <w:bCs/>
      <w:i/>
      <w:iCs/>
      <w:sz w:val="28"/>
      <w:szCs w:val="28"/>
    </w:rPr>
  </w:style>
  <w:style w:type="character" w:customStyle="1" w:styleId="26">
    <w:name w:val="标题 3 Char"/>
    <w:basedOn w:val="21"/>
    <w:link w:val="5"/>
    <w:semiHidden/>
    <w:qFormat/>
    <w:uiPriority w:val="9"/>
    <w:rPr>
      <w:rFonts w:asciiTheme="majorHAnsi" w:hAnsiTheme="majorHAnsi" w:eastAsiaTheme="majorEastAsia"/>
      <w:b/>
      <w:bCs/>
      <w:sz w:val="26"/>
      <w:szCs w:val="26"/>
    </w:rPr>
  </w:style>
  <w:style w:type="character" w:customStyle="1" w:styleId="27">
    <w:name w:val="标题 4 Char"/>
    <w:basedOn w:val="21"/>
    <w:link w:val="6"/>
    <w:semiHidden/>
    <w:qFormat/>
    <w:uiPriority w:val="9"/>
    <w:rPr>
      <w:b/>
      <w:bCs/>
      <w:sz w:val="28"/>
      <w:szCs w:val="28"/>
    </w:rPr>
  </w:style>
  <w:style w:type="character" w:customStyle="1" w:styleId="28">
    <w:name w:val="标题 5 Char"/>
    <w:basedOn w:val="21"/>
    <w:link w:val="7"/>
    <w:semiHidden/>
    <w:qFormat/>
    <w:uiPriority w:val="9"/>
    <w:rPr>
      <w:b/>
      <w:bCs/>
      <w:i/>
      <w:iCs/>
      <w:sz w:val="26"/>
      <w:szCs w:val="26"/>
    </w:rPr>
  </w:style>
  <w:style w:type="character" w:customStyle="1" w:styleId="29">
    <w:name w:val="标题 6 Char"/>
    <w:basedOn w:val="21"/>
    <w:link w:val="8"/>
    <w:semiHidden/>
    <w:qFormat/>
    <w:uiPriority w:val="9"/>
    <w:rPr>
      <w:b/>
      <w:bCs/>
    </w:rPr>
  </w:style>
  <w:style w:type="character" w:customStyle="1" w:styleId="30">
    <w:name w:val="标题 7 Char"/>
    <w:basedOn w:val="21"/>
    <w:link w:val="9"/>
    <w:semiHidden/>
    <w:qFormat/>
    <w:uiPriority w:val="9"/>
    <w:rPr>
      <w:sz w:val="24"/>
      <w:szCs w:val="24"/>
    </w:rPr>
  </w:style>
  <w:style w:type="character" w:customStyle="1" w:styleId="31">
    <w:name w:val="标题 8 Char"/>
    <w:basedOn w:val="21"/>
    <w:link w:val="10"/>
    <w:semiHidden/>
    <w:qFormat/>
    <w:uiPriority w:val="9"/>
    <w:rPr>
      <w:i/>
      <w:iCs/>
      <w:sz w:val="24"/>
      <w:szCs w:val="24"/>
    </w:rPr>
  </w:style>
  <w:style w:type="character" w:customStyle="1" w:styleId="32">
    <w:name w:val="标题 9 Char"/>
    <w:basedOn w:val="21"/>
    <w:link w:val="11"/>
    <w:semiHidden/>
    <w:qFormat/>
    <w:uiPriority w:val="9"/>
    <w:rPr>
      <w:rFonts w:asciiTheme="majorHAnsi" w:hAnsiTheme="majorHAnsi" w:eastAsiaTheme="majorEastAsia"/>
    </w:rPr>
  </w:style>
  <w:style w:type="character" w:customStyle="1" w:styleId="33">
    <w:name w:val="标题 Char"/>
    <w:basedOn w:val="21"/>
    <w:link w:val="2"/>
    <w:qFormat/>
    <w:uiPriority w:val="10"/>
    <w:rPr>
      <w:rFonts w:asciiTheme="majorHAnsi" w:hAnsiTheme="majorHAnsi" w:eastAsiaTheme="majorEastAsia"/>
      <w:b/>
      <w:bCs/>
      <w:kern w:val="28"/>
      <w:sz w:val="32"/>
      <w:szCs w:val="32"/>
    </w:rPr>
  </w:style>
  <w:style w:type="character" w:customStyle="1" w:styleId="34">
    <w:name w:val="副标题 Char"/>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1"/>
    <w:link w:val="39"/>
    <w:qFormat/>
    <w:uiPriority w:val="30"/>
    <w:rPr>
      <w:b/>
      <w:i/>
      <w:sz w:val="24"/>
    </w:rPr>
  </w:style>
  <w:style w:type="character" w:customStyle="1" w:styleId="41">
    <w:name w:val="不明显强调1"/>
    <w:qFormat/>
    <w:uiPriority w:val="19"/>
    <w:rPr>
      <w:i/>
      <w:color w:val="585858" w:themeColor="text1" w:themeTint="A6"/>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Char"/>
    <w:basedOn w:val="21"/>
    <w:link w:val="16"/>
    <w:qFormat/>
    <w:uiPriority w:val="99"/>
    <w:rPr>
      <w:rFonts w:ascii="Calibri" w:hAnsi="Calibri" w:eastAsia="宋体"/>
      <w:kern w:val="2"/>
      <w:sz w:val="18"/>
      <w:szCs w:val="18"/>
    </w:rPr>
  </w:style>
  <w:style w:type="character" w:customStyle="1" w:styleId="48">
    <w:name w:val="页脚 Char"/>
    <w:basedOn w:val="21"/>
    <w:link w:val="15"/>
    <w:qFormat/>
    <w:uiPriority w:val="99"/>
    <w:rPr>
      <w:rFonts w:ascii="Calibri" w:hAnsi="Calibri" w:eastAsia="宋体"/>
      <w:kern w:val="2"/>
      <w:sz w:val="18"/>
      <w:szCs w:val="18"/>
    </w:rPr>
  </w:style>
  <w:style w:type="character" w:customStyle="1" w:styleId="49">
    <w:name w:val="批注框文本 Char"/>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7709</Words>
  <Characters>1145</Characters>
  <Lines>9</Lines>
  <Paragraphs>17</Paragraphs>
  <TotalTime>8</TotalTime>
  <ScaleCrop>false</ScaleCrop>
  <LinksUpToDate>false</LinksUpToDate>
  <CharactersWithSpaces>8837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2021-05-29T16:31:09Z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41E7FBDC29514C10AB0030A624D811A2</vt:lpwstr>
  </property>
  <property fmtid="{D5CDD505-2E9C-101B-9397-08002B2CF9AE}" pid="4" name="KSOSaveFontToCloudKey">
    <vt:lpwstr>728097718_cloud</vt:lpwstr>
  </property>
</Properties>
</file>