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方正小标宋简体" w:eastAsia="方正小标宋简体" w:cs="方正小标宋简体"/>
          <w:b/>
          <w:kern w:val="0"/>
          <w:sz w:val="52"/>
          <w:szCs w:val="52"/>
        </w:rPr>
      </w:pPr>
    </w:p>
    <w:p>
      <w:pPr>
        <w:spacing w:line="540" w:lineRule="exact"/>
        <w:jc w:val="both"/>
        <w:rPr>
          <w:rFonts w:hint="eastAsia" w:ascii="方正小标宋简体" w:hAnsi="方正小标宋简体" w:eastAsia="方正小标宋简体" w:cs="方正小标宋简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lang w:val="en-US" w:eastAsia="zh-CN"/>
        </w:rPr>
      </w:pPr>
      <w:r>
        <w:rPr>
          <w:rFonts w:hint="eastAsia" w:ascii="方正小标宋简体" w:hAnsi="方正小标宋简体" w:eastAsia="方正小标宋简体" w:cs="方正小标宋简体"/>
          <w:kern w:val="0"/>
          <w:sz w:val="44"/>
          <w:szCs w:val="44"/>
          <w:lang w:val="en-US" w:eastAsia="zh-CN"/>
        </w:rPr>
        <w:t>2020年新疆维吾尔自治区“三区”科技</w:t>
      </w:r>
    </w:p>
    <w:p>
      <w:pPr>
        <w:spacing w:line="540" w:lineRule="exact"/>
        <w:jc w:val="center"/>
        <w:rPr>
          <w:rFonts w:hint="eastAsia" w:ascii="方正小标宋简体" w:hAnsi="方正小标宋简体" w:eastAsia="方正小标宋简体" w:cs="方正小标宋简体"/>
          <w:kern w:val="0"/>
          <w:sz w:val="44"/>
          <w:szCs w:val="44"/>
          <w:lang w:val="en-US" w:eastAsia="zh-CN"/>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人才支持计划</w:t>
      </w:r>
      <w:r>
        <w:rPr>
          <w:rFonts w:hint="eastAsia" w:ascii="方正小标宋简体" w:hAnsi="方正小标宋简体" w:eastAsia="方正小标宋简体" w:cs="方正小标宋简体"/>
          <w:kern w:val="0"/>
          <w:sz w:val="44"/>
          <w:szCs w:val="44"/>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int="eastAsia" w:hAnsi="宋体" w:eastAsia="仿宋_GB2312" w:cs="宋体"/>
          <w:kern w:val="0"/>
          <w:sz w:val="30"/>
          <w:szCs w:val="30"/>
          <w:lang w:val="en-US" w:eastAsia="zh-CN"/>
        </w:rPr>
      </w:pPr>
      <w:r>
        <w:rPr>
          <w:rFonts w:hint="eastAsia" w:hAnsi="宋体" w:eastAsia="仿宋_GB2312" w:cs="宋体"/>
          <w:kern w:val="0"/>
          <w:sz w:val="30"/>
          <w:szCs w:val="30"/>
          <w:lang w:val="en-US" w:eastAsia="zh-CN"/>
        </w:rPr>
        <w:t xml:space="preserve"> </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518" w:leftChars="342" w:hanging="1800" w:hangingChars="500"/>
        <w:jc w:val="center"/>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val="en-US" w:eastAsia="zh-CN"/>
        </w:rPr>
        <w:t>2020年新疆维吾尔自治区“三区”</w:t>
      </w:r>
    </w:p>
    <w:p>
      <w:pPr>
        <w:spacing w:line="700" w:lineRule="exact"/>
        <w:ind w:firstLine="4320" w:firstLineChars="1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val="en-US" w:eastAsia="zh-CN"/>
        </w:rPr>
        <w:t>科技人才支持计划</w:t>
      </w:r>
      <w:r>
        <w:rPr>
          <w:rFonts w:hint="eastAsia" w:ascii="仿宋_GB2312" w:hAnsi="仿宋_GB2312" w:eastAsia="仿宋_GB2312" w:cs="仿宋_GB2312"/>
          <w:kern w:val="0"/>
          <w:sz w:val="36"/>
          <w:szCs w:val="36"/>
          <w:lang w:eastAsia="zh-CN"/>
        </w:rPr>
        <w:t>项目</w:t>
      </w:r>
    </w:p>
    <w:p>
      <w:pPr>
        <w:spacing w:line="700" w:lineRule="exact"/>
        <w:ind w:firstLine="1080" w:firstLineChars="300"/>
        <w:jc w:val="both"/>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eastAsia="zh-CN"/>
        </w:rPr>
        <w:t>塔城地区畜牧科技研究</w:t>
      </w:r>
    </w:p>
    <w:p>
      <w:pPr>
        <w:spacing w:line="700" w:lineRule="exact"/>
        <w:ind w:firstLine="4320" w:firstLineChars="12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eastAsia="zh-CN"/>
        </w:rPr>
        <w:t>推广中心</w:t>
      </w:r>
    </w:p>
    <w:p>
      <w:pPr>
        <w:spacing w:line="700" w:lineRule="exact"/>
        <w:ind w:firstLine="1080" w:firstLineChars="30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eastAsia="zh-CN"/>
        </w:rPr>
        <w:t>塔城地区畜牧兽医局</w:t>
      </w:r>
    </w:p>
    <w:p>
      <w:pPr>
        <w:spacing w:line="700" w:lineRule="exact"/>
        <w:ind w:firstLine="1080" w:firstLineChars="300"/>
        <w:jc w:val="both"/>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eastAsia="zh-CN"/>
        </w:rPr>
        <w:t>加孜拉</w:t>
      </w:r>
      <w:r>
        <w:rPr>
          <w:rFonts w:hint="eastAsia" w:ascii="仿宋_GB2312" w:hAnsi="仿宋_GB2312" w:eastAsia="仿宋_GB2312" w:cs="仿宋_GB2312"/>
          <w:kern w:val="0"/>
          <w:sz w:val="36"/>
          <w:szCs w:val="36"/>
          <w:lang w:val="en-US" w:eastAsia="zh-CN"/>
        </w:rPr>
        <w:t>·穆合塔尔</w:t>
      </w:r>
      <w:r>
        <w:rPr>
          <w:rFonts w:hint="eastAsia" w:ascii="仿宋_GB2312" w:hAnsi="仿宋_GB2312" w:eastAsia="仿宋_GB2312" w:cs="仿宋_GB2312"/>
          <w:kern w:val="0"/>
          <w:sz w:val="36"/>
          <w:szCs w:val="36"/>
          <w:lang w:eastAsia="zh-CN"/>
        </w:rPr>
        <w:t>，</w:t>
      </w:r>
    </w:p>
    <w:p>
      <w:pPr>
        <w:spacing w:line="700" w:lineRule="exact"/>
        <w:ind w:left="4309" w:leftChars="2052" w:firstLine="0" w:firstLineChars="0"/>
        <w:jc w:val="both"/>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lang w:eastAsia="zh-CN"/>
        </w:rPr>
        <w:t>阿曼凯迪</w:t>
      </w:r>
      <w:r>
        <w:rPr>
          <w:rFonts w:hint="eastAsia" w:ascii="仿宋_GB2312" w:hAnsi="仿宋_GB2312" w:eastAsia="仿宋_GB2312" w:cs="仿宋_GB2312"/>
          <w:kern w:val="0"/>
          <w:sz w:val="36"/>
          <w:szCs w:val="36"/>
          <w:lang w:val="en-US" w:eastAsia="zh-CN"/>
        </w:rPr>
        <w:t>·莫哈麦提汗</w:t>
      </w:r>
      <w:r>
        <w:rPr>
          <w:rFonts w:hint="eastAsia" w:ascii="仿宋_GB2312" w:hAnsi="仿宋_GB2312" w:eastAsia="仿宋_GB2312" w:cs="仿宋_GB2312"/>
          <w:kern w:val="0"/>
          <w:sz w:val="36"/>
          <w:szCs w:val="36"/>
          <w:lang w:eastAsia="zh-CN"/>
        </w:rPr>
        <w:t>，周军，巴合提</w:t>
      </w:r>
      <w:r>
        <w:rPr>
          <w:rFonts w:hint="eastAsia" w:ascii="仿宋_GB2312" w:hAnsi="仿宋_GB2312" w:eastAsia="仿宋_GB2312" w:cs="仿宋_GB2312"/>
          <w:kern w:val="0"/>
          <w:sz w:val="36"/>
          <w:szCs w:val="36"/>
          <w:lang w:val="en-US" w:eastAsia="zh-CN"/>
        </w:rPr>
        <w:t>·贺那亚提，欧都</w:t>
      </w:r>
    </w:p>
    <w:p>
      <w:pPr>
        <w:spacing w:line="700" w:lineRule="exact"/>
        <w:ind w:firstLine="1440" w:firstLineChars="400"/>
        <w:jc w:val="both"/>
        <w:rPr>
          <w:rFonts w:hint="eastAsia" w:ascii="仿宋_GB2312" w:hAnsi="仿宋_GB2312" w:eastAsia="仿宋_GB2312" w:cs="仿宋_GB2312"/>
          <w:bCs/>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8</w:t>
      </w:r>
      <w:r>
        <w:rPr>
          <w:rFonts w:hint="eastAsia" w:ascii="仿宋_GB2312" w:hAnsi="仿宋_GB2312" w:eastAsia="仿宋_GB2312" w:cs="仿宋_GB2312"/>
          <w:kern w:val="0"/>
          <w:sz w:val="36"/>
          <w:szCs w:val="36"/>
        </w:rPr>
        <w:t>日</w:t>
      </w:r>
    </w:p>
    <w:p>
      <w:pPr>
        <w:pageBreakBefore w:val="0"/>
        <w:kinsoku/>
        <w:wordWrap/>
        <w:overflowPunct/>
        <w:topLinePunct w:val="0"/>
        <w:autoSpaceDE/>
        <w:autoSpaceDN/>
        <w:bidi w:val="0"/>
        <w:adjustRightInd/>
        <w:spacing w:line="560" w:lineRule="exact"/>
        <w:rPr>
          <w:rFonts w:ascii="黑体" w:hAnsi="黑体" w:eastAsia="黑体" w:cs="黑体"/>
          <w:b/>
          <w:bCs w:val="0"/>
          <w:sz w:val="32"/>
          <w:szCs w:val="32"/>
        </w:rPr>
      </w:pPr>
      <w:r>
        <w:rPr>
          <w:rFonts w:hint="eastAsia" w:ascii="黑体" w:hAnsi="黑体" w:eastAsia="黑体" w:cs="黑体"/>
          <w:b/>
          <w:bCs w:val="0"/>
          <w:sz w:val="32"/>
          <w:szCs w:val="32"/>
        </w:rPr>
        <w:t>一、基本情况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Autospacing="0" w:afterAutospacing="0" w:line="560" w:lineRule="exact"/>
        <w:ind w:left="0" w:right="0" w:firstLine="640" w:firstLineChars="200"/>
        <w:jc w:val="left"/>
        <w:rPr>
          <w:rFonts w:hint="default"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根据《关于下达2020年新疆维吾尔自治区“三区”科技人才支持计划预算资金（第一批）的通知》，我中心积极组织开展选拔政治素质高、业务能力强的技术人员分别赴和丰县、托里县、裕民县的种养殖场、农民专业合作社、养殖大户提供科技服务，大力引导科技成果转移转化，提高种养殖从业人员的科技素质，促进经济发展。</w:t>
      </w:r>
    </w:p>
    <w:p>
      <w:pPr>
        <w:pStyle w:val="2"/>
        <w:pageBreakBefore w:val="0"/>
        <w:numPr>
          <w:ilvl w:val="0"/>
          <w:numId w:val="1"/>
        </w:numPr>
        <w:kinsoku/>
        <w:wordWrap/>
        <w:overflowPunct/>
        <w:topLinePunct w:val="0"/>
        <w:autoSpaceDE/>
        <w:autoSpaceDN/>
        <w:bidi w:val="0"/>
        <w:adjustRightInd/>
        <w:spacing w:before="0" w:after="0" w:line="560" w:lineRule="exact"/>
        <w:ind w:firstLine="640" w:firstLineChars="200"/>
        <w:jc w:val="both"/>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项目实施的历史概况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Autospacing="0" w:afterAutospacing="0" w:line="560" w:lineRule="exact"/>
        <w:ind w:left="0" w:right="0" w:firstLine="640" w:firstLineChars="200"/>
        <w:jc w:val="left"/>
        <w:rPr>
          <w:rStyle w:val="21"/>
          <w:rFonts w:ascii="黑体" w:hAnsi="黑体" w:eastAsia="黑体"/>
          <w:bCs w:val="0"/>
          <w:spacing w:val="-4"/>
          <w:sz w:val="32"/>
          <w:szCs w:val="32"/>
        </w:rPr>
      </w:pPr>
      <w:r>
        <w:rPr>
          <w:rFonts w:hint="eastAsia" w:ascii="仿宋_GB2312" w:hAnsi="仿宋_GB2312" w:eastAsia="仿宋_GB2312" w:cs="仿宋_GB2312"/>
          <w:b w:val="0"/>
          <w:bCs w:val="0"/>
          <w:kern w:val="0"/>
          <w:sz w:val="32"/>
          <w:szCs w:val="32"/>
          <w:lang w:val="en-US" w:eastAsia="zh-CN" w:bidi="ar-SA"/>
        </w:rPr>
        <w:t>近几年，通过新疆维吾尔</w:t>
      </w:r>
      <w:r>
        <w:rPr>
          <w:rFonts w:hint="default" w:ascii="仿宋_GB2312" w:hAnsi="仿宋_GB2312" w:eastAsia="仿宋_GB2312" w:cs="仿宋_GB2312"/>
          <w:b w:val="0"/>
          <w:bCs w:val="0"/>
          <w:kern w:val="0"/>
          <w:sz w:val="32"/>
          <w:szCs w:val="32"/>
          <w:lang w:val="en-US" w:eastAsia="zh-CN" w:bidi="ar-SA"/>
        </w:rPr>
        <w:t>自治区</w:t>
      </w:r>
      <w:r>
        <w:rPr>
          <w:rFonts w:hint="eastAsia" w:ascii="仿宋_GB2312" w:hAnsi="仿宋_GB2312" w:eastAsia="仿宋_GB2312" w:cs="仿宋_GB2312"/>
          <w:b w:val="0"/>
          <w:bCs w:val="0"/>
          <w:kern w:val="0"/>
          <w:sz w:val="32"/>
          <w:szCs w:val="32"/>
          <w:lang w:val="en-US" w:eastAsia="zh-CN" w:bidi="ar-SA"/>
        </w:rPr>
        <w:t>“三区人才”</w:t>
      </w:r>
      <w:r>
        <w:rPr>
          <w:rFonts w:hint="default" w:ascii="仿宋_GB2312" w:hAnsi="仿宋_GB2312" w:eastAsia="仿宋_GB2312" w:cs="仿宋_GB2312"/>
          <w:b w:val="0"/>
          <w:bCs w:val="0"/>
          <w:kern w:val="0"/>
          <w:sz w:val="32"/>
          <w:szCs w:val="32"/>
          <w:lang w:val="en-US" w:eastAsia="zh-CN" w:bidi="ar-SA"/>
        </w:rPr>
        <w:t>边远贫困县市科技人员专项支持计划</w:t>
      </w:r>
      <w:r>
        <w:rPr>
          <w:rFonts w:hint="eastAsia" w:ascii="仿宋_GB2312" w:hAnsi="仿宋_GB2312" w:eastAsia="仿宋_GB2312" w:cs="仿宋_GB2312"/>
          <w:b w:val="0"/>
          <w:bCs w:val="0"/>
          <w:kern w:val="0"/>
          <w:sz w:val="32"/>
          <w:szCs w:val="32"/>
          <w:lang w:val="en-US" w:eastAsia="zh-CN" w:bidi="ar-SA"/>
        </w:rPr>
        <w:t>，提高了受援企业、合作社、大户的生产力水平，增强了畜产品的市场竞争力，增加了农牧民的收入。</w:t>
      </w:r>
    </w:p>
    <w:p>
      <w:pPr>
        <w:pageBreakBefore w:val="0"/>
        <w:numPr>
          <w:ilvl w:val="0"/>
          <w:numId w:val="2"/>
        </w:numPr>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pacing w:beforeAutospacing="0" w:afterAutospacing="0" w:line="560" w:lineRule="exact"/>
        <w:ind w:left="0" w:right="0" w:firstLine="640" w:firstLineChars="200"/>
        <w:jc w:val="left"/>
        <w:rPr>
          <w:rFonts w:hint="default" w:ascii="仿宋_GB2312" w:hAnsi="仿宋_GB2312" w:eastAsia="仿宋_GB2312" w:cs="仿宋_GB2312"/>
          <w:b w:val="0"/>
          <w:bCs w:val="0"/>
          <w:kern w:val="2"/>
          <w:highlight w:val="yellow"/>
          <w:lang w:val="en-US" w:eastAsia="zh-CN"/>
        </w:rPr>
      </w:pPr>
      <w:r>
        <w:rPr>
          <w:rFonts w:hint="eastAsia" w:ascii="仿宋_GB2312" w:hAnsi="仿宋_GB2312" w:eastAsia="仿宋_GB2312" w:cs="仿宋_GB2312"/>
          <w:b w:val="0"/>
          <w:bCs w:val="0"/>
          <w:kern w:val="0"/>
          <w:sz w:val="32"/>
          <w:szCs w:val="32"/>
          <w:lang w:val="en-US" w:eastAsia="zh-CN" w:bidi="ar-SA"/>
        </w:rPr>
        <w:t>项目主要内容：根据《关于下达2020年新疆维吾尔自治区“三区”科技人才支持计划预算资金（第一批）的通知》要求，按照《新疆维吾尔自治区边远贫困县市科技人员专项支持计划实施方案》，选拔政治素质高、业务能力强的科技技术人员分别赴和丰县、托里县、裕民县的种养殖场、农民专业合作社、养殖大户提供科技服务，大力引导科技成果转移转化，提高种养殖从业人员的科技素质，促进经济发展。</w:t>
      </w:r>
    </w:p>
    <w:p>
      <w:pPr>
        <w:pageBreakBefore w:val="0"/>
        <w:kinsoku/>
        <w:wordWrap/>
        <w:overflowPunct/>
        <w:topLinePunct w:val="0"/>
        <w:autoSpaceDE/>
        <w:autoSpaceDN/>
        <w:bidi w:val="0"/>
        <w:adjustRightInd/>
        <w:spacing w:line="560" w:lineRule="exac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 支出率为100%。</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万元，按照单位财务制度等相关规定，资金支出符合</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pageBreakBefore w:val="0"/>
        <w:kinsoku/>
        <w:wordWrap/>
        <w:overflowPunct/>
        <w:topLinePunct w:val="0"/>
        <w:autoSpaceDE/>
        <w:autoSpaceDN/>
        <w:bidi w:val="0"/>
        <w:adjustRightInd/>
        <w:spacing w:before="0" w:after="0" w:line="560" w:lineRule="exac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w:t>
      </w:r>
      <w:r>
        <w:rPr>
          <w:rFonts w:hint="eastAsia" w:ascii="仿宋_GB2312" w:hAnsi="仿宋_GB2312" w:eastAsia="仿宋_GB2312" w:cs="仿宋_GB2312"/>
          <w:b w:val="0"/>
          <w:bCs w:val="0"/>
          <w:kern w:val="0"/>
          <w:sz w:val="32"/>
          <w:szCs w:val="32"/>
          <w:lang w:val="en-US" w:eastAsia="zh-CN" w:bidi="ar-SA"/>
        </w:rPr>
        <w:t>《关于下达2020年新疆维吾尔自治区“三区”科技人才支持计划预算资金（第一批）的通知》</w:t>
      </w:r>
      <w:r>
        <w:rPr>
          <w:rFonts w:hint="eastAsia" w:ascii="仿宋_GB2312" w:hAnsi="仿宋_GB2312" w:eastAsia="仿宋_GB2312" w:cs="仿宋_GB2312"/>
          <w:b w:val="0"/>
          <w:bCs w:val="0"/>
          <w:kern w:val="2"/>
        </w:rPr>
        <w:t>批复的资金，项目资金到位</w:t>
      </w:r>
      <w:r>
        <w:rPr>
          <w:rFonts w:hint="eastAsia" w:ascii="仿宋_GB2312" w:hAnsi="仿宋_GB2312" w:eastAsia="仿宋_GB2312" w:cs="仿宋_GB2312"/>
          <w:b w:val="0"/>
          <w:bCs w:val="0"/>
          <w:kern w:val="2"/>
          <w:lang w:val="en-US" w:eastAsia="zh-CN"/>
        </w:rPr>
        <w:t>10</w:t>
      </w:r>
      <w:r>
        <w:rPr>
          <w:rFonts w:hint="eastAsia" w:ascii="仿宋_GB2312" w:hAnsi="仿宋_GB2312" w:eastAsia="仿宋_GB2312" w:cs="仿宋_GB2312"/>
          <w:b w:val="0"/>
          <w:bCs w:val="0"/>
          <w:kern w:val="2"/>
        </w:rPr>
        <w:t>万元，用于支付项目实施进程中的各项费用。</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1、总体目标</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2020年我中心共选派5名科技人员参与“三区”人才</w:t>
      </w:r>
      <w:r>
        <w:rPr>
          <w:rFonts w:hint="default" w:ascii="仿宋_GB2312" w:hAnsi="仿宋_GB2312" w:eastAsia="仿宋_GB2312" w:cs="仿宋_GB2312"/>
          <w:sz w:val="32"/>
          <w:szCs w:val="32"/>
          <w:lang w:val="en-US" w:eastAsia="zh-CN"/>
        </w:rPr>
        <w:t>科技人员专项支持计划</w:t>
      </w:r>
      <w:r>
        <w:rPr>
          <w:rFonts w:hint="eastAsia" w:ascii="仿宋_GB2312" w:hAnsi="仿宋_GB2312" w:eastAsia="仿宋_GB2312" w:cs="仿宋_GB2312"/>
          <w:sz w:val="32"/>
          <w:szCs w:val="32"/>
          <w:lang w:val="en-US" w:eastAsia="zh-CN"/>
        </w:rPr>
        <w:t>，一是依托我中心的在养殖业方面的技术支撑，充分发挥选派人员在促进经济，特别是畜牧业经济方面的作用；二是选派对象直接到养殖场、合作社、养殖大户等畜牧业经营主体开展服务，带动技术成果转化，促进农牧民收入；三是结合产学研开展选派服务，促进企业开展科技创新，发挥好企业的带头作用；四是坚持双向选择原则，摸准企业、合作社、大户的技术需求，选择符合《方案》要求的技术人员参与《计划》工作，签订三方协议，力争一年的科技服务支出可以在经济效益、社会效益等方面发挥积极的作用。</w:t>
      </w:r>
    </w:p>
    <w:p>
      <w:pPr>
        <w:pageBreakBefore w:val="0"/>
        <w:kinsoku/>
        <w:wordWrap/>
        <w:overflowPunct/>
        <w:topLinePunct w:val="0"/>
        <w:autoSpaceDE/>
        <w:autoSpaceDN/>
        <w:bidi w:val="0"/>
        <w:adjustRightInd/>
        <w:spacing w:line="560" w:lineRule="exact"/>
        <w:ind w:firstLine="964" w:firstLineChars="3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val="en-US" w:eastAsia="zh-CN"/>
        </w:rPr>
        <w:t>新疆维吾尔自治区边远贫困县市科技人员专项支持计划实施方案</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val="en-US" w:eastAsia="zh-CN"/>
        </w:rPr>
        <w:t>新疆维吾尔自治区边远贫困县市科技人员专项支持计划实施方案</w:t>
      </w:r>
      <w:r>
        <w:rPr>
          <w:rFonts w:hint="eastAsia" w:ascii="仿宋_GB2312" w:hAnsi="仿宋_GB2312" w:eastAsia="仿宋_GB2312" w:cs="仿宋_GB2312"/>
          <w:sz w:val="32"/>
          <w:szCs w:val="32"/>
        </w:rPr>
        <w:t>》要求逐一进行项目部署安排，提高项目质量及效率性。</w:t>
      </w:r>
    </w:p>
    <w:p>
      <w:pPr>
        <w:pageBreakBefore w:val="0"/>
        <w:kinsoku/>
        <w:wordWrap/>
        <w:overflowPunct/>
        <w:topLinePunct w:val="0"/>
        <w:autoSpaceDE/>
        <w:autoSpaceDN/>
        <w:bidi w:val="0"/>
        <w:adjustRightInd/>
        <w:spacing w:line="560" w:lineRule="exact"/>
        <w:ind w:firstLine="641"/>
        <w:rPr>
          <w:rFonts w:ascii="黑体" w:hAnsi="黑体" w:eastAsia="黑体"/>
          <w:b/>
          <w:bCs/>
          <w:sz w:val="32"/>
          <w:szCs w:val="32"/>
        </w:rPr>
      </w:pPr>
      <w:r>
        <w:rPr>
          <w:rFonts w:hint="eastAsia" w:ascii="黑体" w:hAnsi="黑体" w:eastAsia="黑体"/>
          <w:b/>
          <w:bCs/>
          <w:sz w:val="32"/>
          <w:szCs w:val="32"/>
        </w:rPr>
        <w:t>二、绩效评价工作开展情况</w:t>
      </w:r>
    </w:p>
    <w:p>
      <w:pPr>
        <w:pageBreakBefore w:val="0"/>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pacing w:line="560" w:lineRule="exact"/>
        <w:ind w:left="641"/>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运用科学、规范的绩效评价方法，对</w:t>
      </w:r>
      <w:r>
        <w:rPr>
          <w:rFonts w:hint="eastAsia" w:ascii="仿宋_GB2312" w:hAnsi="仿宋_GB2312" w:eastAsia="仿宋_GB2312" w:cs="仿宋_GB2312"/>
          <w:b w:val="0"/>
          <w:bCs w:val="0"/>
          <w:kern w:val="0"/>
          <w:sz w:val="32"/>
          <w:szCs w:val="32"/>
          <w:lang w:val="en-US" w:eastAsia="zh-CN" w:bidi="ar-SA"/>
        </w:rPr>
        <w:t>《2020年新疆维吾尔自治区“三区”科技人才支持计划》</w:t>
      </w:r>
      <w:r>
        <w:rPr>
          <w:rFonts w:hint="eastAsia" w:ascii="仿宋_GB2312" w:hAnsi="仿宋_GB2312" w:eastAsia="仿宋_GB2312" w:cs="仿宋_GB2312"/>
          <w:sz w:val="32"/>
          <w:szCs w:val="32"/>
        </w:rPr>
        <w:t>项目进行科学评价，本次评价从项目决策、项目</w:t>
      </w:r>
      <w:r>
        <w:rPr>
          <w:rFonts w:hint="eastAsia" w:ascii="仿宋_GB2312" w:hAnsi="仿宋_GB2312" w:eastAsia="仿宋_GB2312" w:cs="仿宋_GB2312"/>
          <w:sz w:val="32"/>
          <w:szCs w:val="32"/>
          <w:lang w:eastAsia="zh-CN"/>
        </w:rPr>
        <w:t>过程</w:t>
      </w:r>
      <w:r>
        <w:rPr>
          <w:rFonts w:hint="eastAsia" w:ascii="仿宋_GB2312" w:hAnsi="仿宋_GB2312" w:eastAsia="仿宋_GB2312" w:cs="仿宋_GB2312"/>
          <w:sz w:val="32"/>
          <w:szCs w:val="32"/>
        </w:rPr>
        <w:t>、项目产出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项目效益四个维度进行评价，评价对象</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2020年新疆维吾尔自治区“三区”科技人才支持计划项目</w:t>
      </w:r>
      <w:r>
        <w:rPr>
          <w:rFonts w:hint="eastAsia" w:ascii="仿宋_GB2312" w:hAnsi="仿宋_GB2312" w:eastAsia="仿宋_GB2312" w:cs="仿宋_GB2312"/>
          <w:sz w:val="32"/>
          <w:szCs w:val="32"/>
        </w:rPr>
        <w:t>，评价核心为专项资金的支出完成情况和效果。</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3、绩效评价的范围</w:t>
      </w:r>
    </w:p>
    <w:p>
      <w:pPr>
        <w:pageBreakBefore w:val="0"/>
        <w:kinsoku/>
        <w:wordWrap/>
        <w:overflowPunct/>
        <w:topLinePunct w:val="0"/>
        <w:autoSpaceDE/>
        <w:autoSpaceDN/>
        <w:bidi w:val="0"/>
        <w:adjustRightInd/>
        <w:spacing w:line="560" w:lineRule="exact"/>
        <w:ind w:firstLine="640" w:firstLineChars="200"/>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评价范围从</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2020年新疆维吾尔自治区“三区”科技人才支持计划项目的</w:t>
      </w:r>
      <w:r>
        <w:rPr>
          <w:rFonts w:hint="eastAsia" w:ascii="仿宋_GB2312" w:hAnsi="仿宋_GB2312" w:eastAsia="仿宋_GB2312" w:cs="仿宋_GB2312"/>
          <w:sz w:val="32"/>
          <w:szCs w:val="32"/>
        </w:rPr>
        <w:t>资金项目预算编制合理性、资金使用合规性、项目管理的规范性、项目目标的实现情况、服务对象的满意度等</w:t>
      </w:r>
      <w:r>
        <w:rPr>
          <w:rFonts w:hint="eastAsia" w:ascii="仿宋_GB2312" w:hAnsi="仿宋_GB2312" w:eastAsia="仿宋_GB2312" w:cs="仿宋_GB2312"/>
          <w:sz w:val="32"/>
          <w:szCs w:val="32"/>
          <w:lang w:val="en-US" w:eastAsia="zh-CN"/>
        </w:rPr>
        <w:t>方面进行评价。</w:t>
      </w:r>
    </w:p>
    <w:p>
      <w:pPr>
        <w:pageBreakBefore w:val="0"/>
        <w:kinsoku/>
        <w:wordWrap/>
        <w:overflowPunct/>
        <w:topLinePunct w:val="0"/>
        <w:autoSpaceDE/>
        <w:autoSpaceDN/>
        <w:bidi w:val="0"/>
        <w:adjustRightInd/>
        <w:spacing w:line="560" w:lineRule="exac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keepNext w:val="0"/>
        <w:keepLines w:val="0"/>
        <w:pageBreakBefore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，项目产出权重值占</w:t>
      </w:r>
      <w:r>
        <w:rPr>
          <w:rFonts w:hint="eastAsia" w:ascii="仿宋_GB2312" w:hAnsi="仿宋_GB2312" w:eastAsia="仿宋_GB2312" w:cs="仿宋_GB2312"/>
          <w:color w:val="000000"/>
          <w:spacing w:val="17"/>
          <w:sz w:val="32"/>
          <w:szCs w:val="32"/>
          <w:lang w:val="en-US" w:eastAsia="zh-CN"/>
        </w:rPr>
        <w:t>50</w:t>
      </w:r>
      <w:r>
        <w:rPr>
          <w:rFonts w:hint="eastAsia" w:ascii="仿宋_GB2312" w:hAnsi="仿宋_GB2312" w:eastAsia="仿宋_GB2312" w:cs="仿宋_GB2312"/>
          <w:color w:val="000000"/>
          <w:spacing w:val="17"/>
          <w:sz w:val="32"/>
          <w:szCs w:val="32"/>
        </w:rPr>
        <w:t>，项目效益权重占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pacing w:before="0" w:after="0" w:line="560" w:lineRule="exact"/>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pacing w:before="0" w:after="0" w:line="560" w:lineRule="exact"/>
        <w:ind w:firstLine="641"/>
        <w:jc w:val="both"/>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ageBreakBefore w:val="0"/>
        <w:kinsoku/>
        <w:wordWrap/>
        <w:overflowPunct/>
        <w:topLinePunct w:val="0"/>
        <w:autoSpaceDE/>
        <w:autoSpaceDN/>
        <w:bidi w:val="0"/>
        <w:adjustRightInd/>
        <w:spacing w:line="560" w:lineRule="exact"/>
        <w:ind w:firstLine="641"/>
        <w:rPr>
          <w:rFonts w:hint="eastAsia"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lang w:val="en-US" w:eastAsia="zh-CN"/>
        </w:rPr>
        <w:t>4、</w:t>
      </w:r>
      <w:r>
        <w:rPr>
          <w:rFonts w:hint="eastAsia" w:ascii="仿宋_GB2312" w:hAnsi="仿宋_GB2312" w:eastAsia="仿宋_GB2312" w:cs="仿宋_GB2312"/>
          <w:b/>
          <w:bCs/>
          <w:color w:val="000000"/>
          <w:spacing w:val="17"/>
          <w:sz w:val="32"/>
          <w:szCs w:val="32"/>
        </w:rPr>
        <w:t>评价标准</w:t>
      </w:r>
    </w:p>
    <w:p>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b w:val="0"/>
          <w:bCs w:val="0"/>
          <w:color w:val="000000"/>
          <w:spacing w:val="17"/>
          <w:kern w:val="2"/>
          <w:sz w:val="32"/>
          <w:szCs w:val="32"/>
          <w:lang w:val="en-US" w:eastAsia="zh-CN" w:bidi="ar-SA"/>
        </w:rPr>
      </w:pPr>
      <w:r>
        <w:rPr>
          <w:rFonts w:hint="eastAsia"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绩效评价标准通常包括计划标准、行业标准、历史标准等，用于对绩效指标完成情况进行比较。本次评价主要采用了计划标准和历</w:t>
      </w:r>
      <w:r>
        <w:rPr>
          <w:rFonts w:hint="eastAsia" w:ascii="仿宋_GB2312" w:hAnsi="仿宋_GB2312" w:eastAsia="仿宋_GB2312" w:cs="仿宋_GB2312"/>
          <w:b w:val="0"/>
          <w:bCs w:val="0"/>
          <w:color w:val="000000"/>
          <w:spacing w:val="17"/>
          <w:kern w:val="2"/>
          <w:sz w:val="32"/>
          <w:szCs w:val="32"/>
          <w:lang w:val="en-US" w:eastAsia="zh-CN" w:bidi="ar-SA"/>
        </w:rPr>
        <w:t>史标准。</w:t>
      </w:r>
    </w:p>
    <w:p>
      <w:pPr>
        <w:pStyle w:val="2"/>
        <w:pageBreakBefore w:val="0"/>
        <w:numPr>
          <w:ilvl w:val="0"/>
          <w:numId w:val="4"/>
        </w:numPr>
        <w:kinsoku/>
        <w:wordWrap/>
        <w:overflowPunct/>
        <w:topLinePunct w:val="0"/>
        <w:autoSpaceDE/>
        <w:autoSpaceDN/>
        <w:bidi w:val="0"/>
        <w:adjustRightInd/>
        <w:spacing w:before="0" w:after="0" w:line="560" w:lineRule="exact"/>
        <w:jc w:val="both"/>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前期准备。明确项目绩效目标，设计绩效评价指标体系并确定绩效评价方法；制定评价实施方案并进行论证。</w:t>
      </w:r>
    </w:p>
    <w:p>
      <w:pPr>
        <w:pageBreakBefore w:val="0"/>
        <w:kinsoku/>
        <w:wordWrap/>
        <w:overflowPunct/>
        <w:topLinePunct w:val="0"/>
        <w:autoSpaceDE/>
        <w:autoSpaceDN/>
        <w:bidi w:val="0"/>
        <w:adjustRightInd/>
        <w:spacing w:line="560" w:lineRule="exac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组织实施。制定绩效评价工作方案，具体包括项目概况、组织实施、进度安排等。收集项目立项依据、实施方案、财政资金分配方案、支付管理情况等相关评价资料并进行梳理。</w:t>
      </w:r>
    </w:p>
    <w:p>
      <w:pPr>
        <w:pageBreakBefore w:val="0"/>
        <w:kinsoku/>
        <w:wordWrap/>
        <w:overflowPunct/>
        <w:topLinePunct w:val="0"/>
        <w:autoSpaceDE/>
        <w:autoSpaceDN/>
        <w:bidi w:val="0"/>
        <w:adjustRightInd/>
        <w:spacing w:line="560" w:lineRule="exact"/>
        <w:ind w:firstLine="708" w:firstLineChars="200"/>
        <w:rPr>
          <w:rFonts w:hint="default"/>
          <w:lang w:val="en-US" w:eastAsia="zh-CN"/>
        </w:rPr>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Style w:val="17"/>
        <w:pageBreakBefore w:val="0"/>
        <w:kinsoku/>
        <w:wordWrap/>
        <w:overflowPunct/>
        <w:topLinePunct w:val="0"/>
        <w:autoSpaceDE/>
        <w:autoSpaceDN/>
        <w:bidi w:val="0"/>
        <w:adjustRightInd/>
        <w:spacing w:line="560" w:lineRule="exact"/>
      </w:pPr>
    </w:p>
    <w:p>
      <w:pPr>
        <w:pageBreakBefore w:val="0"/>
        <w:numPr>
          <w:ilvl w:val="0"/>
          <w:numId w:val="5"/>
        </w:numPr>
        <w:kinsoku/>
        <w:wordWrap/>
        <w:overflowPunct/>
        <w:topLinePunct w:val="0"/>
        <w:autoSpaceDE/>
        <w:autoSpaceDN/>
        <w:bidi w:val="0"/>
        <w:adjustRightInd/>
        <w:spacing w:line="560" w:lineRule="exact"/>
        <w:ind w:firstLine="641"/>
        <w:rPr>
          <w:rFonts w:hint="eastAsia" w:ascii="仿宋_GB2312" w:hAnsi="仿宋_GB2312" w:eastAsia="仿宋_GB2312" w:cs="仿宋_GB2312"/>
          <w:b/>
          <w:bCs/>
          <w:kern w:val="0"/>
          <w:sz w:val="32"/>
          <w:szCs w:val="32"/>
          <w:lang w:val="en-US" w:eastAsia="zh-CN" w:bidi="ar-SA"/>
        </w:rPr>
      </w:pPr>
      <w:r>
        <w:rPr>
          <w:rFonts w:hint="eastAsia" w:ascii="黑体" w:hAnsi="黑体" w:eastAsia="黑体" w:cs="黑体"/>
          <w:b/>
          <w:bCs/>
          <w:sz w:val="32"/>
          <w:szCs w:val="32"/>
        </w:rPr>
        <w:t>综合评价情况及评价结论（附相关评分表）</w:t>
      </w:r>
    </w:p>
    <w:p>
      <w:pPr>
        <w:pageBreakBefore w:val="0"/>
        <w:numPr>
          <w:ilvl w:val="0"/>
          <w:numId w:val="0"/>
        </w:numPr>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对2020年新疆维吾尔自治区“三区”科技人才支持计划项目进行客观评价，最终评分结果：总得分为98.2分，属于“优”。其中，项目决策类指标权重为5分，得分为 5分，得分率为 100%。项目过程类指标权重为5分，得分为5 分，得分率为 100%。项目产出类指标权重为50分，得分为50分，得分率为 100%。项目效益类指标权重为40分，得分为38.2分，得分率为 96%。</w:t>
      </w:r>
    </w:p>
    <w:p>
      <w:pPr>
        <w:pStyle w:val="2"/>
        <w:pageBreakBefore w:val="0"/>
        <w:kinsoku/>
        <w:wordWrap/>
        <w:overflowPunct/>
        <w:topLinePunct w:val="0"/>
        <w:autoSpaceDE/>
        <w:autoSpaceDN/>
        <w:bidi w:val="0"/>
        <w:adjustRightInd/>
        <w:spacing w:before="0" w:after="0" w:line="56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Style w:val="17"/>
        <w:pageBreakBefore w:val="0"/>
        <w:kinsoku/>
        <w:wordWrap/>
        <w:overflowPunct/>
        <w:topLinePunct w:val="0"/>
        <w:autoSpaceDE/>
        <w:autoSpaceDN/>
        <w:bidi w:val="0"/>
        <w:adjustRightInd/>
        <w:spacing w:line="560" w:lineRule="exact"/>
        <w:rPr>
          <w:rFonts w:hint="eastAsia" w:ascii="仿宋_GB2312" w:hAnsi="仿宋_GB2312" w:eastAsia="仿宋_GB2312" w:cs="仿宋_GB2312"/>
          <w:sz w:val="30"/>
          <w:szCs w:val="30"/>
        </w:rPr>
      </w:pPr>
    </w:p>
    <w:p>
      <w:pPr>
        <w:pStyle w:val="17"/>
        <w:pageBreakBefore w:val="0"/>
        <w:kinsoku/>
        <w:wordWrap/>
        <w:overflowPunct/>
        <w:topLinePunct w:val="0"/>
        <w:autoSpaceDE/>
        <w:autoSpaceDN/>
        <w:bidi w:val="0"/>
        <w:adjustRightInd/>
        <w:spacing w:line="560" w:lineRule="exact"/>
        <w:rPr>
          <w:rFonts w:hint="eastAsia" w:ascii="仿宋_GB2312" w:hAnsi="仿宋_GB2312" w:eastAsia="仿宋_GB2312" w:cs="仿宋_GB2312"/>
          <w:sz w:val="30"/>
          <w:szCs w:val="30"/>
        </w:rPr>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exac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exac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决策　</w:t>
            </w:r>
          </w:p>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立项依据充分性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立项程序规范性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绩效目标合理性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绩效指标明确性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预算编制科学性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资金分配合理性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过程</w:t>
            </w:r>
          </w:p>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kern w:val="0"/>
                <w:sz w:val="18"/>
                <w:szCs w:val="18"/>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资金使用合规性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管理制度健全性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both"/>
              <w:rPr>
                <w:rFonts w:ascii="宋体" w:hAnsi="宋体" w:cs="宋体"/>
                <w:color w:val="000000"/>
                <w:kern w:val="0"/>
                <w:sz w:val="18"/>
                <w:szCs w:val="18"/>
              </w:rPr>
            </w:pPr>
            <w:r>
              <w:rPr>
                <w:rFonts w:hint="eastAsia" w:ascii="宋体" w:hAnsi="宋体" w:cs="宋体"/>
                <w:color w:val="000000"/>
                <w:kern w:val="0"/>
                <w:sz w:val="18"/>
                <w:szCs w:val="18"/>
              </w:rPr>
              <w:t>制度执行有效性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kern w:val="0"/>
                <w:sz w:val="18"/>
                <w:szCs w:val="18"/>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实施效益</w:t>
            </w:r>
          </w:p>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30</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28.2</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94%</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ascii="宋体" w:hAnsi="宋体" w:cs="宋体"/>
                <w:color w:val="000000"/>
                <w:kern w:val="0"/>
                <w:sz w:val="18"/>
                <w:szCs w:val="18"/>
              </w:rPr>
            </w:pPr>
            <w:r>
              <w:rPr>
                <w:rFonts w:hint="eastAsia" w:ascii="宋体" w:hAnsi="宋体" w:cs="宋体"/>
                <w:color w:val="000000"/>
                <w:kern w:val="0"/>
                <w:sz w:val="18"/>
                <w:szCs w:val="18"/>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exact"/>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ageBreakBefore w:val="0"/>
        <w:kinsoku/>
        <w:wordWrap/>
        <w:overflowPunct/>
        <w:topLinePunct w:val="0"/>
        <w:autoSpaceDE/>
        <w:autoSpaceDN/>
        <w:bidi w:val="0"/>
        <w:adjustRightInd/>
        <w:spacing w:line="560" w:lineRule="exact"/>
        <w:ind w:firstLine="321" w:firstLineChars="100"/>
        <w:rPr>
          <w:rFonts w:ascii="黑体" w:hAnsi="黑体" w:eastAsia="黑体"/>
          <w:b/>
          <w:bCs/>
          <w:sz w:val="32"/>
          <w:szCs w:val="32"/>
        </w:rPr>
      </w:pPr>
      <w:r>
        <w:rPr>
          <w:rFonts w:hint="eastAsia" w:ascii="黑体" w:hAnsi="黑体" w:eastAsia="黑体"/>
          <w:b/>
          <w:bCs/>
          <w:sz w:val="32"/>
          <w:szCs w:val="32"/>
        </w:rPr>
        <w:t>四、绩效评价指标分析</w:t>
      </w:r>
    </w:p>
    <w:p>
      <w:pPr>
        <w:pStyle w:val="2"/>
        <w:pageBreakBefore w:val="0"/>
        <w:kinsoku/>
        <w:wordWrap/>
        <w:overflowPunct/>
        <w:topLinePunct w:val="0"/>
        <w:autoSpaceDE/>
        <w:autoSpaceDN/>
        <w:bidi w:val="0"/>
        <w:adjustRightInd/>
        <w:spacing w:before="0" w:after="0" w:line="560" w:lineRule="exact"/>
        <w:ind w:firstLine="321" w:firstLineChars="100"/>
        <w:jc w:val="both"/>
        <w:rPr>
          <w:rFonts w:hint="eastAsia" w:ascii="楷体_GB2312" w:hAnsi="楷体_GB2312" w:eastAsia="楷体_GB2312" w:cs="楷体_GB2312"/>
        </w:rPr>
      </w:pPr>
      <w:r>
        <w:rPr>
          <w:rFonts w:hint="eastAsia" w:ascii="楷体_GB2312" w:hAnsi="楷体_GB2312" w:eastAsia="楷体_GB2312" w:cs="楷体_GB2312"/>
        </w:rPr>
        <w:t>（一）项目决策情况</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我单位根据</w:t>
      </w:r>
      <w:r>
        <w:rPr>
          <w:rFonts w:hint="eastAsia" w:ascii="仿宋_GB2312" w:hAnsi="仿宋_GB2312" w:eastAsia="仿宋_GB2312" w:cs="仿宋_GB2312"/>
          <w:b w:val="0"/>
          <w:bCs w:val="0"/>
          <w:kern w:val="0"/>
          <w:sz w:val="32"/>
          <w:szCs w:val="32"/>
          <w:lang w:val="en-US" w:eastAsia="zh-CN" w:bidi="ar-SA"/>
        </w:rPr>
        <w:t>《关于下达2020年新疆维吾尔自治区“三区”科技人才支持计划预算资金（第一批）的通知》</w:t>
      </w:r>
      <w:r>
        <w:rPr>
          <w:rFonts w:hint="eastAsia" w:ascii="仿宋_GB2312" w:hAnsi="仿宋_GB2312" w:eastAsia="仿宋_GB2312" w:cs="仿宋_GB2312"/>
          <w:sz w:val="32"/>
          <w:szCs w:val="32"/>
          <w:lang w:val="en-US" w:eastAsia="zh-CN" w:bidi="ar-SA"/>
        </w:rPr>
        <w:t>要求规范项目资金管理，按计划支付项目资金。此项目财政预算资金10万元，实际拨付资金10万元，年终支出10万元。</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bidi="ar-SA"/>
        </w:rPr>
        <w:t>该项目从项目立项依据，立项程序，绩效目标，绩效指标，资金分配5个方面对项目的决策指标情况进行考察。项目决策指标分值5分，实际得分5分，得分率为100%。项目决策指标得分情况如表所示。</w:t>
      </w:r>
    </w:p>
    <w:tbl>
      <w:tblPr>
        <w:tblStyle w:val="19"/>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color w:val="000000"/>
                <w:kern w:val="0"/>
                <w:sz w:val="28"/>
                <w:szCs w:val="28"/>
              </w:rPr>
            </w:pPr>
            <w:r>
              <w:rPr>
                <w:rFonts w:hint="eastAsia" w:ascii="仿宋_GB2312" w:hAnsi="仿宋_GB2312" w:eastAsia="仿宋_GB2312" w:cs="仿宋_GB2312"/>
                <w:b/>
                <w:bCs/>
                <w:color w:val="000000"/>
                <w:kern w:val="0"/>
                <w:sz w:val="32"/>
                <w:szCs w:val="32"/>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eastAsia="zh-CN"/>
              </w:rPr>
            </w:pPr>
            <w:r>
              <w:rPr>
                <w:rFonts w:hint="eastAsia" w:ascii="宋体" w:hAnsi="宋体" w:eastAsia="宋体" w:cs="宋体"/>
                <w:color w:val="000000"/>
                <w:kern w:val="0"/>
                <w:sz w:val="18"/>
                <w:szCs w:val="18"/>
                <w:lang w:val="en-US" w:eastAsia="zh-CN"/>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5</w:t>
            </w:r>
          </w:p>
        </w:tc>
      </w:tr>
    </w:tbl>
    <w:p>
      <w:pPr>
        <w:pStyle w:val="5"/>
        <w:keepNext w:val="0"/>
        <w:keepLines w:val="0"/>
        <w:pageBreakBefore w:val="0"/>
        <w:kinsoku/>
        <w:wordWrap/>
        <w:overflowPunct/>
        <w:topLinePunct w:val="0"/>
        <w:autoSpaceDE/>
        <w:autoSpaceDN/>
        <w:bidi w:val="0"/>
        <w:adjustRightInd/>
        <w:spacing w:before="0" w:after="0" w:line="56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对于“项目立项”，我中心根据</w:t>
      </w:r>
      <w:r>
        <w:rPr>
          <w:rFonts w:hint="eastAsia" w:ascii="仿宋_GB2312" w:hAnsi="仿宋_GB2312" w:eastAsia="仿宋_GB2312" w:cs="仿宋_GB2312"/>
          <w:b w:val="0"/>
          <w:bCs w:val="0"/>
          <w:kern w:val="0"/>
          <w:sz w:val="32"/>
          <w:szCs w:val="32"/>
          <w:lang w:val="en-US" w:eastAsia="zh-CN" w:bidi="ar-SA"/>
        </w:rPr>
        <w:t>《关于下达2020年新疆维吾尔自治区“三区”科技人才支持计划预算资金（第一批）的通知》</w:t>
      </w:r>
      <w:r>
        <w:rPr>
          <w:rFonts w:hint="eastAsia" w:ascii="仿宋_GB2312" w:hAnsi="仿宋_GB2312" w:eastAsia="仿宋_GB2312" w:cs="仿宋_GB2312"/>
          <w:b w:val="0"/>
          <w:bCs w:val="0"/>
          <w:kern w:val="2"/>
          <w:sz w:val="32"/>
          <w:szCs w:val="32"/>
          <w:highlight w:val="none"/>
          <w:lang w:val="en-US" w:eastAsia="zh-CN" w:bidi="ar-SA"/>
        </w:rPr>
        <w:t>要求，在规定时间内完成“三区人才”特派员到边远贫困地区开展科技技术服务工作,实现项目要求的经济、社会、可持续影响效益指标。项目的立项符合规划，项目单位的绩效指标设置表述清晰、设置合理、指标设置完整。根据评分标准，实际得分率为100%。</w:t>
      </w:r>
    </w:p>
    <w:p>
      <w:pPr>
        <w:pStyle w:val="5"/>
        <w:keepNext w:val="0"/>
        <w:keepLines w:val="0"/>
        <w:pageBreakBefore w:val="0"/>
        <w:kinsoku/>
        <w:wordWrap/>
        <w:overflowPunct/>
        <w:topLinePunct w:val="0"/>
        <w:autoSpaceDE/>
        <w:autoSpaceDN/>
        <w:bidi w:val="0"/>
        <w:adjustRightInd/>
        <w:spacing w:before="0" w:after="0" w:line="560" w:lineRule="exact"/>
        <w:ind w:firstLine="640" w:firstLineChars="20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对于“绩效目标”，我中心针对“三区人才”特派员到边远贫困地区开展科技技术服务工作项目，设置了较为详细的项目支出绩效目标，项目绩效目标的设置，满足合理性和明确性的要求。根据评分标准，该指标实际得分率100%。</w:t>
      </w:r>
    </w:p>
    <w:p>
      <w:pPr>
        <w:pStyle w:val="5"/>
        <w:keepNext w:val="0"/>
        <w:keepLines w:val="0"/>
        <w:pageBreakBefore w:val="0"/>
        <w:kinsoku/>
        <w:wordWrap/>
        <w:overflowPunct/>
        <w:topLinePunct w:val="0"/>
        <w:autoSpaceDE/>
        <w:autoSpaceDN/>
        <w:bidi w:val="0"/>
        <w:adjustRightInd/>
        <w:spacing w:before="0" w:after="0" w:line="560" w:lineRule="exact"/>
        <w:ind w:firstLine="640" w:firstLineChars="200"/>
        <w:rPr>
          <w:rFonts w:hint="eastAsia"/>
        </w:rPr>
      </w:pPr>
      <w:r>
        <w:rPr>
          <w:rFonts w:hint="eastAsia" w:ascii="仿宋_GB2312" w:hAnsi="仿宋_GB2312" w:eastAsia="仿宋_GB2312" w:cs="仿宋_GB2312"/>
          <w:b w:val="0"/>
          <w:bCs w:val="0"/>
          <w:kern w:val="2"/>
          <w:sz w:val="32"/>
          <w:szCs w:val="32"/>
          <w:highlight w:val="none"/>
          <w:lang w:val="en-US" w:eastAsia="zh-CN" w:bidi="ar-SA"/>
        </w:rPr>
        <w:t>对于“资金投入”，我中心针对“三区人才”特派员到边远贫困地区开展科技技术服务工作项目，资金全部投入到位，总投资10万元。根据评分标准，该指标实际得分率100%。</w:t>
      </w:r>
    </w:p>
    <w:p>
      <w:pPr>
        <w:pStyle w:val="2"/>
        <w:pageBreakBefore w:val="0"/>
        <w:numPr>
          <w:ilvl w:val="0"/>
          <w:numId w:val="6"/>
        </w:numPr>
        <w:kinsoku/>
        <w:wordWrap/>
        <w:overflowPunct/>
        <w:topLinePunct w:val="0"/>
        <w:autoSpaceDE/>
        <w:autoSpaceDN/>
        <w:bidi w:val="0"/>
        <w:adjustRightInd/>
        <w:spacing w:before="0" w:after="0" w:line="560" w:lineRule="exact"/>
        <w:ind w:firstLine="321" w:firstLineChars="100"/>
        <w:jc w:val="both"/>
      </w:pPr>
      <w:r>
        <w:rPr>
          <w:rFonts w:hint="eastAsia" w:ascii="楷体_GB2312" w:hAnsi="楷体_GB2312" w:eastAsia="楷体_GB2312" w:cs="楷体_GB2312"/>
        </w:rPr>
        <w:t>项目过程情况</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项目管理指标从资金到位率、预算执行率、资金使用合规性、管理制度健全性、制度执行有效性5个方面对项目过程情况进行考察。项目过程类指标分值5分，实际得分5分，得分率为100%。项目过程指标得分情况如表所示。</w:t>
      </w:r>
    </w:p>
    <w:tbl>
      <w:tblPr>
        <w:tblStyle w:val="19"/>
        <w:tblW w:w="8508" w:type="dxa"/>
        <w:tblInd w:w="0" w:type="dxa"/>
        <w:tblLayout w:type="fixed"/>
        <w:tblCellMar>
          <w:top w:w="0" w:type="dxa"/>
          <w:left w:w="0" w:type="dxa"/>
          <w:bottom w:w="0" w:type="dxa"/>
          <w:right w:w="0" w:type="dxa"/>
        </w:tblCellMar>
      </w:tblPr>
      <w:tblGrid>
        <w:gridCol w:w="1815"/>
        <w:gridCol w:w="1455"/>
        <w:gridCol w:w="2320"/>
        <w:gridCol w:w="2918"/>
      </w:tblGrid>
      <w:tr>
        <w:tblPrEx>
          <w:tblCellMar>
            <w:top w:w="0" w:type="dxa"/>
            <w:left w:w="0" w:type="dxa"/>
            <w:bottom w:w="0" w:type="dxa"/>
            <w:right w:w="0" w:type="dxa"/>
          </w:tblCellMar>
        </w:tblPrEx>
        <w:trPr>
          <w:trHeight w:val="390" w:hRule="atLeast"/>
        </w:trPr>
        <w:tc>
          <w:tcPr>
            <w:tcW w:w="8508" w:type="dxa"/>
            <w:gridSpan w:val="4"/>
            <w:tcBorders>
              <w:top w:val="nil"/>
              <w:left w:val="nil"/>
              <w:bottom w:val="single" w:color="000000" w:sz="8" w:space="0"/>
              <w:right w:val="nil"/>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rPr>
              <w:t>项目过程指标得分情况</w:t>
            </w:r>
          </w:p>
        </w:tc>
      </w:tr>
      <w:tr>
        <w:tblPrEx>
          <w:tblCellMar>
            <w:top w:w="0" w:type="dxa"/>
            <w:left w:w="0" w:type="dxa"/>
            <w:bottom w:w="0" w:type="dxa"/>
            <w:right w:w="0" w:type="dxa"/>
          </w:tblCellMar>
        </w:tblPrEx>
        <w:trPr>
          <w:trHeight w:val="285" w:hRule="atLeast"/>
        </w:trPr>
        <w:tc>
          <w:tcPr>
            <w:tcW w:w="1815" w:type="dxa"/>
            <w:tcBorders>
              <w:top w:val="nil"/>
              <w:left w:val="single" w:color="000000" w:sz="8" w:space="0"/>
              <w:bottom w:val="single" w:color="000000" w:sz="8" w:space="0"/>
              <w:right w:val="single" w:color="000000" w:sz="8" w:space="0"/>
            </w:tcBorders>
            <w:shd w:val="clear" w:color="auto" w:fill="A6A6A6"/>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rPr>
              <w:t>三级指标</w:t>
            </w:r>
          </w:p>
        </w:tc>
        <w:tc>
          <w:tcPr>
            <w:tcW w:w="1455" w:type="dxa"/>
            <w:tcBorders>
              <w:top w:val="nil"/>
              <w:left w:val="nil"/>
              <w:bottom w:val="single" w:color="000000" w:sz="8" w:space="0"/>
              <w:right w:val="single" w:color="000000" w:sz="8" w:space="0"/>
            </w:tcBorders>
            <w:shd w:val="clear" w:color="auto" w:fill="A6A6A6"/>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rPr>
              <w:t>权重</w:t>
            </w:r>
          </w:p>
        </w:tc>
        <w:tc>
          <w:tcPr>
            <w:tcW w:w="2320" w:type="dxa"/>
            <w:tcBorders>
              <w:top w:val="nil"/>
              <w:left w:val="nil"/>
              <w:bottom w:val="single" w:color="000000" w:sz="8" w:space="0"/>
              <w:right w:val="single" w:color="000000" w:sz="8" w:space="0"/>
            </w:tcBorders>
            <w:shd w:val="clear" w:color="auto" w:fill="A6A6A6"/>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rPr>
              <w:t>得分率</w:t>
            </w:r>
          </w:p>
        </w:tc>
        <w:tc>
          <w:tcPr>
            <w:tcW w:w="2918" w:type="dxa"/>
            <w:tcBorders>
              <w:top w:val="nil"/>
              <w:left w:val="nil"/>
              <w:bottom w:val="single" w:color="000000" w:sz="8" w:space="0"/>
              <w:right w:val="single" w:color="000000" w:sz="8" w:space="0"/>
            </w:tcBorders>
            <w:shd w:val="clear" w:color="auto" w:fill="A6A6A6"/>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rPr>
              <w:t>实际得分</w:t>
            </w:r>
          </w:p>
        </w:tc>
      </w:tr>
      <w:tr>
        <w:tblPrEx>
          <w:tblCellMar>
            <w:top w:w="0" w:type="dxa"/>
            <w:left w:w="0" w:type="dxa"/>
            <w:bottom w:w="0" w:type="dxa"/>
            <w:right w:w="0" w:type="dxa"/>
          </w:tblCellMar>
        </w:tblPrEx>
        <w:trPr>
          <w:trHeight w:val="330"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资金到位率</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1</w:t>
            </w:r>
          </w:p>
        </w:tc>
        <w:tc>
          <w:tcPr>
            <w:tcW w:w="23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r>
      <w:tr>
        <w:tblPrEx>
          <w:tblCellMar>
            <w:top w:w="0" w:type="dxa"/>
            <w:left w:w="0" w:type="dxa"/>
            <w:bottom w:w="0" w:type="dxa"/>
            <w:right w:w="0" w:type="dxa"/>
          </w:tblCellMar>
        </w:tblPrEx>
        <w:trPr>
          <w:trHeight w:val="330"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预算执行率</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c>
          <w:tcPr>
            <w:tcW w:w="23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r>
      <w:tr>
        <w:tblPrEx>
          <w:tblCellMar>
            <w:top w:w="0" w:type="dxa"/>
            <w:left w:w="0" w:type="dxa"/>
            <w:bottom w:w="0" w:type="dxa"/>
            <w:right w:w="0" w:type="dxa"/>
          </w:tblCellMar>
        </w:tblPrEx>
        <w:trPr>
          <w:trHeight w:val="246"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资金使用</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c>
          <w:tcPr>
            <w:tcW w:w="23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r>
      <w:tr>
        <w:tblPrEx>
          <w:tblCellMar>
            <w:top w:w="0" w:type="dxa"/>
            <w:left w:w="0" w:type="dxa"/>
            <w:bottom w:w="0" w:type="dxa"/>
            <w:right w:w="0" w:type="dxa"/>
          </w:tblCellMar>
        </w:tblPrEx>
        <w:trPr>
          <w:trHeight w:val="330"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管理制度</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c>
          <w:tcPr>
            <w:tcW w:w="23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r>
      <w:tr>
        <w:tblPrEx>
          <w:tblCellMar>
            <w:top w:w="0" w:type="dxa"/>
            <w:left w:w="0" w:type="dxa"/>
            <w:bottom w:w="0" w:type="dxa"/>
            <w:right w:w="0" w:type="dxa"/>
          </w:tblCellMar>
        </w:tblPrEx>
        <w:trPr>
          <w:trHeight w:val="330"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制度执行</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1</w:t>
            </w:r>
          </w:p>
        </w:tc>
        <w:tc>
          <w:tcPr>
            <w:tcW w:w="232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p>
        </w:tc>
      </w:tr>
      <w:tr>
        <w:tblPrEx>
          <w:tblCellMar>
            <w:top w:w="0" w:type="dxa"/>
            <w:left w:w="0" w:type="dxa"/>
            <w:bottom w:w="0" w:type="dxa"/>
            <w:right w:w="0" w:type="dxa"/>
          </w:tblCellMar>
        </w:tblPrEx>
        <w:trPr>
          <w:trHeight w:val="330" w:hRule="atLeast"/>
        </w:trPr>
        <w:tc>
          <w:tcPr>
            <w:tcW w:w="181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合  计</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kern w:val="0"/>
                <w:sz w:val="21"/>
                <w:szCs w:val="21"/>
                <w:highlight w:val="none"/>
                <w:lang w:val="en-US" w:eastAsia="zh-CN"/>
              </w:rPr>
              <w:t>5</w:t>
            </w:r>
          </w:p>
        </w:tc>
        <w:tc>
          <w:tcPr>
            <w:tcW w:w="232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0"/>
                <w:sz w:val="21"/>
                <w:szCs w:val="21"/>
                <w:highlight w:val="none"/>
              </w:rPr>
              <w:t>100%</w:t>
            </w:r>
          </w:p>
        </w:tc>
        <w:tc>
          <w:tcPr>
            <w:tcW w:w="2918"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5</w:t>
            </w:r>
          </w:p>
        </w:tc>
      </w:tr>
    </w:tbl>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对于“预算执行率”，</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2020年新疆维吾尔自治区“三区”科技人才支持计划预算资金为</w:t>
      </w:r>
      <w:r>
        <w:rPr>
          <w:rFonts w:hint="eastAsia" w:ascii="仿宋_GB2312" w:hAnsi="仿宋_GB2312" w:eastAsia="仿宋_GB2312" w:cs="仿宋_GB2312"/>
          <w:sz w:val="32"/>
          <w:szCs w:val="32"/>
          <w:highlight w:val="none"/>
          <w:lang w:val="en-US" w:eastAsia="zh-CN" w:bidi="ar-SA"/>
        </w:rPr>
        <w:t>财政拨款资金，金额10万元，项目资金预算经过集体讨论，并经批复。项目预算资金为10万元，实际使用10万元。根据评分标准，该指标实际得分率100%。</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对于“资金到位率”，项目资金到位及时，到位率为100%。根据评分标准，该指标不扣分。</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对于“资金使用合规性”我中心科技特派员按照专项资金列支的范围使用资金，支出范围合规；资金支出能按财务制度执行，并能按国库集中支付制度规定执行，不存在资金违纪违规使用情况。按评分标准，指标实际得分率100%。</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sz w:val="32"/>
          <w:szCs w:val="32"/>
          <w:highlight w:val="none"/>
          <w:lang w:val="en-US" w:eastAsia="zh-CN" w:bidi="ar-SA"/>
        </w:rPr>
      </w:pPr>
      <w:r>
        <w:rPr>
          <w:rFonts w:hint="eastAsia" w:ascii="仿宋_GB2312" w:hAnsi="仿宋_GB2312" w:eastAsia="仿宋_GB2312" w:cs="仿宋_GB2312"/>
          <w:sz w:val="32"/>
          <w:szCs w:val="32"/>
          <w:highlight w:val="none"/>
          <w:lang w:val="en-US" w:eastAsia="zh-CN" w:bidi="ar-SA"/>
        </w:rPr>
        <w:t>对于“管理制度健全性”，</w:t>
      </w:r>
      <w:r>
        <w:rPr>
          <w:rFonts w:hint="eastAsia" w:ascii="仿宋_GB2312" w:hAnsi="仿宋_GB2312" w:eastAsia="仿宋_GB2312" w:cs="仿宋_GB2312"/>
          <w:b w:val="0"/>
          <w:bCs w:val="0"/>
          <w:kern w:val="0"/>
          <w:sz w:val="32"/>
          <w:szCs w:val="32"/>
          <w:lang w:val="en-US" w:eastAsia="zh-CN" w:bidi="ar-SA"/>
        </w:rPr>
        <w:t>2020年新疆维吾尔自治区“三区”科技人才支持计划项目</w:t>
      </w:r>
      <w:r>
        <w:rPr>
          <w:rFonts w:hint="eastAsia" w:ascii="仿宋_GB2312" w:hAnsi="仿宋_GB2312" w:eastAsia="仿宋_GB2312" w:cs="仿宋_GB2312"/>
          <w:sz w:val="32"/>
          <w:szCs w:val="32"/>
          <w:highlight w:val="none"/>
          <w:lang w:val="en-US" w:eastAsia="zh-CN" w:bidi="ar-SA"/>
        </w:rPr>
        <w:t>机构健全，分工明确，不存在不相容岗位兼任情况。根据评分标准，该指标不扣分。</w:t>
      </w:r>
    </w:p>
    <w:p>
      <w:pPr>
        <w:pStyle w:val="51"/>
        <w:pageBreakBefore w:val="0"/>
        <w:kinsoku/>
        <w:wordWrap/>
        <w:overflowPunct/>
        <w:topLinePunct w:val="0"/>
        <w:autoSpaceDE/>
        <w:autoSpaceDN/>
        <w:bidi w:val="0"/>
        <w:adjustRightInd/>
        <w:spacing w:line="560" w:lineRule="exact"/>
        <w:ind w:left="210" w:leftChars="100" w:right="210" w:rightChars="100" w:firstLine="640" w:firstLineChars="200"/>
        <w:jc w:val="left"/>
        <w:rPr>
          <w:rFonts w:hint="eastAsia" w:ascii="仿宋_GB2312" w:hAnsi="仿宋_GB2312" w:eastAsia="仿宋_GB2312" w:cs="仿宋_GB2312"/>
          <w:b w:val="0"/>
          <w:bCs w:val="0"/>
        </w:rPr>
      </w:pPr>
      <w:r>
        <w:rPr>
          <w:rFonts w:hint="eastAsia" w:ascii="仿宋_GB2312" w:hAnsi="仿宋_GB2312" w:eastAsia="仿宋_GB2312" w:cs="仿宋_GB2312"/>
          <w:sz w:val="32"/>
          <w:szCs w:val="32"/>
          <w:highlight w:val="none"/>
          <w:lang w:val="en-US" w:eastAsia="zh-CN" w:bidi="ar-SA"/>
        </w:rPr>
        <w:t>对于“制度执行有效性”，</w:t>
      </w:r>
      <w:r>
        <w:rPr>
          <w:rFonts w:hint="eastAsia" w:ascii="仿宋_GB2312" w:hAnsi="仿宋_GB2312" w:eastAsia="仿宋_GB2312" w:cs="仿宋_GB2312"/>
          <w:b w:val="0"/>
          <w:bCs w:val="0"/>
          <w:kern w:val="0"/>
          <w:sz w:val="32"/>
          <w:szCs w:val="32"/>
          <w:lang w:val="en-US" w:eastAsia="zh-CN" w:bidi="ar-SA"/>
        </w:rPr>
        <w:t>2020年新疆维吾尔自治区“三区”科技人才支持计划</w:t>
      </w:r>
      <w:r>
        <w:rPr>
          <w:rFonts w:hint="eastAsia" w:ascii="仿宋_GB2312" w:hAnsi="仿宋_GB2312" w:eastAsia="仿宋_GB2312" w:cs="仿宋_GB2312"/>
          <w:sz w:val="32"/>
          <w:szCs w:val="32"/>
          <w:highlight w:val="none"/>
          <w:lang w:val="en-US" w:eastAsia="zh-CN" w:bidi="ar-SA"/>
        </w:rPr>
        <w:t>项目资金管理制度，管理制度包括预算、</w:t>
      </w:r>
      <w:r>
        <w:rPr>
          <w:rFonts w:hint="eastAsia" w:ascii="仿宋_GB2312" w:hAnsi="仿宋_GB2312" w:eastAsia="仿宋_GB2312" w:cs="仿宋_GB2312"/>
          <w:sz w:val="32"/>
          <w:szCs w:val="32"/>
          <w:highlight w:val="none"/>
          <w:lang w:bidi="ar-SA"/>
        </w:rPr>
        <w:t>资产、采购等管理办法；项目管理</w:t>
      </w:r>
      <w:r>
        <w:rPr>
          <w:rFonts w:hint="eastAsia" w:ascii="仿宋_GB2312" w:hAnsi="仿宋_GB2312" w:eastAsia="仿宋_GB2312" w:cs="仿宋_GB2312"/>
          <w:sz w:val="32"/>
          <w:szCs w:val="32"/>
          <w:highlight w:val="none"/>
          <w:lang w:eastAsia="zh-CN" w:bidi="ar-SA"/>
        </w:rPr>
        <w:t>制度执行</w:t>
      </w:r>
      <w:r>
        <w:rPr>
          <w:rFonts w:hint="eastAsia" w:ascii="仿宋_GB2312" w:hAnsi="仿宋_GB2312" w:eastAsia="仿宋_GB2312" w:cs="仿宋_GB2312"/>
          <w:sz w:val="32"/>
          <w:szCs w:val="32"/>
          <w:highlight w:val="none"/>
          <w:lang w:bidi="ar-SA"/>
        </w:rPr>
        <w:t>完</w:t>
      </w:r>
      <w:r>
        <w:rPr>
          <w:rFonts w:hint="eastAsia" w:ascii="仿宋_GB2312" w:hAnsi="仿宋_GB2312" w:eastAsia="仿宋_GB2312" w:cs="仿宋_GB2312"/>
          <w:b w:val="0"/>
          <w:bCs w:val="0"/>
          <w:sz w:val="32"/>
          <w:szCs w:val="32"/>
          <w:highlight w:val="none"/>
          <w:lang w:bidi="ar-SA"/>
        </w:rPr>
        <w:t>善，根据评分标准，</w:t>
      </w:r>
      <w:r>
        <w:rPr>
          <w:rFonts w:hint="eastAsia" w:ascii="仿宋_GB2312" w:hAnsi="仿宋_GB2312" w:eastAsia="仿宋_GB2312" w:cs="仿宋_GB2312"/>
          <w:b w:val="0"/>
          <w:bCs w:val="0"/>
          <w:sz w:val="32"/>
          <w:szCs w:val="32"/>
          <w:highlight w:val="none"/>
          <w:lang w:val="en-US" w:eastAsia="zh-CN" w:bidi="ar-SA"/>
        </w:rPr>
        <w:t>该指标不扣分。</w:t>
      </w:r>
    </w:p>
    <w:p>
      <w:pPr>
        <w:pStyle w:val="18"/>
        <w:pageBreakBefore w:val="0"/>
        <w:numPr>
          <w:ilvl w:val="0"/>
          <w:numId w:val="6"/>
        </w:numPr>
        <w:kinsoku/>
        <w:wordWrap/>
        <w:overflowPunct/>
        <w:topLinePunct w:val="0"/>
        <w:autoSpaceDE/>
        <w:autoSpaceDN/>
        <w:bidi w:val="0"/>
        <w:adjustRightInd/>
        <w:spacing w:after="0" w:line="560" w:lineRule="exact"/>
        <w:ind w:firstLine="321" w:firstLineChars="100"/>
        <w:rPr>
          <w:rFonts w:hint="eastAsia" w:ascii="仿宋_GB2312" w:hAnsi="仿宋_GB2312" w:eastAsia="仿宋_GB2312" w:cs="仿宋_GB2312"/>
          <w:b/>
          <w:bCs/>
          <w:kern w:val="2"/>
          <w:sz w:val="32"/>
          <w:szCs w:val="32"/>
          <w:highlight w:val="none"/>
          <w:lang w:val="en-US" w:eastAsia="zh-CN" w:bidi="ar-SA"/>
        </w:rPr>
      </w:pPr>
      <w:r>
        <w:rPr>
          <w:rFonts w:hint="eastAsia" w:ascii="楷体_GB2312" w:hAnsi="楷体_GB2312" w:eastAsia="楷体_GB2312" w:cs="楷体_GB2312"/>
          <w:b/>
          <w:bCs/>
          <w:sz w:val="32"/>
          <w:szCs w:val="32"/>
        </w:rPr>
        <w:t>项目产出</w:t>
      </w:r>
    </w:p>
    <w:p>
      <w:pPr>
        <w:pStyle w:val="18"/>
        <w:pageBreakBefore w:val="0"/>
        <w:numPr>
          <w:ilvl w:val="0"/>
          <w:numId w:val="0"/>
        </w:numPr>
        <w:kinsoku/>
        <w:wordWrap/>
        <w:overflowPunct/>
        <w:topLinePunct w:val="0"/>
        <w:autoSpaceDE/>
        <w:autoSpaceDN/>
        <w:bidi w:val="0"/>
        <w:adjustRightInd/>
        <w:spacing w:after="0" w:line="560" w:lineRule="exact"/>
        <w:ind w:firstLine="643" w:firstLineChars="200"/>
        <w:rPr>
          <w:rFonts w:hint="eastAsia" w:ascii="仿宋_GB2312" w:hAnsi="仿宋_GB2312" w:eastAsia="仿宋_GB2312" w:cs="仿宋_GB2312"/>
          <w:kern w:val="2"/>
          <w:sz w:val="32"/>
          <w:szCs w:val="32"/>
          <w:highlight w:val="none"/>
          <w:lang w:val="en-US" w:eastAsia="zh-CN" w:bidi="ar-SA"/>
        </w:rPr>
      </w:pPr>
      <w:r>
        <w:rPr>
          <w:rFonts w:hint="eastAsia" w:ascii="楷体_GB2312" w:hAnsi="楷体_GB2312" w:eastAsia="楷体_GB2312" w:cs="楷体_GB2312"/>
          <w:b/>
          <w:bCs/>
          <w:sz w:val="32"/>
          <w:szCs w:val="32"/>
          <w:lang w:val="en-US" w:eastAsia="zh-CN"/>
        </w:rPr>
        <w:t xml:space="preserve"> </w:t>
      </w:r>
      <w:r>
        <w:rPr>
          <w:rFonts w:hint="eastAsia" w:ascii="仿宋_GB2312" w:hAnsi="仿宋_GB2312" w:eastAsia="仿宋_GB2312" w:cs="仿宋_GB2312"/>
          <w:kern w:val="2"/>
          <w:sz w:val="32"/>
          <w:szCs w:val="32"/>
          <w:highlight w:val="none"/>
          <w:lang w:val="en-US" w:eastAsia="zh-CN" w:bidi="ar-SA"/>
        </w:rPr>
        <w:t>项目产出情况主要从项目的产出数量、产出质量，产出时效，成本情况4个方面对项目的产出情况进行评价。项目产出指标分值50分，实际得分50分，得分率为100%。项目产出指标得分情况如表所示：</w:t>
      </w:r>
    </w:p>
    <w:p>
      <w:pPr>
        <w:pStyle w:val="17"/>
        <w:pageBreakBefore w:val="0"/>
        <w:kinsoku/>
        <w:wordWrap/>
        <w:overflowPunct/>
        <w:topLinePunct w:val="0"/>
        <w:autoSpaceDE/>
        <w:autoSpaceDN/>
        <w:bidi w:val="0"/>
        <w:adjustRightInd/>
        <w:spacing w:line="560" w:lineRule="exact"/>
        <w:rPr>
          <w:rFonts w:hint="eastAsia" w:ascii="仿宋_GB2312" w:hAnsi="仿宋_GB2312" w:eastAsia="仿宋_GB2312" w:cs="仿宋_GB2312"/>
          <w:kern w:val="2"/>
          <w:sz w:val="32"/>
          <w:szCs w:val="32"/>
          <w:highlight w:val="none"/>
          <w:lang w:val="en-US" w:eastAsia="zh-CN" w:bidi="ar-SA"/>
        </w:rPr>
      </w:pPr>
    </w:p>
    <w:p>
      <w:pPr>
        <w:pStyle w:val="17"/>
        <w:pageBreakBefore w:val="0"/>
        <w:kinsoku/>
        <w:wordWrap/>
        <w:overflowPunct/>
        <w:topLinePunct w:val="0"/>
        <w:autoSpaceDE/>
        <w:autoSpaceDN/>
        <w:bidi w:val="0"/>
        <w:adjustRightInd/>
        <w:spacing w:line="560" w:lineRule="exact"/>
        <w:rPr>
          <w:rFonts w:hint="eastAsia" w:ascii="仿宋_GB2312" w:hAnsi="仿宋_GB2312" w:eastAsia="仿宋_GB2312" w:cs="仿宋_GB2312"/>
          <w:kern w:val="2"/>
          <w:sz w:val="32"/>
          <w:szCs w:val="32"/>
          <w:highlight w:val="none"/>
          <w:lang w:val="en-US" w:eastAsia="zh-CN" w:bidi="ar-SA"/>
        </w:rPr>
      </w:pPr>
    </w:p>
    <w:tbl>
      <w:tblPr>
        <w:tblStyle w:val="19"/>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三级指标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pacing w:line="560" w:lineRule="exact"/>
              <w:jc w:val="center"/>
              <w:rPr>
                <w:rFonts w:ascii="方正仿宋_GBK" w:hAnsi="Tahoma" w:eastAsia="方正仿宋_GBK" w:cs="Tahoma"/>
                <w:b/>
                <w:bCs/>
                <w:color w:val="000000"/>
                <w:kern w:val="0"/>
                <w:sz w:val="22"/>
                <w:szCs w:val="22"/>
              </w:rPr>
            </w:pPr>
            <w:r>
              <w:rPr>
                <w:rFonts w:hint="eastAsia" w:ascii="方正仿宋_GBK" w:hAnsi="Tahoma" w:eastAsia="方正仿宋_GBK" w:cs="Tahoma"/>
                <w:b/>
                <w:bCs/>
                <w:color w:val="000000"/>
                <w:kern w:val="0"/>
                <w:sz w:val="22"/>
                <w:szCs w:val="22"/>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100</w:t>
            </w:r>
            <w:r>
              <w:rPr>
                <w:rFonts w:hint="eastAsia" w:ascii="宋体" w:hAnsi="宋体" w:eastAsia="宋体" w:cs="宋体"/>
                <w:color w:val="000000"/>
                <w:kern w:val="0"/>
                <w:sz w:val="21"/>
                <w:szCs w:val="21"/>
              </w:rPr>
              <w:t>%</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100</w:t>
            </w:r>
            <w:r>
              <w:rPr>
                <w:rFonts w:hint="eastAsia" w:ascii="宋体" w:hAnsi="宋体" w:eastAsia="宋体" w:cs="宋体"/>
                <w:color w:val="000000"/>
                <w:kern w:val="0"/>
                <w:sz w:val="21"/>
                <w:szCs w:val="21"/>
              </w:rPr>
              <w:t>%</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产出时效</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100</w:t>
            </w:r>
            <w:r>
              <w:rPr>
                <w:rFonts w:hint="eastAsia" w:ascii="宋体" w:hAnsi="宋体" w:eastAsia="宋体" w:cs="宋体"/>
                <w:color w:val="000000"/>
                <w:kern w:val="0"/>
                <w:sz w:val="21"/>
                <w:szCs w:val="21"/>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成本情况</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100</w:t>
            </w:r>
            <w:r>
              <w:rPr>
                <w:rFonts w:hint="eastAsia" w:ascii="宋体" w:hAnsi="宋体" w:eastAsia="宋体" w:cs="宋体"/>
                <w:color w:val="000000"/>
                <w:kern w:val="0"/>
                <w:sz w:val="21"/>
                <w:szCs w:val="21"/>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50</w:t>
            </w:r>
          </w:p>
        </w:tc>
      </w:tr>
    </w:tbl>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对于“产出数量”，根据《新疆维吾尔自治区边远贫困县市科技人员专项支持计划实施方案》，预期选派科技特派员人数≥5人，实际选派人数5人；预期开展科技服务天数≥100天/每人，实际科技服务天数100天/每人；预期开展科技技术培训次数》5次，实际开展科技技术培训次数5次。根据评分标准，该指标实际得分率100%。</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对于“产出质量”，按照新疆维吾尔自治区边远贫困县市科技人员专项支持计划协议》，每名科技特派员预期任务完成率》95%，实际任务完成率95%。根据评分标准，该指标不扣分。</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对于“产出时效”，项目计划完成时间为2020年12月，项目实际完成时间为2020年12月。该指标实际得分率100%。</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对于“成本情况”，根据年初设定的计划投资额，预期项目成本≤10万元，项目实际执行成本10万元。未超出计划投资额，该指标实际得分100%。</w:t>
      </w:r>
    </w:p>
    <w:p>
      <w:pPr>
        <w:pStyle w:val="18"/>
        <w:pageBreakBefore w:val="0"/>
        <w:numPr>
          <w:ilvl w:val="0"/>
          <w:numId w:val="6"/>
        </w:numPr>
        <w:kinsoku/>
        <w:wordWrap/>
        <w:overflowPunct/>
        <w:topLinePunct w:val="0"/>
        <w:autoSpaceDE/>
        <w:autoSpaceDN/>
        <w:bidi w:val="0"/>
        <w:adjustRightInd/>
        <w:spacing w:after="0" w:line="560" w:lineRule="exac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pacing w:line="560" w:lineRule="exact"/>
        <w:ind w:firstLine="64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项目绩效主要从项目的可持续效益、社会效益、服务对象满意度3个方面对项目的绩效情况进行评价。项目绩效类指标分值40分，实际得分38.2分，得分率为96%。项目绩效指标得分情况如表所示：</w:t>
      </w:r>
    </w:p>
    <w:tbl>
      <w:tblPr>
        <w:tblStyle w:val="19"/>
        <w:tblW w:w="8324" w:type="dxa"/>
        <w:jc w:val="center"/>
        <w:tblLayout w:type="fixed"/>
        <w:tblCellMar>
          <w:top w:w="0" w:type="dxa"/>
          <w:left w:w="0" w:type="dxa"/>
          <w:bottom w:w="0" w:type="dxa"/>
          <w:right w:w="0" w:type="dxa"/>
        </w:tblCellMar>
      </w:tblPr>
      <w:tblGrid>
        <w:gridCol w:w="1509"/>
        <w:gridCol w:w="3133"/>
        <w:gridCol w:w="1639"/>
        <w:gridCol w:w="1021"/>
        <w:gridCol w:w="1022"/>
      </w:tblGrid>
      <w:tr>
        <w:tblPrEx>
          <w:tblCellMar>
            <w:top w:w="0" w:type="dxa"/>
            <w:left w:w="0" w:type="dxa"/>
            <w:bottom w:w="0" w:type="dxa"/>
            <w:right w:w="0" w:type="dxa"/>
          </w:tblCellMar>
        </w:tblPrEx>
        <w:trPr>
          <w:trHeight w:val="260" w:hRule="atLeast"/>
          <w:jc w:val="center"/>
        </w:trPr>
        <w:tc>
          <w:tcPr>
            <w:tcW w:w="46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kern w:val="0"/>
                <w:sz w:val="21"/>
                <w:szCs w:val="21"/>
                <w:highlight w:val="none"/>
              </w:rPr>
              <w:t>三级指标</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ind w:firstLine="632" w:firstLineChars="300"/>
              <w:jc w:val="left"/>
              <w:textAlignment w:val="bottom"/>
              <w:rPr>
                <w:rFonts w:hint="eastAsia"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kern w:val="0"/>
                <w:sz w:val="21"/>
                <w:szCs w:val="21"/>
                <w:highlight w:val="none"/>
              </w:rPr>
              <w:t>分值</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ind w:firstLine="211" w:firstLineChars="100"/>
              <w:jc w:val="left"/>
              <w:textAlignment w:val="bottom"/>
              <w:rPr>
                <w:rFonts w:hint="eastAsia"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kern w:val="0"/>
                <w:sz w:val="21"/>
                <w:szCs w:val="21"/>
                <w:highlight w:val="none"/>
              </w:rPr>
              <w:t>得分率</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ind w:firstLine="211" w:firstLineChars="100"/>
              <w:jc w:val="left"/>
              <w:textAlignment w:val="bottom"/>
              <w:rPr>
                <w:rFonts w:hint="eastAsia" w:asciiTheme="minorEastAsia" w:hAnsiTheme="minorEastAsia" w:eastAsiaTheme="minorEastAsia" w:cstheme="minorEastAsia"/>
                <w:b/>
                <w:bCs/>
                <w:color w:val="000000"/>
                <w:sz w:val="21"/>
                <w:szCs w:val="21"/>
                <w:highlight w:val="none"/>
              </w:rPr>
            </w:pPr>
            <w:r>
              <w:rPr>
                <w:rFonts w:hint="eastAsia" w:asciiTheme="minorEastAsia" w:hAnsiTheme="minorEastAsia" w:eastAsiaTheme="minorEastAsia" w:cstheme="minorEastAsia"/>
                <w:b/>
                <w:bCs/>
                <w:color w:val="000000"/>
                <w:kern w:val="0"/>
                <w:sz w:val="21"/>
                <w:szCs w:val="21"/>
                <w:highlight w:val="none"/>
              </w:rPr>
              <w:t>得分</w:t>
            </w:r>
          </w:p>
        </w:tc>
      </w:tr>
      <w:tr>
        <w:tblPrEx>
          <w:tblCellMar>
            <w:top w:w="0" w:type="dxa"/>
            <w:left w:w="0" w:type="dxa"/>
            <w:bottom w:w="0" w:type="dxa"/>
            <w:right w:w="0" w:type="dxa"/>
          </w:tblCellMar>
        </w:tblPrEx>
        <w:trPr>
          <w:trHeight w:val="444" w:hRule="atLeast"/>
          <w:jc w:val="center"/>
        </w:trPr>
        <w:tc>
          <w:tcPr>
            <w:tcW w:w="150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rPr>
              <w:t>实施效益</w:t>
            </w: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left"/>
              <w:textAlignment w:val="bottom"/>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rPr>
              <w:t>社会效益</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15</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rPr>
            </w:pPr>
            <w:r>
              <w:rPr>
                <w:rFonts w:hint="eastAsia" w:asciiTheme="minorEastAsia" w:hAnsiTheme="minorEastAsia" w:eastAsiaTheme="minorEastAsia" w:cstheme="minorEastAsia"/>
                <w:b w:val="0"/>
                <w:bCs w:val="0"/>
                <w:color w:val="000000"/>
                <w:kern w:val="0"/>
                <w:sz w:val="21"/>
                <w:szCs w:val="21"/>
                <w:highlight w:val="none"/>
                <w:lang w:val="en-US" w:eastAsia="zh-CN"/>
              </w:rPr>
              <w:t>88%</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13.2</w:t>
            </w:r>
          </w:p>
        </w:tc>
      </w:tr>
      <w:tr>
        <w:tblPrEx>
          <w:tblCellMar>
            <w:top w:w="0" w:type="dxa"/>
            <w:left w:w="0" w:type="dxa"/>
            <w:bottom w:w="0" w:type="dxa"/>
            <w:right w:w="0" w:type="dxa"/>
          </w:tblCellMar>
        </w:tblPrEx>
        <w:trPr>
          <w:trHeight w:val="374" w:hRule="atLeast"/>
          <w:jc w:val="center"/>
        </w:trPr>
        <w:tc>
          <w:tcPr>
            <w:tcW w:w="150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rPr>
                <w:rFonts w:hint="eastAsia" w:asciiTheme="minorEastAsia" w:hAnsiTheme="minorEastAsia" w:eastAsiaTheme="minorEastAsia" w:cstheme="minorEastAsia"/>
                <w:b w:val="0"/>
                <w:bCs w:val="0"/>
                <w:color w:val="000000"/>
                <w:sz w:val="21"/>
                <w:szCs w:val="21"/>
                <w:highlight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left"/>
              <w:textAlignment w:val="bottom"/>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lang w:val="en-US" w:eastAsia="zh-CN"/>
              </w:rPr>
              <w:t>可持续效益</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15</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Theme="minorEastAsia" w:hAnsiTheme="minorEastAsia" w:eastAsiaTheme="minorEastAsia" w:cstheme="minorEastAsia"/>
                <w:b w:val="0"/>
                <w:bCs w:val="0"/>
                <w:color w:val="000000"/>
                <w:kern w:val="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100%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kern w:val="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15</w:t>
            </w:r>
          </w:p>
        </w:tc>
      </w:tr>
      <w:tr>
        <w:tblPrEx>
          <w:tblCellMar>
            <w:top w:w="0" w:type="dxa"/>
            <w:left w:w="0" w:type="dxa"/>
            <w:bottom w:w="0" w:type="dxa"/>
            <w:right w:w="0" w:type="dxa"/>
          </w:tblCellMar>
        </w:tblPrEx>
        <w:trPr>
          <w:trHeight w:val="464" w:hRule="atLeast"/>
          <w:jc w:val="center"/>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pacing w:line="560" w:lineRule="exact"/>
              <w:jc w:val="center"/>
              <w:textAlignment w:val="center"/>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rPr>
              <w:t>满意度</w:t>
            </w: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left"/>
              <w:textAlignment w:val="bottom"/>
              <w:rPr>
                <w:rFonts w:hint="eastAsia" w:asciiTheme="minorEastAsia" w:hAnsiTheme="minorEastAsia" w:eastAsiaTheme="minorEastAsia" w:cstheme="minorEastAsia"/>
                <w:b w:val="0"/>
                <w:bCs w:val="0"/>
                <w:color w:val="000000"/>
                <w:kern w:val="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lang w:eastAsia="zh-CN"/>
              </w:rPr>
              <w:t>农牧民</w:t>
            </w:r>
            <w:r>
              <w:rPr>
                <w:rFonts w:hint="eastAsia" w:asciiTheme="minorEastAsia" w:hAnsiTheme="minorEastAsia" w:eastAsiaTheme="minorEastAsia" w:cstheme="minorEastAsia"/>
                <w:b w:val="0"/>
                <w:bCs w:val="0"/>
                <w:color w:val="000000"/>
                <w:kern w:val="0"/>
                <w:sz w:val="21"/>
                <w:szCs w:val="21"/>
                <w:highlight w:val="none"/>
              </w:rPr>
              <w:t>满意度</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sz w:val="21"/>
                <w:szCs w:val="21"/>
                <w:highlight w:val="none"/>
                <w:lang w:val="en-US" w:eastAsia="zh-CN"/>
              </w:rPr>
              <w:t>10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100%</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10</w:t>
            </w:r>
          </w:p>
        </w:tc>
      </w:tr>
      <w:tr>
        <w:tblPrEx>
          <w:tblCellMar>
            <w:top w:w="0" w:type="dxa"/>
            <w:left w:w="0" w:type="dxa"/>
            <w:bottom w:w="0" w:type="dxa"/>
            <w:right w:w="0" w:type="dxa"/>
          </w:tblCellMar>
        </w:tblPrEx>
        <w:trPr>
          <w:trHeight w:val="547" w:hRule="atLeast"/>
          <w:jc w:val="center"/>
        </w:trPr>
        <w:tc>
          <w:tcPr>
            <w:tcW w:w="15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rPr>
                <w:rFonts w:hint="eastAsia" w:asciiTheme="minorEastAsia" w:hAnsiTheme="minorEastAsia" w:eastAsiaTheme="minorEastAsia" w:cstheme="minorEastAsia"/>
                <w:b w:val="0"/>
                <w:bCs w:val="0"/>
                <w:color w:val="000000"/>
                <w:sz w:val="21"/>
                <w:szCs w:val="21"/>
                <w:highlight w:val="none"/>
              </w:rPr>
            </w:pPr>
          </w:p>
        </w:tc>
        <w:tc>
          <w:tcPr>
            <w:tcW w:w="313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left"/>
              <w:textAlignment w:val="bottom"/>
              <w:rPr>
                <w:rFonts w:hint="eastAsia" w:asciiTheme="minorEastAsia" w:hAnsiTheme="minorEastAsia" w:eastAsiaTheme="minorEastAsia" w:cstheme="minorEastAsia"/>
                <w:b w:val="0"/>
                <w:bCs w:val="0"/>
                <w:color w:val="000000"/>
                <w:kern w:val="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rPr>
              <w:t>合  计</w:t>
            </w:r>
          </w:p>
        </w:tc>
        <w:tc>
          <w:tcPr>
            <w:tcW w:w="163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sz w:val="21"/>
                <w:szCs w:val="21"/>
                <w:highlight w:val="none"/>
                <w:lang w:val="en-US" w:eastAsia="zh-CN"/>
              </w:rPr>
              <w:t>40</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eastAsia" w:asciiTheme="minorEastAsia" w:hAnsiTheme="minorEastAsia" w:eastAsiaTheme="minorEastAsia" w:cstheme="minorEastAsia"/>
                <w:b w:val="0"/>
                <w:bCs w:val="0"/>
                <w:color w:val="000000"/>
                <w:sz w:val="21"/>
                <w:szCs w:val="21"/>
                <w:highlight w:val="none"/>
              </w:rPr>
            </w:pPr>
            <w:r>
              <w:rPr>
                <w:rFonts w:hint="eastAsia" w:asciiTheme="minorEastAsia" w:hAnsiTheme="minorEastAsia" w:eastAsiaTheme="minorEastAsia" w:cstheme="minorEastAsia"/>
                <w:b w:val="0"/>
                <w:bCs w:val="0"/>
                <w:color w:val="000000"/>
                <w:kern w:val="0"/>
                <w:sz w:val="21"/>
                <w:szCs w:val="21"/>
                <w:highlight w:val="none"/>
                <w:lang w:val="en-US" w:eastAsia="zh-CN"/>
              </w:rPr>
              <w:t>96</w:t>
            </w:r>
            <w:r>
              <w:rPr>
                <w:rFonts w:hint="eastAsia" w:asciiTheme="minorEastAsia" w:hAnsiTheme="minorEastAsia" w:eastAsiaTheme="minorEastAsia" w:cstheme="minorEastAsia"/>
                <w:b w:val="0"/>
                <w:bCs w:val="0"/>
                <w:color w:val="000000"/>
                <w:kern w:val="0"/>
                <w:sz w:val="21"/>
                <w:szCs w:val="21"/>
                <w:highlight w:val="none"/>
              </w:rPr>
              <w:t>%</w:t>
            </w:r>
          </w:p>
        </w:tc>
        <w:tc>
          <w:tcPr>
            <w:tcW w:w="102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pacing w:line="560" w:lineRule="exact"/>
              <w:jc w:val="center"/>
              <w:textAlignment w:val="bottom"/>
              <w:rPr>
                <w:rFonts w:hint="default" w:asciiTheme="minorEastAsia" w:hAnsiTheme="minorEastAsia" w:eastAsiaTheme="minorEastAsia" w:cstheme="minorEastAsia"/>
                <w:b w:val="0"/>
                <w:bCs w:val="0"/>
                <w:color w:val="000000"/>
                <w:sz w:val="21"/>
                <w:szCs w:val="21"/>
                <w:highlight w:val="none"/>
                <w:lang w:val="en-US" w:eastAsia="zh-CN"/>
              </w:rPr>
            </w:pPr>
            <w:r>
              <w:rPr>
                <w:rFonts w:hint="eastAsia" w:asciiTheme="minorEastAsia" w:hAnsiTheme="minorEastAsia" w:eastAsiaTheme="minorEastAsia" w:cstheme="minorEastAsia"/>
                <w:b w:val="0"/>
                <w:bCs w:val="0"/>
                <w:color w:val="000000"/>
                <w:kern w:val="0"/>
                <w:sz w:val="21"/>
                <w:szCs w:val="21"/>
                <w:highlight w:val="none"/>
                <w:lang w:val="en-US" w:eastAsia="zh-CN"/>
              </w:rPr>
              <w:t>38.2</w:t>
            </w:r>
          </w:p>
        </w:tc>
      </w:tr>
    </w:tbl>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对于“社会效益”，</w:t>
      </w:r>
      <w:r>
        <w:rPr>
          <w:rFonts w:hint="eastAsia" w:ascii="仿宋_GB2312" w:hAnsi="仿宋_GB2312" w:eastAsia="仿宋_GB2312" w:cs="仿宋_GB2312"/>
          <w:sz w:val="32"/>
          <w:szCs w:val="32"/>
          <w:lang w:eastAsia="zh-CN"/>
        </w:rPr>
        <w:t>我中心科技特派员通过开展畜牧科技技术服务</w:t>
      </w:r>
      <w:r>
        <w:rPr>
          <w:rFonts w:hint="eastAsia" w:ascii="仿宋_GB2312" w:hAnsi="仿宋_GB2312" w:eastAsia="仿宋_GB2312" w:cs="仿宋_GB2312"/>
          <w:sz w:val="32"/>
          <w:szCs w:val="32"/>
          <w:lang w:val="en-US" w:eastAsia="zh-CN"/>
        </w:rPr>
        <w:t>，有所提高受援企业、合作社、大户的生产力水平和养殖户的养殖水平，但未达到预定计划标准。该指标实际得分率88%。</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对于“可持续效益”，近几年，我中心通过持续开展新疆维吾尔自治区“三区人才”边远贫困县科技技术服务，</w:t>
      </w:r>
      <w:r>
        <w:rPr>
          <w:rFonts w:hint="eastAsia" w:ascii="仿宋_GB2312" w:hAnsi="仿宋_GB2312" w:eastAsia="仿宋_GB2312" w:cs="仿宋_GB2312"/>
          <w:sz w:val="32"/>
          <w:szCs w:val="32"/>
          <w:lang w:eastAsia="zh-CN"/>
        </w:rPr>
        <w:t>显著提高了我区</w:t>
      </w:r>
      <w:r>
        <w:rPr>
          <w:rFonts w:hint="eastAsia" w:ascii="仿宋_GB2312" w:hAnsi="仿宋_GB2312" w:eastAsia="仿宋_GB2312" w:cs="仿宋_GB2312"/>
          <w:sz w:val="32"/>
          <w:szCs w:val="32"/>
        </w:rPr>
        <w:t>畜牧业</w:t>
      </w:r>
      <w:r>
        <w:rPr>
          <w:rFonts w:hint="eastAsia" w:ascii="仿宋_GB2312" w:hAnsi="仿宋_GB2312" w:eastAsia="仿宋_GB2312" w:cs="仿宋_GB2312"/>
          <w:sz w:val="32"/>
          <w:szCs w:val="32"/>
          <w:lang w:eastAsia="zh-CN"/>
        </w:rPr>
        <w:t>综合生产</w:t>
      </w:r>
      <w:r>
        <w:rPr>
          <w:rFonts w:hint="eastAsia" w:ascii="仿宋_GB2312" w:hAnsi="仿宋_GB2312" w:eastAsia="仿宋_GB2312" w:cs="仿宋_GB2312"/>
          <w:sz w:val="32"/>
          <w:szCs w:val="32"/>
        </w:rPr>
        <w:t>发展能力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提升了科技特派员服务对基层畜牧业工作的发展影响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该指标实际得分率100%。</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对于“受援单位和服务对象的满意度”根据调查问卷调查受援单位和服务对象满意度达到90%以上。指标实际得分率90%。</w:t>
      </w:r>
    </w:p>
    <w:p>
      <w:pPr>
        <w:pageBreakBefore w:val="0"/>
        <w:kinsoku/>
        <w:wordWrap/>
        <w:overflowPunct/>
        <w:topLinePunct w:val="0"/>
        <w:autoSpaceDE/>
        <w:autoSpaceDN/>
        <w:bidi w:val="0"/>
        <w:adjustRightInd/>
        <w:spacing w:line="560" w:lineRule="exact"/>
        <w:ind w:firstLine="641"/>
        <w:rPr>
          <w:rStyle w:val="50"/>
          <w:b/>
          <w:bCs/>
          <w:color w:val="auto"/>
        </w:rPr>
      </w:pPr>
      <w:r>
        <w:rPr>
          <w:rFonts w:hint="eastAsia" w:ascii="黑体" w:hAnsi="黑体" w:eastAsia="黑体"/>
          <w:b/>
          <w:bCs/>
          <w:sz w:val="32"/>
          <w:szCs w:val="32"/>
        </w:rPr>
        <w:t>五、主要经验及做法、存在的问题及原因分析</w:t>
      </w:r>
    </w:p>
    <w:p>
      <w:pPr>
        <w:pageBreakBefore w:val="0"/>
        <w:kinsoku/>
        <w:wordWrap/>
        <w:overflowPunct/>
        <w:topLinePunct w:val="0"/>
        <w:autoSpaceDE/>
        <w:autoSpaceDN/>
        <w:bidi w:val="0"/>
        <w:adjustRightInd/>
        <w:spacing w:line="56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pacing w:before="0" w:after="0" w:line="560" w:lineRule="exact"/>
        <w:ind w:firstLine="640" w:firstLineChars="200"/>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7"/>
        </w:numPr>
        <w:kinsoku/>
        <w:wordWrap/>
        <w:overflowPunct/>
        <w:topLinePunct w:val="0"/>
        <w:autoSpaceDE/>
        <w:autoSpaceDN/>
        <w:bidi w:val="0"/>
        <w:adjustRightInd/>
        <w:spacing w:line="56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存在的问题</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一是边远地区牧民传统养殖思想坚固，科学养殖意识不强；二是选派人员相互交流经验少，服务类型单一。</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原因分析</w:t>
      </w:r>
    </w:p>
    <w:p>
      <w:pPr>
        <w:pageBreakBefore w:val="0"/>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一、边远地区牧民养成了传统养殖方式，对科学养殖技术接受能力较差，牧民科学养殖技术薄弱，对品种改良技术的意识不强。二、专业技术人员自身业务水平，业务能力有限，选派人员相互交流经验机会极少。</w:t>
      </w:r>
    </w:p>
    <w:p>
      <w:pPr>
        <w:pStyle w:val="17"/>
        <w:pageBreakBefore w:val="0"/>
        <w:numPr>
          <w:ilvl w:val="0"/>
          <w:numId w:val="0"/>
        </w:numPr>
        <w:kinsoku/>
        <w:wordWrap/>
        <w:overflowPunct/>
        <w:topLinePunct w:val="0"/>
        <w:autoSpaceDE/>
        <w:autoSpaceDN/>
        <w:bidi w:val="0"/>
        <w:adjustRightInd/>
        <w:spacing w:line="560" w:lineRule="exact"/>
        <w:ind w:leftChars="200"/>
      </w:pPr>
    </w:p>
    <w:p>
      <w:pPr>
        <w:pageBreakBefore w:val="0"/>
        <w:numPr>
          <w:ilvl w:val="0"/>
          <w:numId w:val="8"/>
        </w:numPr>
        <w:kinsoku/>
        <w:wordWrap/>
        <w:overflowPunct/>
        <w:topLinePunct w:val="0"/>
        <w:autoSpaceDE/>
        <w:autoSpaceDN/>
        <w:bidi w:val="0"/>
        <w:adjustRightInd/>
        <w:spacing w:line="560" w:lineRule="exact"/>
        <w:ind w:firstLine="641"/>
        <w:rPr>
          <w:rFonts w:ascii="黑体" w:hAnsi="黑体" w:eastAsia="黑体"/>
          <w:b/>
          <w:bCs/>
          <w:sz w:val="32"/>
          <w:szCs w:val="32"/>
        </w:rPr>
      </w:pPr>
      <w:r>
        <w:rPr>
          <w:rFonts w:hint="eastAsia" w:ascii="黑体" w:hAnsi="黑体" w:eastAsia="黑体"/>
          <w:b/>
          <w:bCs/>
          <w:sz w:val="32"/>
          <w:szCs w:val="32"/>
        </w:rPr>
        <w:t>有关建议</w:t>
      </w:r>
    </w:p>
    <w:p>
      <w:pPr>
        <w:pageBreakBefore w:val="0"/>
        <w:numPr>
          <w:ilvl w:val="0"/>
          <w:numId w:val="9"/>
        </w:numPr>
        <w:kinsoku/>
        <w:wordWrap/>
        <w:overflowPunct/>
        <w:topLinePunct w:val="0"/>
        <w:autoSpaceDE/>
        <w:autoSpaceDN/>
        <w:bidi w:val="0"/>
        <w:adjustRightIn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pacing w:line="56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pageBreakBefore w:val="0"/>
        <w:numPr>
          <w:ilvl w:val="0"/>
          <w:numId w:val="0"/>
        </w:numPr>
        <w:kinsoku/>
        <w:wordWrap/>
        <w:overflowPunct/>
        <w:topLinePunct w:val="0"/>
        <w:autoSpaceDE/>
        <w:autoSpaceDN/>
        <w:bidi w:val="0"/>
        <w:adjustRightInd/>
        <w:spacing w:line="560" w:lineRule="exact"/>
        <w:ind w:firstLine="643" w:firstLineChars="200"/>
        <w:rPr>
          <w:rFonts w:hint="eastAsia"/>
          <w:b/>
          <w:bCs/>
        </w:rPr>
      </w:pPr>
      <w:r>
        <w:rPr>
          <w:rFonts w:hint="eastAsia" w:ascii="黑体" w:hAnsi="黑体" w:eastAsia="黑体"/>
          <w:b/>
          <w:bCs/>
          <w:sz w:val="32"/>
          <w:szCs w:val="32"/>
          <w:lang w:eastAsia="zh-CN"/>
        </w:rPr>
        <w:t>七、</w:t>
      </w:r>
      <w:r>
        <w:rPr>
          <w:rFonts w:hint="eastAsia" w:ascii="黑体" w:hAnsi="黑体" w:eastAsia="黑体"/>
          <w:b/>
          <w:bCs/>
          <w:sz w:val="32"/>
          <w:szCs w:val="32"/>
        </w:rPr>
        <w:t>其他需要说</w:t>
      </w:r>
      <w:bookmarkStart w:id="1" w:name="page8"/>
      <w:bookmarkEnd w:id="1"/>
      <w:r>
        <w:rPr>
          <w:rFonts w:hint="eastAsia" w:ascii="黑体" w:hAnsi="黑体" w:eastAsia="黑体"/>
          <w:b/>
          <w:bCs/>
          <w:sz w:val="32"/>
          <w:szCs w:val="32"/>
        </w:rPr>
        <w:t>明的问题</w:t>
      </w:r>
    </w:p>
    <w:p>
      <w:pPr>
        <w:pageBreakBefore w:val="0"/>
        <w:numPr>
          <w:ilvl w:val="0"/>
          <w:numId w:val="0"/>
        </w:numPr>
        <w:kinsoku/>
        <w:wordWrap/>
        <w:overflowPunct/>
        <w:topLinePunct w:val="0"/>
        <w:autoSpaceDE/>
        <w:autoSpaceDN/>
        <w:bidi w:val="0"/>
        <w:adjustRightInd/>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sz w:val="32"/>
          <w:szCs w:val="32"/>
        </w:rPr>
        <w:t>本次预算绩效评价所采集的数据因为采集时间、数据来源等诸多因素的影响，可能会出现一定的偏差，进而对评价结果存在影响。</w:t>
      </w:r>
    </w:p>
    <w:p>
      <w:pPr>
        <w:pStyle w:val="2"/>
        <w:pageBreakBefore w:val="0"/>
        <w:kinsoku/>
        <w:wordWrap/>
        <w:overflowPunct/>
        <w:topLinePunct w:val="0"/>
        <w:autoSpaceDE/>
        <w:autoSpaceDN/>
        <w:bidi w:val="0"/>
        <w:adjustRightInd/>
        <w:spacing w:before="0" w:after="0" w:line="560" w:lineRule="exact"/>
        <w:jc w:val="both"/>
        <w:rPr>
          <w:rFonts w:hint="eastAsia" w:ascii="黑体" w:hAnsi="黑体" w:eastAsia="黑体"/>
          <w:sz w:val="32"/>
          <w:szCs w:val="32"/>
          <w:lang w:val="en-US" w:eastAsia="zh-CN"/>
        </w:rPr>
      </w:pPr>
    </w:p>
    <w:p>
      <w:pPr>
        <w:pageBreakBefore w:val="0"/>
        <w:kinsoku/>
        <w:wordWrap/>
        <w:overflowPunct/>
        <w:topLinePunct w:val="0"/>
        <w:autoSpaceDE/>
        <w:autoSpaceDN/>
        <w:bidi w:val="0"/>
        <w:adjustRightInd/>
        <w:spacing w:line="560" w:lineRule="exact"/>
        <w:rPr>
          <w:rFonts w:hint="eastAsia" w:ascii="黑体" w:hAnsi="黑体" w:eastAsia="黑体"/>
          <w:sz w:val="32"/>
          <w:szCs w:val="32"/>
        </w:rPr>
      </w:pPr>
    </w:p>
    <w:p>
      <w:pPr>
        <w:pStyle w:val="2"/>
        <w:pageBreakBefore w:val="0"/>
        <w:kinsoku/>
        <w:wordWrap/>
        <w:overflowPunct/>
        <w:topLinePunct w:val="0"/>
        <w:autoSpaceDE/>
        <w:autoSpaceDN/>
        <w:bidi w:val="0"/>
        <w:adjustRightInd/>
        <w:spacing w:before="0" w:after="0" w:line="560" w:lineRule="exact"/>
        <w:rPr>
          <w:rFonts w:hint="eastAsia" w:ascii="黑体" w:hAnsi="黑体" w:eastAsia="黑体"/>
          <w:sz w:val="32"/>
          <w:szCs w:val="32"/>
        </w:rPr>
      </w:pPr>
    </w:p>
    <w:p>
      <w:pPr>
        <w:pStyle w:val="17"/>
        <w:pageBreakBefore w:val="0"/>
        <w:kinsoku/>
        <w:wordWrap/>
        <w:overflowPunct/>
        <w:topLinePunct w:val="0"/>
        <w:autoSpaceDE/>
        <w:autoSpaceDN/>
        <w:bidi w:val="0"/>
        <w:adjustRightInd/>
        <w:spacing w:line="560" w:lineRule="exact"/>
        <w:rPr>
          <w:rFonts w:hint="eastAsia"/>
        </w:rPr>
      </w:pPr>
    </w:p>
    <w:p>
      <w:pPr>
        <w:pageBreakBefore w:val="0"/>
        <w:kinsoku/>
        <w:wordWrap/>
        <w:overflowPunct/>
        <w:topLinePunct w:val="0"/>
        <w:autoSpaceDE/>
        <w:autoSpaceDN/>
        <w:bidi w:val="0"/>
        <w:adjustRightInd/>
        <w:spacing w:line="560" w:lineRule="exact"/>
      </w:pPr>
    </w:p>
    <w:p>
      <w:pPr>
        <w:pStyle w:val="2"/>
        <w:pageBreakBefore w:val="0"/>
        <w:kinsoku/>
        <w:wordWrap/>
        <w:overflowPunct/>
        <w:topLinePunct w:val="0"/>
        <w:autoSpaceDE/>
        <w:autoSpaceDN/>
        <w:bidi w:val="0"/>
        <w:adjustRightInd/>
        <w:spacing w:before="0" w:after="0" w:line="560" w:lineRule="exact"/>
        <w:jc w:val="both"/>
        <w:sectPr>
          <w:footerReference r:id="rId3" w:type="default"/>
          <w:pgSz w:w="11906" w:h="16838"/>
          <w:pgMar w:top="1440" w:right="1558" w:bottom="1440" w:left="1800" w:header="851" w:footer="992" w:gutter="0"/>
          <w:cols w:space="425" w:num="1"/>
          <w:docGrid w:type="lines" w:linePitch="312" w:charSpace="0"/>
        </w:sectPr>
      </w:pPr>
    </w:p>
    <w:p>
      <w:pPr>
        <w:pageBreakBefore w:val="0"/>
        <w:kinsoku/>
        <w:wordWrap/>
        <w:overflowPunct/>
        <w:topLinePunct w:val="0"/>
        <w:autoSpaceDE/>
        <w:autoSpaceDN/>
        <w:bidi w:val="0"/>
        <w:adjustRightInd/>
        <w:spacing w:line="56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jc w:val="lef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2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shd w:val="clear" w:color="auto" w:fill="FFFFFF"/>
            <w:noWrap w:val="0"/>
            <w:vAlign w:val="center"/>
          </w:tcPr>
          <w:p>
            <w:pPr>
              <w:pageBreakBefore w:val="0"/>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28.2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pacing w:line="56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pacing w:line="560" w:lineRule="exact"/>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tbl>
      <w:tblPr>
        <w:tblStyle w:val="19"/>
        <w:tblW w:w="13594" w:type="dxa"/>
        <w:tblInd w:w="0" w:type="dxa"/>
        <w:shd w:val="clear" w:color="auto" w:fill="auto"/>
        <w:tblLayout w:type="fixed"/>
        <w:tblCellMar>
          <w:top w:w="0" w:type="dxa"/>
          <w:left w:w="0" w:type="dxa"/>
          <w:bottom w:w="0" w:type="dxa"/>
          <w:right w:w="0" w:type="dxa"/>
        </w:tblCellMar>
      </w:tblPr>
      <w:tblGrid>
        <w:gridCol w:w="839"/>
        <w:gridCol w:w="2105"/>
        <w:gridCol w:w="975"/>
        <w:gridCol w:w="315"/>
        <w:gridCol w:w="90"/>
        <w:gridCol w:w="2250"/>
        <w:gridCol w:w="405"/>
        <w:gridCol w:w="1215"/>
        <w:gridCol w:w="405"/>
        <w:gridCol w:w="2445"/>
        <w:gridCol w:w="405"/>
        <w:gridCol w:w="2145"/>
      </w:tblGrid>
      <w:tr>
        <w:tblPrEx>
          <w:shd w:val="clear" w:color="auto" w:fill="auto"/>
          <w:tblCellMar>
            <w:top w:w="0" w:type="dxa"/>
            <w:left w:w="0" w:type="dxa"/>
            <w:bottom w:w="0" w:type="dxa"/>
            <w:right w:w="0" w:type="dxa"/>
          </w:tblCellMar>
        </w:tblPrEx>
        <w:trPr>
          <w:trHeight w:val="409" w:hRule="atLeast"/>
        </w:trPr>
        <w:tc>
          <w:tcPr>
            <w:tcW w:w="13594"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13594" w:type="dxa"/>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3594" w:type="dxa"/>
            <w:gridSpan w:val="12"/>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660"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065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2020年新疆维吾尔自治区“三区”科技人才支持计划预算资金</w:t>
            </w:r>
          </w:p>
        </w:tc>
      </w:tr>
      <w:tr>
        <w:tblPrEx>
          <w:shd w:val="clear" w:color="auto" w:fill="auto"/>
          <w:tblCellMar>
            <w:top w:w="0" w:type="dxa"/>
            <w:left w:w="0" w:type="dxa"/>
            <w:bottom w:w="0" w:type="dxa"/>
            <w:right w:w="0" w:type="dxa"/>
          </w:tblCellMar>
        </w:tblPrEx>
        <w:trPr>
          <w:trHeight w:val="270"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25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塔城地区畜牧科技研究推广中心</w:t>
            </w:r>
          </w:p>
        </w:tc>
      </w:tr>
      <w:tr>
        <w:tblPrEx>
          <w:shd w:val="clear" w:color="auto" w:fill="auto"/>
          <w:tblCellMar>
            <w:top w:w="0" w:type="dxa"/>
            <w:left w:w="0" w:type="dxa"/>
            <w:bottom w:w="0" w:type="dxa"/>
            <w:right w:w="0" w:type="dxa"/>
          </w:tblCellMar>
        </w:tblPrEx>
        <w:trPr>
          <w:trHeight w:val="447"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1290" w:type="dxa"/>
            <w:gridSpan w:val="2"/>
            <w:tcBorders>
              <w:top w:val="nil"/>
              <w:left w:val="nil"/>
              <w:bottom w:val="nil"/>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90" w:type="dxa"/>
            <w:tcBorders>
              <w:top w:val="nil"/>
              <w:left w:val="nil"/>
              <w:bottom w:val="nil"/>
              <w:right w:val="nil"/>
            </w:tcBorders>
            <w:shd w:val="clear" w:color="auto" w:fill="auto"/>
            <w:noWrap/>
            <w:tcMar>
              <w:top w:w="15" w:type="dxa"/>
              <w:left w:w="15" w:type="dxa"/>
              <w:right w:w="15" w:type="dxa"/>
            </w:tcMar>
            <w:vAlign w:val="bottom"/>
          </w:tcPr>
          <w:p>
            <w:pPr>
              <w:rPr>
                <w:rFonts w:hint="default" w:ascii="Arial" w:hAnsi="Arial" w:cs="Arial"/>
                <w:i w:val="0"/>
                <w:color w:val="000000"/>
                <w:sz w:val="20"/>
                <w:szCs w:val="20"/>
                <w:u w:val="none"/>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392"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bookmarkStart w:id="2" w:name="_GoBack"/>
            <w:bookmarkEnd w:id="2"/>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294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26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735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54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524"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35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1.科技服务选派人员数5人。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2.边远贫困县市进行畜牧业科技服务工作服务天数不得少于100天。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3.开展畜牧专业技术培训次数不少于5次。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4.开展畜牧技术服务，提高牧民养殖技术水平。</w:t>
            </w:r>
          </w:p>
        </w:tc>
        <w:tc>
          <w:tcPr>
            <w:tcW w:w="540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1.科技服务选派人员数5人。</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2.边远贫困县市进行畜牧业科技服务工作服务天数不得少于100天。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3.开展畜牧专业技术培训次数不少于5次。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4.开展畜牧技术服务，提高牧民养殖技术水平。</w:t>
            </w:r>
          </w:p>
        </w:tc>
      </w:tr>
      <w:tr>
        <w:tblPrEx>
          <w:shd w:val="clear" w:color="auto" w:fill="auto"/>
          <w:tblCellMar>
            <w:top w:w="0" w:type="dxa"/>
            <w:left w:w="0" w:type="dxa"/>
            <w:bottom w:w="0" w:type="dxa"/>
            <w:right w:w="0" w:type="dxa"/>
          </w:tblCellMar>
        </w:tblPrEx>
        <w:trPr>
          <w:trHeight w:val="412"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2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34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6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8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25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8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5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1165" w:hRule="atLeast"/>
        </w:trPr>
        <w:tc>
          <w:tcPr>
            <w:tcW w:w="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2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科技特派员人数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5人</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96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开展科技服务天数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≥100天</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100天</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开展科技技术培训次数</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5次</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0"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任务完成率</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59"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任务完成时间</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2020年12月</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712"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项目成本</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10万元</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81"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提高受援对象养殖水平</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88%</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牧区牧民已养成传统养殖技术，对科学养殖接受能力不强。</w:t>
            </w:r>
          </w:p>
        </w:tc>
      </w:tr>
      <w:tr>
        <w:tblPrEx>
          <w:tblCellMar>
            <w:top w:w="0" w:type="dxa"/>
            <w:left w:w="0" w:type="dxa"/>
            <w:bottom w:w="0" w:type="dxa"/>
            <w:right w:w="0" w:type="dxa"/>
          </w:tblCellMar>
        </w:tblPrEx>
        <w:trPr>
          <w:trHeight w:val="893"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科技特派员服务对基层可持续性发展影响</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不断提升</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124" w:hRule="atLeast"/>
        </w:trPr>
        <w:tc>
          <w:tcPr>
            <w:tcW w:w="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2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3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受援单位满意度</w:t>
            </w:r>
          </w:p>
        </w:tc>
        <w:tc>
          <w:tcPr>
            <w:tcW w:w="16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8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5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pStyle w:val="17"/>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pStyle w:val="17"/>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F4BB6DE"/>
    <w:multiLevelType w:val="singleLevel"/>
    <w:tmpl w:val="FF4BB6DE"/>
    <w:lvl w:ilvl="0" w:tentative="0">
      <w:start w:val="1"/>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730CCE4"/>
    <w:multiLevelType w:val="singleLevel"/>
    <w:tmpl w:val="3730CCE4"/>
    <w:lvl w:ilvl="0" w:tentative="0">
      <w:start w:val="2"/>
      <w:numFmt w:val="decimal"/>
      <w:suff w:val="nothing"/>
      <w:lvlText w:val="（%1）"/>
      <w:lvlJc w:val="left"/>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7"/>
  </w:num>
  <w:num w:numId="2">
    <w:abstractNumId w:val="2"/>
  </w:num>
  <w:num w:numId="3">
    <w:abstractNumId w:val="1"/>
  </w:num>
  <w:num w:numId="4">
    <w:abstractNumId w:val="6"/>
  </w:num>
  <w:num w:numId="5">
    <w:abstractNumId w:val="5"/>
  </w:num>
  <w:num w:numId="6">
    <w:abstractNumId w:val="8"/>
  </w:num>
  <w:num w:numId="7">
    <w:abstractNumId w:val="4"/>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7C0799"/>
    <w:rsid w:val="007E5154"/>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18B423D"/>
    <w:rsid w:val="01914BD0"/>
    <w:rsid w:val="02133FCF"/>
    <w:rsid w:val="023858E6"/>
    <w:rsid w:val="02815E15"/>
    <w:rsid w:val="02853161"/>
    <w:rsid w:val="034C2769"/>
    <w:rsid w:val="03B41B51"/>
    <w:rsid w:val="03C45B62"/>
    <w:rsid w:val="03D44C8D"/>
    <w:rsid w:val="04036DD9"/>
    <w:rsid w:val="04512F32"/>
    <w:rsid w:val="0452054E"/>
    <w:rsid w:val="046B59DC"/>
    <w:rsid w:val="049800FF"/>
    <w:rsid w:val="04E75578"/>
    <w:rsid w:val="051A56F5"/>
    <w:rsid w:val="051D0458"/>
    <w:rsid w:val="05756927"/>
    <w:rsid w:val="066D6EAA"/>
    <w:rsid w:val="0691615E"/>
    <w:rsid w:val="06935E49"/>
    <w:rsid w:val="06965A23"/>
    <w:rsid w:val="06EA141E"/>
    <w:rsid w:val="07040B8F"/>
    <w:rsid w:val="070C10D6"/>
    <w:rsid w:val="07632C46"/>
    <w:rsid w:val="07AB2B26"/>
    <w:rsid w:val="07B06A9F"/>
    <w:rsid w:val="08035AE4"/>
    <w:rsid w:val="0868699C"/>
    <w:rsid w:val="08C662D4"/>
    <w:rsid w:val="09172001"/>
    <w:rsid w:val="091E4A3C"/>
    <w:rsid w:val="09BD4D95"/>
    <w:rsid w:val="09CD37EE"/>
    <w:rsid w:val="0A2D66CC"/>
    <w:rsid w:val="0A4D7BA2"/>
    <w:rsid w:val="0A5F254D"/>
    <w:rsid w:val="0AD76FBF"/>
    <w:rsid w:val="0BF8350C"/>
    <w:rsid w:val="0C286E37"/>
    <w:rsid w:val="0D1D7555"/>
    <w:rsid w:val="0D494A3C"/>
    <w:rsid w:val="0DFB1015"/>
    <w:rsid w:val="0E195532"/>
    <w:rsid w:val="0E4D635A"/>
    <w:rsid w:val="0F3D4083"/>
    <w:rsid w:val="0F8D41CB"/>
    <w:rsid w:val="0FD66A51"/>
    <w:rsid w:val="107D6494"/>
    <w:rsid w:val="10BA1885"/>
    <w:rsid w:val="10DA37A8"/>
    <w:rsid w:val="1153301E"/>
    <w:rsid w:val="11836E58"/>
    <w:rsid w:val="119F221D"/>
    <w:rsid w:val="11A22129"/>
    <w:rsid w:val="11C75270"/>
    <w:rsid w:val="11D046A5"/>
    <w:rsid w:val="12637CC3"/>
    <w:rsid w:val="12875A3F"/>
    <w:rsid w:val="12A216D4"/>
    <w:rsid w:val="12BE6CD2"/>
    <w:rsid w:val="12E657C5"/>
    <w:rsid w:val="12F52491"/>
    <w:rsid w:val="130D6EA2"/>
    <w:rsid w:val="1319323A"/>
    <w:rsid w:val="133B4C95"/>
    <w:rsid w:val="13DC1E22"/>
    <w:rsid w:val="14280094"/>
    <w:rsid w:val="145E5138"/>
    <w:rsid w:val="14A25D55"/>
    <w:rsid w:val="15181A54"/>
    <w:rsid w:val="157D0E30"/>
    <w:rsid w:val="15930DC3"/>
    <w:rsid w:val="163D7DDC"/>
    <w:rsid w:val="167C7687"/>
    <w:rsid w:val="167D129A"/>
    <w:rsid w:val="1681739C"/>
    <w:rsid w:val="168B3546"/>
    <w:rsid w:val="16DC4244"/>
    <w:rsid w:val="16E838BC"/>
    <w:rsid w:val="172B0F7A"/>
    <w:rsid w:val="173869FD"/>
    <w:rsid w:val="17967C52"/>
    <w:rsid w:val="179A2BC5"/>
    <w:rsid w:val="17A81403"/>
    <w:rsid w:val="182F5707"/>
    <w:rsid w:val="18ED4AB8"/>
    <w:rsid w:val="191015CA"/>
    <w:rsid w:val="194631E4"/>
    <w:rsid w:val="19561231"/>
    <w:rsid w:val="1A205849"/>
    <w:rsid w:val="1A2374E0"/>
    <w:rsid w:val="1A7C78F1"/>
    <w:rsid w:val="1BA83E24"/>
    <w:rsid w:val="1BD638F6"/>
    <w:rsid w:val="1C317CE2"/>
    <w:rsid w:val="1C8D7184"/>
    <w:rsid w:val="1C9D1B30"/>
    <w:rsid w:val="1DD45808"/>
    <w:rsid w:val="1DE7442D"/>
    <w:rsid w:val="1DED42AC"/>
    <w:rsid w:val="1ED134D4"/>
    <w:rsid w:val="1ED7687E"/>
    <w:rsid w:val="1F156DBA"/>
    <w:rsid w:val="1F1E57B7"/>
    <w:rsid w:val="1F220BD1"/>
    <w:rsid w:val="20005763"/>
    <w:rsid w:val="200B71F3"/>
    <w:rsid w:val="20C550A0"/>
    <w:rsid w:val="20FB313D"/>
    <w:rsid w:val="217306A4"/>
    <w:rsid w:val="21A406D4"/>
    <w:rsid w:val="21E04114"/>
    <w:rsid w:val="220B4804"/>
    <w:rsid w:val="22C0515F"/>
    <w:rsid w:val="23CD1841"/>
    <w:rsid w:val="245B20B2"/>
    <w:rsid w:val="24DF4A7B"/>
    <w:rsid w:val="25342454"/>
    <w:rsid w:val="25C21F79"/>
    <w:rsid w:val="262A04EF"/>
    <w:rsid w:val="26511B74"/>
    <w:rsid w:val="271B09E0"/>
    <w:rsid w:val="274B70E3"/>
    <w:rsid w:val="27583164"/>
    <w:rsid w:val="27B50BAD"/>
    <w:rsid w:val="27DD66FB"/>
    <w:rsid w:val="282475E3"/>
    <w:rsid w:val="282A18A5"/>
    <w:rsid w:val="286E7C71"/>
    <w:rsid w:val="28E27266"/>
    <w:rsid w:val="296061FC"/>
    <w:rsid w:val="296D0620"/>
    <w:rsid w:val="2A0D1E04"/>
    <w:rsid w:val="2A63394C"/>
    <w:rsid w:val="2A9F6D98"/>
    <w:rsid w:val="2ABE687C"/>
    <w:rsid w:val="2B276BD5"/>
    <w:rsid w:val="2B4210F6"/>
    <w:rsid w:val="2BA60C6D"/>
    <w:rsid w:val="2BAA2F09"/>
    <w:rsid w:val="2C065B6A"/>
    <w:rsid w:val="2C6100C1"/>
    <w:rsid w:val="2C7415A2"/>
    <w:rsid w:val="2CA72D68"/>
    <w:rsid w:val="2CE1012C"/>
    <w:rsid w:val="2D3B2A0D"/>
    <w:rsid w:val="2D3E3D35"/>
    <w:rsid w:val="2D583FC5"/>
    <w:rsid w:val="2F662765"/>
    <w:rsid w:val="2F782BE6"/>
    <w:rsid w:val="301E541E"/>
    <w:rsid w:val="304B45C5"/>
    <w:rsid w:val="30606C57"/>
    <w:rsid w:val="30BE4D80"/>
    <w:rsid w:val="30F908E0"/>
    <w:rsid w:val="314B0659"/>
    <w:rsid w:val="31D33737"/>
    <w:rsid w:val="31DE5FAD"/>
    <w:rsid w:val="3264220D"/>
    <w:rsid w:val="329735FA"/>
    <w:rsid w:val="32D10AC9"/>
    <w:rsid w:val="32DC113B"/>
    <w:rsid w:val="32EB64B8"/>
    <w:rsid w:val="33053A85"/>
    <w:rsid w:val="3330767A"/>
    <w:rsid w:val="334915B0"/>
    <w:rsid w:val="3350786A"/>
    <w:rsid w:val="33B95A18"/>
    <w:rsid w:val="33DA50C8"/>
    <w:rsid w:val="33EF5BBC"/>
    <w:rsid w:val="342F5721"/>
    <w:rsid w:val="343B09A1"/>
    <w:rsid w:val="34A9646E"/>
    <w:rsid w:val="34B54225"/>
    <w:rsid w:val="34C2241F"/>
    <w:rsid w:val="34E11039"/>
    <w:rsid w:val="3596523B"/>
    <w:rsid w:val="35F563E3"/>
    <w:rsid w:val="3660486E"/>
    <w:rsid w:val="370062DA"/>
    <w:rsid w:val="37056661"/>
    <w:rsid w:val="37363696"/>
    <w:rsid w:val="376A4879"/>
    <w:rsid w:val="37A524E4"/>
    <w:rsid w:val="38534CC0"/>
    <w:rsid w:val="38BF2B00"/>
    <w:rsid w:val="390C109A"/>
    <w:rsid w:val="390C6528"/>
    <w:rsid w:val="394923D8"/>
    <w:rsid w:val="3963178C"/>
    <w:rsid w:val="3983057F"/>
    <w:rsid w:val="3A3D497D"/>
    <w:rsid w:val="3A7F6C59"/>
    <w:rsid w:val="3ADC741E"/>
    <w:rsid w:val="3B3108E6"/>
    <w:rsid w:val="3B3F5EFC"/>
    <w:rsid w:val="3B432F27"/>
    <w:rsid w:val="3BF62CC9"/>
    <w:rsid w:val="3C9D6E8D"/>
    <w:rsid w:val="3D1502D3"/>
    <w:rsid w:val="3D4A4224"/>
    <w:rsid w:val="3DEB624C"/>
    <w:rsid w:val="3E1F67C1"/>
    <w:rsid w:val="3E622933"/>
    <w:rsid w:val="3E9D40AA"/>
    <w:rsid w:val="3EB2775B"/>
    <w:rsid w:val="3EDC293D"/>
    <w:rsid w:val="3F2749A9"/>
    <w:rsid w:val="3F3C594B"/>
    <w:rsid w:val="3F5C3055"/>
    <w:rsid w:val="4002215E"/>
    <w:rsid w:val="400A259E"/>
    <w:rsid w:val="403B35DC"/>
    <w:rsid w:val="40E56A3D"/>
    <w:rsid w:val="412A046A"/>
    <w:rsid w:val="414636B6"/>
    <w:rsid w:val="41B44E97"/>
    <w:rsid w:val="41BF2719"/>
    <w:rsid w:val="41CC2676"/>
    <w:rsid w:val="4240574A"/>
    <w:rsid w:val="432E124C"/>
    <w:rsid w:val="43F8328C"/>
    <w:rsid w:val="441433B8"/>
    <w:rsid w:val="441C3C24"/>
    <w:rsid w:val="44925E08"/>
    <w:rsid w:val="454D1F1E"/>
    <w:rsid w:val="45512BF2"/>
    <w:rsid w:val="45886297"/>
    <w:rsid w:val="45C4244E"/>
    <w:rsid w:val="45C655C2"/>
    <w:rsid w:val="4600122C"/>
    <w:rsid w:val="465F3C83"/>
    <w:rsid w:val="46B21672"/>
    <w:rsid w:val="46E57713"/>
    <w:rsid w:val="46EC76ED"/>
    <w:rsid w:val="4851577E"/>
    <w:rsid w:val="48834266"/>
    <w:rsid w:val="49C91F88"/>
    <w:rsid w:val="4A254386"/>
    <w:rsid w:val="4A9A679F"/>
    <w:rsid w:val="4ABC50AF"/>
    <w:rsid w:val="4ACE5734"/>
    <w:rsid w:val="4AD16190"/>
    <w:rsid w:val="4B1D4EEC"/>
    <w:rsid w:val="4BB23359"/>
    <w:rsid w:val="4BBC6556"/>
    <w:rsid w:val="4BBF1C66"/>
    <w:rsid w:val="4D3D65D7"/>
    <w:rsid w:val="4D4E14DD"/>
    <w:rsid w:val="4D690A6B"/>
    <w:rsid w:val="4DA8199D"/>
    <w:rsid w:val="4DF025F1"/>
    <w:rsid w:val="4EA15ACF"/>
    <w:rsid w:val="4EEA410F"/>
    <w:rsid w:val="4F552460"/>
    <w:rsid w:val="4FA91C30"/>
    <w:rsid w:val="4FCC6863"/>
    <w:rsid w:val="500A214A"/>
    <w:rsid w:val="505343E8"/>
    <w:rsid w:val="508E2087"/>
    <w:rsid w:val="51AE1554"/>
    <w:rsid w:val="52297EF2"/>
    <w:rsid w:val="522D604D"/>
    <w:rsid w:val="524338FE"/>
    <w:rsid w:val="52890C99"/>
    <w:rsid w:val="5297585E"/>
    <w:rsid w:val="52AD7D6F"/>
    <w:rsid w:val="52DF6A24"/>
    <w:rsid w:val="52FA4FAF"/>
    <w:rsid w:val="5321599F"/>
    <w:rsid w:val="537E07BB"/>
    <w:rsid w:val="53FD78B6"/>
    <w:rsid w:val="548032D6"/>
    <w:rsid w:val="551763C0"/>
    <w:rsid w:val="5549519D"/>
    <w:rsid w:val="55517FB1"/>
    <w:rsid w:val="5557596B"/>
    <w:rsid w:val="55EB5ADD"/>
    <w:rsid w:val="55F6589C"/>
    <w:rsid w:val="577A2AAB"/>
    <w:rsid w:val="581F2BDC"/>
    <w:rsid w:val="5897796C"/>
    <w:rsid w:val="589A603F"/>
    <w:rsid w:val="58BA2B46"/>
    <w:rsid w:val="58D86A52"/>
    <w:rsid w:val="58FB40E9"/>
    <w:rsid w:val="591720C8"/>
    <w:rsid w:val="592D09AC"/>
    <w:rsid w:val="592F0137"/>
    <w:rsid w:val="59371341"/>
    <w:rsid w:val="594E6827"/>
    <w:rsid w:val="598103D9"/>
    <w:rsid w:val="598A340D"/>
    <w:rsid w:val="598A3BED"/>
    <w:rsid w:val="599F22EA"/>
    <w:rsid w:val="5A12365D"/>
    <w:rsid w:val="5A5102F0"/>
    <w:rsid w:val="5ADA5F5B"/>
    <w:rsid w:val="5B2B0581"/>
    <w:rsid w:val="5B596DFC"/>
    <w:rsid w:val="5BA5482C"/>
    <w:rsid w:val="5C244985"/>
    <w:rsid w:val="5C351EB7"/>
    <w:rsid w:val="5C372E84"/>
    <w:rsid w:val="5C4250F6"/>
    <w:rsid w:val="5CEA175C"/>
    <w:rsid w:val="5CFE6C43"/>
    <w:rsid w:val="5D37039A"/>
    <w:rsid w:val="5D4B6298"/>
    <w:rsid w:val="5DD627A9"/>
    <w:rsid w:val="5DF03945"/>
    <w:rsid w:val="5EDA5157"/>
    <w:rsid w:val="5EE263E0"/>
    <w:rsid w:val="5F456027"/>
    <w:rsid w:val="5F52416B"/>
    <w:rsid w:val="5F8C5F37"/>
    <w:rsid w:val="604058AE"/>
    <w:rsid w:val="604A5EE9"/>
    <w:rsid w:val="60B37B2A"/>
    <w:rsid w:val="621E7F04"/>
    <w:rsid w:val="622C4CE4"/>
    <w:rsid w:val="622F3902"/>
    <w:rsid w:val="6240504D"/>
    <w:rsid w:val="6270211D"/>
    <w:rsid w:val="628331F8"/>
    <w:rsid w:val="62F454BB"/>
    <w:rsid w:val="632410DA"/>
    <w:rsid w:val="634176AD"/>
    <w:rsid w:val="63481789"/>
    <w:rsid w:val="637C2815"/>
    <w:rsid w:val="637D540C"/>
    <w:rsid w:val="63862DBF"/>
    <w:rsid w:val="63FE433A"/>
    <w:rsid w:val="640273A3"/>
    <w:rsid w:val="644F3930"/>
    <w:rsid w:val="646C6A4B"/>
    <w:rsid w:val="64E320B8"/>
    <w:rsid w:val="651A0358"/>
    <w:rsid w:val="661C1118"/>
    <w:rsid w:val="66430B58"/>
    <w:rsid w:val="66542AAD"/>
    <w:rsid w:val="666527EF"/>
    <w:rsid w:val="672E55E8"/>
    <w:rsid w:val="67894F8C"/>
    <w:rsid w:val="688A77DA"/>
    <w:rsid w:val="68EC4888"/>
    <w:rsid w:val="690E07DB"/>
    <w:rsid w:val="69930390"/>
    <w:rsid w:val="69AE67D5"/>
    <w:rsid w:val="6A2E0D3E"/>
    <w:rsid w:val="6A7D1435"/>
    <w:rsid w:val="6A9A1FA8"/>
    <w:rsid w:val="6AB6268C"/>
    <w:rsid w:val="6AB746B3"/>
    <w:rsid w:val="6AC723E4"/>
    <w:rsid w:val="6AFE463C"/>
    <w:rsid w:val="6B301096"/>
    <w:rsid w:val="6B3567A8"/>
    <w:rsid w:val="6B9F7563"/>
    <w:rsid w:val="6BB815FA"/>
    <w:rsid w:val="6C235776"/>
    <w:rsid w:val="6CFF2E1F"/>
    <w:rsid w:val="6D2D35D8"/>
    <w:rsid w:val="6D9B7B48"/>
    <w:rsid w:val="6DF070E3"/>
    <w:rsid w:val="6E0C157A"/>
    <w:rsid w:val="6E5C6775"/>
    <w:rsid w:val="6E621A00"/>
    <w:rsid w:val="6E6E5EDE"/>
    <w:rsid w:val="6E79315E"/>
    <w:rsid w:val="6E934805"/>
    <w:rsid w:val="6E9F7240"/>
    <w:rsid w:val="6EFF16E2"/>
    <w:rsid w:val="6F484F5D"/>
    <w:rsid w:val="70A93B29"/>
    <w:rsid w:val="70C86EB8"/>
    <w:rsid w:val="712D7701"/>
    <w:rsid w:val="723566F3"/>
    <w:rsid w:val="725C5D0B"/>
    <w:rsid w:val="72854CF4"/>
    <w:rsid w:val="72B270AF"/>
    <w:rsid w:val="733F543D"/>
    <w:rsid w:val="735A492E"/>
    <w:rsid w:val="737E7B5E"/>
    <w:rsid w:val="737F407C"/>
    <w:rsid w:val="74775F45"/>
    <w:rsid w:val="7480696F"/>
    <w:rsid w:val="74F61B32"/>
    <w:rsid w:val="7548161F"/>
    <w:rsid w:val="754C33C3"/>
    <w:rsid w:val="75515804"/>
    <w:rsid w:val="755D2F41"/>
    <w:rsid w:val="756B1690"/>
    <w:rsid w:val="75DF00C8"/>
    <w:rsid w:val="764E1818"/>
    <w:rsid w:val="76843904"/>
    <w:rsid w:val="769D4E1F"/>
    <w:rsid w:val="769E5DD3"/>
    <w:rsid w:val="76A5426C"/>
    <w:rsid w:val="770D1017"/>
    <w:rsid w:val="773F7BBB"/>
    <w:rsid w:val="78C272BB"/>
    <w:rsid w:val="78C34AA9"/>
    <w:rsid w:val="78D073AE"/>
    <w:rsid w:val="78D82B54"/>
    <w:rsid w:val="793161BC"/>
    <w:rsid w:val="7952634D"/>
    <w:rsid w:val="79851923"/>
    <w:rsid w:val="799E2805"/>
    <w:rsid w:val="79C25075"/>
    <w:rsid w:val="79F73ADA"/>
    <w:rsid w:val="7A296990"/>
    <w:rsid w:val="7A353D0B"/>
    <w:rsid w:val="7A8B282D"/>
    <w:rsid w:val="7AA53E38"/>
    <w:rsid w:val="7ADB32D9"/>
    <w:rsid w:val="7B007829"/>
    <w:rsid w:val="7B1429F0"/>
    <w:rsid w:val="7B3126CC"/>
    <w:rsid w:val="7B3939FE"/>
    <w:rsid w:val="7B7C68C0"/>
    <w:rsid w:val="7BDC0D49"/>
    <w:rsid w:val="7BF639AD"/>
    <w:rsid w:val="7C3B2B6D"/>
    <w:rsid w:val="7C56693D"/>
    <w:rsid w:val="7C962F45"/>
    <w:rsid w:val="7D3A5E2F"/>
    <w:rsid w:val="7D825A50"/>
    <w:rsid w:val="7D881A06"/>
    <w:rsid w:val="7E3D0FAB"/>
    <w:rsid w:val="7E641DEF"/>
    <w:rsid w:val="7EBD145D"/>
    <w:rsid w:val="7EF432CC"/>
    <w:rsid w:val="7F417B2F"/>
    <w:rsid w:val="7F4F4850"/>
    <w:rsid w:val="7F8968A4"/>
    <w:rsid w:val="7F925070"/>
    <w:rsid w:val="7FE65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footnote text"/>
    <w:basedOn w:val="1"/>
    <w:qFormat/>
    <w:uiPriority w:val="0"/>
    <w:pPr>
      <w:snapToGrid w:val="0"/>
      <w:jc w:val="left"/>
    </w:pPr>
    <w:rPr>
      <w:sz w:val="18"/>
      <w:szCs w:val="18"/>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Other|1"/>
    <w:basedOn w:val="1"/>
    <w:qFormat/>
    <w:uiPriority w:val="0"/>
    <w:pPr>
      <w:spacing w:line="437" w:lineRule="auto"/>
      <w:ind w:firstLine="400"/>
    </w:pPr>
    <w:rPr>
      <w:rFonts w:ascii="宋体" w:hAnsi="宋体" w:cs="宋体"/>
      <w:sz w:val="19"/>
      <w:szCs w:val="19"/>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10</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2025-09-05T09:13:27Z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7329397094F14F0A8DC2736299768579</vt:lpwstr>
  </property>
  <property fmtid="{D5CDD505-2E9C-101B-9397-08002B2CF9AE}" pid="4" name="KSOSaveFontToCloudKey">
    <vt:lpwstr>462561243_btnclosed</vt:lpwstr>
  </property>
</Properties>
</file>