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城乡义务教育补助资金项目支出绩效</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项目名称：城乡义务教育补助资金项目</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实施单位（公章）：塔城地区特殊教育学校</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主管部门（公章）：塔城地区教育局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项目负责人（签章）：张兴隆</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填报时间：2021年3月31日</w:t>
      </w:r>
    </w:p>
    <w:p>
      <w:pPr>
        <w:spacing w:line="540" w:lineRule="exact"/>
        <w:jc w:val="center"/>
        <w:rPr>
          <w:rFonts w:hAnsi="宋体" w:eastAsia="仿宋_GB2312" w:cs="宋体"/>
          <w:kern w:val="0"/>
          <w:sz w:val="30"/>
          <w:szCs w:val="30"/>
        </w:rPr>
      </w:pPr>
    </w:p>
    <w:p>
      <w:pPr>
        <w:spacing w:line="540" w:lineRule="exact"/>
        <w:rPr>
          <w:rStyle w:val="23"/>
          <w:rFonts w:ascii="黑体" w:hAnsi="黑体" w:eastAsia="黑体"/>
          <w:b w:val="0"/>
          <w:spacing w:val="-4"/>
          <w:sz w:val="32"/>
          <w:szCs w:val="32"/>
        </w:rPr>
      </w:pPr>
    </w:p>
    <w:p>
      <w:pPr>
        <w:spacing w:line="540" w:lineRule="exact"/>
        <w:ind w:firstLine="640"/>
        <w:rPr>
          <w:rStyle w:val="23"/>
          <w:rFonts w:ascii="黑体" w:hAnsi="黑体" w:eastAsia="黑体"/>
          <w:b w:val="0"/>
          <w:spacing w:val="-4"/>
          <w:sz w:val="32"/>
          <w:szCs w:val="32"/>
        </w:rPr>
      </w:pPr>
    </w:p>
    <w:p>
      <w:pPr>
        <w:spacing w:line="540" w:lineRule="exact"/>
        <w:rPr>
          <w:rStyle w:val="23"/>
          <w:rFonts w:ascii="黑体" w:hAnsi="黑体" w:eastAsia="黑体"/>
          <w:b w:val="0"/>
          <w:spacing w:val="-4"/>
          <w:sz w:val="32"/>
          <w:szCs w:val="32"/>
        </w:rPr>
      </w:pPr>
    </w:p>
    <w:p>
      <w:pPr>
        <w:pageBreakBefore w:val="0"/>
        <w:kinsoku/>
        <w:wordWrap/>
        <w:overflowPunct/>
        <w:topLinePunct w:val="0"/>
        <w:autoSpaceDE/>
        <w:autoSpaceDN/>
        <w:bidi w:val="0"/>
        <w:adjustRightInd/>
        <w:spacing w:line="560" w:lineRule="atLeast"/>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Style w:val="2"/>
        <w:pageBreakBefore w:val="0"/>
        <w:kinsoku/>
        <w:wordWrap/>
        <w:overflowPunct/>
        <w:topLinePunct w:val="0"/>
        <w:autoSpaceDE/>
        <w:autoSpaceDN/>
        <w:bidi w:val="0"/>
        <w:adjustRightInd/>
        <w:spacing w:before="0" w:after="0" w:line="560" w:lineRule="atLeas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城乡义务教育补助经费，是指中央财政设立的用于支持城乡义务教育发展的转移支付资金。为贯彻落实《国务院关于进一步完善城乡义务教育经费保障机制的通知》（国发〔2015〕67号）精神，进一步调整完善城乡义务教育经费保障机制，建立城乡统一、各级政府分项目按比例分担的城乡义务教育经费保障机制，推进城乡义务教育均衡发展。</w:t>
      </w:r>
    </w:p>
    <w:p>
      <w:pPr>
        <w:pStyle w:val="2"/>
        <w:pageBreakBefore w:val="0"/>
        <w:kinsoku/>
        <w:wordWrap/>
        <w:overflowPunct/>
        <w:topLinePunct w:val="0"/>
        <w:autoSpaceDE/>
        <w:autoSpaceDN/>
        <w:bidi w:val="0"/>
        <w:adjustRightInd/>
        <w:spacing w:before="0" w:after="0" w:line="560" w:lineRule="atLeast"/>
        <w:ind w:firstLine="640" w:firstLineChars="200"/>
        <w:jc w:val="left"/>
      </w:pPr>
      <w:r>
        <w:rPr>
          <w:rFonts w:hint="eastAsia" w:ascii="仿宋_GB2312" w:hAnsi="仿宋_GB2312" w:eastAsia="仿宋_GB2312" w:cs="仿宋_GB2312"/>
          <w:b w:val="0"/>
          <w:bCs w:val="0"/>
          <w:kern w:val="2"/>
        </w:rPr>
        <w:t>城乡义务教育经费用于保障义务教育学校正常运转、完成教育教学活动和其他日常工作任务等方面支出的费用，具体支出范围包括：教学业务与管理、教师培训、实验实习、文体活动、水电、取暖、交通差旅、邮电，仪器设备及图书资料等购置，房屋、建筑物及仪器设备的日常维修维护；实施特殊教育学校义务教育学生营养改善计划。</w:t>
      </w:r>
    </w:p>
    <w:p>
      <w:pPr>
        <w:pageBreakBefore w:val="0"/>
        <w:numPr>
          <w:ilvl w:val="0"/>
          <w:numId w:val="1"/>
        </w:numPr>
        <w:kinsoku/>
        <w:wordWrap/>
        <w:overflowPunct/>
        <w:topLinePunct w:val="0"/>
        <w:autoSpaceDE/>
        <w:autoSpaceDN/>
        <w:bidi w:val="0"/>
        <w:adjustRightIn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2020年1月财政依据【塔地财教（2019）59号、塔地财教（2020）11、13号】下达城乡义务教育补助经费。此项资金主要用于义务教育生均公用经费；免费学习用品费；家庭经济困难生活补助（含寄宿生和非寄宿生），对困难学生每生每年补助1000元；学校校舍安全保障，校园的日常维修，水、电、暖费用；37名教师参加教师继续教育培训等。</w:t>
      </w:r>
    </w:p>
    <w:p>
      <w:pPr>
        <w:pageBreakBefore w:val="0"/>
        <w:kinsoku/>
        <w:wordWrap/>
        <w:overflowPunct/>
        <w:topLinePunct w:val="0"/>
        <w:autoSpaceDE/>
        <w:autoSpaceDN/>
        <w:bidi w:val="0"/>
        <w:adjustRightInd/>
        <w:spacing w:line="560" w:lineRule="atLeast"/>
        <w:ind w:firstLine="640" w:firstLineChars="200"/>
      </w:pPr>
      <w:r>
        <w:rPr>
          <w:rFonts w:hint="eastAsia" w:ascii="仿宋_GB2312" w:hAnsi="仿宋_GB2312" w:eastAsia="仿宋_GB2312" w:cs="仿宋_GB2312"/>
          <w:sz w:val="32"/>
          <w:szCs w:val="32"/>
        </w:rPr>
        <w:t>项目实施情况：该项目目前已经基本完成年初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本项目总投资101.75万元，其中：财政本级资金0万元。项目实际支出5</w:t>
      </w:r>
      <w:r>
        <w:rPr>
          <w:rFonts w:hint="eastAsia" w:ascii="仿宋_GB2312" w:hAnsi="仿宋_GB2312" w:eastAsia="仿宋_GB2312" w:cs="仿宋_GB2312"/>
          <w:sz w:val="32"/>
          <w:szCs w:val="32"/>
          <w:lang w:val="en-US" w:eastAsia="zh-CN"/>
        </w:rPr>
        <w:t>7.68</w:t>
      </w:r>
      <w:r>
        <w:rPr>
          <w:rFonts w:hint="eastAsia" w:ascii="仿宋_GB2312" w:hAnsi="仿宋_GB2312" w:eastAsia="仿宋_GB2312" w:cs="仿宋_GB2312"/>
          <w:sz w:val="32"/>
          <w:szCs w:val="32"/>
        </w:rPr>
        <w:t>万元， 支出率5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101.75万元，按照《项目资金管理办法》及单位财务制度等相关规定，资金支出符合【城乡义务教育补助项目】专项资金费用范围，做到了专款专用。在项目资金拨付和使用过程中，为确保项目资金的安全性，提高项目资金使用效率，严格遵循【城乡义务教育补助项目】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塔地财教（2019）59号年城乡义务教育补助经费》《塔地财教（2020）11、13号2020年城乡义务教育补助经费》文件中批复的资金，项目资金到位101.75万元，主要用于支付学校日常公用和寄宿生生活补助等各项费用。</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城乡义务教育补助经费，主要用于义务教育生均公用经费、免费学习用品费、家庭经济困难生活补助（含寄宿生和非寄宿生）、学校校舍安全保障、教师培训等。</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（1）前期准备：根据《城乡义务教育工作方案》，通过制定项目实施方案，经校办及项目负责人审核通过后，有序开展后续工程。</w:t>
      </w:r>
    </w:p>
    <w:p>
      <w:pPr>
        <w:pageBreakBefore w:val="0"/>
        <w:kinsoku/>
        <w:wordWrap/>
        <w:overflowPunct/>
        <w:topLinePunct w:val="0"/>
        <w:autoSpaceDE/>
        <w:autoSpaceDN/>
        <w:bidi w:val="0"/>
        <w:adjustRightIn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（2）组织实施：资金到位后，学校立即根据项目要求实施项目。截止2020年12月31日</w:t>
      </w:r>
      <w:r>
        <w:rPr>
          <w:rFonts w:hint="eastAsia" w:ascii="仿宋_GB2312" w:hAnsi="仿宋_GB2312" w:eastAsia="仿宋_GB2312" w:cs="仿宋_GB2312"/>
          <w:kern w:val="0"/>
          <w:sz w:val="32"/>
          <w:szCs w:val="32"/>
        </w:rPr>
        <w:t>地区特殊教育学校该项目</w:t>
      </w:r>
      <w:r>
        <w:rPr>
          <w:rFonts w:hint="eastAsia" w:ascii="仿宋_GB2312" w:hAnsi="仿宋_GB2312" w:eastAsia="仿宋_GB2312" w:cs="仿宋_GB2312"/>
          <w:kern w:val="1"/>
          <w:sz w:val="32"/>
          <w:szCs w:val="32"/>
        </w:rPr>
        <w:t>资金共使用</w:t>
      </w:r>
      <w:r>
        <w:rPr>
          <w:rFonts w:hint="eastAsia" w:ascii="仿宋_GB2312" w:hAnsi="仿宋_GB2312" w:eastAsia="仿宋_GB2312" w:cs="仿宋_GB2312"/>
          <w:kern w:val="1"/>
          <w:sz w:val="32"/>
          <w:szCs w:val="32"/>
          <w:lang w:val="en-US" w:eastAsia="zh-CN"/>
        </w:rPr>
        <w:t>57.68</w:t>
      </w:r>
      <w:r>
        <w:rPr>
          <w:rFonts w:hint="eastAsia" w:ascii="仿宋_GB2312" w:hAnsi="仿宋_GB2312" w:eastAsia="仿宋_GB2312" w:cs="仿宋_GB2312"/>
          <w:kern w:val="1"/>
          <w:sz w:val="32"/>
          <w:szCs w:val="32"/>
        </w:rPr>
        <w:t xml:space="preserve">万元，预算执行率 </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kern w:val="1"/>
          <w:sz w:val="32"/>
          <w:szCs w:val="32"/>
        </w:rPr>
        <w:t>；</w:t>
      </w:r>
      <w:r>
        <w:rPr>
          <w:rFonts w:hint="eastAsia" w:ascii="仿宋_GB2312" w:hAnsi="仿宋_GB2312" w:eastAsia="仿宋_GB2312" w:cs="仿宋_GB2312"/>
          <w:sz w:val="32"/>
          <w:szCs w:val="32"/>
        </w:rPr>
        <w:t>项目责任人按照《城乡义务教育工作方案》要求逐一进行项目部署安排，提高项目质量及效率性。</w:t>
      </w:r>
    </w:p>
    <w:p>
      <w:pPr>
        <w:pageBreakBefore w:val="0"/>
        <w:kinsoku/>
        <w:wordWrap/>
        <w:overflowPunct/>
        <w:topLinePunct w:val="0"/>
        <w:autoSpaceDE/>
        <w:autoSpaceDN/>
        <w:bidi w:val="0"/>
        <w:adjustRightInd/>
        <w:spacing w:line="560" w:lineRule="atLeas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本次绩效评价遵循财政部《关于印发&lt;项目支出绩效评价管理办法&gt;的通知》，《关于印发&lt;塔城地区全面实施财政支出绩效管理的工作方案&gt;的通知》（塔财预〔2020〕15号）文件精神，对学校2020年执行【城乡义务教育补助项目】进行绩效评价。从改善学校办学条件、提高教学质量的效率和效益，提出有针对性的建议，提高对【城乡义务教育补助项目】的有效利用度，财政支出绩效评价贯穿于财政支出安排和实施的全过程，进一步提升“塔城地区特殊教育学校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【城乡义务教育补助项目】项目在实施前向项目负责人提供财政支出绩效方面的资金管理信息，促进项目支出严格按照资金管理规定进行。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（2）【城乡义务教育补助项目】项目绩效管理财政支出运行提供及时、有效的信息。</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pacing w:before="0" w:after="0" w:line="560" w:lineRule="atLeast"/>
        <w:ind w:left="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Style w:val="2"/>
        <w:pageBreakBefore w:val="0"/>
        <w:widowControl w:val="0"/>
        <w:kinsoku/>
        <w:wordWrap/>
        <w:overflowPunct/>
        <w:topLinePunct w:val="0"/>
        <w:autoSpaceDE/>
        <w:autoSpaceDN/>
        <w:bidi w:val="0"/>
        <w:adjustRightInd/>
        <w:spacing w:before="0" w:after="0" w:line="560" w:lineRule="atLeast"/>
        <w:ind w:firstLine="640" w:firstLineChars="200"/>
        <w:jc w:val="both"/>
        <w:outlineLvl w:val="9"/>
        <w:rPr>
          <w:rFonts w:ascii="仿宋_GB2312" w:hAnsi="仿宋_GB2312" w:eastAsia="仿宋_GB2312" w:cs="仿宋_GB2312"/>
          <w:b w:val="0"/>
          <w:bCs w:val="0"/>
          <w:kern w:val="2"/>
        </w:rPr>
      </w:pPr>
      <w:r>
        <w:rPr>
          <w:rFonts w:hint="eastAsia" w:ascii="仿宋_GB2312" w:hAnsi="仿宋_GB2312" w:eastAsia="仿宋_GB2312" w:cs="仿宋_GB2312"/>
          <w:b w:val="0"/>
          <w:bCs w:val="0"/>
        </w:rPr>
        <w:t>城乡义务教育补助经费绩效评价对象包括：</w:t>
      </w:r>
      <w:r>
        <w:rPr>
          <w:rFonts w:hint="eastAsia" w:ascii="仿宋_GB2312" w:hAnsi="仿宋_GB2312" w:eastAsia="仿宋_GB2312" w:cs="仿宋_GB2312"/>
          <w:b w:val="0"/>
          <w:bCs w:val="0"/>
          <w:kern w:val="2"/>
        </w:rPr>
        <w:t>义务教育生均公用经费、免费学习用品费、家庭经济困难生活补助（含寄宿生和非寄宿生）、学校校舍安全保障、教师培训等的使用是否达到预期目标。</w:t>
      </w:r>
    </w:p>
    <w:p>
      <w:pPr>
        <w:pStyle w:val="2"/>
        <w:pageBreakBefore w:val="0"/>
        <w:widowControl w:val="0"/>
        <w:kinsoku/>
        <w:wordWrap/>
        <w:overflowPunct/>
        <w:topLinePunct w:val="0"/>
        <w:autoSpaceDE/>
        <w:autoSpaceDN/>
        <w:bidi w:val="0"/>
        <w:adjustRightInd/>
        <w:spacing w:before="0" w:after="0" w:line="560" w:lineRule="atLeast"/>
        <w:jc w:val="both"/>
        <w:outlineLvl w:val="9"/>
        <w:rPr>
          <w:rFonts w:eastAsia="宋体"/>
          <w:b/>
          <w:bCs/>
        </w:rPr>
      </w:pPr>
      <w:r>
        <w:rPr>
          <w:rFonts w:hint="eastAsia" w:ascii="仿宋_GB2312" w:hAnsi="仿宋_GB2312" w:eastAsia="仿宋_GB2312" w:cs="仿宋_GB2312"/>
          <w:b/>
          <w:bCs/>
        </w:rPr>
        <w:t>3、绩效评价的范围</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城乡义务教育补助经费绩效评价范围包括：资金使用是否达到预期目标，资金管理是否规范，并总结经验，分析存在问题，有针对性的采取有效措施，进一步改进和加强财政支出项目管理，切实提高财政资金使用效益。</w:t>
      </w:r>
    </w:p>
    <w:p>
      <w:pPr>
        <w:pageBreakBefore w:val="0"/>
        <w:kinsoku/>
        <w:wordWrap/>
        <w:overflowPunct/>
        <w:topLinePunct w:val="0"/>
        <w:autoSpaceDE/>
        <w:autoSpaceDN/>
        <w:bidi w:val="0"/>
        <w:adjustRightInd/>
        <w:spacing w:line="560" w:lineRule="atLeas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pacing w:line="560" w:lineRule="atLeas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确定各个指标相对于项目总体绩效的权重分值。在绩效评价指标体系中，项目决策权重为5分，项目过程权重值占5分，项目产出权重值占50分，项目满效益权重占40分。</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pacing w:before="0" w:after="0" w:line="560" w:lineRule="atLeas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pacing w:before="0" w:after="0" w:line="560" w:lineRule="atLeast"/>
        <w:jc w:val="both"/>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tbl>
      <w:tblPr>
        <w:tblStyle w:val="21"/>
        <w:tblW w:w="8569" w:type="dxa"/>
        <w:tblInd w:w="0" w:type="dxa"/>
        <w:tblLayout w:type="fixed"/>
        <w:tblCellMar>
          <w:top w:w="0" w:type="dxa"/>
          <w:left w:w="0" w:type="dxa"/>
          <w:bottom w:w="0" w:type="dxa"/>
          <w:right w:w="0" w:type="dxa"/>
        </w:tblCellMar>
      </w:tblPr>
      <w:tblGrid>
        <w:gridCol w:w="1419"/>
        <w:gridCol w:w="2456"/>
        <w:gridCol w:w="3236"/>
        <w:gridCol w:w="1458"/>
      </w:tblGrid>
      <w:tr>
        <w:tblPrEx>
          <w:tblCellMar>
            <w:top w:w="0" w:type="dxa"/>
            <w:left w:w="0" w:type="dxa"/>
            <w:bottom w:w="0" w:type="dxa"/>
            <w:right w:w="0" w:type="dxa"/>
          </w:tblCellMar>
        </w:tblPrEx>
        <w:trPr>
          <w:trHeight w:val="510" w:hRule="atLeast"/>
        </w:trPr>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一级指标</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二级指标</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三级指标</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得分</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决策（5分）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项目立项（1分）　</w:t>
            </w: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立项依据充分性（0.5分）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0.5</w:t>
            </w:r>
          </w:p>
        </w:tc>
      </w:tr>
      <w:tr>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立项程序（0.5分）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0.5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绩效目标　（3分）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绩效目标（1分）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绩效指标（1分）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资金投入（2分）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预算编制（1分）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资金分配合理性（1分）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过程（5分）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资金管理（15分）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资金到位率（1分）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预算执行率（1分）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eastAsia="仿宋" w:cs="宋体"/>
                <w:color w:val="000000"/>
                <w:kern w:val="0"/>
                <w:sz w:val="22"/>
                <w:szCs w:val="22"/>
              </w:rPr>
              <w:t>0.8</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资金使用合规性（1分）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45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组织实施（10分）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管理制度健全性（1分）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制度执行（1分）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w:t>
            </w:r>
          </w:p>
        </w:tc>
      </w:tr>
      <w:tr>
        <w:tblPrEx>
          <w:tblCellMar>
            <w:top w:w="0" w:type="dxa"/>
            <w:left w:w="0" w:type="dxa"/>
            <w:bottom w:w="0" w:type="dxa"/>
            <w:right w:w="0" w:type="dxa"/>
          </w:tblCellMar>
        </w:tblPrEx>
        <w:trPr>
          <w:trHeight w:val="615"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产出（50分）</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产出数量（15分）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实际完成率（15分）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产出质量（10分）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质量达标率（10分）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产出时效（15分）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完成及时性（15分）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产出成本（10分）</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成本节约率（10分）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10</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效益（40分）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textAlignment w:val="center"/>
              <w:rPr>
                <w:rFonts w:ascii="仿宋" w:hAnsi="仿宋" w:eastAsia="仿宋" w:cs="仿宋"/>
                <w:bCs/>
                <w:color w:val="000000"/>
                <w:szCs w:val="21"/>
              </w:rPr>
            </w:pPr>
            <w:r>
              <w:rPr>
                <w:rFonts w:hint="eastAsia" w:ascii="仿宋" w:hAnsi="仿宋" w:eastAsia="仿宋" w:cs="仿宋"/>
                <w:bCs/>
                <w:color w:val="000000"/>
                <w:kern w:val="0"/>
                <w:szCs w:val="21"/>
              </w:rPr>
              <w:t>项目效益（40分）　</w:t>
            </w: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实施效益（30分）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30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kinsoku/>
              <w:wordWrap/>
              <w:overflowPunct/>
              <w:topLinePunct w:val="0"/>
              <w:autoSpaceDE/>
              <w:autoSpaceDN/>
              <w:bidi w:val="0"/>
              <w:adjustRightInd/>
              <w:spacing w:line="560" w:lineRule="atLeast"/>
              <w:ind w:firstLine="420" w:firstLineChars="200"/>
              <w:jc w:val="center"/>
              <w:rPr>
                <w:rFonts w:ascii="仿宋" w:hAnsi="仿宋" w:eastAsia="仿宋" w:cs="仿宋"/>
                <w:bCs/>
                <w:color w:val="000000"/>
                <w:szCs w:val="21"/>
              </w:rPr>
            </w:pPr>
          </w:p>
        </w:tc>
        <w:tc>
          <w:tcPr>
            <w:tcW w:w="32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满意度（10分）</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仿宋" w:hAnsi="仿宋" w:eastAsia="仿宋" w:cs="仿宋"/>
                <w:bCs/>
                <w:color w:val="000000"/>
                <w:szCs w:val="21"/>
              </w:rPr>
            </w:pPr>
            <w:r>
              <w:rPr>
                <w:rFonts w:hint="eastAsia" w:ascii="宋体" w:hAnsi="宋体" w:cs="宋体"/>
                <w:color w:val="000000"/>
                <w:kern w:val="0"/>
                <w:sz w:val="22"/>
                <w:szCs w:val="22"/>
              </w:rPr>
              <w:t>10</w:t>
            </w:r>
          </w:p>
        </w:tc>
      </w:tr>
      <w:tr>
        <w:tblPrEx>
          <w:tblCellMar>
            <w:top w:w="0" w:type="dxa"/>
            <w:left w:w="0" w:type="dxa"/>
            <w:bottom w:w="0" w:type="dxa"/>
            <w:right w:w="0" w:type="dxa"/>
          </w:tblCellMar>
        </w:tblPrEx>
        <w:trPr>
          <w:trHeight w:val="312" w:hRule="atLeast"/>
        </w:trPr>
        <w:tc>
          <w:tcPr>
            <w:tcW w:w="711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合计</w:t>
            </w:r>
          </w:p>
        </w:tc>
        <w:tc>
          <w:tcPr>
            <w:tcW w:w="145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bCs/>
                <w:color w:val="000000"/>
                <w:szCs w:val="21"/>
              </w:rPr>
            </w:pPr>
            <w:r>
              <w:rPr>
                <w:rFonts w:hint="eastAsia" w:ascii="仿宋" w:hAnsi="仿宋" w:eastAsia="仿宋" w:cs="仿宋"/>
                <w:bCs/>
                <w:color w:val="000000"/>
                <w:kern w:val="0"/>
                <w:szCs w:val="21"/>
              </w:rPr>
              <w:t>99.2</w:t>
            </w:r>
          </w:p>
        </w:tc>
      </w:tr>
    </w:tbl>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4、评价标准</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pacing w:before="0" w:after="0" w:line="560" w:lineRule="atLeast"/>
        <w:jc w:val="both"/>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Style w:val="18"/>
        <w:pageBreakBefore w:val="0"/>
        <w:kinsoku/>
        <w:wordWrap/>
        <w:overflowPunct/>
        <w:topLinePunct w:val="0"/>
        <w:autoSpaceDE/>
        <w:autoSpaceDN/>
        <w:bidi w:val="0"/>
        <w:adjustRightInd/>
        <w:spacing w:line="560" w:lineRule="atLeast"/>
      </w:pPr>
    </w:p>
    <w:p>
      <w:pPr>
        <w:pageBreakBefore w:val="0"/>
        <w:numPr>
          <w:ilvl w:val="0"/>
          <w:numId w:val="4"/>
        </w:numPr>
        <w:kinsoku/>
        <w:wordWrap/>
        <w:overflowPunct/>
        <w:topLinePunct w:val="0"/>
        <w:autoSpaceDE/>
        <w:autoSpaceDN/>
        <w:bidi w:val="0"/>
        <w:adjustRightInd/>
        <w:spacing w:line="560" w:lineRule="atLeas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12"/>
        <w:pageBreakBefore w:val="0"/>
        <w:kinsoku/>
        <w:wordWrap/>
        <w:overflowPunct/>
        <w:topLinePunct w:val="0"/>
        <w:autoSpaceDE/>
        <w:autoSpaceDN/>
        <w:bidi w:val="0"/>
        <w:adjustRightInd/>
        <w:spacing w:after="0" w:line="560" w:lineRule="atLeast"/>
        <w:ind w:firstLine="708" w:firstLineChars="200"/>
      </w:pPr>
      <w:r>
        <w:rPr>
          <w:rFonts w:hint="eastAsia" w:ascii="仿宋_GB2312" w:hAnsi="仿宋_GB2312" w:eastAsia="仿宋_GB2312" w:cs="仿宋_GB2312"/>
          <w:color w:val="000000"/>
          <w:spacing w:val="17"/>
          <w:sz w:val="32"/>
          <w:szCs w:val="32"/>
        </w:rPr>
        <w:t>对【城乡义务教育补助项目】项目进行客观评价，最终评分结果：总得分为 97.8分，属于“优”。其中：</w:t>
      </w:r>
    </w:p>
    <w:p>
      <w:pPr>
        <w:pStyle w:val="2"/>
        <w:pageBreakBefore w:val="0"/>
        <w:kinsoku/>
        <w:wordWrap/>
        <w:overflowPunct/>
        <w:topLinePunct w:val="0"/>
        <w:autoSpaceDE/>
        <w:autoSpaceDN/>
        <w:bidi w:val="0"/>
        <w:adjustRightInd/>
        <w:spacing w:before="0" w:after="0" w:line="560" w:lineRule="atLeast"/>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项目决策类指标权重为5分，得分为5分，得分率为 100%。项目过程类指标权重为5分，得分为4.8 分，得分率为 96%。项目产出类指标权重为50分，得分为50分，得分率为 100%。项目效益类指标权重为40分，得分为38分，得分率为 95%。</w:t>
      </w:r>
    </w:p>
    <w:p>
      <w:pPr>
        <w:pStyle w:val="2"/>
        <w:pageBreakBefore w:val="0"/>
        <w:kinsoku/>
        <w:wordWrap/>
        <w:overflowPunct/>
        <w:topLinePunct w:val="0"/>
        <w:autoSpaceDE/>
        <w:autoSpaceDN/>
        <w:bidi w:val="0"/>
        <w:adjustRightInd/>
        <w:spacing w:before="0" w:after="0" w:line="560" w:lineRule="atLeast"/>
        <w:jc w:val="both"/>
      </w:pPr>
      <w:r>
        <w:rPr>
          <w:rFonts w:hint="eastAsia" w:ascii="仿宋_GB2312" w:hAnsi="仿宋_GB2312" w:eastAsia="仿宋_GB2312" w:cs="仿宋_GB2312"/>
          <w:sz w:val="30"/>
          <w:szCs w:val="30"/>
        </w:rPr>
        <w:t>表1综合评分表</w:t>
      </w:r>
    </w:p>
    <w:tbl>
      <w:tblPr>
        <w:tblStyle w:val="21"/>
        <w:tblpPr w:leftFromText="180" w:rightFromText="180" w:vertAnchor="text" w:horzAnchor="page" w:tblpX="1107" w:tblpY="1660"/>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96.67%</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r>
    </w:tbl>
    <w:p>
      <w:pPr>
        <w:pageBreakBefore w:val="0"/>
        <w:kinsoku/>
        <w:wordWrap/>
        <w:overflowPunct/>
        <w:topLinePunct w:val="0"/>
        <w:autoSpaceDE/>
        <w:autoSpaceDN/>
        <w:bidi w:val="0"/>
        <w:adjustRightInd/>
        <w:spacing w:line="560" w:lineRule="atLeast"/>
        <w:ind w:firstLine="640" w:firstLineChars="200"/>
        <w:rPr>
          <w:rStyle w:val="52"/>
          <w:color w:val="auto"/>
        </w:rPr>
      </w:pPr>
    </w:p>
    <w:p>
      <w:pPr>
        <w:pStyle w:val="2"/>
        <w:pageBreakBefore w:val="0"/>
        <w:kinsoku/>
        <w:wordWrap/>
        <w:overflowPunct/>
        <w:topLinePunct w:val="0"/>
        <w:autoSpaceDE/>
        <w:autoSpaceDN/>
        <w:bidi w:val="0"/>
        <w:adjustRightInd/>
        <w:spacing w:before="0" w:after="0" w:line="560" w:lineRule="atLeast"/>
      </w:pPr>
    </w:p>
    <w:p>
      <w:pPr>
        <w:pageBreakBefore w:val="0"/>
        <w:kinsoku/>
        <w:wordWrap/>
        <w:overflowPunct/>
        <w:topLinePunct w:val="0"/>
        <w:autoSpaceDE/>
        <w:autoSpaceDN/>
        <w:bidi w:val="0"/>
        <w:adjustRightInd/>
        <w:spacing w:line="560" w:lineRule="atLeas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pacing w:before="0" w:after="0" w:line="560" w:lineRule="atLeast"/>
        <w:ind w:firstLine="321" w:firstLineChars="100"/>
        <w:jc w:val="both"/>
        <w:rPr>
          <w:rStyle w:val="52"/>
          <w:color w:val="auto"/>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pacing w:line="560" w:lineRule="atLeast"/>
        <w:ind w:firstLine="640" w:firstLineChars="200"/>
        <w:rPr>
          <w:rStyle w:val="52"/>
          <w:color w:val="auto"/>
        </w:rPr>
      </w:pPr>
      <w:r>
        <w:rPr>
          <w:rStyle w:val="52"/>
          <w:rFonts w:hint="eastAsia"/>
          <w:color w:val="auto"/>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p>
      <w:pPr>
        <w:pageBreakBefore w:val="0"/>
        <w:kinsoku/>
        <w:wordWrap/>
        <w:overflowPunct/>
        <w:topLinePunct w:val="0"/>
        <w:autoSpaceDE/>
        <w:autoSpaceDN/>
        <w:bidi w:val="0"/>
        <w:adjustRightInd/>
        <w:spacing w:line="560" w:lineRule="atLeast"/>
        <w:ind w:firstLine="640"/>
        <w:rPr>
          <w:rStyle w:val="52"/>
          <w:color w:val="auto"/>
        </w:rPr>
      </w:pPr>
      <w:r>
        <w:rPr>
          <w:rStyle w:val="52"/>
          <w:rFonts w:hint="eastAsia"/>
          <w:color w:val="auto"/>
        </w:rPr>
        <w:t>项目决策指标得分情况</w:t>
      </w:r>
    </w:p>
    <w:tbl>
      <w:tblPr>
        <w:tblStyle w:val="21"/>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504"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bl>
    <w:p>
      <w:pPr>
        <w:pStyle w:val="2"/>
        <w:pageBreakBefore w:val="0"/>
        <w:kinsoku/>
        <w:wordWrap/>
        <w:overflowPunct/>
        <w:topLinePunct w:val="0"/>
        <w:autoSpaceDE/>
        <w:autoSpaceDN/>
        <w:bidi w:val="0"/>
        <w:adjustRightInd/>
        <w:spacing w:before="0" w:after="0" w:line="560" w:lineRule="atLeast"/>
        <w:ind w:firstLine="624" w:firstLineChars="200"/>
        <w:jc w:val="both"/>
      </w:pPr>
      <w:r>
        <w:rPr>
          <w:rStyle w:val="23"/>
          <w:rFonts w:hint="eastAsia" w:ascii="仿宋" w:hAnsi="仿宋" w:eastAsia="仿宋" w:cs="仿宋"/>
          <w:b w:val="0"/>
          <w:bCs/>
          <w:spacing w:val="-4"/>
          <w:kern w:val="2"/>
        </w:rPr>
        <w:t>对于项目决策指标分值5分，实际得分5分，该指标得分率100%，说明立项依据充分性、立项程序、绩效目标、绩效指标、预算编制、资金分配合理性。</w:t>
      </w:r>
    </w:p>
    <w:p>
      <w:pPr>
        <w:pStyle w:val="2"/>
        <w:pageBreakBefore w:val="0"/>
        <w:numPr>
          <w:ilvl w:val="0"/>
          <w:numId w:val="5"/>
        </w:numPr>
        <w:kinsoku/>
        <w:wordWrap/>
        <w:overflowPunct/>
        <w:topLinePunct w:val="0"/>
        <w:autoSpaceDE/>
        <w:autoSpaceDN/>
        <w:bidi w:val="0"/>
        <w:adjustRightInd/>
        <w:spacing w:before="0" w:after="0" w:line="560" w:lineRule="atLeast"/>
        <w:ind w:firstLine="321" w:firstLineChars="100"/>
        <w:jc w:val="both"/>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pacing w:line="560" w:lineRule="atLeast"/>
        <w:ind w:firstLine="640"/>
        <w:rPr>
          <w:rStyle w:val="52"/>
          <w:color w:val="auto"/>
        </w:rPr>
      </w:pPr>
      <w:r>
        <w:rPr>
          <w:rStyle w:val="52"/>
          <w:rFonts w:hint="eastAsia"/>
          <w:color w:val="auto"/>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0.8分，得分率80%，资金使用合规性分值1分，实际得分1分，得分率100%，、管理制度健全性分值1分，实际得分1分，得分率100%，、制度执行分值1分，实际得分1分，得分率100%。项目决策指标得分情况如表所示。</w:t>
      </w:r>
    </w:p>
    <w:p>
      <w:pPr>
        <w:pageBreakBefore w:val="0"/>
        <w:kinsoku/>
        <w:wordWrap/>
        <w:overflowPunct/>
        <w:topLinePunct w:val="0"/>
        <w:autoSpaceDE/>
        <w:autoSpaceDN/>
        <w:bidi w:val="0"/>
        <w:adjustRightInd/>
        <w:spacing w:line="560" w:lineRule="atLeast"/>
        <w:ind w:firstLine="640"/>
        <w:rPr>
          <w:rStyle w:val="52"/>
          <w:color w:val="auto"/>
        </w:rPr>
      </w:pPr>
      <w:r>
        <w:rPr>
          <w:rStyle w:val="52"/>
          <w:rFonts w:hint="eastAsia"/>
          <w:color w:val="auto"/>
        </w:rPr>
        <w:t>项目决策指标得分情况</w:t>
      </w:r>
    </w:p>
    <w:tbl>
      <w:tblPr>
        <w:tblStyle w:val="21"/>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80%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0.8</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96%</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4.8</w:t>
            </w:r>
          </w:p>
        </w:tc>
      </w:tr>
    </w:tbl>
    <w:p>
      <w:pPr>
        <w:pageBreakBefore w:val="0"/>
        <w:kinsoku/>
        <w:wordWrap/>
        <w:overflowPunct/>
        <w:topLinePunct w:val="0"/>
        <w:autoSpaceDE/>
        <w:autoSpaceDN/>
        <w:bidi w:val="0"/>
        <w:adjustRightInd/>
        <w:spacing w:line="560" w:lineRule="atLeast"/>
        <w:ind w:firstLine="640"/>
      </w:pPr>
      <w:r>
        <w:rPr>
          <w:rStyle w:val="52"/>
          <w:rFonts w:hint="eastAsia"/>
          <w:color w:val="auto"/>
        </w:rPr>
        <w:t>对于“过程控制”，</w:t>
      </w:r>
      <w:r>
        <w:rPr>
          <w:rFonts w:hint="eastAsia" w:ascii="仿宋_GB2312" w:hAnsi="仿宋_GB2312" w:eastAsia="仿宋_GB2312" w:cs="仿宋_GB2312"/>
          <w:color w:val="000000"/>
          <w:spacing w:val="17"/>
          <w:sz w:val="32"/>
          <w:szCs w:val="32"/>
        </w:rPr>
        <w:t>【城乡义务教育补助项目】</w:t>
      </w:r>
      <w:r>
        <w:rPr>
          <w:rStyle w:val="52"/>
          <w:rFonts w:hint="eastAsia"/>
          <w:color w:val="auto"/>
        </w:rPr>
        <w:t>执行符合业务管理的规定；项目管理、实施人员均落实到位，能按照方案和计划执行；项目无调整，资料齐全；资金使用依据合格，无虚列套取项目支出，无超标准开支，按评分标准，该指标实际得分率96%。</w:t>
      </w:r>
    </w:p>
    <w:p>
      <w:pPr>
        <w:pStyle w:val="19"/>
        <w:pageBreakBefore w:val="0"/>
        <w:numPr>
          <w:ilvl w:val="0"/>
          <w:numId w:val="5"/>
        </w:numPr>
        <w:kinsoku/>
        <w:wordWrap/>
        <w:overflowPunct/>
        <w:topLinePunct w:val="0"/>
        <w:autoSpaceDE/>
        <w:autoSpaceDN/>
        <w:bidi w:val="0"/>
        <w:adjustRightInd/>
        <w:spacing w:after="0" w:line="560" w:lineRule="atLeas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项目产出主要从产出数量、产出质量、产出时效、成本情况4个方面对项目的绩效情况进行评价。项目产出类指标分值50分，实际得分40分，得分率为100%。项目绩效指标得分情况如表所示。</w:t>
      </w:r>
    </w:p>
    <w:tbl>
      <w:tblPr>
        <w:tblStyle w:val="21"/>
        <w:tblW w:w="9036" w:type="dxa"/>
        <w:tblInd w:w="0" w:type="dxa"/>
        <w:tblLayout w:type="fixed"/>
        <w:tblCellMar>
          <w:top w:w="0" w:type="dxa"/>
          <w:left w:w="108" w:type="dxa"/>
          <w:bottom w:w="0" w:type="dxa"/>
          <w:right w:w="108" w:type="dxa"/>
        </w:tblCellMar>
      </w:tblPr>
      <w:tblGrid>
        <w:gridCol w:w="1545"/>
        <w:gridCol w:w="3045"/>
        <w:gridCol w:w="930"/>
        <w:gridCol w:w="1170"/>
        <w:gridCol w:w="23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4" w:space="0"/>
              <w:right w:val="nil"/>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项目绩效指标得分情况</w:t>
            </w:r>
          </w:p>
        </w:tc>
      </w:tr>
      <w:tr>
        <w:tblPrEx>
          <w:tblCellMar>
            <w:top w:w="0" w:type="dxa"/>
            <w:left w:w="108" w:type="dxa"/>
            <w:bottom w:w="0" w:type="dxa"/>
            <w:right w:w="108" w:type="dxa"/>
          </w:tblCellMar>
        </w:tblPrEx>
        <w:trPr>
          <w:trHeight w:val="510" w:hRule="exact"/>
          <w:tblHeader/>
        </w:trPr>
        <w:tc>
          <w:tcPr>
            <w:tcW w:w="15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3045"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三级明细指标</w:t>
            </w:r>
          </w:p>
        </w:tc>
        <w:tc>
          <w:tcPr>
            <w:tcW w:w="93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170"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346" w:type="dxa"/>
            <w:tcBorders>
              <w:top w:val="single" w:color="auto" w:sz="4" w:space="0"/>
              <w:left w:val="single" w:color="auto" w:sz="4" w:space="0"/>
              <w:bottom w:val="single" w:color="auto" w:sz="4" w:space="0"/>
              <w:right w:val="single" w:color="auto" w:sz="4"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720" w:hRule="atLeast"/>
        </w:trPr>
        <w:tc>
          <w:tcPr>
            <w:tcW w:w="1545" w:type="dxa"/>
            <w:vMerge w:val="restart"/>
            <w:tcBorders>
              <w:top w:val="single" w:color="auto" w:sz="4" w:space="0"/>
              <w:left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产出数量</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保障学生人数</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c>
          <w:tcPr>
            <w:tcW w:w="1170" w:type="dxa"/>
            <w:vMerge w:val="restart"/>
            <w:tcBorders>
              <w:top w:val="single" w:color="auto" w:sz="4" w:space="0"/>
              <w:left w:val="nil"/>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100%</w:t>
            </w:r>
          </w:p>
        </w:tc>
        <w:tc>
          <w:tcPr>
            <w:tcW w:w="2346" w:type="dxa"/>
            <w:vMerge w:val="restart"/>
            <w:tcBorders>
              <w:top w:val="single" w:color="auto" w:sz="4" w:space="0"/>
              <w:left w:val="nil"/>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21.42</w:t>
            </w:r>
          </w:p>
        </w:tc>
      </w:tr>
      <w:tr>
        <w:tblPrEx>
          <w:tblCellMar>
            <w:top w:w="0" w:type="dxa"/>
            <w:left w:w="108" w:type="dxa"/>
            <w:bottom w:w="0" w:type="dxa"/>
            <w:right w:w="108" w:type="dxa"/>
          </w:tblCellMar>
        </w:tblPrEx>
        <w:trPr>
          <w:trHeight w:val="595" w:hRule="atLeast"/>
        </w:trPr>
        <w:tc>
          <w:tcPr>
            <w:tcW w:w="1545" w:type="dxa"/>
            <w:vMerge w:val="continue"/>
            <w:tcBorders>
              <w:left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3045"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保障教职工人数</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7.14</w:t>
            </w:r>
          </w:p>
        </w:tc>
        <w:tc>
          <w:tcPr>
            <w:tcW w:w="1170" w:type="dxa"/>
            <w:vMerge w:val="continue"/>
            <w:tcBorders>
              <w:left w:val="nil"/>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2346" w:type="dxa"/>
            <w:vMerge w:val="continue"/>
            <w:tcBorders>
              <w:left w:val="nil"/>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r>
      <w:tr>
        <w:tblPrEx>
          <w:tblCellMar>
            <w:top w:w="0" w:type="dxa"/>
            <w:left w:w="108" w:type="dxa"/>
            <w:bottom w:w="0" w:type="dxa"/>
            <w:right w:w="108" w:type="dxa"/>
          </w:tblCellMar>
        </w:tblPrEx>
        <w:trPr>
          <w:trHeight w:val="595" w:hRule="atLeast"/>
        </w:trPr>
        <w:tc>
          <w:tcPr>
            <w:tcW w:w="1545" w:type="dxa"/>
            <w:vMerge w:val="continue"/>
            <w:tcBorders>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3045" w:type="dxa"/>
            <w:tcBorders>
              <w:top w:val="nil"/>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开展教学班级</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7.14</w:t>
            </w:r>
          </w:p>
        </w:tc>
        <w:tc>
          <w:tcPr>
            <w:tcW w:w="1170" w:type="dxa"/>
            <w:vMerge w:val="continue"/>
            <w:tcBorders>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2346" w:type="dxa"/>
            <w:vMerge w:val="continue"/>
            <w:tcBorders>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r>
      <w:tr>
        <w:tblPrEx>
          <w:tblCellMar>
            <w:top w:w="0" w:type="dxa"/>
            <w:left w:w="108" w:type="dxa"/>
            <w:bottom w:w="0" w:type="dxa"/>
            <w:right w:w="108" w:type="dxa"/>
          </w:tblCellMar>
        </w:tblPrEx>
        <w:trPr>
          <w:trHeight w:val="510" w:hRule="exact"/>
        </w:trPr>
        <w:tc>
          <w:tcPr>
            <w:tcW w:w="1545" w:type="dxa"/>
            <w:vMerge w:val="restart"/>
            <w:tcBorders>
              <w:top w:val="single" w:color="auto" w:sz="4" w:space="0"/>
              <w:left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产出质量</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学生职业课优秀率</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c>
          <w:tcPr>
            <w:tcW w:w="1170" w:type="dxa"/>
            <w:vMerge w:val="restart"/>
            <w:tcBorders>
              <w:top w:val="single" w:color="auto" w:sz="4" w:space="0"/>
              <w:left w:val="nil"/>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5</w:t>
            </w:r>
            <w:r>
              <w:rPr>
                <w:rFonts w:hint="eastAsia" w:ascii="仿宋_GB2312" w:hAnsi="仿宋" w:eastAsia="仿宋_GB2312" w:cs="宋体"/>
                <w:color w:val="333333"/>
                <w:sz w:val="32"/>
                <w:szCs w:val="32"/>
                <w:lang w:bidi="ar"/>
              </w:rPr>
              <w:t>0%</w:t>
            </w:r>
          </w:p>
        </w:tc>
        <w:tc>
          <w:tcPr>
            <w:tcW w:w="2346" w:type="dxa"/>
            <w:vMerge w:val="restart"/>
            <w:tcBorders>
              <w:top w:val="single" w:color="auto" w:sz="4" w:space="0"/>
              <w:left w:val="nil"/>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r>
      <w:tr>
        <w:tblPrEx>
          <w:tblCellMar>
            <w:top w:w="0" w:type="dxa"/>
            <w:left w:w="108" w:type="dxa"/>
            <w:bottom w:w="0" w:type="dxa"/>
            <w:right w:w="108" w:type="dxa"/>
          </w:tblCellMar>
        </w:tblPrEx>
        <w:trPr>
          <w:trHeight w:val="510" w:hRule="exact"/>
        </w:trPr>
        <w:tc>
          <w:tcPr>
            <w:tcW w:w="1545" w:type="dxa"/>
            <w:vMerge w:val="continue"/>
            <w:tcBorders>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保障毕业学生数</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c>
          <w:tcPr>
            <w:tcW w:w="1170" w:type="dxa"/>
            <w:vMerge w:val="continue"/>
            <w:tcBorders>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2346" w:type="dxa"/>
            <w:vMerge w:val="continue"/>
            <w:tcBorders>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产出时效</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资金支付及时率</w:t>
            </w:r>
          </w:p>
        </w:tc>
        <w:tc>
          <w:tcPr>
            <w:tcW w:w="93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100%</w:t>
            </w:r>
          </w:p>
        </w:tc>
        <w:tc>
          <w:tcPr>
            <w:tcW w:w="2346" w:type="dxa"/>
            <w:tcBorders>
              <w:top w:val="single" w:color="auto" w:sz="4" w:space="0"/>
              <w:left w:val="nil"/>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7.14</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产出成本情况</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项目成本</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7.16</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4</w:t>
            </w:r>
          </w:p>
        </w:tc>
      </w:tr>
      <w:tr>
        <w:tblPrEx>
          <w:tblCellMar>
            <w:top w:w="0" w:type="dxa"/>
            <w:left w:w="108" w:type="dxa"/>
            <w:bottom w:w="0" w:type="dxa"/>
            <w:right w:w="108" w:type="dxa"/>
          </w:tblCellMar>
        </w:tblPrEx>
        <w:trPr>
          <w:trHeight w:val="510" w:hRule="exact"/>
        </w:trPr>
        <w:tc>
          <w:tcPr>
            <w:tcW w:w="1545"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合计 计算 计</w:t>
            </w:r>
          </w:p>
        </w:tc>
        <w:tc>
          <w:tcPr>
            <w:tcW w:w="3045"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50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pacing w:line="560" w:lineRule="atLeast"/>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36.56</w:t>
            </w:r>
            <w:r>
              <w:rPr>
                <w:rFonts w:hint="eastAsia" w:ascii="仿宋_GB2312" w:hAnsi="仿宋" w:eastAsia="仿宋_GB2312" w:cs="宋体"/>
                <w:color w:val="333333"/>
                <w:sz w:val="32"/>
                <w:szCs w:val="32"/>
                <w:lang w:bidi="ar"/>
              </w:rPr>
              <w:t>%</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kinsoku/>
              <w:wordWrap/>
              <w:overflowPunct/>
              <w:topLinePunct w:val="0"/>
              <w:autoSpaceDE/>
              <w:autoSpaceDN/>
              <w:bidi w:val="0"/>
              <w:adjustRightInd/>
              <w:spacing w:line="560" w:lineRule="atLeast"/>
              <w:ind w:firstLine="640" w:firstLineChars="200"/>
              <w:jc w:val="left"/>
              <w:rPr>
                <w:rFonts w:hint="default"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18.28</w:t>
            </w:r>
          </w:p>
        </w:tc>
      </w:tr>
    </w:tbl>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对于“产出数量”，2020年全年</w:t>
      </w:r>
      <w:r>
        <w:rPr>
          <w:rFonts w:hint="eastAsia" w:ascii="仿宋" w:hAnsi="仿宋" w:eastAsia="仿宋"/>
          <w:sz w:val="32"/>
          <w:szCs w:val="32"/>
        </w:rPr>
        <w:t>塔城地区特殊教育学校保障在校学生人数没有减少，项目</w:t>
      </w:r>
      <w:r>
        <w:rPr>
          <w:rFonts w:hint="eastAsia" w:ascii="仿宋_GB2312" w:hAnsi="仿宋" w:eastAsia="仿宋_GB2312" w:cs="宋体"/>
          <w:color w:val="333333"/>
          <w:sz w:val="32"/>
          <w:szCs w:val="32"/>
          <w:lang w:bidi="ar"/>
        </w:rPr>
        <w:t>实施完成，</w:t>
      </w:r>
      <w:r>
        <w:rPr>
          <w:rFonts w:hint="eastAsia" w:ascii="仿宋_GB2312" w:hAnsi="仿宋" w:eastAsia="仿宋_GB2312" w:cs="宋体"/>
          <w:color w:val="333333"/>
          <w:sz w:val="36"/>
          <w:szCs w:val="36"/>
          <w:lang w:bidi="ar"/>
        </w:rPr>
        <w:t>教学水平提升</w:t>
      </w:r>
      <w:r>
        <w:rPr>
          <w:rFonts w:hint="eastAsia" w:ascii="仿宋_GB2312" w:hAnsi="仿宋" w:eastAsia="仿宋_GB2312" w:cs="宋体"/>
          <w:color w:val="333333"/>
          <w:sz w:val="32"/>
          <w:szCs w:val="32"/>
          <w:lang w:bidi="ar"/>
        </w:rPr>
        <w:t>。根据评分标准，该指标不扣分。</w:t>
      </w:r>
    </w:p>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对于“产出质量”，学生职业课优秀率根据评分标准，该指标不扣分。</w:t>
      </w:r>
    </w:p>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对于“产出时效”，项目的各个阶段工作任务均能按照方案执行，项目按期完成。按指标评分标准，该指标不扣分。</w:t>
      </w:r>
    </w:p>
    <w:p>
      <w:pPr>
        <w:pStyle w:val="19"/>
        <w:pageBreakBefore w:val="0"/>
        <w:kinsoku/>
        <w:wordWrap/>
        <w:overflowPunct/>
        <w:topLinePunct w:val="0"/>
        <w:autoSpaceDE/>
        <w:autoSpaceDN/>
        <w:bidi w:val="0"/>
        <w:adjustRightInd/>
        <w:spacing w:after="0" w:line="560" w:lineRule="atLeast"/>
        <w:ind w:firstLine="640"/>
        <w:rPr>
          <w:rFonts w:ascii="楷体_GB2312" w:hAnsi="楷体_GB2312" w:eastAsia="楷体_GB2312" w:cs="楷体_GB2312"/>
          <w:b/>
          <w:bCs/>
          <w:sz w:val="32"/>
          <w:szCs w:val="32"/>
        </w:rPr>
      </w:pPr>
      <w:r>
        <w:rPr>
          <w:rFonts w:hint="eastAsia" w:ascii="仿宋_GB2312" w:hAnsi="仿宋" w:eastAsia="仿宋_GB2312" w:cs="宋体"/>
          <w:color w:val="333333"/>
          <w:sz w:val="32"/>
          <w:szCs w:val="32"/>
          <w:lang w:bidi="ar"/>
        </w:rPr>
        <w:t>对于“成本情况”，根据年度会计明细账可查阅。根据评分标准，该指标扣</w:t>
      </w:r>
      <w:r>
        <w:rPr>
          <w:rFonts w:hint="eastAsia" w:ascii="仿宋_GB2312" w:hAnsi="仿宋" w:eastAsia="仿宋_GB2312" w:cs="宋体"/>
          <w:color w:val="333333"/>
          <w:sz w:val="32"/>
          <w:szCs w:val="32"/>
          <w:lang w:val="en-US" w:eastAsia="zh-CN" w:bidi="ar"/>
        </w:rPr>
        <w:t>2.84</w:t>
      </w:r>
      <w:r>
        <w:rPr>
          <w:rFonts w:hint="eastAsia" w:ascii="仿宋_GB2312" w:hAnsi="仿宋" w:eastAsia="仿宋_GB2312" w:cs="宋体"/>
          <w:color w:val="333333"/>
          <w:sz w:val="32"/>
          <w:szCs w:val="32"/>
          <w:lang w:bidi="ar"/>
        </w:rPr>
        <w:t>分。</w:t>
      </w:r>
    </w:p>
    <w:p>
      <w:pPr>
        <w:pStyle w:val="19"/>
        <w:pageBreakBefore w:val="0"/>
        <w:numPr>
          <w:ilvl w:val="0"/>
          <w:numId w:val="5"/>
        </w:numPr>
        <w:kinsoku/>
        <w:wordWrap/>
        <w:overflowPunct/>
        <w:topLinePunct w:val="0"/>
        <w:autoSpaceDE/>
        <w:autoSpaceDN/>
        <w:bidi w:val="0"/>
        <w:adjustRightInd/>
        <w:spacing w:after="0" w:line="560" w:lineRule="atLeas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项目效益情况从社会效益、可持续影响以及服务对象满意度3个方面对项目的绩效情况进行评价。项目绩效类指标分值40分，实际得分</w:t>
      </w:r>
      <w:r>
        <w:rPr>
          <w:rFonts w:hint="eastAsia" w:ascii="仿宋_GB2312" w:hAnsi="仿宋" w:eastAsia="仿宋_GB2312" w:cs="宋体"/>
          <w:color w:val="333333"/>
          <w:sz w:val="32"/>
          <w:szCs w:val="32"/>
          <w:lang w:val="en-US" w:eastAsia="zh-CN" w:bidi="ar"/>
        </w:rPr>
        <w:t>40</w:t>
      </w:r>
      <w:r>
        <w:rPr>
          <w:rFonts w:hint="eastAsia" w:ascii="仿宋_GB2312" w:hAnsi="仿宋" w:eastAsia="仿宋_GB2312" w:cs="宋体"/>
          <w:color w:val="333333"/>
          <w:sz w:val="32"/>
          <w:szCs w:val="32"/>
          <w:lang w:bidi="ar"/>
        </w:rPr>
        <w:t>分，得分率为</w:t>
      </w:r>
      <w:r>
        <w:rPr>
          <w:rFonts w:hint="eastAsia" w:ascii="仿宋_GB2312" w:hAnsi="仿宋" w:eastAsia="仿宋_GB2312" w:cs="宋体"/>
          <w:color w:val="333333"/>
          <w:sz w:val="32"/>
          <w:szCs w:val="32"/>
          <w:lang w:val="en-US" w:eastAsia="zh-CN" w:bidi="ar"/>
        </w:rPr>
        <w:t>100</w:t>
      </w:r>
      <w:r>
        <w:rPr>
          <w:rFonts w:hint="eastAsia" w:ascii="仿宋_GB2312" w:hAnsi="仿宋" w:eastAsia="仿宋_GB2312" w:cs="宋体"/>
          <w:color w:val="333333"/>
          <w:sz w:val="32"/>
          <w:szCs w:val="32"/>
          <w:lang w:bidi="ar"/>
        </w:rPr>
        <w:t>%。项目绩效指标得分情况如表所示。</w:t>
      </w:r>
    </w:p>
    <w:p>
      <w:pPr>
        <w:pStyle w:val="18"/>
        <w:pageBreakBefore w:val="0"/>
        <w:kinsoku/>
        <w:wordWrap/>
        <w:overflowPunct/>
        <w:topLinePunct w:val="0"/>
        <w:autoSpaceDE/>
        <w:autoSpaceDN/>
        <w:bidi w:val="0"/>
        <w:adjustRightInd/>
        <w:spacing w:line="560" w:lineRule="atLeast"/>
      </w:pPr>
    </w:p>
    <w:tbl>
      <w:tblPr>
        <w:tblStyle w:val="21"/>
        <w:tblW w:w="9036" w:type="dxa"/>
        <w:tblInd w:w="0" w:type="dxa"/>
        <w:tblLayout w:type="fixed"/>
        <w:tblCellMar>
          <w:top w:w="0" w:type="dxa"/>
          <w:left w:w="108" w:type="dxa"/>
          <w:bottom w:w="0" w:type="dxa"/>
          <w:right w:w="108" w:type="dxa"/>
        </w:tblCellMar>
      </w:tblPr>
      <w:tblGrid>
        <w:gridCol w:w="1860"/>
        <w:gridCol w:w="2730"/>
        <w:gridCol w:w="930"/>
        <w:gridCol w:w="1170"/>
        <w:gridCol w:w="2346"/>
      </w:tblGrid>
      <w:tr>
        <w:tblPrEx>
          <w:tblCellMar>
            <w:top w:w="0" w:type="dxa"/>
            <w:left w:w="108" w:type="dxa"/>
            <w:bottom w:w="0" w:type="dxa"/>
            <w:right w:w="108" w:type="dxa"/>
          </w:tblCellMar>
        </w:tblPrEx>
        <w:trPr>
          <w:trHeight w:val="495" w:hRule="atLeast"/>
          <w:tblHeader/>
        </w:trPr>
        <w:tc>
          <w:tcPr>
            <w:tcW w:w="9036" w:type="dxa"/>
            <w:gridSpan w:val="5"/>
            <w:tcBorders>
              <w:top w:val="nil"/>
              <w:left w:val="nil"/>
              <w:bottom w:val="single" w:color="auto" w:sz="8" w:space="0"/>
              <w:right w:val="nil"/>
            </w:tcBorders>
            <w:shd w:val="clear" w:color="auto" w:fill="auto"/>
            <w:noWrap/>
            <w:vAlign w:val="center"/>
          </w:tcPr>
          <w:p>
            <w:pPr>
              <w:pageBreakBefore w:val="0"/>
              <w:widowControl/>
              <w:kinsoku/>
              <w:wordWrap/>
              <w:overflowPunct/>
              <w:topLinePunct w:val="0"/>
              <w:autoSpaceDE/>
              <w:autoSpaceDN/>
              <w:bidi w:val="0"/>
              <w:adjustRightInd/>
              <w:spacing w:line="560" w:lineRule="atLeast"/>
              <w:rPr>
                <w:rFonts w:ascii="仿宋_GB2312" w:hAnsi="仿宋_GB2312" w:eastAsia="仿宋_GB2312" w:cs="仿宋_GB2312"/>
                <w:color w:val="000000"/>
                <w:kern w:val="0"/>
                <w:sz w:val="30"/>
                <w:szCs w:val="30"/>
              </w:rPr>
            </w:pPr>
            <w:r>
              <w:rPr>
                <w:rFonts w:hint="eastAsia" w:ascii="仿宋_GB2312" w:hAnsi="仿宋" w:eastAsia="仿宋_GB2312" w:cs="宋体"/>
                <w:color w:val="333333"/>
                <w:sz w:val="32"/>
                <w:szCs w:val="32"/>
                <w:lang w:bidi="ar"/>
              </w:rPr>
              <w:t>项目绩效指标得分情况</w:t>
            </w:r>
          </w:p>
        </w:tc>
      </w:tr>
      <w:tr>
        <w:tblPrEx>
          <w:tblCellMar>
            <w:top w:w="0" w:type="dxa"/>
            <w:left w:w="108" w:type="dxa"/>
            <w:bottom w:w="0" w:type="dxa"/>
            <w:right w:w="108" w:type="dxa"/>
          </w:tblCellMar>
        </w:tblPrEx>
        <w:trPr>
          <w:trHeight w:val="510" w:hRule="exact"/>
          <w:tblHeader/>
        </w:trPr>
        <w:tc>
          <w:tcPr>
            <w:tcW w:w="1860"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730"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三级明细指标</w:t>
            </w:r>
          </w:p>
        </w:tc>
        <w:tc>
          <w:tcPr>
            <w:tcW w:w="930"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170"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34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CellMar>
            <w:top w:w="0" w:type="dxa"/>
            <w:left w:w="108" w:type="dxa"/>
            <w:bottom w:w="0" w:type="dxa"/>
            <w:right w:w="108" w:type="dxa"/>
          </w:tblCellMar>
        </w:tblPrEx>
        <w:trPr>
          <w:trHeight w:val="780" w:hRule="exact"/>
        </w:trPr>
        <w:tc>
          <w:tcPr>
            <w:tcW w:w="1860" w:type="dxa"/>
            <w:vMerge w:val="restart"/>
            <w:tcBorders>
              <w:top w:val="nil"/>
              <w:left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社会效益指标</w:t>
            </w:r>
          </w:p>
        </w:tc>
        <w:tc>
          <w:tcPr>
            <w:tcW w:w="273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保障残疾学生教育</w:t>
            </w:r>
          </w:p>
        </w:tc>
        <w:tc>
          <w:tcPr>
            <w:tcW w:w="93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117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c>
          <w:tcPr>
            <w:tcW w:w="234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r>
      <w:tr>
        <w:tblPrEx>
          <w:tblCellMar>
            <w:top w:w="0" w:type="dxa"/>
            <w:left w:w="108" w:type="dxa"/>
            <w:bottom w:w="0" w:type="dxa"/>
            <w:right w:w="108" w:type="dxa"/>
          </w:tblCellMar>
        </w:tblPrEx>
        <w:trPr>
          <w:trHeight w:val="780" w:hRule="exact"/>
        </w:trPr>
        <w:tc>
          <w:tcPr>
            <w:tcW w:w="1860" w:type="dxa"/>
            <w:vMerge w:val="continue"/>
            <w:tcBorders>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0"/>
                <w:sz w:val="30"/>
                <w:szCs w:val="30"/>
              </w:rPr>
            </w:pPr>
          </w:p>
        </w:tc>
        <w:tc>
          <w:tcPr>
            <w:tcW w:w="273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综治责任事故发生次数</w:t>
            </w:r>
          </w:p>
        </w:tc>
        <w:tc>
          <w:tcPr>
            <w:tcW w:w="930"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1170" w:type="dxa"/>
            <w:tcBorders>
              <w:top w:val="nil"/>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c>
          <w:tcPr>
            <w:tcW w:w="234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r>
      <w:tr>
        <w:tblPrEx>
          <w:tblCellMar>
            <w:top w:w="0" w:type="dxa"/>
            <w:left w:w="108" w:type="dxa"/>
            <w:bottom w:w="0" w:type="dxa"/>
            <w:right w:w="108" w:type="dxa"/>
          </w:tblCellMar>
        </w:tblPrEx>
        <w:trPr>
          <w:trHeight w:val="715" w:hRule="exact"/>
        </w:trPr>
        <w:tc>
          <w:tcPr>
            <w:tcW w:w="1860" w:type="dxa"/>
            <w:tcBorders>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可持续影响指标</w:t>
            </w:r>
          </w:p>
        </w:tc>
        <w:tc>
          <w:tcPr>
            <w:tcW w:w="27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办学水平能力提升</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r>
      <w:tr>
        <w:tblPrEx>
          <w:tblCellMar>
            <w:top w:w="0" w:type="dxa"/>
            <w:left w:w="108" w:type="dxa"/>
            <w:bottom w:w="0" w:type="dxa"/>
            <w:right w:w="108" w:type="dxa"/>
          </w:tblCellMar>
        </w:tblPrEx>
        <w:trPr>
          <w:trHeight w:val="775" w:hRule="exact"/>
        </w:trPr>
        <w:tc>
          <w:tcPr>
            <w:tcW w:w="186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服务对象满意度</w:t>
            </w:r>
          </w:p>
        </w:tc>
        <w:tc>
          <w:tcPr>
            <w:tcW w:w="27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师生满意度</w:t>
            </w: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w:t>
            </w:r>
          </w:p>
        </w:tc>
      </w:tr>
      <w:tr>
        <w:tblPrEx>
          <w:tblCellMar>
            <w:top w:w="0" w:type="dxa"/>
            <w:left w:w="108" w:type="dxa"/>
            <w:bottom w:w="0" w:type="dxa"/>
            <w:right w:w="108" w:type="dxa"/>
          </w:tblCellMar>
        </w:tblPrEx>
        <w:trPr>
          <w:trHeight w:val="510" w:hRule="exact"/>
        </w:trPr>
        <w:tc>
          <w:tcPr>
            <w:tcW w:w="1860"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center"/>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合  计</w:t>
            </w:r>
          </w:p>
        </w:tc>
        <w:tc>
          <w:tcPr>
            <w:tcW w:w="27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p>
        </w:tc>
        <w:tc>
          <w:tcPr>
            <w:tcW w:w="930"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40</w:t>
            </w:r>
          </w:p>
        </w:tc>
        <w:tc>
          <w:tcPr>
            <w:tcW w:w="1170" w:type="dxa"/>
            <w:tcBorders>
              <w:top w:val="single" w:color="auto" w:sz="4" w:space="0"/>
              <w:left w:val="nil"/>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100%</w:t>
            </w:r>
          </w:p>
        </w:tc>
        <w:tc>
          <w:tcPr>
            <w:tcW w:w="234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adjustRightInd/>
              <w:spacing w:line="560" w:lineRule="atLeast"/>
              <w:jc w:val="lef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40</w:t>
            </w:r>
          </w:p>
        </w:tc>
      </w:tr>
    </w:tbl>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对于“社会效益”，保障残疾学生受教育，综治责任事故发生，对绩效评价成果进行应用的数据。根据指标评分标准，该指标得分率100%，不扣分。</w:t>
      </w:r>
    </w:p>
    <w:p>
      <w:pPr>
        <w:pageBreakBefore w:val="0"/>
        <w:kinsoku/>
        <w:wordWrap/>
        <w:overflowPunct/>
        <w:topLinePunct w:val="0"/>
        <w:autoSpaceDE/>
        <w:autoSpaceDN/>
        <w:bidi w:val="0"/>
        <w:adjustRightInd/>
        <w:spacing w:line="560" w:lineRule="atLeast"/>
        <w:ind w:firstLine="640" w:firstLineChars="200"/>
        <w:jc w:val="left"/>
        <w:rPr>
          <w:rFonts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对于“可持续影响”，通过培训，加强了培训管理。根据指标评分标准，该指标得分率</w:t>
      </w:r>
      <w:r>
        <w:rPr>
          <w:rFonts w:hint="eastAsia" w:ascii="仿宋_GB2312" w:hAnsi="仿宋" w:eastAsia="仿宋_GB2312" w:cs="宋体"/>
          <w:color w:val="333333"/>
          <w:sz w:val="32"/>
          <w:szCs w:val="32"/>
          <w:lang w:val="en-US" w:eastAsia="zh-CN" w:bidi="ar"/>
        </w:rPr>
        <w:t>100</w:t>
      </w:r>
      <w:r>
        <w:rPr>
          <w:rFonts w:hint="eastAsia" w:ascii="仿宋_GB2312" w:hAnsi="仿宋" w:eastAsia="仿宋_GB2312" w:cs="宋体"/>
          <w:color w:val="333333"/>
          <w:sz w:val="32"/>
          <w:szCs w:val="32"/>
          <w:lang w:bidi="ar"/>
        </w:rPr>
        <w:t>%。</w:t>
      </w:r>
    </w:p>
    <w:p>
      <w:pPr>
        <w:pageBreakBefore w:val="0"/>
        <w:kinsoku/>
        <w:wordWrap/>
        <w:overflowPunct/>
        <w:topLinePunct w:val="0"/>
        <w:autoSpaceDE/>
        <w:autoSpaceDN/>
        <w:bidi w:val="0"/>
        <w:adjustRightInd/>
        <w:spacing w:line="560" w:lineRule="atLeast"/>
        <w:ind w:firstLine="640"/>
        <w:rPr>
          <w:rStyle w:val="52"/>
          <w:color w:val="auto"/>
        </w:rPr>
      </w:pPr>
      <w:r>
        <w:rPr>
          <w:rFonts w:hint="eastAsia" w:ascii="仿宋_GB2312" w:hAnsi="仿宋" w:eastAsia="仿宋_GB2312" w:cs="宋体"/>
          <w:color w:val="333333"/>
          <w:sz w:val="32"/>
          <w:szCs w:val="32"/>
          <w:lang w:bidi="ar"/>
        </w:rPr>
        <w:t>对于“服务对象满意度”，发放的培训调查问卷，</w:t>
      </w:r>
      <w:r>
        <w:rPr>
          <w:rStyle w:val="52"/>
          <w:rFonts w:hint="eastAsia"/>
          <w:color w:val="auto"/>
        </w:rPr>
        <w:t>对满意度指标分为三档，即“满意”、“基本满意”、“不满意”；满分为10分，各档次对应的分值为10分、9分、0分，通过加权计算得出各项指标的满意度平均得分。综合问卷调查结果，参观人员的满意度分析结果为</w:t>
      </w:r>
      <w:r>
        <w:rPr>
          <w:rStyle w:val="52"/>
          <w:rFonts w:hint="eastAsia" w:eastAsia="仿宋_GB2312"/>
          <w:color w:val="auto"/>
          <w:lang w:val="en-US" w:eastAsia="zh-CN"/>
        </w:rPr>
        <w:t>10</w:t>
      </w:r>
      <w:r>
        <w:rPr>
          <w:rStyle w:val="52"/>
          <w:rFonts w:hint="eastAsia"/>
          <w:color w:val="auto"/>
        </w:rPr>
        <w:t>分。根据指标评分标准，该指标实际得分率为</w:t>
      </w:r>
      <w:r>
        <w:rPr>
          <w:rStyle w:val="52"/>
          <w:rFonts w:hint="eastAsia" w:eastAsia="仿宋_GB2312"/>
          <w:color w:val="auto"/>
          <w:lang w:val="en-US" w:eastAsia="zh-CN"/>
        </w:rPr>
        <w:t>10</w:t>
      </w:r>
      <w:r>
        <w:rPr>
          <w:rStyle w:val="52"/>
          <w:rFonts w:hint="eastAsia"/>
          <w:color w:val="auto"/>
        </w:rPr>
        <w:t>0%</w:t>
      </w:r>
      <w:r>
        <w:rPr>
          <w:rFonts w:hint="eastAsia" w:ascii="仿宋_GB2312" w:hAnsi="仿宋" w:eastAsia="仿宋_GB2312" w:cs="宋体"/>
          <w:color w:val="333333"/>
          <w:sz w:val="32"/>
          <w:szCs w:val="32"/>
          <w:lang w:bidi="ar"/>
        </w:rPr>
        <w:t>。</w:t>
      </w:r>
    </w:p>
    <w:p>
      <w:pPr>
        <w:pStyle w:val="18"/>
        <w:pageBreakBefore w:val="0"/>
        <w:kinsoku/>
        <w:wordWrap/>
        <w:overflowPunct/>
        <w:topLinePunct w:val="0"/>
        <w:autoSpaceDE/>
        <w:autoSpaceDN/>
        <w:bidi w:val="0"/>
        <w:adjustRightInd/>
        <w:spacing w:line="560" w:lineRule="atLeast"/>
      </w:pPr>
    </w:p>
    <w:p>
      <w:pPr>
        <w:pageBreakBefore w:val="0"/>
        <w:kinsoku/>
        <w:wordWrap/>
        <w:overflowPunct/>
        <w:topLinePunct w:val="0"/>
        <w:autoSpaceDE/>
        <w:autoSpaceDN/>
        <w:bidi w:val="0"/>
        <w:adjustRightInd/>
        <w:spacing w:line="560" w:lineRule="atLeast"/>
        <w:ind w:firstLine="641"/>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pacing w:line="560" w:lineRule="atLeast"/>
        <w:ind w:firstLine="640" w:firstLineChars="200"/>
        <w:rPr>
          <w:rFonts w:ascii="仿宋_GB2312" w:hAnsi="仿宋_GB2312" w:eastAsia="仿宋_GB2312" w:cs="仿宋_GB2312"/>
          <w:sz w:val="32"/>
          <w:szCs w:val="32"/>
        </w:rPr>
      </w:pPr>
      <w:r>
        <w:rPr>
          <w:rFonts w:hint="eastAsia" w:ascii="仿宋_GB2312" w:hAnsi="仿宋" w:eastAsia="仿宋_GB2312" w:cs="宋体"/>
          <w:color w:val="333333"/>
          <w:sz w:val="32"/>
          <w:szCs w:val="32"/>
          <w:lang w:bidi="ar"/>
        </w:rPr>
        <w:t>地区特殊教育学校高度重视各个项目工作的实施，</w:t>
      </w:r>
      <w:r>
        <w:rPr>
          <w:rFonts w:hint="eastAsia" w:ascii="仿宋_GB2312" w:hAnsi="仿宋_GB2312" w:eastAsia="仿宋_GB2312" w:cs="仿宋_GB2312"/>
          <w:sz w:val="32"/>
          <w:szCs w:val="32"/>
        </w:rPr>
        <w:t>为确保【城乡义务教育补助项目】项目顺利进行，提前做好【城乡义务教育补助项目】项目规划，将所列计划再三审核。在【城乡义务教育补助项目】项目实施过程中做好定期监督检查，严格按照项目管理规范进行，在【城乡义务教育补助项目】项目资金使用过程中，严格落实把关，按照项目资金使用范围做好审核工作，让【城乡义务教育补助项目】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城乡义务教育补助项目】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7"/>
        </w:numPr>
        <w:kinsoku/>
        <w:wordWrap/>
        <w:overflowPunct/>
        <w:topLinePunct w:val="0"/>
        <w:autoSpaceDE/>
        <w:autoSpaceDN/>
        <w:bidi w:val="0"/>
        <w:adjustRightInd/>
        <w:spacing w:before="0" w:after="0" w:line="560" w:lineRule="atLeast"/>
        <w:ind w:firstLine="640"/>
        <w:jc w:val="both"/>
        <w:rPr>
          <w:rFonts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Style w:val="2"/>
        <w:pageBreakBefore w:val="0"/>
        <w:kinsoku/>
        <w:wordWrap/>
        <w:overflowPunct/>
        <w:topLinePunct w:val="0"/>
        <w:autoSpaceDE/>
        <w:autoSpaceDN/>
        <w:bidi w:val="0"/>
        <w:adjustRightInd/>
        <w:spacing w:before="0" w:after="0" w:line="560" w:lineRule="atLeast"/>
        <w:ind w:firstLine="640" w:firstLineChars="200"/>
        <w:jc w:val="left"/>
      </w:pPr>
      <w:r>
        <w:rPr>
          <w:rFonts w:hint="eastAsia" w:ascii="仿宋_GB2312" w:hAnsi="仿宋_GB2312" w:eastAsia="仿宋_GB2312" w:cs="仿宋_GB2312"/>
          <w:b w:val="0"/>
          <w:bCs w:val="0"/>
          <w:kern w:val="2"/>
        </w:rPr>
        <w:t>我单位部分绩效指标及目标有待进一步细化和量化，如：数量、质量、时效等指标还需完善。</w:t>
      </w:r>
    </w:p>
    <w:p>
      <w:pPr>
        <w:pageBreakBefore w:val="0"/>
        <w:kinsoku/>
        <w:wordWrap/>
        <w:overflowPunct/>
        <w:topLinePunct w:val="0"/>
        <w:autoSpaceDE/>
        <w:autoSpaceDN/>
        <w:bidi w:val="0"/>
        <w:adjustRightInd/>
        <w:spacing w:line="560" w:lineRule="atLeast"/>
        <w:ind w:left="630"/>
        <w:rPr>
          <w:b/>
          <w:bCs/>
        </w:rPr>
      </w:pPr>
      <w:r>
        <w:rPr>
          <w:rFonts w:hint="eastAsia" w:ascii="仿宋_GB2312" w:hAnsi="仿宋_GB2312" w:eastAsia="仿宋_GB2312" w:cs="仿宋_GB2312"/>
          <w:b/>
          <w:bCs/>
          <w:sz w:val="32"/>
          <w:szCs w:val="32"/>
        </w:rPr>
        <w:t>2、原因分析</w:t>
      </w:r>
    </w:p>
    <w:p>
      <w:pPr>
        <w:pageBreakBefore w:val="0"/>
        <w:kinsoku/>
        <w:wordWrap/>
        <w:overflowPunct/>
        <w:topLinePunct w:val="0"/>
        <w:autoSpaceDE/>
        <w:autoSpaceDN/>
        <w:bidi w:val="0"/>
        <w:adjustRightInd/>
        <w:spacing w:line="560" w:lineRule="atLeast"/>
        <w:ind w:firstLine="640" w:firstLineChars="200"/>
      </w:pPr>
      <w:r>
        <w:rPr>
          <w:rFonts w:hint="eastAsia" w:ascii="仿宋_GB2312" w:hAnsi="仿宋_GB2312" w:eastAsia="仿宋_GB2312" w:cs="仿宋_GB2312"/>
          <w:sz w:val="32"/>
          <w:szCs w:val="32"/>
        </w:rPr>
        <w:t>由于绩效自评是一项开展不久的工作任务，项目支出运行实践经验还欠缺，我单位财务人员不足，相关制度建设还有待进一步加强完善。</w:t>
      </w:r>
    </w:p>
    <w:p>
      <w:pPr>
        <w:pageBreakBefore w:val="0"/>
        <w:numPr>
          <w:ilvl w:val="0"/>
          <w:numId w:val="8"/>
        </w:numPr>
        <w:kinsoku/>
        <w:wordWrap/>
        <w:overflowPunct/>
        <w:topLinePunct w:val="0"/>
        <w:autoSpaceDE/>
        <w:autoSpaceDN/>
        <w:bidi w:val="0"/>
        <w:adjustRightInd/>
        <w:spacing w:line="560" w:lineRule="atLeast"/>
        <w:ind w:firstLine="641"/>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numPr>
          <w:ilvl w:val="0"/>
          <w:numId w:val="8"/>
        </w:numPr>
        <w:kinsoku/>
        <w:wordWrap/>
        <w:overflowPunct/>
        <w:topLinePunct w:val="0"/>
        <w:autoSpaceDE/>
        <w:autoSpaceDN/>
        <w:bidi w:val="0"/>
        <w:adjustRightInd/>
        <w:spacing w:line="560" w:lineRule="atLeas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无。</w:t>
      </w:r>
    </w:p>
    <w:p>
      <w:pPr>
        <w:rPr>
          <w:rFonts w:ascii="仿宋_GB2312" w:hAnsi="仿宋_GB2312" w:eastAsia="仿宋_GB2312" w:cs="仿宋_GB2312"/>
          <w:sz w:val="32"/>
          <w:szCs w:val="32"/>
        </w:rPr>
      </w:pPr>
    </w:p>
    <w:p>
      <w:pPr>
        <w:pStyle w:val="2"/>
        <w:rPr>
          <w:rFonts w:ascii="仿宋_GB2312" w:hAnsi="仿宋_GB2312" w:eastAsia="仿宋_GB2312" w:cs="仿宋_GB2312"/>
          <w:b w:val="0"/>
          <w:bCs w:val="0"/>
          <w:kern w:val="2"/>
        </w:rPr>
      </w:pPr>
    </w:p>
    <w:p>
      <w:pPr>
        <w:rPr>
          <w:rFonts w:ascii="仿宋_GB2312" w:hAnsi="仿宋_GB2312" w:eastAsia="仿宋_GB2312" w:cs="仿宋_GB2312"/>
          <w:sz w:val="32"/>
          <w:szCs w:val="32"/>
        </w:rPr>
      </w:pPr>
    </w:p>
    <w:p>
      <w:pPr>
        <w:pStyle w:val="2"/>
        <w:rPr>
          <w:rFonts w:ascii="仿宋_GB2312" w:hAnsi="仿宋_GB2312" w:eastAsia="仿宋_GB2312" w:cs="仿宋_GB2312"/>
          <w:b w:val="0"/>
          <w:bCs w:val="0"/>
          <w:kern w:val="2"/>
        </w:rPr>
      </w:pPr>
    </w:p>
    <w:p>
      <w:pPr>
        <w:rPr>
          <w:rFonts w:ascii="仿宋_GB2312" w:hAnsi="仿宋_GB2312" w:eastAsia="仿宋_GB2312" w:cs="仿宋_GB2312"/>
          <w:sz w:val="32"/>
          <w:szCs w:val="32"/>
        </w:rPr>
      </w:pPr>
    </w:p>
    <w:p>
      <w:pPr>
        <w:pStyle w:val="2"/>
        <w:rPr>
          <w:rFonts w:ascii="仿宋_GB2312" w:hAnsi="仿宋_GB2312" w:eastAsia="仿宋_GB2312" w:cs="仿宋_GB2312"/>
          <w:b w:val="0"/>
          <w:bCs w:val="0"/>
          <w:kern w:val="2"/>
        </w:rPr>
      </w:pPr>
    </w:p>
    <w:p>
      <w:pPr>
        <w:rPr>
          <w:rFonts w:ascii="仿宋_GB2312" w:hAnsi="仿宋_GB2312" w:eastAsia="仿宋_GB2312" w:cs="仿宋_GB2312"/>
          <w:sz w:val="32"/>
          <w:szCs w:val="32"/>
        </w:rPr>
      </w:pPr>
    </w:p>
    <w:p>
      <w:pPr>
        <w:pStyle w:val="2"/>
      </w:pPr>
    </w:p>
    <w:p>
      <w:pPr>
        <w:pStyle w:val="2"/>
      </w:pPr>
    </w:p>
    <w:tbl>
      <w:tblPr>
        <w:tblStyle w:val="21"/>
        <w:tblW w:w="8610" w:type="dxa"/>
        <w:tblInd w:w="0" w:type="dxa"/>
        <w:tblLayout w:type="fixed"/>
        <w:tblCellMar>
          <w:top w:w="0" w:type="dxa"/>
          <w:left w:w="0" w:type="dxa"/>
          <w:bottom w:w="0" w:type="dxa"/>
          <w:right w:w="0" w:type="dxa"/>
        </w:tblCellMar>
      </w:tblPr>
      <w:tblGrid>
        <w:gridCol w:w="662"/>
        <w:gridCol w:w="784"/>
        <w:gridCol w:w="855"/>
        <w:gridCol w:w="346"/>
        <w:gridCol w:w="1324"/>
        <w:gridCol w:w="1015"/>
        <w:gridCol w:w="1080"/>
        <w:gridCol w:w="360"/>
        <w:gridCol w:w="2184"/>
      </w:tblGrid>
      <w:tr>
        <w:tblPrEx>
          <w:tblCellMar>
            <w:top w:w="0" w:type="dxa"/>
            <w:left w:w="0" w:type="dxa"/>
            <w:bottom w:w="0" w:type="dxa"/>
            <w:right w:w="0" w:type="dxa"/>
          </w:tblCellMar>
        </w:tblPrEx>
        <w:trPr>
          <w:trHeight w:val="526" w:hRule="atLeast"/>
        </w:trPr>
        <w:tc>
          <w:tcPr>
            <w:tcW w:w="861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b/>
                <w:color w:val="00000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0" w:type="dxa"/>
            <w:bottom w:w="0" w:type="dxa"/>
            <w:right w:w="0" w:type="dxa"/>
          </w:tblCellMar>
        </w:tblPrEx>
        <w:trPr>
          <w:trHeight w:val="409" w:hRule="atLeast"/>
        </w:trPr>
        <w:tc>
          <w:tcPr>
            <w:tcW w:w="861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0" w:type="dxa"/>
            <w:bottom w:w="0" w:type="dxa"/>
            <w:right w:w="0" w:type="dxa"/>
          </w:tblCellMar>
        </w:tblPrEx>
        <w:trPr>
          <w:trHeight w:val="270" w:hRule="atLeast"/>
        </w:trPr>
        <w:tc>
          <w:tcPr>
            <w:tcW w:w="8610" w:type="dxa"/>
            <w:gridSpan w:val="9"/>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270"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16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城乡义务教育补助经费</w:t>
            </w:r>
          </w:p>
        </w:tc>
      </w:tr>
      <w:tr>
        <w:tblPrEx>
          <w:tblCellMar>
            <w:top w:w="0" w:type="dxa"/>
            <w:left w:w="0" w:type="dxa"/>
            <w:bottom w:w="0" w:type="dxa"/>
            <w:right w:w="0" w:type="dxa"/>
          </w:tblCellMar>
        </w:tblPrEx>
        <w:trPr>
          <w:trHeight w:val="270"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54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塔城地区特殊教育学校</w:t>
            </w:r>
          </w:p>
        </w:tc>
      </w:tr>
      <w:tr>
        <w:tblPrEx>
          <w:tblCellMar>
            <w:top w:w="0" w:type="dxa"/>
            <w:left w:w="0" w:type="dxa"/>
            <w:bottom w:w="0" w:type="dxa"/>
            <w:right w:w="0" w:type="dxa"/>
          </w:tblCellMar>
        </w:tblPrEx>
        <w:trPr>
          <w:trHeight w:val="392"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855" w:type="dxa"/>
            <w:tcBorders>
              <w:top w:val="nil"/>
              <w:left w:val="nil"/>
              <w:bottom w:val="nil"/>
              <w:right w:val="nil"/>
            </w:tcBorders>
            <w:shd w:val="clear" w:color="auto" w:fill="auto"/>
            <w:noWrap/>
            <w:tcMar>
              <w:top w:w="15" w:type="dxa"/>
              <w:left w:w="15" w:type="dxa"/>
              <w:right w:w="15" w:type="dxa"/>
            </w:tcMar>
            <w:vAlign w:val="bottom"/>
          </w:tcPr>
          <w:p>
            <w:pPr>
              <w:rPr>
                <w:rFonts w:ascii="Arial" w:hAnsi="Arial" w:cs="Arial"/>
                <w:color w:val="000000"/>
                <w:sz w:val="20"/>
                <w:szCs w:val="20"/>
              </w:rPr>
            </w:pPr>
          </w:p>
        </w:tc>
        <w:tc>
          <w:tcPr>
            <w:tcW w:w="346" w:type="dxa"/>
            <w:tcBorders>
              <w:top w:val="nil"/>
              <w:left w:val="nil"/>
              <w:bottom w:val="nil"/>
              <w:right w:val="nil"/>
            </w:tcBorders>
            <w:shd w:val="clear" w:color="auto" w:fill="auto"/>
            <w:noWrap/>
            <w:tcMar>
              <w:top w:w="15" w:type="dxa"/>
              <w:left w:w="15" w:type="dxa"/>
              <w:right w:w="15" w:type="dxa"/>
            </w:tcMar>
            <w:vAlign w:val="bottom"/>
          </w:tcPr>
          <w:p>
            <w:pPr>
              <w:rPr>
                <w:rFonts w:ascii="Arial" w:hAnsi="Arial" w:cs="Arial"/>
                <w:color w:val="000000"/>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0" w:type="dxa"/>
            <w:bottom w:w="0" w:type="dxa"/>
            <w:right w:w="0" w:type="dxa"/>
          </w:tblCellMar>
        </w:tblPrEx>
        <w:trPr>
          <w:trHeight w:val="392"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101.75</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101.75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57.68</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56.69%</w:t>
            </w:r>
          </w:p>
        </w:tc>
      </w:tr>
      <w:tr>
        <w:tblPrEx>
          <w:tblCellMar>
            <w:top w:w="0" w:type="dxa"/>
            <w:left w:w="0" w:type="dxa"/>
            <w:bottom w:w="0" w:type="dxa"/>
            <w:right w:w="0" w:type="dxa"/>
          </w:tblCellMar>
        </w:tblPrEx>
        <w:trPr>
          <w:trHeight w:val="392"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101.75</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101.75</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57.68</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33"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270" w:hRule="atLeast"/>
        </w:trPr>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2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433" w:hRule="atLeast"/>
        </w:trPr>
        <w:tc>
          <w:tcPr>
            <w:tcW w:w="66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32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36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0" w:type="dxa"/>
            <w:bottom w:w="0" w:type="dxa"/>
            <w:right w:w="0" w:type="dxa"/>
          </w:tblCellMar>
        </w:tblPrEx>
        <w:trPr>
          <w:trHeight w:val="900" w:hRule="atLeast"/>
        </w:trPr>
        <w:tc>
          <w:tcPr>
            <w:tcW w:w="66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32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2019年度年初目标任务，2019年下达塔地财教2018-4号，塔地财教2018-48号城乡义务教育补助经费16.61元，将此项目资金根据预算支出安排，预定于2019年使用完毕。</w:t>
            </w:r>
          </w:p>
        </w:tc>
        <w:tc>
          <w:tcPr>
            <w:tcW w:w="362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2019年度年初目标任务，2019年下达塔地财教2018-4号，塔地财教2018-48号城乡义务教育补助经费16.61元，将此项目资金根据预算支出安排，预定于2019年使用完毕。</w:t>
            </w:r>
          </w:p>
        </w:tc>
      </w:tr>
      <w:tr>
        <w:tblPrEx>
          <w:tblCellMar>
            <w:top w:w="0" w:type="dxa"/>
            <w:left w:w="0" w:type="dxa"/>
            <w:bottom w:w="0" w:type="dxa"/>
            <w:right w:w="0" w:type="dxa"/>
          </w:tblCellMar>
        </w:tblPrEx>
        <w:trPr>
          <w:trHeight w:val="85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560" w:hRule="atLeast"/>
        </w:trPr>
        <w:tc>
          <w:tcPr>
            <w:tcW w:w="662"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84"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85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保障学生数</w:t>
            </w:r>
          </w:p>
        </w:tc>
        <w:tc>
          <w:tcPr>
            <w:tcW w:w="10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≥121人</w:t>
            </w:r>
          </w:p>
        </w:tc>
        <w:tc>
          <w:tcPr>
            <w:tcW w:w="10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121人</w:t>
            </w:r>
          </w:p>
        </w:tc>
        <w:tc>
          <w:tcPr>
            <w:tcW w:w="254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56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保障教职工数</w:t>
            </w:r>
          </w:p>
        </w:tc>
        <w:tc>
          <w:tcPr>
            <w:tcW w:w="10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=41人</w:t>
            </w:r>
          </w:p>
        </w:tc>
        <w:tc>
          <w:tcPr>
            <w:tcW w:w="10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41人</w:t>
            </w:r>
          </w:p>
        </w:tc>
        <w:tc>
          <w:tcPr>
            <w:tcW w:w="254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52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开展教学班级</w:t>
            </w:r>
          </w:p>
        </w:tc>
        <w:tc>
          <w:tcPr>
            <w:tcW w:w="10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=14个</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14个</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74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学生职业课优秀率</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74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kern w:val="0"/>
                <w:sz w:val="18"/>
                <w:szCs w:val="18"/>
                <w:lang w:bidi="ar"/>
              </w:rPr>
            </w:pP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毕业学生数</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≥121人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kern w:val="0"/>
                <w:sz w:val="18"/>
                <w:szCs w:val="18"/>
                <w:lang w:bidi="ar"/>
              </w:rPr>
            </w:pPr>
            <w:r>
              <w:rPr>
                <w:rFonts w:hint="eastAsia" w:ascii="宋体" w:hAnsi="宋体" w:eastAsia="宋体" w:cs="宋体"/>
                <w:i w:val="0"/>
                <w:color w:val="000000"/>
                <w:kern w:val="0"/>
                <w:sz w:val="18"/>
                <w:szCs w:val="18"/>
                <w:u w:val="none"/>
                <w:lang w:val="en-US" w:eastAsia="zh-CN" w:bidi="ar"/>
              </w:rPr>
              <w:t>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因</w:t>
            </w:r>
            <w:bookmarkStart w:id="2" w:name="_GoBack"/>
            <w:bookmarkEnd w:id="2"/>
            <w:r>
              <w:rPr>
                <w:rFonts w:hint="eastAsia" w:ascii="宋体" w:hAnsi="宋体" w:cs="宋体"/>
                <w:i w:val="0"/>
                <w:color w:val="000000"/>
                <w:kern w:val="0"/>
                <w:sz w:val="18"/>
                <w:szCs w:val="18"/>
                <w:u w:val="none"/>
                <w:lang w:val="en-US" w:eastAsia="zh-CN" w:bidi="ar"/>
              </w:rPr>
              <w:t>传染病防控</w:t>
            </w:r>
            <w:r>
              <w:rPr>
                <w:rFonts w:hint="eastAsia" w:ascii="宋体" w:hAnsi="宋体" w:eastAsia="宋体" w:cs="宋体"/>
                <w:i w:val="0"/>
                <w:color w:val="000000"/>
                <w:kern w:val="0"/>
                <w:sz w:val="18"/>
                <w:szCs w:val="18"/>
                <w:u w:val="none"/>
                <w:lang w:val="en-US" w:eastAsia="zh-CN" w:bidi="ar"/>
              </w:rPr>
              <w:t>特殊原因，未能完成课时，毕业生没有及时毕业</w:t>
            </w:r>
          </w:p>
        </w:tc>
      </w:tr>
      <w:tr>
        <w:tblPrEx>
          <w:tblCellMar>
            <w:top w:w="0" w:type="dxa"/>
            <w:left w:w="0" w:type="dxa"/>
            <w:bottom w:w="0" w:type="dxa"/>
            <w:right w:w="0" w:type="dxa"/>
          </w:tblCellMar>
        </w:tblPrEx>
        <w:trPr>
          <w:trHeight w:val="84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资金支付及时率</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88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项目成本</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≤1017521元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576802.82元</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未能及时取得报销票据</w:t>
            </w:r>
          </w:p>
        </w:tc>
      </w:tr>
      <w:tr>
        <w:tblPrEx>
          <w:tblCellMar>
            <w:top w:w="0" w:type="dxa"/>
            <w:left w:w="0" w:type="dxa"/>
            <w:bottom w:w="0" w:type="dxa"/>
            <w:right w:w="0" w:type="dxa"/>
          </w:tblCellMar>
        </w:tblPrEx>
        <w:trPr>
          <w:trHeight w:val="620"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保障残疾学生教育</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=121人</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121人</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1003"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综治责任事故发送次数</w:t>
            </w:r>
          </w:p>
        </w:tc>
        <w:tc>
          <w:tcPr>
            <w:tcW w:w="101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&lt;1次</w:t>
            </w:r>
          </w:p>
        </w:tc>
        <w:tc>
          <w:tcPr>
            <w:tcW w:w="10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0次</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ascii="宋体" w:hAnsi="宋体" w:cs="宋体"/>
                <w:color w:val="000000"/>
                <w:sz w:val="18"/>
                <w:szCs w:val="18"/>
              </w:rPr>
            </w:pPr>
          </w:p>
        </w:tc>
      </w:tr>
      <w:tr>
        <w:tblPrEx>
          <w:tblCellMar>
            <w:top w:w="0" w:type="dxa"/>
            <w:left w:w="0" w:type="dxa"/>
            <w:bottom w:w="0" w:type="dxa"/>
            <w:right w:w="0" w:type="dxa"/>
          </w:tblCellMar>
        </w:tblPrEx>
        <w:trPr>
          <w:trHeight w:val="1003"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办学水平能力提升</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有所提升</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1043" w:hRule="atLeast"/>
        </w:trPr>
        <w:tc>
          <w:tcPr>
            <w:tcW w:w="66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16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师生满意度</w:t>
            </w:r>
          </w:p>
        </w:tc>
        <w:tc>
          <w:tcPr>
            <w:tcW w:w="10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25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1124" w:hRule="atLeast"/>
        </w:trPr>
        <w:tc>
          <w:tcPr>
            <w:tcW w:w="861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p>
        </w:tc>
      </w:tr>
    </w:tbl>
    <w:p>
      <w:pPr>
        <w:rPr>
          <w:rFonts w:ascii="黑体" w:hAnsi="黑体" w:eastAsia="黑体"/>
          <w:sz w:val="32"/>
          <w:szCs w:val="32"/>
        </w:rPr>
      </w:pPr>
    </w:p>
    <w:p>
      <w:pPr>
        <w:pStyle w:val="2"/>
        <w:rPr>
          <w:rFonts w:ascii="黑体" w:hAnsi="黑体" w:eastAsia="黑体"/>
        </w:rPr>
      </w:pPr>
    </w:p>
    <w:p/>
    <w:p>
      <w:pPr>
        <w:pStyle w:val="2"/>
        <w:rPr>
          <w:rFonts w:ascii="黑体" w:hAnsi="黑体" w:eastAsia="黑体"/>
        </w:rPr>
      </w:pPr>
    </w:p>
    <w:p>
      <w:pPr>
        <w:rPr>
          <w:rFonts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302"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44"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27"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045"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12"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537"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0"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045"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53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045"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53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045"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045"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92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2045"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045"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w:t>
            </w:r>
          </w:p>
        </w:tc>
      </w:tr>
    </w:tbl>
    <w:p>
      <w:pPr>
        <w:pStyle w:val="2"/>
      </w:pPr>
    </w:p>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rPr>
          <w:rStyle w:val="23"/>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23</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B3BF841"/>
    <w:multiLevelType w:val="singleLevel"/>
    <w:tmpl w:val="BB3BF841"/>
    <w:lvl w:ilvl="0" w:tentative="0">
      <w:start w:val="1"/>
      <w:numFmt w:val="decimal"/>
      <w:suff w:val="nothing"/>
      <w:lvlText w:val="%1、"/>
      <w:lvlJc w:val="left"/>
      <w:pPr>
        <w:ind w:left="-10"/>
      </w:pPr>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7"/>
  </w:num>
  <w:num w:numId="4">
    <w:abstractNumId w:val="6"/>
  </w:num>
  <w:num w:numId="5">
    <w:abstractNumId w:val="8"/>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56028"/>
    <w:rsid w:val="007806A5"/>
    <w:rsid w:val="00855E3A"/>
    <w:rsid w:val="008967D9"/>
    <w:rsid w:val="00922CB9"/>
    <w:rsid w:val="009E5CD9"/>
    <w:rsid w:val="00A26421"/>
    <w:rsid w:val="00A4293B"/>
    <w:rsid w:val="00A67D50"/>
    <w:rsid w:val="00A8691A"/>
    <w:rsid w:val="00AC1946"/>
    <w:rsid w:val="00B40063"/>
    <w:rsid w:val="00B41F61"/>
    <w:rsid w:val="00B96B64"/>
    <w:rsid w:val="00BA46E6"/>
    <w:rsid w:val="00C56C72"/>
    <w:rsid w:val="00CA6457"/>
    <w:rsid w:val="00D17F2E"/>
    <w:rsid w:val="00D30354"/>
    <w:rsid w:val="00DF42A0"/>
    <w:rsid w:val="00DF7C45"/>
    <w:rsid w:val="00E31565"/>
    <w:rsid w:val="00E46C51"/>
    <w:rsid w:val="00E769FE"/>
    <w:rsid w:val="00EA2CBE"/>
    <w:rsid w:val="00F32FEE"/>
    <w:rsid w:val="00F71278"/>
    <w:rsid w:val="00FB10BB"/>
    <w:rsid w:val="01DD2885"/>
    <w:rsid w:val="051A56F5"/>
    <w:rsid w:val="05833E82"/>
    <w:rsid w:val="066D6EAA"/>
    <w:rsid w:val="08C662D4"/>
    <w:rsid w:val="09BD4D95"/>
    <w:rsid w:val="0A4C2C76"/>
    <w:rsid w:val="0C4350BA"/>
    <w:rsid w:val="0C467C78"/>
    <w:rsid w:val="0DAE7C62"/>
    <w:rsid w:val="0F8D41CB"/>
    <w:rsid w:val="0FB324D6"/>
    <w:rsid w:val="10B8285A"/>
    <w:rsid w:val="11BD2493"/>
    <w:rsid w:val="11C75270"/>
    <w:rsid w:val="12637CC3"/>
    <w:rsid w:val="12E657C5"/>
    <w:rsid w:val="167C7687"/>
    <w:rsid w:val="168B3546"/>
    <w:rsid w:val="16E10A57"/>
    <w:rsid w:val="1933313F"/>
    <w:rsid w:val="194E6138"/>
    <w:rsid w:val="1A2374E0"/>
    <w:rsid w:val="1C317CE2"/>
    <w:rsid w:val="1DD45808"/>
    <w:rsid w:val="1DED42AC"/>
    <w:rsid w:val="20005763"/>
    <w:rsid w:val="20FB313D"/>
    <w:rsid w:val="220B4804"/>
    <w:rsid w:val="22791C99"/>
    <w:rsid w:val="25083299"/>
    <w:rsid w:val="25872FB8"/>
    <w:rsid w:val="282475E3"/>
    <w:rsid w:val="28990A0B"/>
    <w:rsid w:val="2A36438B"/>
    <w:rsid w:val="2AD865F8"/>
    <w:rsid w:val="2C6100C1"/>
    <w:rsid w:val="2FD63D8A"/>
    <w:rsid w:val="31430C6D"/>
    <w:rsid w:val="3264220D"/>
    <w:rsid w:val="36AE0E19"/>
    <w:rsid w:val="37AA3F39"/>
    <w:rsid w:val="37EF43A8"/>
    <w:rsid w:val="3963178C"/>
    <w:rsid w:val="39D701E5"/>
    <w:rsid w:val="3A0E3A35"/>
    <w:rsid w:val="3A2E4033"/>
    <w:rsid w:val="3D894B81"/>
    <w:rsid w:val="3E3B7C94"/>
    <w:rsid w:val="3F2A1A91"/>
    <w:rsid w:val="3FC516FE"/>
    <w:rsid w:val="40C80533"/>
    <w:rsid w:val="41CC2676"/>
    <w:rsid w:val="44A03633"/>
    <w:rsid w:val="46B21672"/>
    <w:rsid w:val="49424764"/>
    <w:rsid w:val="4F2D0C92"/>
    <w:rsid w:val="4F552460"/>
    <w:rsid w:val="4FCC6863"/>
    <w:rsid w:val="500A214A"/>
    <w:rsid w:val="51F82313"/>
    <w:rsid w:val="52111E36"/>
    <w:rsid w:val="522B132E"/>
    <w:rsid w:val="522D604D"/>
    <w:rsid w:val="527D79C7"/>
    <w:rsid w:val="5297585E"/>
    <w:rsid w:val="52AD7D6F"/>
    <w:rsid w:val="53A50148"/>
    <w:rsid w:val="541D453D"/>
    <w:rsid w:val="5549519D"/>
    <w:rsid w:val="5557596B"/>
    <w:rsid w:val="557A3A68"/>
    <w:rsid w:val="55976C3C"/>
    <w:rsid w:val="575735FE"/>
    <w:rsid w:val="5B596DFC"/>
    <w:rsid w:val="5BBE50BB"/>
    <w:rsid w:val="5C381DCB"/>
    <w:rsid w:val="5CF54E66"/>
    <w:rsid w:val="5DF03945"/>
    <w:rsid w:val="60F16D5E"/>
    <w:rsid w:val="62250A88"/>
    <w:rsid w:val="637C2815"/>
    <w:rsid w:val="66A72B0C"/>
    <w:rsid w:val="6B0E0326"/>
    <w:rsid w:val="6B852BF3"/>
    <w:rsid w:val="6C052BA3"/>
    <w:rsid w:val="6CCF5620"/>
    <w:rsid w:val="6F0F58FE"/>
    <w:rsid w:val="70EB5499"/>
    <w:rsid w:val="753058FA"/>
    <w:rsid w:val="78BD5BC3"/>
    <w:rsid w:val="7A353D0B"/>
    <w:rsid w:val="7AC03863"/>
    <w:rsid w:val="7B7F146E"/>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unhideWhenUsed/>
    <w:qFormat/>
    <w:uiPriority w:val="99"/>
    <w:pPr>
      <w:spacing w:after="120"/>
      <w:ind w:left="420" w:leftChars="20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Body Text First Indent"/>
    <w:basedOn w:val="12"/>
    <w:qFormat/>
    <w:uiPriority w:val="0"/>
    <w:pPr>
      <w:spacing w:after="0"/>
      <w:ind w:firstLine="200" w:firstLineChars="200"/>
    </w:pPr>
  </w:style>
  <w:style w:type="paragraph" w:styleId="20">
    <w:name w:val="Body Text First Indent 2"/>
    <w:basedOn w:val="13"/>
    <w:unhideWhenUsed/>
    <w:qFormat/>
    <w:uiPriority w:val="99"/>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1650</Words>
  <Characters>9405</Characters>
  <Lines>78</Lines>
  <Paragraphs>22</Paragraphs>
  <TotalTime>2</TotalTime>
  <ScaleCrop>false</ScaleCrop>
  <LinksUpToDate>false</LinksUpToDate>
  <CharactersWithSpaces>11033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2025-09-04T07:13:20Z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F9A5B60C816847EE858D991CF30FD0A1</vt:lpwstr>
  </property>
</Properties>
</file>