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contextualSpacing/>
        <w:rPr>
          <w:rFonts w:hint="eastAsia" w:ascii="方正黑体_GBK" w:hAnsi="黑体" w:eastAsia="方正黑体_GBK"/>
          <w:sz w:val="32"/>
          <w:szCs w:val="32"/>
        </w:rPr>
      </w:pPr>
    </w:p>
    <w:p>
      <w:pPr>
        <w:pStyle w:val="3"/>
        <w:rPr>
          <w:rFonts w:hint="eastAsia" w:ascii="黑体" w:hAnsi="仿宋_GB2312" w:eastAsia="黑体" w:cs="仿宋_GB2312"/>
          <w:sz w:val="32"/>
          <w:szCs w:val="32"/>
        </w:rPr>
      </w:pPr>
    </w:p>
    <w:p>
      <w:pPr>
        <w:spacing w:line="540" w:lineRule="exact"/>
        <w:jc w:val="center"/>
        <w:rPr>
          <w:rFonts w:hint="eastAsia" w:ascii="方正小标宋简体" w:hAnsi="方正小标宋简体" w:eastAsia="方正小标宋简体" w:cs="方正小标宋简体"/>
          <w:kern w:val="0"/>
          <w:sz w:val="44"/>
          <w:szCs w:val="44"/>
          <w:lang w:val="en-US" w:eastAsia="zh-CN"/>
        </w:rPr>
      </w:pPr>
      <w:r>
        <w:rPr>
          <w:rFonts w:hint="eastAsia" w:ascii="方正小标宋简体" w:hAnsi="方正小标宋简体" w:eastAsia="方正小标宋简体" w:cs="方正小标宋简体"/>
          <w:kern w:val="0"/>
          <w:sz w:val="44"/>
          <w:szCs w:val="44"/>
          <w:lang w:val="en-US" w:eastAsia="zh-CN"/>
        </w:rPr>
        <w:t>塔城地区档案馆档案事业费</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资金项目支出绩效评价报告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center"/>
        <w:rPr>
          <w:rFonts w:hint="eastAsia"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档案事业费</w:t>
      </w:r>
    </w:p>
    <w:p>
      <w:pPr>
        <w:spacing w:line="700" w:lineRule="exact"/>
        <w:ind w:firstLine="720" w:firstLineChars="200"/>
        <w:jc w:val="center"/>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塔城地区档案馆</w:t>
      </w:r>
    </w:p>
    <w:p>
      <w:pPr>
        <w:spacing w:line="700" w:lineRule="exact"/>
        <w:ind w:firstLine="720" w:firstLineChars="200"/>
        <w:jc w:val="center"/>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塔城地区档案馆</w:t>
      </w:r>
    </w:p>
    <w:p>
      <w:pPr>
        <w:spacing w:line="700" w:lineRule="exact"/>
        <w:ind w:firstLine="720" w:firstLineChars="200"/>
        <w:jc w:val="center"/>
        <w:rPr>
          <w:rFonts w:hAnsi="宋体" w:eastAsia="仿宋_GB2312" w:cs="宋体"/>
          <w:kern w:val="0"/>
          <w:sz w:val="36"/>
          <w:szCs w:val="36"/>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31</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
      <w:pPr>
        <w:contextualSpacing/>
        <w:rPr>
          <w:rFonts w:hint="eastAsia" w:ascii="方正黑体_GBK" w:hAnsi="黑体" w:eastAsia="方正黑体_GBK"/>
          <w:sz w:val="32"/>
          <w:szCs w:val="32"/>
        </w:rPr>
      </w:pPr>
    </w:p>
    <w:p>
      <w:pPr>
        <w:pStyle w:val="2"/>
        <w:rPr>
          <w:rFonts w:hint="eastAsia"/>
        </w:rPr>
      </w:pPr>
    </w:p>
    <w:p>
      <w:pPr>
        <w:pageBreakBefore w:val="0"/>
        <w:kinsoku/>
        <w:wordWrap/>
        <w:overflowPunct/>
        <w:topLinePunct w:val="0"/>
        <w:autoSpaceDE/>
        <w:autoSpaceDN/>
        <w:bidi w:val="0"/>
        <w:adjustRightInd/>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一、基本情况</w:t>
      </w:r>
    </w:p>
    <w:p>
      <w:pPr>
        <w:pStyle w:val="13"/>
        <w:pageBreakBefore w:val="0"/>
        <w:kinsoku/>
        <w:wordWrap/>
        <w:overflowPunct/>
        <w:topLinePunct w:val="0"/>
        <w:autoSpaceDE/>
        <w:autoSpaceDN/>
        <w:bidi w:val="0"/>
        <w:adjustRightInd/>
        <w:snapToGrid/>
        <w:spacing w:line="560" w:lineRule="exact"/>
        <w:rPr>
          <w:rFonts w:hint="eastAsia" w:ascii="楷体" w:hAnsi="楷体" w:eastAsia="楷体" w:cs="楷体"/>
          <w:b/>
          <w:bCs/>
          <w:sz w:val="32"/>
          <w:szCs w:val="32"/>
          <w:lang w:eastAsia="zh-CN"/>
        </w:rPr>
      </w:pPr>
      <w:r>
        <w:rPr>
          <w:rFonts w:hint="eastAsia" w:ascii="楷体" w:hAnsi="楷体" w:eastAsia="楷体" w:cs="楷体"/>
          <w:b/>
          <w:bCs/>
          <w:sz w:val="32"/>
          <w:szCs w:val="32"/>
        </w:rPr>
        <w:t>（一）项目概况。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hint="default"/>
          <w:b w:val="0"/>
          <w:bCs w:val="0"/>
          <w:lang w:val="en-US"/>
        </w:rPr>
      </w:pPr>
      <w:r>
        <w:rPr>
          <w:rFonts w:hint="eastAsia" w:ascii="仿宋_GB2312" w:hAnsi="仿宋_GB2312" w:eastAsia="仿宋_GB2312" w:cs="仿宋_GB2312"/>
          <w:b w:val="0"/>
          <w:bCs w:val="0"/>
          <w:sz w:val="32"/>
          <w:szCs w:val="32"/>
          <w:lang w:eastAsia="zh-CN"/>
        </w:rPr>
        <w:t>档案案馆属于无收费项目单位,承担着接收征集各门类档案,丰富馆藏,档案保管保护、档案开发利用等方面的工作，</w:t>
      </w:r>
      <w:r>
        <w:rPr>
          <w:rFonts w:hint="eastAsia" w:ascii="仿宋_GB2312" w:hAnsi="仿宋_GB2312" w:eastAsia="仿宋_GB2312" w:cs="仿宋_GB2312"/>
          <w:b w:val="0"/>
          <w:bCs w:val="0"/>
          <w:sz w:val="32"/>
          <w:szCs w:val="32"/>
          <w:lang w:val="en-US" w:eastAsia="zh-CN"/>
        </w:rPr>
        <w:t>因此该项目给予了极大的资金支持。</w:t>
      </w:r>
    </w:p>
    <w:p>
      <w:pPr>
        <w:pStyle w:val="2"/>
        <w:pageBreakBefore w:val="0"/>
        <w:numPr>
          <w:ilvl w:val="0"/>
          <w:numId w:val="1"/>
        </w:numPr>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pageBreakBefore w:val="0"/>
        <w:numPr>
          <w:ilvl w:val="0"/>
          <w:numId w:val="0"/>
        </w:numPr>
        <w:kinsoku/>
        <w:wordWrap/>
        <w:overflowPunct/>
        <w:topLinePunct w:val="0"/>
        <w:autoSpaceDE/>
        <w:autoSpaceDN/>
        <w:bidi w:val="0"/>
        <w:adjustRightInd/>
        <w:snapToGrid/>
        <w:spacing w:line="560" w:lineRule="exact"/>
        <w:ind w:firstLine="640" w:firstLineChars="200"/>
        <w:contextualSpacing/>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档案案馆属于无收费项目单位,</w:t>
      </w:r>
      <w:r>
        <w:rPr>
          <w:rFonts w:hint="eastAsia" w:ascii="仿宋_GB2312" w:hAnsi="仿宋_GB2312" w:eastAsia="仿宋_GB2312" w:cs="仿宋_GB2312"/>
          <w:b w:val="0"/>
          <w:bCs w:val="0"/>
          <w:sz w:val="32"/>
          <w:szCs w:val="32"/>
          <w:lang w:val="en-US" w:eastAsia="zh-CN"/>
        </w:rPr>
        <w:t>因此每年财政给予拨付一定金额的经费，用以弥补办公经费，保证档案管理工作的正常运行。</w:t>
      </w:r>
    </w:p>
    <w:p>
      <w:pPr>
        <w:pageBreakBefore w:val="0"/>
        <w:numPr>
          <w:ilvl w:val="0"/>
          <w:numId w:val="2"/>
        </w:numPr>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default"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rPr>
        <w:t>项目主要内容：</w:t>
      </w:r>
      <w:r>
        <w:rPr>
          <w:rFonts w:hint="eastAsia" w:ascii="仿宋_GB2312" w:hAnsi="仿宋_GB2312" w:eastAsia="仿宋_GB2312" w:cs="仿宋_GB2312"/>
          <w:b w:val="0"/>
          <w:bCs w:val="0"/>
          <w:kern w:val="2"/>
          <w:lang w:val="en-US" w:eastAsia="zh-CN"/>
        </w:rPr>
        <w:t>档案事业费主要用于弥补办公费，保证档案管理工作的正常运行。</w:t>
      </w:r>
    </w:p>
    <w:p>
      <w:pPr>
        <w:pageBreakBefore w:val="0"/>
        <w:kinsoku/>
        <w:wordWrap/>
        <w:overflowPunct/>
        <w:topLinePunct w:val="0"/>
        <w:autoSpaceDE/>
        <w:autoSpaceDN/>
        <w:bidi w:val="0"/>
        <w:adjustRightInd/>
        <w:snapToGrid/>
        <w:spacing w:line="560" w:lineRule="exact"/>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w:t>
      </w:r>
      <w:r>
        <w:rPr>
          <w:rFonts w:hint="eastAsia" w:ascii="仿宋_GB2312" w:hAnsi="仿宋_GB2312" w:eastAsia="仿宋_GB2312" w:cs="仿宋_GB2312"/>
          <w:sz w:val="32"/>
          <w:szCs w:val="32"/>
          <w:lang w:val="en-US" w:eastAsia="zh-CN"/>
        </w:rPr>
        <w:t>监控管理</w:t>
      </w:r>
      <w:r>
        <w:rPr>
          <w:rFonts w:hint="eastAsia" w:ascii="仿宋_GB2312" w:hAnsi="仿宋_GB2312" w:eastAsia="仿宋_GB2312" w:cs="仿宋_GB2312"/>
          <w:sz w:val="32"/>
          <w:szCs w:val="32"/>
        </w:rPr>
        <w:t>机制，保证项目实施各阶段顺利进行。</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highlight w:val="none"/>
          <w:lang w:val="en-US" w:eastAsia="zh-CN"/>
        </w:rPr>
        <w:t>19.2</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19.2</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18.09</w:t>
      </w:r>
      <w:r>
        <w:rPr>
          <w:rFonts w:hint="eastAsia" w:ascii="仿宋_GB2312" w:hAnsi="仿宋_GB2312" w:eastAsia="仿宋_GB2312" w:cs="仿宋_GB2312"/>
          <w:sz w:val="32"/>
          <w:szCs w:val="32"/>
          <w:highlight w:val="none"/>
        </w:rPr>
        <w:t>万元， 支出率为</w:t>
      </w:r>
      <w:r>
        <w:rPr>
          <w:rFonts w:hint="eastAsia" w:ascii="仿宋_GB2312" w:hAnsi="仿宋_GB2312" w:eastAsia="仿宋_GB2312" w:cs="仿宋_GB2312"/>
          <w:sz w:val="32"/>
          <w:szCs w:val="32"/>
          <w:highlight w:val="none"/>
          <w:lang w:val="en-US" w:eastAsia="zh-CN"/>
        </w:rPr>
        <w:t>94.21</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19.2</w:t>
      </w:r>
      <w:r>
        <w:rPr>
          <w:rFonts w:hint="eastAsia" w:ascii="仿宋_GB2312" w:hAnsi="仿宋_GB2312" w:eastAsia="仿宋_GB2312" w:cs="仿宋_GB2312"/>
          <w:sz w:val="32"/>
          <w:szCs w:val="32"/>
          <w:highlight w:val="none"/>
        </w:rPr>
        <w:t>万元，按照单位财务制度等相关规定，资金支出符合</w:t>
      </w:r>
      <w:r>
        <w:rPr>
          <w:rFonts w:hint="eastAsia" w:ascii="仿宋_GB2312" w:hAnsi="仿宋_GB2312" w:eastAsia="仿宋_GB2312" w:cs="仿宋_GB2312"/>
          <w:sz w:val="32"/>
          <w:szCs w:val="32"/>
          <w:highlight w:val="none"/>
          <w:lang w:val="en-US" w:eastAsia="zh-CN"/>
        </w:rPr>
        <w:t>档案事业费</w:t>
      </w:r>
      <w:r>
        <w:rPr>
          <w:rFonts w:hint="eastAsia" w:ascii="仿宋_GB2312" w:hAnsi="仿宋_GB2312" w:eastAsia="仿宋_GB2312" w:cs="仿宋_GB2312"/>
          <w:sz w:val="32"/>
          <w:szCs w:val="32"/>
          <w:highlight w:val="none"/>
        </w:rPr>
        <w:t>专项资金</w:t>
      </w:r>
      <w:r>
        <w:rPr>
          <w:rFonts w:hint="eastAsia" w:ascii="仿宋_GB2312" w:hAnsi="仿宋_GB2312" w:eastAsia="仿宋_GB2312" w:cs="仿宋_GB2312"/>
          <w:sz w:val="32"/>
          <w:szCs w:val="32"/>
        </w:rPr>
        <w:t>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left="-197" w:leftChars="-94" w:firstLine="198" w:firstLineChars="62"/>
        <w:jc w:val="left"/>
        <w:rPr>
          <w:rFonts w:hint="default"/>
          <w:lang w:val="en-US" w:eastAsia="zh-CN"/>
        </w:rPr>
      </w:pPr>
      <w:r>
        <w:rPr>
          <w:rFonts w:hint="eastAsia" w:ascii="仿宋_GB2312" w:hAnsi="仿宋_GB2312" w:eastAsia="仿宋_GB2312" w:cs="仿宋_GB2312"/>
          <w:b w:val="0"/>
          <w:bCs w:val="0"/>
          <w:kern w:val="2"/>
          <w:lang w:val="en-US" w:eastAsia="zh-CN"/>
        </w:rPr>
        <w:t xml:space="preserve">   </w:t>
      </w: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lang w:val="en-US" w:eastAsia="zh-CN"/>
        </w:rPr>
        <w:t>年初</w:t>
      </w:r>
      <w:r>
        <w:rPr>
          <w:rFonts w:hint="eastAsia" w:ascii="仿宋_GB2312" w:hAnsi="仿宋_GB2312" w:eastAsia="仿宋_GB2312" w:cs="仿宋_GB2312"/>
          <w:b w:val="0"/>
          <w:bCs w:val="0"/>
          <w:kern w:val="2"/>
        </w:rPr>
        <w:t>批复的资金，项目资金到</w:t>
      </w:r>
      <w:r>
        <w:rPr>
          <w:rFonts w:hint="eastAsia" w:ascii="仿宋_GB2312" w:hAnsi="仿宋_GB2312" w:eastAsia="仿宋_GB2312" w:cs="仿宋_GB2312"/>
          <w:b w:val="0"/>
          <w:bCs w:val="0"/>
          <w:kern w:val="2"/>
          <w:highlight w:val="none"/>
        </w:rPr>
        <w:t>位</w:t>
      </w:r>
      <w:r>
        <w:rPr>
          <w:rFonts w:hint="eastAsia" w:ascii="仿宋_GB2312" w:hAnsi="仿宋_GB2312" w:eastAsia="仿宋_GB2312" w:cs="仿宋_GB2312"/>
          <w:b w:val="0"/>
          <w:bCs w:val="0"/>
          <w:kern w:val="2"/>
          <w:highlight w:val="none"/>
          <w:lang w:val="en-US" w:eastAsia="zh-CN"/>
        </w:rPr>
        <w:t>19.2</w:t>
      </w:r>
      <w:r>
        <w:rPr>
          <w:rFonts w:hint="eastAsia" w:ascii="仿宋_GB2312" w:hAnsi="仿宋_GB2312" w:eastAsia="仿宋_GB2312" w:cs="仿宋_GB2312"/>
          <w:b w:val="0"/>
          <w:bCs w:val="0"/>
          <w:kern w:val="2"/>
        </w:rPr>
        <w:t>万元，用于支付项目实施进程中的各项费用。</w:t>
      </w:r>
    </w:p>
    <w:p>
      <w:pPr>
        <w:pageBreakBefore w:val="0"/>
        <w:numPr>
          <w:ilvl w:val="0"/>
          <w:numId w:val="0"/>
        </w:numPr>
        <w:kinsoku/>
        <w:wordWrap/>
        <w:overflowPunct/>
        <w:topLinePunct w:val="0"/>
        <w:autoSpaceDE/>
        <w:autoSpaceDN/>
        <w:bidi w:val="0"/>
        <w:adjustRightInd/>
        <w:snapToGrid/>
        <w:spacing w:line="560" w:lineRule="exact"/>
        <w:ind w:firstLine="643" w:firstLineChars="200"/>
        <w:contextualSpacing/>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项目绩效目标。</w:t>
      </w:r>
    </w:p>
    <w:p>
      <w:pPr>
        <w:pageBreakBefore w:val="0"/>
        <w:numPr>
          <w:ilvl w:val="0"/>
          <w:numId w:val="0"/>
        </w:numPr>
        <w:kinsoku/>
        <w:wordWrap/>
        <w:overflowPunct/>
        <w:topLinePunct w:val="0"/>
        <w:autoSpaceDE/>
        <w:autoSpaceDN/>
        <w:bidi w:val="0"/>
        <w:adjustRightInd/>
        <w:snapToGrid/>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1.总体目标：</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val="en-US" w:eastAsia="zh-CN"/>
        </w:rPr>
        <w:t>塔城地区档案馆各项工作正常进行，解决档案管理工作经费不足的问题。</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2.阶段性目标：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val="en-US" w:eastAsia="zh-CN"/>
        </w:rPr>
        <w:t>塔城地区档案馆档案事业项目</w:t>
      </w:r>
      <w:r>
        <w:rPr>
          <w:rFonts w:hint="eastAsia" w:ascii="仿宋_GB2312" w:hAnsi="仿宋_GB2312" w:eastAsia="仿宋_GB2312" w:cs="仿宋_GB2312"/>
          <w:sz w:val="32"/>
          <w:szCs w:val="32"/>
        </w:rPr>
        <w:t>方案》，通过制定项目实施方案，经项目负责人审核通过后，有序开展后续工</w:t>
      </w:r>
      <w:r>
        <w:rPr>
          <w:rFonts w:hint="eastAsia" w:ascii="仿宋_GB2312" w:hAnsi="仿宋_GB2312" w:eastAsia="仿宋_GB2312" w:cs="仿宋_GB2312"/>
          <w:sz w:val="32"/>
          <w:szCs w:val="32"/>
          <w:lang w:val="en-US" w:eastAsia="zh-CN"/>
        </w:rPr>
        <w:t>作</w:t>
      </w:r>
      <w:r>
        <w:rPr>
          <w:rFonts w:hint="eastAsia" w:ascii="仿宋_GB2312" w:hAnsi="仿宋_GB2312" w:eastAsia="仿宋_GB2312" w:cs="仿宋_GB2312"/>
          <w:sz w:val="32"/>
          <w:szCs w:val="32"/>
        </w:rPr>
        <w:t>。</w:t>
      </w:r>
    </w:p>
    <w:p>
      <w:pPr>
        <w:pStyle w:val="13"/>
        <w:pageBreakBefore w:val="0"/>
        <w:kinsoku/>
        <w:wordWrap/>
        <w:overflowPunct/>
        <w:topLinePunct w:val="0"/>
        <w:autoSpaceDE/>
        <w:autoSpaceDN/>
        <w:bidi w:val="0"/>
        <w:adjustRightInd/>
        <w:snapToGrid/>
        <w:spacing w:line="560" w:lineRule="exact"/>
        <w:ind w:firstLine="624" w:firstLineChars="195"/>
        <w:rPr>
          <w:rFonts w:hint="eastAsia" w:ascii="方正黑体_GBK" w:hAnsi="黑体" w:eastAsia="方正黑体_GBK"/>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val="en-US" w:eastAsia="zh-CN"/>
        </w:rPr>
        <w:t>塔城地区档案馆档案事业项目</w:t>
      </w:r>
      <w:r>
        <w:rPr>
          <w:rFonts w:hint="eastAsia" w:ascii="仿宋_GB2312" w:hAnsi="仿宋_GB2312" w:eastAsia="仿宋_GB2312" w:cs="仿宋_GB2312"/>
          <w:sz w:val="32"/>
          <w:szCs w:val="32"/>
        </w:rPr>
        <w:t>方案》要求逐一进行项目部署安排，提高项目质量及效率性。</w:t>
      </w:r>
    </w:p>
    <w:p>
      <w:pPr>
        <w:pStyle w:val="13"/>
        <w:pageBreakBefore w:val="0"/>
        <w:kinsoku/>
        <w:wordWrap/>
        <w:overflowPunct/>
        <w:topLinePunct w:val="0"/>
        <w:autoSpaceDE/>
        <w:autoSpaceDN/>
        <w:bidi w:val="0"/>
        <w:adjustRightInd/>
        <w:snapToGrid/>
        <w:spacing w:line="560" w:lineRule="exact"/>
        <w:rPr>
          <w:rFonts w:hint="eastAsia" w:ascii="黑体" w:hAnsi="黑体" w:eastAsia="黑体" w:cs="黑体"/>
          <w:b/>
          <w:bCs/>
          <w:sz w:val="32"/>
          <w:szCs w:val="32"/>
        </w:rPr>
      </w:pPr>
      <w:r>
        <w:rPr>
          <w:rFonts w:hint="eastAsia" w:ascii="黑体" w:hAnsi="黑体" w:eastAsia="黑体" w:cs="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3" w:firstLineChars="200"/>
        <w:contextualSpacing/>
        <w:rPr>
          <w:rFonts w:hint="eastAsia" w:ascii="楷体" w:hAnsi="楷体" w:eastAsia="楷体" w:cs="楷体"/>
          <w:b/>
          <w:bCs/>
          <w:color w:val="000000"/>
          <w:spacing w:val="-4"/>
          <w:sz w:val="32"/>
          <w:szCs w:val="32"/>
          <w:shd w:val="clear" w:color="FFFFFF" w:fill="FFFFFF"/>
          <w:lang w:val="en-US" w:eastAsia="zh-CN"/>
        </w:rPr>
      </w:pPr>
      <w:r>
        <w:rPr>
          <w:rFonts w:hint="eastAsia" w:ascii="楷体" w:hAnsi="楷体" w:eastAsia="楷体" w:cs="楷体"/>
          <w:b/>
          <w:bCs/>
          <w:sz w:val="32"/>
          <w:szCs w:val="32"/>
        </w:rPr>
        <w:t>（一）绩效评价目的、对象和范围。</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1、绩效评价的目的</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w:t>
      </w:r>
      <w:r>
        <w:rPr>
          <w:rFonts w:hint="eastAsia" w:ascii="仿宋_GB2312" w:hAnsi="仿宋_GB2312" w:eastAsia="仿宋_GB2312" w:cs="仿宋_GB2312"/>
          <w:sz w:val="32"/>
          <w:szCs w:val="32"/>
          <w:lang w:val="en-US" w:eastAsia="zh-CN"/>
        </w:rPr>
        <w:t>档案管理的</w:t>
      </w:r>
      <w:r>
        <w:rPr>
          <w:rFonts w:hint="eastAsia" w:ascii="仿宋_GB2312" w:hAnsi="仿宋_GB2312" w:eastAsia="仿宋_GB2312" w:cs="仿宋_GB2312"/>
          <w:sz w:val="32"/>
          <w:szCs w:val="32"/>
        </w:rPr>
        <w:t>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exact"/>
        <w:ind w:left="-11" w:leftChars="0" w:firstLine="641"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numPr>
          <w:ilvl w:val="0"/>
          <w:numId w:val="0"/>
        </w:numPr>
        <w:kinsoku/>
        <w:wordWrap/>
        <w:overflowPunct/>
        <w:topLinePunct w:val="0"/>
        <w:autoSpaceDE/>
        <w:autoSpaceDN/>
        <w:bidi w:val="0"/>
        <w:adjustRightInd/>
        <w:snapToGrid/>
        <w:spacing w:before="0" w:after="0" w:line="560" w:lineRule="exact"/>
        <w:ind w:left="641" w:leftChars="0"/>
        <w:jc w:val="both"/>
        <w:outlineLvl w:val="9"/>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绩效评价的对象</w:t>
      </w:r>
    </w:p>
    <w:p>
      <w:pPr>
        <w:pageBreakBefore w:val="0"/>
        <w:kinsoku/>
        <w:wordWrap/>
        <w:overflowPunct/>
        <w:topLinePunct w:val="0"/>
        <w:autoSpaceDE/>
        <w:autoSpaceDN/>
        <w:bidi w:val="0"/>
        <w:adjustRightInd/>
        <w:snapToGrid/>
        <w:spacing w:line="560" w:lineRule="exact"/>
        <w:ind w:firstLine="641"/>
        <w:rPr>
          <w:rFonts w:hint="default" w:eastAsia="宋体"/>
          <w:lang w:val="en-US" w:eastAsia="zh-CN"/>
        </w:rPr>
      </w:pPr>
      <w:r>
        <w:rPr>
          <w:rFonts w:hint="eastAsia" w:ascii="仿宋_GB2312" w:hAnsi="仿宋_GB2312" w:eastAsia="仿宋_GB2312" w:cs="仿宋_GB2312"/>
          <w:sz w:val="32"/>
          <w:szCs w:val="32"/>
          <w:lang w:val="en-US" w:eastAsia="zh-CN"/>
        </w:rPr>
        <w:t>评价对象为档案事业费项目。</w:t>
      </w:r>
    </w:p>
    <w:p>
      <w:pPr>
        <w:pStyle w:val="2"/>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1" w:firstLineChars="0"/>
        <w:jc w:val="both"/>
        <w:outlineLvl w:val="9"/>
        <w:rPr>
          <w:rFonts w:hint="eastAsia" w:ascii="仿宋_GB2312" w:hAnsi="仿宋_GB2312" w:eastAsia="仿宋_GB2312" w:cs="仿宋_GB2312"/>
          <w:b/>
          <w:bCs/>
        </w:rPr>
      </w:pPr>
      <w:r>
        <w:rPr>
          <w:rFonts w:hint="eastAsia" w:ascii="仿宋_GB2312" w:hAnsi="仿宋_GB2312" w:eastAsia="仿宋_GB2312" w:cs="仿宋_GB2312"/>
          <w:b/>
          <w:bCs/>
        </w:rPr>
        <w:t>绩效评价的范围</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评价范围从此项目的项目决策、项目过程、项目产出、项目效益等方面进行评价。</w:t>
      </w:r>
    </w:p>
    <w:p>
      <w:pPr>
        <w:pageBreakBefore w:val="0"/>
        <w:kinsoku/>
        <w:wordWrap/>
        <w:overflowPunct/>
        <w:topLinePunct w:val="0"/>
        <w:autoSpaceDE/>
        <w:autoSpaceDN/>
        <w:bidi w:val="0"/>
        <w:adjustRightInd/>
        <w:snapToGrid/>
        <w:spacing w:line="560" w:lineRule="exact"/>
        <w:ind w:firstLine="641"/>
        <w:rPr>
          <w:rFonts w:hint="eastAsia" w:ascii="楷体" w:hAnsi="楷体" w:eastAsia="楷体" w:cs="楷体"/>
        </w:rPr>
      </w:pPr>
      <w:r>
        <w:rPr>
          <w:rFonts w:hint="eastAsia" w:ascii="楷体" w:hAnsi="楷体" w:eastAsia="楷体" w:cs="楷体"/>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highlight w:val="none"/>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highlight w:val="none"/>
          <w:lang w:val="en-US" w:eastAsia="zh-CN"/>
        </w:rPr>
        <w:t>效益</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w:t>
      </w:r>
      <w:r>
        <w:rPr>
          <w:rFonts w:hint="eastAsia" w:ascii="仿宋_GB2312" w:hAnsi="仿宋_GB2312" w:eastAsia="仿宋_GB2312" w:cs="仿宋_GB2312"/>
          <w:color w:val="000000"/>
          <w:spacing w:val="17"/>
          <w:sz w:val="32"/>
          <w:szCs w:val="32"/>
          <w:highlight w:val="none"/>
        </w:rPr>
        <w:t>项目资金</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20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20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产出</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效益</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20</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eastAsia="方正仿宋_GBK"/>
          <w:sz w:val="28"/>
          <w:szCs w:val="28"/>
          <w:lang w:eastAsia="zh-CN"/>
        </w:rPr>
      </w:pPr>
      <w:r>
        <w:rPr>
          <w:rFonts w:hint="eastAsia" w:ascii="仿宋_GB2312" w:hAnsi="仿宋_GB2312" w:eastAsia="仿宋_GB2312" w:cs="仿宋_GB2312"/>
          <w:b w:val="0"/>
          <w:bCs w:val="0"/>
          <w:color w:val="333333"/>
          <w:kern w:val="2"/>
          <w:sz w:val="32"/>
          <w:szCs w:val="32"/>
          <w:shd w:val="clear" w:color="auto" w:fill="FFFFFF"/>
          <w:lang w:val="en-US" w:eastAsia="zh-CN" w:bidi="ar-SA"/>
        </w:rPr>
        <w:t>项目绩效评价指标体系详附件：</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3、绩效评价方法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4"/>
        </w:numPr>
        <w:kinsoku/>
        <w:wordWrap/>
        <w:overflowPunct/>
        <w:topLinePunct w:val="0"/>
        <w:autoSpaceDE/>
        <w:autoSpaceDN/>
        <w:bidi w:val="0"/>
        <w:adjustRightInd/>
        <w:snapToGrid/>
        <w:spacing w:before="0" w:after="0" w:line="560" w:lineRule="exact"/>
        <w:jc w:val="both"/>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绩效评价工作过程</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kinsoku/>
        <w:wordWrap/>
        <w:overflowPunct/>
        <w:topLinePunct w:val="0"/>
        <w:autoSpaceDE/>
        <w:autoSpaceDN/>
        <w:bidi w:val="0"/>
        <w:adjustRightInd/>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三、综合评价情况及评价结论（附相关评分表）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yellow"/>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档案事业费</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96.7</w:t>
      </w:r>
      <w:r>
        <w:rPr>
          <w:rFonts w:hint="eastAsia" w:ascii="仿宋_GB2312" w:hAnsi="仿宋_GB2312" w:eastAsia="仿宋_GB2312" w:cs="仿宋_GB2312"/>
          <w:b w:val="0"/>
          <w:bCs w:val="0"/>
          <w:highlight w:val="none"/>
        </w:rPr>
        <w:t>分，属于“优”。其中，项目决策类指标权重为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分，得分率为 100%。项目过程类指标权重为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19.7</w:t>
      </w:r>
      <w:r>
        <w:rPr>
          <w:rFonts w:hint="eastAsia" w:ascii="仿宋_GB2312" w:hAnsi="仿宋_GB2312" w:eastAsia="仿宋_GB2312" w:cs="仿宋_GB2312"/>
          <w:b w:val="0"/>
          <w:bCs w:val="0"/>
          <w:highlight w:val="none"/>
        </w:rPr>
        <w:t xml:space="preserve"> 分，得分率为 </w:t>
      </w:r>
      <w:r>
        <w:rPr>
          <w:rFonts w:hint="eastAsia" w:ascii="仿宋_GB2312" w:hAnsi="仿宋_GB2312" w:eastAsia="仿宋_GB2312" w:cs="仿宋_GB2312"/>
          <w:b w:val="0"/>
          <w:bCs w:val="0"/>
          <w:highlight w:val="none"/>
          <w:lang w:val="en-US" w:eastAsia="zh-CN"/>
        </w:rPr>
        <w:t>98.5</w:t>
      </w:r>
      <w:r>
        <w:rPr>
          <w:rFonts w:hint="eastAsia" w:ascii="仿宋_GB2312" w:hAnsi="仿宋_GB2312" w:eastAsia="仿宋_GB2312" w:cs="仿宋_GB2312"/>
          <w:b w:val="0"/>
          <w:bCs w:val="0"/>
          <w:highlight w:val="none"/>
        </w:rPr>
        <w:t>%。项目产出类指标权重为</w:t>
      </w: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rPr>
        <w:t>0分，得分为</w:t>
      </w:r>
      <w:r>
        <w:rPr>
          <w:rFonts w:hint="eastAsia" w:ascii="仿宋_GB2312" w:hAnsi="仿宋_GB2312" w:eastAsia="仿宋_GB2312" w:cs="仿宋_GB2312"/>
          <w:b w:val="0"/>
          <w:bCs w:val="0"/>
          <w:highlight w:val="none"/>
          <w:lang w:val="en-US" w:eastAsia="zh-CN"/>
        </w:rPr>
        <w:t>38</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95</w:t>
      </w:r>
      <w:r>
        <w:rPr>
          <w:rFonts w:hint="eastAsia" w:ascii="仿宋_GB2312" w:hAnsi="仿宋_GB2312" w:eastAsia="仿宋_GB2312" w:cs="仿宋_GB2312"/>
          <w:b w:val="0"/>
          <w:bCs w:val="0"/>
          <w:highlight w:val="none"/>
        </w:rPr>
        <w:t>%。项目效益类指标权重为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19</w:t>
      </w:r>
      <w:r>
        <w:rPr>
          <w:rFonts w:hint="eastAsia" w:ascii="仿宋_GB2312" w:hAnsi="仿宋_GB2312" w:eastAsia="仿宋_GB2312" w:cs="仿宋_GB2312"/>
          <w:b w:val="0"/>
          <w:bCs w:val="0"/>
          <w:highlight w:val="none"/>
        </w:rPr>
        <w:t>分，得分率为 95%。</w:t>
      </w:r>
    </w:p>
    <w:p>
      <w:pPr>
        <w:pStyle w:val="2"/>
        <w:pageBreakBefore w:val="0"/>
        <w:kinsoku/>
        <w:wordWrap/>
        <w:overflowPunct/>
        <w:topLinePunct w:val="0"/>
        <w:autoSpaceDE/>
        <w:autoSpaceDN/>
        <w:bidi w:val="0"/>
        <w:adjustRightInd/>
        <w:snapToGrid/>
        <w:spacing w:before="0" w:after="0" w:line="56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8"/>
        <w:tblpPr w:leftFromText="180" w:rightFromText="180" w:vertAnchor="text" w:horzAnchor="page" w:tblpX="1010" w:tblpY="320"/>
        <w:tblOverlap w:val="never"/>
        <w:tblW w:w="989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98"/>
        <w:gridCol w:w="984"/>
        <w:gridCol w:w="1275"/>
        <w:gridCol w:w="1697"/>
        <w:gridCol w:w="723"/>
        <w:gridCol w:w="1038"/>
        <w:gridCol w:w="919"/>
        <w:gridCol w:w="1208"/>
        <w:gridCol w:w="9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9" w:hRule="atLeast"/>
          <w:tblHeader/>
        </w:trPr>
        <w:tc>
          <w:tcPr>
            <w:tcW w:w="1098" w:type="dxa"/>
            <w:shd w:val="clear" w:color="auto" w:fill="BFBFBF"/>
            <w:vAlign w:val="center"/>
          </w:tcPr>
          <w:p>
            <w:pPr>
              <w:pageBreakBefore w:val="0"/>
              <w:widowControl/>
              <w:kinsoku/>
              <w:wordWrap/>
              <w:overflowPunct/>
              <w:topLinePunct w:val="0"/>
              <w:autoSpaceDE/>
              <w:autoSpaceDN/>
              <w:bidi w:val="0"/>
              <w:adjustRightInd/>
              <w:snapToGrid/>
              <w:spacing w:line="560" w:lineRule="exac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84"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75"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69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38"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19"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08"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5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kern w:val="0"/>
                <w:sz w:val="18"/>
                <w:szCs w:val="18"/>
                <w:lang w:val="en-US" w:eastAsia="zh-CN"/>
              </w:rPr>
              <w:t>20</w:t>
            </w:r>
            <w:r>
              <w:rPr>
                <w:rFonts w:hint="eastAsia" w:ascii="宋体" w:hAnsi="宋体" w:cs="宋体"/>
                <w:kern w:val="0"/>
                <w:sz w:val="18"/>
                <w:szCs w:val="18"/>
              </w:rPr>
              <w:t>分</w:t>
            </w: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3</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有立项文件</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有立项文件</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3</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按照项目要求立项</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按照项目要求立项</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3</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结合项目内容制定目标</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结合项目内容制定目标</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3</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对各项内容制定对应指标</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对各项内容制定对应指标</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4</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按预算管理要求进行编制</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按预算管理要求进行编制</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4</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合理分配</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合理分配</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kern w:val="0"/>
                <w:sz w:val="18"/>
                <w:szCs w:val="18"/>
                <w:lang w:val="en-US" w:eastAsia="zh-CN"/>
              </w:rPr>
              <w:t>20</w:t>
            </w:r>
            <w:r>
              <w:rPr>
                <w:rFonts w:hint="eastAsia" w:ascii="宋体" w:hAnsi="宋体" w:cs="宋体"/>
                <w:kern w:val="0"/>
                <w:sz w:val="18"/>
                <w:szCs w:val="18"/>
              </w:rPr>
              <w:t>分</w:t>
            </w: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100%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94.16%</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94%</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bidi="ar-SA"/>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专款专用</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专款专用</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建立和健全各项制度</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建立和健全各项制度</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严格按照制度执行</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严格按照制度执行</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kern w:val="0"/>
                <w:sz w:val="18"/>
                <w:szCs w:val="18"/>
                <w:lang w:val="en-US" w:eastAsia="zh-CN"/>
              </w:rPr>
              <w:t>40</w:t>
            </w:r>
            <w:r>
              <w:rPr>
                <w:rFonts w:hint="eastAsia" w:ascii="宋体" w:hAnsi="宋体" w:cs="宋体"/>
                <w:kern w:val="0"/>
                <w:sz w:val="18"/>
                <w:szCs w:val="18"/>
              </w:rPr>
              <w:t>分</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100%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100%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100%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1" w:hRule="atLeast"/>
        </w:trPr>
        <w:tc>
          <w:tcPr>
            <w:tcW w:w="109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效益　</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0分</w:t>
            </w: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效益提高</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微小提高</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90%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达标</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达标</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bl>
    <w:p>
      <w:pPr>
        <w:pageBreakBefore w:val="0"/>
        <w:kinsoku/>
        <w:wordWrap/>
        <w:overflowPunct/>
        <w:topLinePunct w:val="0"/>
        <w:autoSpaceDE/>
        <w:autoSpaceDN/>
        <w:bidi w:val="0"/>
        <w:adjustRightInd/>
        <w:snapToGrid/>
        <w:spacing w:line="560" w:lineRule="exact"/>
        <w:ind w:firstLine="624" w:firstLineChars="200"/>
        <w:contextualSpacing/>
        <w:rPr>
          <w:rFonts w:hint="default"/>
          <w:lang w:val="en-US" w:eastAsia="zh-CN"/>
        </w:rPr>
      </w:pPr>
      <w:r>
        <w:rPr>
          <w:rFonts w:hint="eastAsia" w:ascii="仿宋" w:hAnsi="仿宋" w:eastAsia="仿宋"/>
          <w:bCs/>
          <w:color w:val="000000"/>
          <w:spacing w:val="-4"/>
          <w:sz w:val="32"/>
          <w:szCs w:val="32"/>
          <w:shd w:val="clear" w:color="FFFFFF" w:fill="FFFFFF"/>
          <w:lang w:val="en-US" w:eastAsia="zh-CN"/>
        </w:rPr>
        <w:t>项目总体完成情况较好，更好的服务地区党政机构改革，保障档案管理工作正常运行，解决档案管理事业经费不足问题。</w:t>
      </w:r>
    </w:p>
    <w:p>
      <w:pPr>
        <w:pageBreakBefore w:val="0"/>
        <w:kinsoku/>
        <w:wordWrap/>
        <w:overflowPunct/>
        <w:topLinePunct w:val="0"/>
        <w:autoSpaceDE/>
        <w:autoSpaceDN/>
        <w:bidi w:val="0"/>
        <w:adjustRightInd/>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四、绩效评价指标分析</w:t>
      </w:r>
    </w:p>
    <w:p>
      <w:pPr>
        <w:pageBreakBefore w:val="0"/>
        <w:kinsoku/>
        <w:wordWrap/>
        <w:overflowPunct/>
        <w:topLinePunct w:val="0"/>
        <w:autoSpaceDE/>
        <w:autoSpaceDN/>
        <w:bidi w:val="0"/>
        <w:adjustRightInd/>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（一）项目决策情况。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项目决策指标从项目立项、绩效目标、资金投入3个方面对项目的决策进行考察，项目决策类指标分值20分，实际得分20分，得分率100%。</w:t>
      </w:r>
    </w:p>
    <w:p>
      <w:pPr>
        <w:pageBreakBefore w:val="0"/>
        <w:kinsoku/>
        <w:wordWrap/>
        <w:overflowPunct/>
        <w:topLinePunct w:val="0"/>
        <w:autoSpaceDE/>
        <w:autoSpaceDN/>
        <w:bidi w:val="0"/>
        <w:adjustRightInd/>
        <w:snapToGrid/>
        <w:spacing w:line="560" w:lineRule="exact"/>
        <w:ind w:firstLine="640" w:firstLineChars="200"/>
        <w:rPr>
          <w:rFonts w:hint="eastAsia"/>
          <w:lang w:eastAsia="zh-CN"/>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项目立项”、“绩效目标”、“资金投入”，塔城地区档案馆档案事业费经费项目，依据相关文件对该项目设置了较为详细的项目支出绩效目标，项目绩效目标的设置，满足合理性和明确性的要求。按照地方财政资金拨付要求全部投入到位，总投资19.2万元。</w:t>
      </w:r>
    </w:p>
    <w:p>
      <w:pPr>
        <w:pageBreakBefore w:val="0"/>
        <w:numPr>
          <w:ilvl w:val="0"/>
          <w:numId w:val="5"/>
        </w:numPr>
        <w:kinsoku/>
        <w:wordWrap/>
        <w:overflowPunct/>
        <w:topLinePunct w:val="0"/>
        <w:autoSpaceDE/>
        <w:autoSpaceDN/>
        <w:bidi w:val="0"/>
        <w:adjustRightInd/>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项目过程情况。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highlight w:val="none"/>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项目管理指标从资金到位率、预算执行率、资金使用合规性、管理制度健全性、制度执行有效性5个方面对项目的管理情况进行考察。项目管理类指标分值20分，</w:t>
      </w:r>
      <w:r>
        <w:rPr>
          <w:rFonts w:hint="eastAsia" w:ascii="仿宋_GB2312" w:hAnsi="仿宋_GB2312" w:eastAsia="仿宋_GB2312" w:cs="仿宋_GB2312"/>
          <w:b w:val="0"/>
          <w:bCs w:val="0"/>
          <w:color w:val="333333"/>
          <w:kern w:val="2"/>
          <w:sz w:val="32"/>
          <w:szCs w:val="32"/>
          <w:highlight w:val="none"/>
          <w:shd w:val="clear" w:color="auto" w:fill="FFFFFF"/>
          <w:lang w:val="en-US" w:eastAsia="zh-CN" w:bidi="ar-SA"/>
        </w:rPr>
        <w:t>实际得分19.7分，得分率为98.5%。项目管理指标得分情况如表所示。</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对于“资金到位率”，2020年档案事业费资金19.2万元。实际拨付专项资金19.2万元。根据评分标准，该指标实际得分率100%。</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对于“预算执行率”，2020年档案事业费专项资金329.2万元。项目预算资金为19.2万元，实际使用</w:t>
      </w:r>
      <w:r>
        <w:rPr>
          <w:rFonts w:hint="eastAsia" w:ascii="仿宋_GB2312" w:hAnsi="仿宋_GB2312" w:eastAsia="仿宋_GB2312" w:cs="仿宋_GB2312"/>
          <w:b w:val="0"/>
          <w:bCs w:val="0"/>
          <w:color w:val="333333"/>
          <w:kern w:val="2"/>
          <w:sz w:val="32"/>
          <w:szCs w:val="32"/>
          <w:highlight w:val="none"/>
          <w:shd w:val="clear" w:color="auto" w:fill="FFFFFF"/>
          <w:lang w:val="en-US" w:eastAsia="zh-CN" w:bidi="ar-SA"/>
        </w:rPr>
        <w:t>18.08</w:t>
      </w:r>
      <w:r>
        <w:rPr>
          <w:rFonts w:hint="eastAsia" w:ascii="仿宋_GB2312" w:hAnsi="仿宋_GB2312" w:eastAsia="仿宋_GB2312" w:cs="仿宋_GB2312"/>
          <w:b w:val="0"/>
          <w:bCs w:val="0"/>
          <w:color w:val="333333"/>
          <w:kern w:val="2"/>
          <w:sz w:val="32"/>
          <w:szCs w:val="32"/>
          <w:shd w:val="clear" w:color="auto" w:fill="FFFFFF"/>
          <w:lang w:val="en-US" w:eastAsia="zh-CN" w:bidi="ar-SA"/>
        </w:rPr>
        <w:t>万元。根据评分标准，该指标实际得分率94.%。</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资金使用合规性”，塔城地区档案馆档案事业费按照专项资金列支的范围使用资金，支出范围合规；资金支出能按财务制度、管理办法执行，不存在资金违纪违规使用情况。按评分标准，指标实际得分率100%。</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对于“管理制度健全性“，塔城地区档案馆档案事业费经费管理，严格依照财务制度及工作经费管理办法执行。根据评分标准，该指标实际得分率100%。</w:t>
      </w:r>
    </w:p>
    <w:p>
      <w:pPr>
        <w:pageBreakBefore w:val="0"/>
        <w:kinsoku/>
        <w:wordWrap/>
        <w:overflowPunct/>
        <w:topLinePunct w:val="0"/>
        <w:autoSpaceDE/>
        <w:autoSpaceDN/>
        <w:bidi w:val="0"/>
        <w:adjustRightInd/>
        <w:snapToGrid/>
        <w:spacing w:line="560" w:lineRule="exact"/>
        <w:ind w:firstLine="640" w:firstLineChars="200"/>
        <w:rPr>
          <w:rFonts w:hint="eastAsi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对于“制度执行有效性”，结合经费管理办法对该项目资金提出了明确指导，塔城地区档案馆严格按照财务制度相关工作经费管理办法执行。根据评分标准，该指标实际得分率100%。</w:t>
      </w:r>
    </w:p>
    <w:p>
      <w:pPr>
        <w:pageBreakBefore w:val="0"/>
        <w:numPr>
          <w:ilvl w:val="0"/>
          <w:numId w:val="5"/>
        </w:numPr>
        <w:kinsoku/>
        <w:wordWrap/>
        <w:overflowPunct/>
        <w:topLinePunct w:val="0"/>
        <w:autoSpaceDE/>
        <w:autoSpaceDN/>
        <w:bidi w:val="0"/>
        <w:adjustRightInd/>
        <w:snapToGrid/>
        <w:spacing w:line="560" w:lineRule="exact"/>
        <w:ind w:left="0" w:leftChars="0"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项目产出情况。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项目绩效主要从项目产出的产出数量、产出质量、产出时效、成本情况4个方面对项目的绩效情况进行评价。项目绩效类指标分值40分，实际得分38分，得分率为95%。</w:t>
      </w:r>
    </w:p>
    <w:p>
      <w:pPr>
        <w:pStyle w:val="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对于“产出数量”，塔城地区档案馆针对档案事业费经费项目具体分为2个明细指标进行评价，数量指标：保安人数，预期指标值≥2人，指标完成值2人，指标完成率100%；</w:t>
      </w:r>
    </w:p>
    <w:p>
      <w:pPr>
        <w:pStyle w:val="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档案数字扫描人数，预期指标值≥20人，指标完成值20人，指标完成率100%；</w:t>
      </w:r>
    </w:p>
    <w:p>
      <w:pPr>
        <w:pStyle w:val="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对于“产出质量”，塔城地区档案馆档案事业费经费项目制定档案数字扫描完成率质量评定标准。</w:t>
      </w:r>
      <w:r>
        <w:rPr>
          <w:rFonts w:hint="eastAsia" w:ascii="仿宋_GB2312" w:hAnsi="仿宋_GB2312" w:eastAsia="仿宋_GB2312" w:cs="仿宋_GB2312"/>
          <w:b w:val="0"/>
          <w:bCs w:val="0"/>
          <w:sz w:val="32"/>
          <w:szCs w:val="32"/>
        </w:rPr>
        <w:t>质量指标：</w:t>
      </w:r>
      <w:r>
        <w:rPr>
          <w:rFonts w:hint="eastAsia" w:ascii="仿宋_GB2312" w:hAnsi="仿宋_GB2312" w:eastAsia="仿宋_GB2312" w:cs="仿宋_GB2312"/>
          <w:b w:val="0"/>
          <w:bCs w:val="0"/>
          <w:color w:val="333333"/>
          <w:kern w:val="2"/>
          <w:sz w:val="32"/>
          <w:szCs w:val="32"/>
          <w:shd w:val="clear" w:color="auto" w:fill="FFFFFF"/>
          <w:lang w:val="en-US" w:eastAsia="zh-CN" w:bidi="ar-SA"/>
        </w:rPr>
        <w:t>档案数字扫描完成率</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color w:val="333333"/>
          <w:kern w:val="2"/>
          <w:sz w:val="32"/>
          <w:szCs w:val="32"/>
          <w:shd w:val="clear" w:color="auto" w:fill="FFFFFF"/>
          <w:lang w:val="en-US" w:eastAsia="zh-CN" w:bidi="ar-SA"/>
        </w:rPr>
        <w:t>预期指标值</w:t>
      </w:r>
      <w:r>
        <w:rPr>
          <w:rFonts w:hint="eastAsia" w:ascii="仿宋_GB2312" w:hAnsi="仿宋_GB2312" w:eastAsia="仿宋_GB2312" w:cs="仿宋_GB2312"/>
          <w:b w:val="0"/>
          <w:bCs w:val="0"/>
          <w:sz w:val="32"/>
          <w:szCs w:val="32"/>
          <w:lang w:val="en-US" w:eastAsia="zh-CN"/>
        </w:rPr>
        <w:t>≥90%</w:t>
      </w:r>
      <w:r>
        <w:rPr>
          <w:rFonts w:hint="eastAsia" w:ascii="仿宋_GB2312" w:hAnsi="仿宋_GB2312" w:eastAsia="仿宋_GB2312" w:cs="仿宋_GB2312"/>
          <w:b w:val="0"/>
          <w:bCs w:val="0"/>
          <w:color w:val="333333"/>
          <w:kern w:val="2"/>
          <w:sz w:val="32"/>
          <w:szCs w:val="32"/>
          <w:shd w:val="clear" w:color="auto" w:fill="FFFFFF"/>
          <w:lang w:val="en-US" w:eastAsia="zh-CN" w:bidi="ar-SA"/>
        </w:rPr>
        <w:t>，指标完成值=92%，指标完成率102%；</w:t>
      </w:r>
    </w:p>
    <w:p>
      <w:pPr>
        <w:pStyle w:val="7"/>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对于“产出时效”，塔城地区档案馆以支付及时率制定时效标准。时效指标：水、电费、劳务费按月支付及时率，预期指标值=100%，指标完成值100%，指标完成率100%；</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333333"/>
          <w:kern w:val="2"/>
          <w:sz w:val="32"/>
          <w:szCs w:val="32"/>
          <w:shd w:val="clear" w:color="auto" w:fill="FFFFFF"/>
          <w:lang w:val="en-US" w:eastAsia="zh-CN" w:bidi="ar-SA"/>
        </w:rPr>
      </w:pPr>
      <w:r>
        <w:rPr>
          <w:rFonts w:hint="eastAsia" w:ascii="仿宋_GB2312" w:hAnsi="仿宋_GB2312" w:eastAsia="仿宋_GB2312" w:cs="仿宋_GB2312"/>
          <w:b w:val="0"/>
          <w:bCs w:val="0"/>
          <w:color w:val="333333"/>
          <w:kern w:val="2"/>
          <w:sz w:val="32"/>
          <w:szCs w:val="32"/>
          <w:shd w:val="clear" w:color="auto" w:fill="FFFFFF"/>
          <w:lang w:val="en-US" w:eastAsia="zh-CN" w:bidi="ar-SA"/>
        </w:rPr>
        <w:t>对于“成本情况”，塔城地区档案馆针对经费项目成本具体分为4个明细指标进行评价，根据评分标准及印证材料比指标对，该指标实际得分率84.25%。具体见下表：</w:t>
      </w:r>
    </w:p>
    <w:tbl>
      <w:tblPr>
        <w:tblStyle w:val="8"/>
        <w:tblW w:w="17044" w:type="dxa"/>
        <w:tblInd w:w="0" w:type="dxa"/>
        <w:tblLayout w:type="fixed"/>
        <w:tblCellMar>
          <w:top w:w="0" w:type="dxa"/>
          <w:left w:w="108" w:type="dxa"/>
          <w:bottom w:w="0" w:type="dxa"/>
          <w:right w:w="108" w:type="dxa"/>
        </w:tblCellMar>
      </w:tblPr>
      <w:tblGrid>
        <w:gridCol w:w="2724"/>
        <w:gridCol w:w="1536"/>
        <w:gridCol w:w="1471"/>
        <w:gridCol w:w="1340"/>
        <w:gridCol w:w="1773"/>
        <w:gridCol w:w="8200"/>
      </w:tblGrid>
      <w:tr>
        <w:tblPrEx>
          <w:tblCellMar>
            <w:top w:w="0" w:type="dxa"/>
            <w:left w:w="108" w:type="dxa"/>
            <w:bottom w:w="0" w:type="dxa"/>
            <w:right w:w="108" w:type="dxa"/>
          </w:tblCellMar>
        </w:tblPrEx>
        <w:trPr>
          <w:trHeight w:val="555" w:hRule="atLeast"/>
          <w:tblHeader/>
        </w:trPr>
        <w:tc>
          <w:tcPr>
            <w:tcW w:w="17044" w:type="dxa"/>
            <w:gridSpan w:val="6"/>
            <w:tcBorders>
              <w:top w:val="nil"/>
              <w:left w:val="nil"/>
              <w:bottom w:val="nil"/>
              <w:right w:val="nil"/>
            </w:tcBorders>
            <w:noWrap/>
            <w:vAlign w:val="center"/>
          </w:tcPr>
          <w:p>
            <w:pPr>
              <w:pageBreakBefore w:val="0"/>
              <w:widowControl/>
              <w:kinsoku/>
              <w:wordWrap/>
              <w:overflowPunct/>
              <w:topLinePunct w:val="0"/>
              <w:autoSpaceDE/>
              <w:autoSpaceDN/>
              <w:bidi w:val="0"/>
              <w:adjustRightInd/>
              <w:snapToGrid/>
              <w:spacing w:line="560" w:lineRule="exact"/>
              <w:ind w:firstLine="2249" w:firstLineChars="800"/>
              <w:jc w:val="left"/>
              <w:rPr>
                <w:rFonts w:ascii="方正仿宋_GBK" w:hAnsi="Tahoma" w:eastAsia="方正仿宋_GBK" w:cs="Tahoma"/>
                <w:color w:val="000000"/>
                <w:kern w:val="0"/>
                <w:sz w:val="28"/>
                <w:szCs w:val="28"/>
              </w:rPr>
            </w:pPr>
            <w:r>
              <w:rPr>
                <w:rFonts w:hint="eastAsia" w:ascii="楷体" w:hAnsi="楷体" w:eastAsia="楷体" w:cs="楷体"/>
                <w:b/>
                <w:bCs/>
                <w:color w:val="000000"/>
                <w:kern w:val="0"/>
                <w:sz w:val="28"/>
                <w:szCs w:val="28"/>
              </w:rPr>
              <w:t>项目产出</w:t>
            </w:r>
            <w:r>
              <w:rPr>
                <w:rFonts w:hint="eastAsia" w:ascii="楷体" w:hAnsi="楷体" w:eastAsia="楷体" w:cs="楷体"/>
                <w:b/>
                <w:bCs/>
                <w:color w:val="000000"/>
                <w:kern w:val="0"/>
                <w:sz w:val="28"/>
                <w:szCs w:val="28"/>
                <w:lang w:eastAsia="zh-CN"/>
              </w:rPr>
              <w:t>成本</w:t>
            </w:r>
            <w:r>
              <w:rPr>
                <w:rFonts w:hint="eastAsia" w:ascii="楷体" w:hAnsi="楷体" w:eastAsia="楷体" w:cs="楷体"/>
                <w:b/>
                <w:bCs/>
                <w:color w:val="000000"/>
                <w:kern w:val="0"/>
                <w:sz w:val="28"/>
                <w:szCs w:val="28"/>
              </w:rPr>
              <w:t>指标得分情况</w:t>
            </w:r>
          </w:p>
        </w:tc>
      </w:tr>
      <w:tr>
        <w:tblPrEx>
          <w:tblCellMar>
            <w:top w:w="0" w:type="dxa"/>
            <w:left w:w="108" w:type="dxa"/>
            <w:bottom w:w="0" w:type="dxa"/>
            <w:right w:w="108" w:type="dxa"/>
          </w:tblCellMar>
        </w:tblPrEx>
        <w:trPr>
          <w:gridAfter w:val="1"/>
          <w:wAfter w:w="8200" w:type="dxa"/>
          <w:trHeight w:val="510" w:hRule="exact"/>
          <w:tblHeader/>
        </w:trPr>
        <w:tc>
          <w:tcPr>
            <w:tcW w:w="2724" w:type="dxa"/>
            <w:tcBorders>
              <w:top w:val="single" w:color="auto" w:sz="8" w:space="0"/>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三级明细指标</w:t>
            </w:r>
          </w:p>
        </w:tc>
        <w:tc>
          <w:tcPr>
            <w:tcW w:w="1536"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default" w:ascii="方正仿宋_GBK" w:hAnsi="Tahoma" w:eastAsia="方正仿宋_GBK" w:cs="Tahoma"/>
                <w:b/>
                <w:bCs/>
                <w:color w:val="000000"/>
                <w:kern w:val="0"/>
                <w:sz w:val="22"/>
                <w:szCs w:val="22"/>
                <w:lang w:val="en-US" w:eastAsia="zh-CN"/>
              </w:rPr>
            </w:pPr>
            <w:r>
              <w:rPr>
                <w:rFonts w:hint="eastAsia" w:ascii="方正仿宋_GBK" w:hAnsi="Tahoma" w:eastAsia="方正仿宋_GBK" w:cs="Tahoma"/>
                <w:b/>
                <w:bCs/>
                <w:color w:val="000000"/>
                <w:kern w:val="0"/>
                <w:sz w:val="22"/>
                <w:szCs w:val="22"/>
                <w:lang w:val="en-US" w:eastAsia="zh-CN"/>
              </w:rPr>
              <w:t>指标值</w:t>
            </w:r>
          </w:p>
        </w:tc>
        <w:tc>
          <w:tcPr>
            <w:tcW w:w="1471"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default" w:ascii="方正仿宋_GBK" w:hAnsi="Tahoma" w:eastAsia="方正仿宋_GBK" w:cs="Tahoma"/>
                <w:b/>
                <w:bCs/>
                <w:color w:val="000000"/>
                <w:kern w:val="0"/>
                <w:sz w:val="22"/>
                <w:szCs w:val="22"/>
                <w:lang w:val="en-US" w:eastAsia="zh-CN"/>
              </w:rPr>
            </w:pPr>
            <w:r>
              <w:rPr>
                <w:rFonts w:hint="eastAsia" w:ascii="方正仿宋_GBK" w:hAnsi="Tahoma" w:eastAsia="方正仿宋_GBK" w:cs="Tahoma"/>
                <w:b/>
                <w:bCs/>
                <w:color w:val="000000"/>
                <w:kern w:val="0"/>
                <w:sz w:val="22"/>
                <w:szCs w:val="22"/>
                <w:lang w:val="en-US" w:eastAsia="zh-CN"/>
              </w:rPr>
              <w:t>完成值</w:t>
            </w:r>
          </w:p>
        </w:tc>
        <w:tc>
          <w:tcPr>
            <w:tcW w:w="1340"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773"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gridAfter w:val="1"/>
          <w:wAfter w:w="8200" w:type="dxa"/>
          <w:trHeight w:val="510" w:hRule="exact"/>
        </w:trPr>
        <w:tc>
          <w:tcPr>
            <w:tcW w:w="2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rPr>
            </w:pPr>
            <w:r>
              <w:rPr>
                <w:rFonts w:hint="eastAsia" w:ascii="宋体" w:hAnsi="宋体" w:eastAsia="宋体" w:cs="宋体"/>
                <w:i w:val="0"/>
                <w:iCs w:val="0"/>
                <w:color w:val="000000"/>
                <w:kern w:val="0"/>
                <w:sz w:val="18"/>
                <w:szCs w:val="18"/>
                <w:u w:val="none"/>
                <w:lang w:val="en-US" w:eastAsia="zh-CN" w:bidi="ar"/>
              </w:rPr>
              <w:t>劳务费</w:t>
            </w:r>
          </w:p>
        </w:tc>
        <w:tc>
          <w:tcPr>
            <w:tcW w:w="153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≤14.2万元</w:t>
            </w:r>
          </w:p>
        </w:tc>
        <w:tc>
          <w:tcPr>
            <w:tcW w:w="1471"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=14.2万元</w:t>
            </w:r>
          </w:p>
        </w:tc>
        <w:tc>
          <w:tcPr>
            <w:tcW w:w="1340"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1773"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2</w:t>
            </w:r>
          </w:p>
        </w:tc>
      </w:tr>
      <w:tr>
        <w:tblPrEx>
          <w:tblCellMar>
            <w:top w:w="0" w:type="dxa"/>
            <w:left w:w="108" w:type="dxa"/>
            <w:bottom w:w="0" w:type="dxa"/>
            <w:right w:w="108" w:type="dxa"/>
          </w:tblCellMar>
        </w:tblPrEx>
        <w:trPr>
          <w:gridAfter w:val="1"/>
          <w:wAfter w:w="8200" w:type="dxa"/>
          <w:trHeight w:val="510" w:hRule="exact"/>
        </w:trPr>
        <w:tc>
          <w:tcPr>
            <w:tcW w:w="2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rPr>
            </w:pPr>
            <w:r>
              <w:rPr>
                <w:rFonts w:hint="eastAsia" w:ascii="宋体" w:hAnsi="宋体" w:eastAsia="宋体" w:cs="宋体"/>
                <w:i w:val="0"/>
                <w:iCs w:val="0"/>
                <w:color w:val="000000"/>
                <w:kern w:val="0"/>
                <w:sz w:val="18"/>
                <w:szCs w:val="18"/>
                <w:u w:val="none"/>
                <w:lang w:val="en-US" w:eastAsia="zh-CN" w:bidi="ar"/>
              </w:rPr>
              <w:t>水费</w:t>
            </w:r>
          </w:p>
        </w:tc>
        <w:tc>
          <w:tcPr>
            <w:tcW w:w="153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≤1万元</w:t>
            </w:r>
          </w:p>
        </w:tc>
        <w:tc>
          <w:tcPr>
            <w:tcW w:w="1471"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=1万元</w:t>
            </w:r>
          </w:p>
        </w:tc>
        <w:tc>
          <w:tcPr>
            <w:tcW w:w="1340"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1773"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3</w:t>
            </w:r>
          </w:p>
        </w:tc>
      </w:tr>
      <w:tr>
        <w:tblPrEx>
          <w:tblCellMar>
            <w:top w:w="0" w:type="dxa"/>
            <w:left w:w="108" w:type="dxa"/>
            <w:bottom w:w="0" w:type="dxa"/>
            <w:right w:w="108" w:type="dxa"/>
          </w:tblCellMar>
        </w:tblPrEx>
        <w:trPr>
          <w:gridAfter w:val="1"/>
          <w:wAfter w:w="8200" w:type="dxa"/>
          <w:trHeight w:val="510" w:hRule="exact"/>
        </w:trPr>
        <w:tc>
          <w:tcPr>
            <w:tcW w:w="2724"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rPr>
            </w:pPr>
            <w:r>
              <w:rPr>
                <w:rFonts w:hint="eastAsia" w:ascii="宋体" w:hAnsi="宋体" w:eastAsia="宋体" w:cs="宋体"/>
                <w:i w:val="0"/>
                <w:iCs w:val="0"/>
                <w:color w:val="000000"/>
                <w:kern w:val="0"/>
                <w:sz w:val="18"/>
                <w:szCs w:val="18"/>
                <w:u w:val="none"/>
                <w:lang w:val="en-US" w:eastAsia="zh-CN" w:bidi="ar"/>
              </w:rPr>
              <w:t>电费</w:t>
            </w:r>
          </w:p>
        </w:tc>
        <w:tc>
          <w:tcPr>
            <w:tcW w:w="1536"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≤1.8万元</w:t>
            </w:r>
          </w:p>
        </w:tc>
        <w:tc>
          <w:tcPr>
            <w:tcW w:w="147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=0.68万元</w:t>
            </w:r>
          </w:p>
        </w:tc>
        <w:tc>
          <w:tcPr>
            <w:tcW w:w="134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37%</w:t>
            </w:r>
          </w:p>
        </w:tc>
        <w:tc>
          <w:tcPr>
            <w:tcW w:w="1773"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w:t>
            </w:r>
          </w:p>
        </w:tc>
      </w:tr>
      <w:tr>
        <w:tblPrEx>
          <w:tblCellMar>
            <w:top w:w="0" w:type="dxa"/>
            <w:left w:w="108" w:type="dxa"/>
            <w:bottom w:w="0" w:type="dxa"/>
            <w:right w:w="108" w:type="dxa"/>
          </w:tblCellMar>
        </w:tblPrEx>
        <w:trPr>
          <w:gridAfter w:val="1"/>
          <w:wAfter w:w="8200" w:type="dxa"/>
          <w:trHeight w:val="510" w:hRule="exact"/>
        </w:trPr>
        <w:tc>
          <w:tcPr>
            <w:tcW w:w="2724"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rPr>
            </w:pPr>
            <w:r>
              <w:rPr>
                <w:rFonts w:hint="eastAsia" w:ascii="宋体" w:hAnsi="宋体" w:eastAsia="宋体" w:cs="宋体"/>
                <w:i w:val="0"/>
                <w:iCs w:val="0"/>
                <w:color w:val="000000"/>
                <w:kern w:val="0"/>
                <w:sz w:val="18"/>
                <w:szCs w:val="18"/>
                <w:u w:val="none"/>
                <w:lang w:val="en-US" w:eastAsia="zh-CN" w:bidi="ar"/>
              </w:rPr>
              <w:t>设备购置费</w:t>
            </w:r>
          </w:p>
        </w:tc>
        <w:tc>
          <w:tcPr>
            <w:tcW w:w="1536"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≤2.2万元</w:t>
            </w:r>
          </w:p>
        </w:tc>
        <w:tc>
          <w:tcPr>
            <w:tcW w:w="147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=2.2万元</w:t>
            </w:r>
          </w:p>
        </w:tc>
        <w:tc>
          <w:tcPr>
            <w:tcW w:w="134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default"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1773"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2</w:t>
            </w:r>
          </w:p>
        </w:tc>
      </w:tr>
      <w:tr>
        <w:tblPrEx>
          <w:tblCellMar>
            <w:top w:w="0" w:type="dxa"/>
            <w:left w:w="108" w:type="dxa"/>
            <w:bottom w:w="0" w:type="dxa"/>
            <w:right w:w="108" w:type="dxa"/>
          </w:tblCellMar>
        </w:tblPrEx>
        <w:trPr>
          <w:gridAfter w:val="1"/>
          <w:wAfter w:w="8200" w:type="dxa"/>
          <w:trHeight w:val="510" w:hRule="exact"/>
        </w:trPr>
        <w:tc>
          <w:tcPr>
            <w:tcW w:w="272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合  计</w:t>
            </w:r>
          </w:p>
        </w:tc>
        <w:tc>
          <w:tcPr>
            <w:tcW w:w="153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Theme="minorEastAsia" w:hAnsiTheme="minorEastAsia" w:eastAsiaTheme="minorEastAsia" w:cstheme="minorEastAsia"/>
                <w:color w:val="000000"/>
                <w:kern w:val="0"/>
                <w:sz w:val="18"/>
                <w:szCs w:val="18"/>
                <w:lang w:val="en-US" w:eastAsia="zh-CN"/>
              </w:rPr>
            </w:pPr>
          </w:p>
        </w:tc>
        <w:tc>
          <w:tcPr>
            <w:tcW w:w="1471"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Theme="minorEastAsia" w:hAnsiTheme="minorEastAsia" w:eastAsiaTheme="minorEastAsia" w:cstheme="minorEastAsia"/>
                <w:color w:val="000000"/>
                <w:kern w:val="0"/>
                <w:sz w:val="18"/>
                <w:szCs w:val="18"/>
                <w:lang w:val="en-US" w:eastAsia="zh-CN"/>
              </w:rPr>
            </w:pPr>
          </w:p>
        </w:tc>
        <w:tc>
          <w:tcPr>
            <w:tcW w:w="134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84.25%</w:t>
            </w:r>
          </w:p>
        </w:tc>
        <w:tc>
          <w:tcPr>
            <w:tcW w:w="1773"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8</w:t>
            </w:r>
          </w:p>
        </w:tc>
      </w:tr>
    </w:tbl>
    <w:p>
      <w:pPr>
        <w:pageBreakBefore w:val="0"/>
        <w:numPr>
          <w:ilvl w:val="0"/>
          <w:numId w:val="5"/>
        </w:numPr>
        <w:kinsoku/>
        <w:wordWrap/>
        <w:overflowPunct/>
        <w:topLinePunct w:val="0"/>
        <w:autoSpaceDE/>
        <w:autoSpaceDN/>
        <w:bidi w:val="0"/>
        <w:adjustRightInd/>
        <w:snapToGrid/>
        <w:spacing w:line="560" w:lineRule="exact"/>
        <w:ind w:left="0" w:leftChars="0"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项目效益情况。</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default"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lang w:val="en-US" w:eastAsia="zh-CN"/>
        </w:rPr>
        <w:t>1.社会效益指标方面：地区各单位查阅资料效率提升，预期指标值有所提升，指标完成值明显提高，指标完成率100%。通过档案事业的正常运行，保证了地区各单位查阅资料效率提升。</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default"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lang w:val="en-US" w:eastAsia="zh-CN"/>
        </w:rPr>
        <w:t>2.可持续影响指标方面：保障档案管理工作正常运行，预期指标值≥90%，指标完成值=92%，指标完成率102%。通过有效提供档案事业经费，有力保障档案管理工作正常运行。</w:t>
      </w:r>
    </w:p>
    <w:p>
      <w:pPr>
        <w:pageBreakBefore w:val="0"/>
        <w:kinsoku/>
        <w:wordWrap/>
        <w:overflowPunct/>
        <w:topLinePunct w:val="0"/>
        <w:autoSpaceDE/>
        <w:autoSpaceDN/>
        <w:bidi w:val="0"/>
        <w:adjustRightInd/>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hint="eastAsia" w:ascii="仿宋_GB2312" w:hAnsi="仿宋_GB2312" w:eastAsia="仿宋_GB2312" w:cs="仿宋_GB2312"/>
          <w:b w:val="0"/>
          <w:bCs w:val="0"/>
          <w:kern w:val="2"/>
          <w:lang w:val="en-US" w:eastAsia="zh-CN"/>
        </w:rPr>
      </w:pPr>
      <w:r>
        <w:rPr>
          <w:rFonts w:hint="eastAsia" w:ascii="楷体" w:hAnsi="楷体" w:eastAsia="楷体"/>
          <w:b/>
          <w:spacing w:val="-4"/>
          <w:sz w:val="32"/>
          <w:szCs w:val="32"/>
        </w:rPr>
        <w:t>（一）主要经验及做法</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lang w:val="en-US" w:eastAsia="zh-CN"/>
        </w:rPr>
        <w:t>针对该项目的实施中我们</w:t>
      </w: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严格坚持先做事、后验收、再拨付的原则，基本杜绝了资金被挤占和挪用现象的发生，跟踪检查到位。财政、纪检等职能部门全面参与专项资金事前、事中和事后全过程的监管。</w:t>
      </w:r>
    </w:p>
    <w:p>
      <w:pPr>
        <w:keepNext/>
        <w:keepLines/>
        <w:pageBreakBefore w:val="0"/>
        <w:numPr>
          <w:ilvl w:val="0"/>
          <w:numId w:val="6"/>
        </w:numPr>
        <w:kinsoku/>
        <w:wordWrap/>
        <w:overflowPunct/>
        <w:topLinePunct w:val="0"/>
        <w:autoSpaceDE/>
        <w:autoSpaceDN/>
        <w:bidi w:val="0"/>
        <w:adjustRightInd/>
        <w:snapToGrid/>
        <w:spacing w:line="560" w:lineRule="exact"/>
        <w:ind w:left="-11" w:leftChars="0" w:firstLine="641" w:firstLineChars="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default"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lang w:val="en-US" w:eastAsia="zh-CN"/>
        </w:rPr>
        <w:t>1、存在的问题：为了保证档案正常入馆，我们还提高了档案数字化录入工作的效率，以保证完成全年的工作任务。本年度档案入馆工作受到不可抗的影响，有延后的情况。</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default"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lang w:val="en-US" w:eastAsia="zh-CN"/>
        </w:rPr>
        <w:t>2、原因分析：本年度由于不可抗因素的影响，各项工作相对延后，但本着认真、负责、尽职的原则，基本按照绩效目标完成了全年的绩效目标任务。</w:t>
      </w:r>
    </w:p>
    <w:p>
      <w:pPr>
        <w:pageBreakBefore w:val="0"/>
        <w:numPr>
          <w:ilvl w:val="0"/>
          <w:numId w:val="7"/>
        </w:numPr>
        <w:kinsoku/>
        <w:wordWrap/>
        <w:overflowPunct/>
        <w:topLinePunct w:val="0"/>
        <w:autoSpaceDE/>
        <w:autoSpaceDN/>
        <w:bidi w:val="0"/>
        <w:adjustRightInd/>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有关建议</w:t>
      </w:r>
    </w:p>
    <w:p>
      <w:pPr>
        <w:pageBreakBefore w:val="0"/>
        <w:numPr>
          <w:ilvl w:val="0"/>
          <w:numId w:val="0"/>
        </w:numPr>
        <w:kinsoku/>
        <w:wordWrap/>
        <w:overflowPunct/>
        <w:topLinePunct w:val="0"/>
        <w:autoSpaceDE/>
        <w:autoSpaceDN/>
        <w:bidi w:val="0"/>
        <w:adjustRightInd/>
        <w:snapToGrid/>
        <w:spacing w:line="560" w:lineRule="exact"/>
        <w:ind w:firstLine="640" w:firstLineChars="200"/>
        <w:contextualSpacing/>
        <w:rPr>
          <w:rFonts w:hint="eastAsia" w:ascii="方正黑体_GBK" w:hAnsi="黑体" w:eastAsia="方正黑体_GBK"/>
          <w:sz w:val="32"/>
          <w:szCs w:val="32"/>
        </w:rPr>
      </w:pPr>
      <w:r>
        <w:rPr>
          <w:rFonts w:hint="eastAsia" w:ascii="仿宋_GB2312" w:hAnsi="仿宋_GB2312" w:eastAsia="仿宋_GB2312" w:cs="仿宋_GB2312"/>
          <w:sz w:val="32"/>
          <w:szCs w:val="32"/>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p>
    <w:p>
      <w:pPr>
        <w:pageBreakBefore w:val="0"/>
        <w:numPr>
          <w:ilvl w:val="0"/>
          <w:numId w:val="7"/>
        </w:numPr>
        <w:kinsoku/>
        <w:wordWrap/>
        <w:overflowPunct/>
        <w:topLinePunct w:val="0"/>
        <w:autoSpaceDE/>
        <w:autoSpaceDN/>
        <w:bidi w:val="0"/>
        <w:adjustRightInd/>
        <w:snapToGrid/>
        <w:spacing w:line="560" w:lineRule="exact"/>
        <w:ind w:left="0" w:leftChars="0" w:firstLine="640" w:firstLineChars="200"/>
        <w:contextualSpacing/>
        <w:rPr>
          <w:rFonts w:hint="eastAsia" w:ascii="方正黑体_GBK" w:hAnsi="黑体" w:eastAsia="方正黑体_GBK"/>
          <w:b/>
          <w:bCs/>
          <w:sz w:val="32"/>
          <w:szCs w:val="32"/>
        </w:rPr>
      </w:pPr>
      <w:r>
        <w:rPr>
          <w:rFonts w:hint="eastAsia" w:ascii="方正黑体_GBK" w:hAnsi="黑体" w:eastAsia="方正黑体_GBK"/>
          <w:b/>
          <w:bCs/>
          <w:sz w:val="32"/>
          <w:szCs w:val="32"/>
        </w:rPr>
        <w:t>其他需要说明的问题</w:t>
      </w:r>
    </w:p>
    <w:p>
      <w:pPr>
        <w:pageBreakBefore w:val="0"/>
        <w:kinsoku/>
        <w:wordWrap/>
        <w:overflowPunct/>
        <w:topLinePunct w:val="0"/>
        <w:autoSpaceDE/>
        <w:autoSpaceDN/>
        <w:bidi w:val="0"/>
        <w:adjustRightInd/>
        <w:snapToGrid/>
        <w:spacing w:line="560" w:lineRule="exact"/>
        <w:ind w:firstLine="624" w:firstLineChars="200"/>
        <w:rPr>
          <w:rFonts w:hint="eastAsia" w:ascii="仿宋" w:hAnsi="仿宋" w:eastAsia="仿宋"/>
          <w:color w:val="000000"/>
          <w:spacing w:val="-4"/>
          <w:sz w:val="32"/>
          <w:szCs w:val="32"/>
          <w:shd w:val="clear" w:color="FFFFFF" w:fill="FFFFFF"/>
          <w:lang w:eastAsia="zh-CN"/>
        </w:rPr>
      </w:pPr>
      <w:r>
        <w:rPr>
          <w:rFonts w:hint="eastAsia" w:ascii="仿宋" w:hAnsi="仿宋" w:eastAsia="仿宋"/>
          <w:color w:val="000000"/>
          <w:spacing w:val="-4"/>
          <w:sz w:val="32"/>
          <w:szCs w:val="32"/>
          <w:shd w:val="clear" w:color="FFFFFF" w:fill="FFFFFF"/>
          <w:lang w:eastAsia="zh-CN"/>
        </w:rPr>
        <w:t>无。</w:t>
      </w:r>
    </w:p>
    <w:p>
      <w:pPr>
        <w:rPr>
          <w:rFonts w:hint="eastAsia" w:ascii="仿宋" w:hAnsi="仿宋" w:eastAsia="仿宋"/>
          <w:color w:val="000000"/>
          <w:spacing w:val="-4"/>
          <w:sz w:val="32"/>
          <w:szCs w:val="32"/>
          <w:shd w:val="clear" w:color="FFFFFF" w:fill="FFFFFF"/>
          <w:lang w:eastAsia="zh-CN"/>
        </w:rPr>
      </w:pPr>
    </w:p>
    <w:p>
      <w:pPr>
        <w:pStyle w:val="2"/>
        <w:rPr>
          <w:rFonts w:hint="eastAsia" w:ascii="仿宋" w:hAnsi="仿宋" w:eastAsia="仿宋"/>
          <w:color w:val="000000"/>
          <w:spacing w:val="-4"/>
          <w:sz w:val="32"/>
          <w:szCs w:val="32"/>
          <w:shd w:val="clear" w:color="FFFFFF" w:fill="FFFFFF"/>
          <w:lang w:eastAsia="zh-CN"/>
        </w:rPr>
      </w:pPr>
    </w:p>
    <w:p>
      <w:pPr>
        <w:rPr>
          <w:rFonts w:hint="eastAsia" w:ascii="仿宋" w:hAnsi="仿宋" w:eastAsia="仿宋"/>
          <w:color w:val="000000"/>
          <w:spacing w:val="-4"/>
          <w:sz w:val="32"/>
          <w:szCs w:val="32"/>
          <w:shd w:val="clear" w:color="FFFFFF" w:fill="FFFFFF"/>
          <w:lang w:eastAsia="zh-CN"/>
        </w:rPr>
      </w:pPr>
    </w:p>
    <w:p>
      <w:pPr>
        <w:pStyle w:val="2"/>
        <w:rPr>
          <w:rFonts w:hint="eastAsia" w:ascii="仿宋" w:hAnsi="仿宋" w:eastAsia="仿宋"/>
          <w:color w:val="000000"/>
          <w:spacing w:val="-4"/>
          <w:sz w:val="32"/>
          <w:szCs w:val="32"/>
          <w:shd w:val="clear" w:color="FFFFFF" w:fill="FFFFFF"/>
          <w:lang w:eastAsia="zh-CN"/>
        </w:rPr>
      </w:pPr>
    </w:p>
    <w:p>
      <w:pPr>
        <w:rPr>
          <w:rFonts w:hint="eastAsia" w:ascii="仿宋" w:hAnsi="仿宋" w:eastAsia="仿宋"/>
          <w:color w:val="000000"/>
          <w:spacing w:val="-4"/>
          <w:sz w:val="32"/>
          <w:szCs w:val="32"/>
          <w:shd w:val="clear" w:color="FFFFFF" w:fill="FFFFFF"/>
          <w:lang w:eastAsia="zh-CN"/>
        </w:rPr>
      </w:pPr>
    </w:p>
    <w:p>
      <w:pPr>
        <w:pStyle w:val="2"/>
        <w:rPr>
          <w:rFonts w:hint="eastAsia" w:ascii="仿宋" w:hAnsi="仿宋" w:eastAsia="仿宋"/>
          <w:color w:val="000000"/>
          <w:spacing w:val="-4"/>
          <w:sz w:val="32"/>
          <w:szCs w:val="32"/>
          <w:shd w:val="clear" w:color="FFFFFF" w:fill="FFFFFF"/>
          <w:lang w:eastAsia="zh-CN"/>
        </w:rPr>
      </w:pPr>
    </w:p>
    <w:p>
      <w:pPr>
        <w:rPr>
          <w:rFonts w:hint="eastAsia" w:ascii="仿宋" w:hAnsi="仿宋" w:eastAsia="仿宋"/>
          <w:color w:val="000000"/>
          <w:spacing w:val="-4"/>
          <w:sz w:val="32"/>
          <w:szCs w:val="32"/>
          <w:shd w:val="clear" w:color="FFFFFF" w:fill="FFFFFF"/>
          <w:lang w:eastAsia="zh-CN"/>
        </w:rPr>
      </w:pPr>
    </w:p>
    <w:p>
      <w:pPr>
        <w:pStyle w:val="2"/>
        <w:rPr>
          <w:rFonts w:hint="eastAsia" w:ascii="仿宋" w:hAnsi="仿宋" w:eastAsia="仿宋"/>
          <w:color w:val="000000"/>
          <w:spacing w:val="-4"/>
          <w:sz w:val="32"/>
          <w:szCs w:val="32"/>
          <w:shd w:val="clear" w:color="FFFFFF" w:fill="FFFFFF"/>
          <w:lang w:eastAsia="zh-CN"/>
        </w:rPr>
      </w:pPr>
    </w:p>
    <w:p>
      <w:pPr>
        <w:rPr>
          <w:rFonts w:hint="eastAsia" w:ascii="仿宋" w:hAnsi="仿宋" w:eastAsia="仿宋"/>
          <w:color w:val="000000"/>
          <w:spacing w:val="-4"/>
          <w:sz w:val="32"/>
          <w:szCs w:val="32"/>
          <w:shd w:val="clear" w:color="FFFFFF" w:fill="FFFFFF"/>
          <w:lang w:eastAsia="zh-CN"/>
        </w:rPr>
      </w:pPr>
    </w:p>
    <w:p>
      <w:pPr>
        <w:pStyle w:val="2"/>
        <w:rPr>
          <w:rFonts w:hint="eastAsia" w:ascii="仿宋" w:hAnsi="仿宋" w:eastAsia="仿宋"/>
          <w:color w:val="000000"/>
          <w:spacing w:val="-4"/>
          <w:sz w:val="32"/>
          <w:szCs w:val="32"/>
          <w:shd w:val="clear" w:color="FFFFFF" w:fill="FFFFFF"/>
          <w:lang w:eastAsia="zh-CN"/>
        </w:rPr>
      </w:pPr>
    </w:p>
    <w:p>
      <w:pPr>
        <w:rPr>
          <w:rFonts w:hint="eastAsia" w:ascii="仿宋" w:hAnsi="仿宋" w:eastAsia="仿宋"/>
          <w:color w:val="000000"/>
          <w:spacing w:val="-4"/>
          <w:sz w:val="32"/>
          <w:szCs w:val="32"/>
          <w:shd w:val="clear" w:color="FFFFFF" w:fill="FFFFFF"/>
          <w:lang w:eastAsia="zh-CN"/>
        </w:rPr>
      </w:pPr>
    </w:p>
    <w:p>
      <w:pPr>
        <w:pStyle w:val="2"/>
        <w:rPr>
          <w:rFonts w:hint="eastAsia" w:ascii="仿宋" w:hAnsi="仿宋" w:eastAsia="仿宋"/>
          <w:color w:val="000000"/>
          <w:spacing w:val="-4"/>
          <w:sz w:val="32"/>
          <w:szCs w:val="32"/>
          <w:shd w:val="clear" w:color="FFFFFF" w:fill="FFFFFF"/>
          <w:lang w:eastAsia="zh-CN"/>
        </w:rPr>
      </w:pPr>
    </w:p>
    <w:p>
      <w:pPr>
        <w:rPr>
          <w:rFonts w:hint="eastAsia" w:ascii="仿宋" w:hAnsi="仿宋" w:eastAsia="仿宋"/>
          <w:color w:val="000000"/>
          <w:spacing w:val="-4"/>
          <w:sz w:val="32"/>
          <w:szCs w:val="32"/>
          <w:shd w:val="clear" w:color="FFFFFF" w:fill="FFFFFF"/>
          <w:lang w:eastAsia="zh-CN"/>
        </w:rPr>
      </w:pPr>
    </w:p>
    <w:p>
      <w:pPr>
        <w:pStyle w:val="2"/>
        <w:rPr>
          <w:rFonts w:hint="eastAsia"/>
          <w:lang w:eastAsia="zh-CN"/>
        </w:rPr>
      </w:pPr>
    </w:p>
    <w:p>
      <w:pPr>
        <w:rPr>
          <w:rFonts w:hint="eastAsia" w:ascii="仿宋" w:hAnsi="仿宋" w:eastAsia="仿宋"/>
          <w:color w:val="000000"/>
          <w:spacing w:val="-4"/>
          <w:sz w:val="32"/>
          <w:szCs w:val="32"/>
          <w:shd w:val="clear" w:color="FFFFFF" w:fill="FFFFFF"/>
          <w:lang w:eastAsia="zh-CN"/>
        </w:rPr>
      </w:pPr>
    </w:p>
    <w:p>
      <w:pPr>
        <w:pStyle w:val="2"/>
        <w:rPr>
          <w:rFonts w:hint="eastAsia"/>
          <w:lang w:eastAsia="zh-CN"/>
        </w:rPr>
      </w:pPr>
    </w:p>
    <w:tbl>
      <w:tblPr>
        <w:tblStyle w:val="8"/>
        <w:tblW w:w="937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1680"/>
        <w:gridCol w:w="465"/>
        <w:gridCol w:w="1350"/>
      </w:tblGrid>
      <w:tr>
        <w:tblPrEx>
          <w:shd w:val="clear" w:color="auto" w:fill="auto"/>
          <w:tblCellMar>
            <w:top w:w="0" w:type="dxa"/>
            <w:left w:w="0" w:type="dxa"/>
            <w:bottom w:w="0" w:type="dxa"/>
            <w:right w:w="0" w:type="dxa"/>
          </w:tblCellMar>
        </w:tblPrEx>
        <w:trPr>
          <w:trHeight w:val="409" w:hRule="atLeast"/>
        </w:trPr>
        <w:tc>
          <w:tcPr>
            <w:tcW w:w="937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37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375"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档案事业费</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塔城地区档案馆</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19.2</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19.2</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18.09</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94.19%</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19.20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19.20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18.09</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34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档案案馆属于无收费项目单位,承担着接收征集各门类档案,丰富馆藏,档案保管保护、档案开发利用等方面的工作，再加上目前各项费用标准提高，物价上涨，单位本年仅有60000元经费，工作经费严重不足，已影响正常工作开展，现申请档案事业费70000元，用于档案的征集、保管保护和抢救提供利用费用。同时，地市档案馆综合楼于2016年建成使用，为保证保证我单位档案工作正常开展运行证需要申请保安费7.2万元，水费1.0万元，电费1.8万元。</w:t>
            </w: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档案案馆属于无收费项目单位,承担着接收征集各门类档案,丰富馆藏,档案保管保护、档案开发利用等方面的工作，再加上目前各项费用标准提高，物价上涨，单位本年仅有60000元经费，工作经费严重不足，已影响正常工作开展，现申请档案事业费70000元，用于档案的征集、保管保护和抢救提供利用费用。同时，地市档案馆综合楼于2016年建成使用，为保证保证我单位档案工作正常开展运行证需要申请保安费7.2万元，水费1.0万元，电费1.8万元。</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21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保安人数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≥2人</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2人</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档案数字扫描人数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≥20人</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20人</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档案数字扫描完成率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水、电费、劳务费按月支付及时率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劳务费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≤14.2万元</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14.2万元</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≤1万元</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1万元</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≤1.8万元</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0.68万元</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不可抗</w:t>
            </w:r>
            <w:r>
              <w:rPr>
                <w:rFonts w:hint="eastAsia" w:ascii="宋体" w:hAnsi="宋体" w:eastAsia="宋体" w:cs="宋体"/>
                <w:i w:val="0"/>
                <w:color w:val="000000"/>
                <w:kern w:val="0"/>
                <w:sz w:val="18"/>
                <w:szCs w:val="18"/>
                <w:u w:val="none"/>
                <w:lang w:val="en-US" w:eastAsia="zh-CN" w:bidi="ar"/>
              </w:rPr>
              <w:t>影响，工作延迟。</w:t>
            </w: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设备购置费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≤2.2万元</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2.2万元</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地区各单位查阅资料效率提升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明显提升</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保障档案管理工作正常运行</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地直各单位查阅资料人员满意度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不可抗</w:t>
            </w:r>
            <w:r>
              <w:rPr>
                <w:rFonts w:hint="eastAsia" w:ascii="宋体" w:hAnsi="宋体" w:eastAsia="宋体" w:cs="宋体"/>
                <w:i w:val="0"/>
                <w:color w:val="000000"/>
                <w:kern w:val="0"/>
                <w:sz w:val="18"/>
                <w:szCs w:val="18"/>
                <w:u w:val="none"/>
                <w:lang w:val="en-US" w:eastAsia="zh-CN" w:bidi="ar"/>
              </w:rPr>
              <w:t>影响，工作延迟。</w:t>
            </w:r>
          </w:p>
        </w:tc>
      </w:tr>
    </w:tbl>
    <w:p>
      <w:pPr>
        <w:pStyle w:val="2"/>
        <w:rPr>
          <w:rFonts w:hint="eastAsia"/>
          <w:lang w:val="en-US" w:eastAsia="zh-CN"/>
        </w:rPr>
        <w:sectPr>
          <w:headerReference r:id="rId3" w:type="default"/>
          <w:footerReference r:id="rId5" w:type="default"/>
          <w:headerReference r:id="rId4" w:type="even"/>
          <w:footerReference r:id="rId6" w:type="even"/>
          <w:pgSz w:w="11906" w:h="16838"/>
          <w:pgMar w:top="2098" w:right="1531" w:bottom="1985" w:left="1531" w:header="851" w:footer="992" w:gutter="0"/>
          <w:pgBorders>
            <w:top w:val="none" w:sz="0" w:space="0"/>
            <w:left w:val="none" w:sz="0" w:space="0"/>
            <w:bottom w:val="none" w:sz="0" w:space="0"/>
            <w:right w:val="none" w:sz="0" w:space="0"/>
          </w:pgBorders>
          <w:pgNumType w:fmt="decimal"/>
          <w:cols w:space="720" w:num="1"/>
          <w:docGrid w:type="lines" w:linePitch="579" w:charSpace="-1675"/>
        </w:sectPr>
      </w:pPr>
    </w:p>
    <w:tbl>
      <w:tblPr>
        <w:tblStyle w:val="8"/>
        <w:tblpPr w:leftFromText="180" w:rightFromText="180" w:vertAnchor="text" w:horzAnchor="page" w:tblpX="1010" w:tblpY="320"/>
        <w:tblOverlap w:val="never"/>
        <w:tblW w:w="989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98"/>
        <w:gridCol w:w="984"/>
        <w:gridCol w:w="1275"/>
        <w:gridCol w:w="1697"/>
        <w:gridCol w:w="723"/>
        <w:gridCol w:w="1038"/>
        <w:gridCol w:w="919"/>
        <w:gridCol w:w="1208"/>
        <w:gridCol w:w="9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9" w:hRule="atLeast"/>
          <w:tblHeader/>
        </w:trPr>
        <w:tc>
          <w:tcPr>
            <w:tcW w:w="1098" w:type="dxa"/>
            <w:shd w:val="clear" w:color="auto" w:fill="BFBFBF"/>
            <w:vAlign w:val="center"/>
          </w:tcPr>
          <w:p>
            <w:pPr>
              <w:widowControl/>
              <w:spacing w:line="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84"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75"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697"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3"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38"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19"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08"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54"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8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lang w:val="en-US" w:eastAsia="zh-CN"/>
              </w:rPr>
              <w:t>20</w:t>
            </w:r>
            <w:r>
              <w:rPr>
                <w:rFonts w:hint="eastAsia" w:ascii="宋体" w:hAnsi="宋体" w:cs="宋体"/>
                <w:kern w:val="0"/>
                <w:sz w:val="22"/>
                <w:szCs w:val="22"/>
              </w:rPr>
              <w:t>分</w:t>
            </w:r>
          </w:p>
        </w:tc>
        <w:tc>
          <w:tcPr>
            <w:tcW w:w="1275"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3"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3</w:t>
            </w:r>
          </w:p>
        </w:tc>
        <w:tc>
          <w:tcPr>
            <w:tcW w:w="103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有立项文件</w:t>
            </w:r>
          </w:p>
        </w:tc>
        <w:tc>
          <w:tcPr>
            <w:tcW w:w="919"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有立项文件</w:t>
            </w:r>
          </w:p>
        </w:tc>
        <w:tc>
          <w:tcPr>
            <w:tcW w:w="120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3"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3</w:t>
            </w:r>
          </w:p>
        </w:tc>
        <w:tc>
          <w:tcPr>
            <w:tcW w:w="103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按照项目要求立项</w:t>
            </w:r>
          </w:p>
        </w:tc>
        <w:tc>
          <w:tcPr>
            <w:tcW w:w="919"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按照项目要求立项</w:t>
            </w:r>
          </w:p>
        </w:tc>
        <w:tc>
          <w:tcPr>
            <w:tcW w:w="120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3"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3</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结合项目内容制定目标</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结合项目内容制定目标</w:t>
            </w:r>
          </w:p>
        </w:tc>
        <w:tc>
          <w:tcPr>
            <w:tcW w:w="120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3"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3</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对各项内容制定对应指标</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对各项内容制定对应指标</w:t>
            </w:r>
          </w:p>
        </w:tc>
        <w:tc>
          <w:tcPr>
            <w:tcW w:w="120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75"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3"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4</w:t>
            </w:r>
          </w:p>
        </w:tc>
        <w:tc>
          <w:tcPr>
            <w:tcW w:w="103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按预算管理要求进行编制</w:t>
            </w:r>
          </w:p>
        </w:tc>
        <w:tc>
          <w:tcPr>
            <w:tcW w:w="919"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按预算管理要求进行编制</w:t>
            </w:r>
          </w:p>
        </w:tc>
        <w:tc>
          <w:tcPr>
            <w:tcW w:w="1208"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3"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4</w:t>
            </w:r>
          </w:p>
        </w:tc>
        <w:tc>
          <w:tcPr>
            <w:tcW w:w="103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合理分配</w:t>
            </w:r>
          </w:p>
        </w:tc>
        <w:tc>
          <w:tcPr>
            <w:tcW w:w="919"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合理分配</w:t>
            </w:r>
          </w:p>
        </w:tc>
        <w:tc>
          <w:tcPr>
            <w:tcW w:w="1208"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8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lang w:val="en-US" w:eastAsia="zh-CN"/>
              </w:rPr>
              <w:t>20</w:t>
            </w:r>
            <w:r>
              <w:rPr>
                <w:rFonts w:hint="eastAsia" w:ascii="宋体" w:hAnsi="宋体" w:cs="宋体"/>
                <w:kern w:val="0"/>
                <w:sz w:val="22"/>
                <w:szCs w:val="22"/>
              </w:rPr>
              <w:t>分</w:t>
            </w:r>
          </w:p>
        </w:tc>
        <w:tc>
          <w:tcPr>
            <w:tcW w:w="1275"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3"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4</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08"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75"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4</w:t>
            </w:r>
          </w:p>
        </w:tc>
        <w:tc>
          <w:tcPr>
            <w:tcW w:w="103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9"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94.16%</w:t>
            </w:r>
          </w:p>
        </w:tc>
        <w:tc>
          <w:tcPr>
            <w:tcW w:w="120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94%</w:t>
            </w:r>
          </w:p>
        </w:tc>
        <w:tc>
          <w:tcPr>
            <w:tcW w:w="954"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3"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4</w:t>
            </w:r>
          </w:p>
        </w:tc>
        <w:tc>
          <w:tcPr>
            <w:tcW w:w="1038"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专款专用</w:t>
            </w:r>
          </w:p>
        </w:tc>
        <w:tc>
          <w:tcPr>
            <w:tcW w:w="919" w:type="dxa"/>
            <w:shd w:val="clear" w:color="000000" w:fill="FFFFFF"/>
            <w:vAlign w:val="center"/>
          </w:tcPr>
          <w:p>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专款专用</w:t>
            </w:r>
          </w:p>
        </w:tc>
        <w:tc>
          <w:tcPr>
            <w:tcW w:w="1208"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75"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3"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4</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建立和健全各项制度</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建立和健全各项制度</w:t>
            </w:r>
          </w:p>
        </w:tc>
        <w:tc>
          <w:tcPr>
            <w:tcW w:w="1208"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3"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4</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严格按照制度执行</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严格按照制度执行</w:t>
            </w:r>
          </w:p>
        </w:tc>
        <w:tc>
          <w:tcPr>
            <w:tcW w:w="1208"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8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lang w:val="en-US" w:eastAsia="zh-CN"/>
              </w:rPr>
              <w:t>40</w:t>
            </w:r>
            <w:r>
              <w:rPr>
                <w:rFonts w:hint="eastAsia" w:ascii="宋体" w:hAnsi="宋体" w:cs="宋体"/>
                <w:kern w:val="0"/>
                <w:sz w:val="22"/>
                <w:szCs w:val="22"/>
              </w:rPr>
              <w:t>分</w:t>
            </w:r>
          </w:p>
        </w:tc>
        <w:tc>
          <w:tcPr>
            <w:tcW w:w="127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3"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0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3"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0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75"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3"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0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3"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80%</w:t>
            </w:r>
          </w:p>
        </w:tc>
        <w:tc>
          <w:tcPr>
            <w:tcW w:w="120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80%</w:t>
            </w:r>
          </w:p>
        </w:tc>
        <w:tc>
          <w:tcPr>
            <w:tcW w:w="95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1" w:hRule="atLeast"/>
        </w:trPr>
        <w:tc>
          <w:tcPr>
            <w:tcW w:w="1098"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8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2</w:t>
            </w:r>
            <w:r>
              <w:rPr>
                <w:rFonts w:hint="eastAsia" w:ascii="宋体" w:hAnsi="宋体" w:cs="宋体"/>
                <w:color w:val="000000"/>
                <w:kern w:val="0"/>
                <w:sz w:val="22"/>
                <w:szCs w:val="22"/>
              </w:rPr>
              <w:t>0分</w:t>
            </w:r>
          </w:p>
        </w:tc>
        <w:tc>
          <w:tcPr>
            <w:tcW w:w="1275"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3"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03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效益提高</w:t>
            </w:r>
          </w:p>
        </w:tc>
        <w:tc>
          <w:tcPr>
            <w:tcW w:w="919"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微小提高</w:t>
            </w:r>
          </w:p>
        </w:tc>
        <w:tc>
          <w:tcPr>
            <w:tcW w:w="1208"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90%</w:t>
            </w:r>
          </w:p>
        </w:tc>
        <w:tc>
          <w:tcPr>
            <w:tcW w:w="954"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0" w:hRule="atLeast"/>
        </w:trPr>
        <w:tc>
          <w:tcPr>
            <w:tcW w:w="1098"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8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75"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69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3"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达标</w:t>
            </w:r>
          </w:p>
        </w:tc>
        <w:tc>
          <w:tcPr>
            <w:tcW w:w="919"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达标</w:t>
            </w:r>
          </w:p>
        </w:tc>
        <w:tc>
          <w:tcPr>
            <w:tcW w:w="1208"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5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jc w:val="both"/>
        <w:rPr>
          <w:rFonts w:hint="eastAsia" w:ascii="仿宋" w:hAnsi="仿宋" w:eastAsia="仿宋"/>
          <w:color w:val="000000"/>
          <w:spacing w:val="-4"/>
          <w:sz w:val="32"/>
          <w:szCs w:val="32"/>
          <w:shd w:val="clear" w:color="FFFFFF" w:fill="FFFFFF"/>
          <w:lang w:eastAsia="zh-CN"/>
        </w:rPr>
      </w:pPr>
    </w:p>
    <w:sectPr>
      <w:pgSz w:w="11906" w:h="16838"/>
      <w:pgMar w:top="2098" w:right="1531" w:bottom="1985" w:left="1531" w:header="851" w:footer="992" w:gutter="0"/>
      <w:pgBorders>
        <w:top w:val="none" w:sz="0" w:space="0"/>
        <w:left w:val="none" w:sz="0" w:space="0"/>
        <w:bottom w:val="none" w:sz="0" w:space="0"/>
        <w:right w:val="none" w:sz="0" w:space="0"/>
      </w:pgBorders>
      <w:pgNumType w:fmt="decimal"/>
      <w:cols w:space="720" w:num="1"/>
      <w:docGrid w:type="lines" w:linePitch="579"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3E58C"/>
    <w:multiLevelType w:val="singleLevel"/>
    <w:tmpl w:val="DAB3E58C"/>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pPr>
        <w:ind w:left="-11"/>
      </w:pPr>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730CCE4"/>
    <w:multiLevelType w:val="singleLevel"/>
    <w:tmpl w:val="3730CCE4"/>
    <w:lvl w:ilvl="0" w:tentative="0">
      <w:start w:val="2"/>
      <w:numFmt w:val="decimal"/>
      <w:suff w:val="nothing"/>
      <w:lvlText w:val="（%1）"/>
      <w:lvlJc w:val="left"/>
    </w:lvl>
  </w:abstractNum>
  <w:abstractNum w:abstractNumId="6">
    <w:nsid w:val="5EB42F67"/>
    <w:multiLevelType w:val="singleLevel"/>
    <w:tmpl w:val="5EB42F67"/>
    <w:lvl w:ilvl="0" w:tentative="0">
      <w:start w:val="2"/>
      <w:numFmt w:val="chineseCounting"/>
      <w:suff w:val="nothing"/>
      <w:lvlText w:val="（%1）"/>
      <w:lvlJc w:val="left"/>
      <w:rPr>
        <w:rFonts w:hint="eastAsia"/>
      </w:rPr>
    </w:lvl>
  </w:abstractNum>
  <w:num w:numId="1">
    <w:abstractNumId w:val="5"/>
  </w:num>
  <w:num w:numId="2">
    <w:abstractNumId w:val="2"/>
  </w:num>
  <w:num w:numId="3">
    <w:abstractNumId w:val="1"/>
  </w:num>
  <w:num w:numId="4">
    <w:abstractNumId w:val="4"/>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0"/>
  <w:bordersDoNotSurroundFooter w:val="0"/>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58"/>
    <w:rsid w:val="000F4112"/>
    <w:rsid w:val="002A77DA"/>
    <w:rsid w:val="003F29C1"/>
    <w:rsid w:val="006C323A"/>
    <w:rsid w:val="006D0058"/>
    <w:rsid w:val="006D391A"/>
    <w:rsid w:val="00714386"/>
    <w:rsid w:val="00725034"/>
    <w:rsid w:val="008C1578"/>
    <w:rsid w:val="008F6E3C"/>
    <w:rsid w:val="00903670"/>
    <w:rsid w:val="00913A39"/>
    <w:rsid w:val="00B27295"/>
    <w:rsid w:val="083D18E9"/>
    <w:rsid w:val="0D39430A"/>
    <w:rsid w:val="117C0D76"/>
    <w:rsid w:val="16295E3E"/>
    <w:rsid w:val="16403469"/>
    <w:rsid w:val="1A325FC9"/>
    <w:rsid w:val="1DFA21B9"/>
    <w:rsid w:val="265B3C9F"/>
    <w:rsid w:val="27963893"/>
    <w:rsid w:val="29CA190D"/>
    <w:rsid w:val="2A901E2D"/>
    <w:rsid w:val="30026FCB"/>
    <w:rsid w:val="32C3240A"/>
    <w:rsid w:val="32EF713F"/>
    <w:rsid w:val="34CC69E4"/>
    <w:rsid w:val="37E55993"/>
    <w:rsid w:val="40976C0F"/>
    <w:rsid w:val="426960DB"/>
    <w:rsid w:val="46FE5782"/>
    <w:rsid w:val="47B80CDE"/>
    <w:rsid w:val="47D31F58"/>
    <w:rsid w:val="53EF3B20"/>
    <w:rsid w:val="57F25AC3"/>
    <w:rsid w:val="59FF6832"/>
    <w:rsid w:val="5B153EE2"/>
    <w:rsid w:val="5B2E44D5"/>
    <w:rsid w:val="66913021"/>
    <w:rsid w:val="685B5A30"/>
    <w:rsid w:val="6AB96B41"/>
    <w:rsid w:val="6E192389"/>
    <w:rsid w:val="6F580F17"/>
    <w:rsid w:val="702765C1"/>
    <w:rsid w:val="75DE55DC"/>
    <w:rsid w:val="77031DBA"/>
    <w:rsid w:val="792B16A0"/>
    <w:rsid w:val="7D1609F0"/>
    <w:rsid w:val="7E05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semiHidden/>
    <w:unhideWhenUsed/>
    <w:qFormat/>
    <w:uiPriority w:val="99"/>
    <w:pPr>
      <w:jc w:val="left"/>
    </w:pPr>
  </w:style>
  <w:style w:type="paragraph" w:styleId="5">
    <w:name w:val="footer"/>
    <w:basedOn w:val="1"/>
    <w:link w:val="12"/>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spacing w:before="100" w:beforeAutospacing="1" w:after="100" w:afterAutospacing="1"/>
      <w:jc w:val="left"/>
    </w:pPr>
    <w:rPr>
      <w:sz w:val="24"/>
      <w:lang w:bidi="ar"/>
    </w:rPr>
  </w:style>
  <w:style w:type="character" w:styleId="10">
    <w:name w:val="Strong"/>
    <w:basedOn w:val="9"/>
    <w:qFormat/>
    <w:uiPriority w:val="0"/>
    <w:rPr>
      <w:b/>
      <w:bCs/>
    </w:rPr>
  </w:style>
  <w:style w:type="character" w:customStyle="1" w:styleId="11">
    <w:name w:val="页脚 Char"/>
    <w:link w:val="5"/>
    <w:qFormat/>
    <w:uiPriority w:val="99"/>
    <w:rPr>
      <w:rFonts w:eastAsia="黑体"/>
      <w:sz w:val="18"/>
      <w:szCs w:val="18"/>
    </w:rPr>
  </w:style>
  <w:style w:type="character" w:customStyle="1" w:styleId="12">
    <w:name w:val="页脚 Char1"/>
    <w:basedOn w:val="9"/>
    <w:link w:val="5"/>
    <w:semiHidden/>
    <w:qFormat/>
    <w:uiPriority w:val="99"/>
    <w:rPr>
      <w:rFonts w:ascii="Calibri" w:hAnsi="Calibri" w:eastAsia="宋体" w:cs="Times New Roman"/>
      <w:sz w:val="18"/>
      <w:szCs w:val="18"/>
    </w:rPr>
  </w:style>
  <w:style w:type="paragraph" w:customStyle="1" w:styleId="13">
    <w:name w:val="闻政-正文段落文字"/>
    <w:basedOn w:val="1"/>
    <w:qFormat/>
    <w:uiPriority w:val="3"/>
    <w:pPr>
      <w:spacing w:line="500" w:lineRule="exact"/>
      <w:ind w:firstLine="200"/>
    </w:pPr>
    <w:rPr>
      <w:rFonts w:ascii="Times New Roman" w:hAnsi="Times New Roman" w:cs="Times New Roman"/>
      <w:kern w:val="0"/>
      <w:szCs w:val="28"/>
    </w:rPr>
  </w:style>
  <w:style w:type="paragraph" w:styleId="14">
    <w:name w:val="List Paragraph"/>
    <w:basedOn w:val="1"/>
    <w:qFormat/>
    <w:uiPriority w:val="99"/>
    <w:pPr>
      <w:ind w:firstLine="420" w:firstLineChars="200"/>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42</Words>
  <Characters>243</Characters>
  <Lines>2</Lines>
  <Paragraphs>1</Paragraphs>
  <TotalTime>31</TotalTime>
  <ScaleCrop>false</ScaleCrop>
  <LinksUpToDate>false</LinksUpToDate>
  <CharactersWithSpaces>284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Administrator</cp:lastModifiedBy>
  <dcterms:modified xsi:type="dcterms:W3CDTF">2025-09-17T04:31:14Z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AA44D4A2D6FF41B29384D2A5023478C9</vt:lpwstr>
  </property>
  <property fmtid="{D5CDD505-2E9C-101B-9397-08002B2CF9AE}" pid="4" name="KSOSaveFontToCloudKey">
    <vt:lpwstr>462561243_btnclosed</vt:lpwstr>
  </property>
</Properties>
</file>