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762AF">
      <w:pPr>
        <w:pageBreakBefore w:val="0"/>
        <w:kinsoku/>
        <w:wordWrap/>
        <w:overflowPunct/>
        <w:topLinePunct w:val="0"/>
        <w:autoSpaceDE/>
        <w:autoSpaceDN/>
        <w:bidi w:val="0"/>
        <w:adjustRightInd/>
        <w:snapToGrid/>
        <w:spacing w:line="560" w:lineRule="exact"/>
        <w:jc w:val="center"/>
        <w:textAlignment w:val="auto"/>
        <w:rPr>
          <w:rFonts w:ascii="华文中宋" w:eastAsia="华文中宋" w:cs="宋体"/>
          <w:b/>
          <w:kern w:val="0"/>
          <w:sz w:val="52"/>
          <w:szCs w:val="52"/>
          <w:highlight w:val="none"/>
        </w:rPr>
      </w:pPr>
    </w:p>
    <w:p w14:paraId="39F455D5">
      <w:pPr>
        <w:pageBreakBefore w:val="0"/>
        <w:kinsoku/>
        <w:wordWrap/>
        <w:overflowPunct/>
        <w:topLinePunct w:val="0"/>
        <w:autoSpaceDE/>
        <w:autoSpaceDN/>
        <w:bidi w:val="0"/>
        <w:adjustRightInd/>
        <w:snapToGrid/>
        <w:spacing w:line="560" w:lineRule="exact"/>
        <w:jc w:val="center"/>
        <w:textAlignment w:val="auto"/>
        <w:rPr>
          <w:rFonts w:ascii="华文中宋" w:eastAsia="华文中宋" w:cs="宋体"/>
          <w:b/>
          <w:kern w:val="0"/>
          <w:sz w:val="52"/>
          <w:szCs w:val="52"/>
          <w:highlight w:val="none"/>
        </w:rPr>
      </w:pPr>
    </w:p>
    <w:p w14:paraId="2D735C2D">
      <w:pPr>
        <w:pageBreakBefore w:val="0"/>
        <w:kinsoku/>
        <w:wordWrap/>
        <w:overflowPunct/>
        <w:topLinePunct w:val="0"/>
        <w:autoSpaceDE/>
        <w:autoSpaceDN/>
        <w:bidi w:val="0"/>
        <w:adjustRightInd/>
        <w:snapToGrid/>
        <w:spacing w:line="560" w:lineRule="exact"/>
        <w:jc w:val="center"/>
        <w:textAlignment w:val="auto"/>
        <w:rPr>
          <w:rFonts w:ascii="华文中宋" w:eastAsia="华文中宋" w:cs="宋体"/>
          <w:b/>
          <w:kern w:val="0"/>
          <w:sz w:val="52"/>
          <w:szCs w:val="52"/>
          <w:highlight w:val="none"/>
        </w:rPr>
      </w:pPr>
    </w:p>
    <w:p w14:paraId="26E2178A">
      <w:pPr>
        <w:pageBreakBefore w:val="0"/>
        <w:kinsoku/>
        <w:wordWrap/>
        <w:overflowPunct/>
        <w:topLinePunct w:val="0"/>
        <w:autoSpaceDE/>
        <w:autoSpaceDN/>
        <w:bidi w:val="0"/>
        <w:adjustRightInd/>
        <w:snapToGrid/>
        <w:spacing w:line="560" w:lineRule="exact"/>
        <w:jc w:val="center"/>
        <w:textAlignment w:val="auto"/>
        <w:rPr>
          <w:rFonts w:ascii="华文中宋" w:eastAsia="华文中宋" w:cs="宋体"/>
          <w:b/>
          <w:kern w:val="0"/>
          <w:sz w:val="52"/>
          <w:szCs w:val="52"/>
          <w:highlight w:val="none"/>
        </w:rPr>
      </w:pPr>
    </w:p>
    <w:p w14:paraId="6B06B13A">
      <w:pPr>
        <w:pageBreakBefore w:val="0"/>
        <w:kinsoku/>
        <w:wordWrap/>
        <w:overflowPunct/>
        <w:topLinePunct w:val="0"/>
        <w:autoSpaceDE/>
        <w:autoSpaceDN/>
        <w:bidi w:val="0"/>
        <w:adjustRightInd/>
        <w:snapToGrid/>
        <w:spacing w:line="560" w:lineRule="exact"/>
        <w:jc w:val="center"/>
        <w:textAlignment w:val="auto"/>
        <w:rPr>
          <w:rFonts w:ascii="华文中宋" w:eastAsia="华文中宋" w:cs="宋体"/>
          <w:b/>
          <w:kern w:val="0"/>
          <w:sz w:val="52"/>
          <w:szCs w:val="52"/>
          <w:highlight w:val="none"/>
        </w:rPr>
      </w:pPr>
    </w:p>
    <w:p w14:paraId="294414DC">
      <w:pPr>
        <w:pageBreakBefore w:val="0"/>
        <w:kinsoku/>
        <w:wordWrap/>
        <w:overflowPunct/>
        <w:topLinePunct w:val="0"/>
        <w:autoSpaceDE/>
        <w:autoSpaceDN/>
        <w:bidi w:val="0"/>
        <w:adjustRightInd/>
        <w:snapToGrid/>
        <w:spacing w:line="560" w:lineRule="exact"/>
        <w:jc w:val="center"/>
        <w:textAlignment w:val="auto"/>
        <w:rPr>
          <w:rFonts w:ascii="华文中宋" w:eastAsia="华文中宋" w:cs="宋体"/>
          <w:b/>
          <w:kern w:val="0"/>
          <w:sz w:val="52"/>
          <w:szCs w:val="52"/>
          <w:highlight w:val="none"/>
        </w:rPr>
      </w:pPr>
    </w:p>
    <w:p w14:paraId="4DE08D55">
      <w:pPr>
        <w:pageBreakBefore w:val="0"/>
        <w:kinsoku/>
        <w:wordWrap/>
        <w:overflowPunct/>
        <w:topLinePunct w:val="0"/>
        <w:autoSpaceDE/>
        <w:autoSpaceDN/>
        <w:bidi w:val="0"/>
        <w:adjustRightInd/>
        <w:snapToGrid/>
        <w:spacing w:line="560" w:lineRule="exact"/>
        <w:jc w:val="center"/>
        <w:textAlignment w:val="auto"/>
        <w:rPr>
          <w:rFonts w:ascii="方正小标宋_GBK" w:eastAsia="方正小标宋_GBK" w:cs="宋体"/>
          <w:kern w:val="0"/>
          <w:sz w:val="48"/>
          <w:szCs w:val="48"/>
          <w:highlight w:val="none"/>
        </w:rPr>
      </w:pPr>
      <w:r>
        <w:rPr>
          <w:rFonts w:ascii="方正小标宋_GBK" w:eastAsia="方正小标宋_GBK" w:cs="宋体"/>
          <w:kern w:val="0"/>
          <w:sz w:val="48"/>
          <w:szCs w:val="48"/>
          <w:highlight w:val="none"/>
        </w:rPr>
        <w:t>印刷费</w:t>
      </w:r>
      <w:r>
        <w:rPr>
          <w:rFonts w:hint="eastAsia" w:ascii="方正小标宋_GBK" w:eastAsia="方正小标宋_GBK" w:cs="宋体"/>
          <w:kern w:val="0"/>
          <w:sz w:val="48"/>
          <w:szCs w:val="48"/>
          <w:highlight w:val="none"/>
        </w:rPr>
        <w:t>资金项目支出绩效评价</w:t>
      </w:r>
    </w:p>
    <w:p w14:paraId="4E3DC3DF">
      <w:pPr>
        <w:pageBreakBefore w:val="0"/>
        <w:kinsoku/>
        <w:wordWrap/>
        <w:overflowPunct/>
        <w:topLinePunct w:val="0"/>
        <w:autoSpaceDE/>
        <w:autoSpaceDN/>
        <w:bidi w:val="0"/>
        <w:adjustRightInd/>
        <w:snapToGrid/>
        <w:spacing w:line="560" w:lineRule="exact"/>
        <w:jc w:val="center"/>
        <w:textAlignment w:val="auto"/>
        <w:rPr>
          <w:rFonts w:ascii="方正小标宋_GBK" w:eastAsia="方正小标宋_GBK" w:cs="宋体"/>
          <w:kern w:val="0"/>
          <w:sz w:val="48"/>
          <w:szCs w:val="48"/>
          <w:highlight w:val="none"/>
        </w:rPr>
      </w:pPr>
      <w:r>
        <w:rPr>
          <w:rFonts w:hint="eastAsia" w:ascii="方正小标宋_GBK" w:eastAsia="方正小标宋_GBK" w:cs="宋体"/>
          <w:kern w:val="0"/>
          <w:sz w:val="48"/>
          <w:szCs w:val="48"/>
          <w:highlight w:val="none"/>
        </w:rPr>
        <w:t>报告</w:t>
      </w:r>
    </w:p>
    <w:p w14:paraId="52067AAB">
      <w:pPr>
        <w:pageBreakBefore w:val="0"/>
        <w:kinsoku/>
        <w:wordWrap/>
        <w:overflowPunct/>
        <w:topLinePunct w:val="0"/>
        <w:autoSpaceDE/>
        <w:autoSpaceDN/>
        <w:bidi w:val="0"/>
        <w:adjustRightInd/>
        <w:snapToGrid/>
        <w:spacing w:line="560" w:lineRule="exact"/>
        <w:jc w:val="center"/>
        <w:textAlignment w:val="auto"/>
        <w:rPr>
          <w:rFonts w:ascii="华文中宋" w:eastAsia="华文中宋" w:cs="宋体"/>
          <w:b/>
          <w:kern w:val="0"/>
          <w:sz w:val="52"/>
          <w:szCs w:val="52"/>
          <w:highlight w:val="none"/>
        </w:rPr>
      </w:pPr>
    </w:p>
    <w:p w14:paraId="34B9950F">
      <w:pPr>
        <w:pageBreakBefore w:val="0"/>
        <w:kinsoku/>
        <w:wordWrap/>
        <w:overflowPunct/>
        <w:topLinePunct w:val="0"/>
        <w:autoSpaceDE/>
        <w:autoSpaceDN/>
        <w:bidi w:val="0"/>
        <w:adjustRightInd/>
        <w:snapToGrid/>
        <w:spacing w:line="560" w:lineRule="exact"/>
        <w:jc w:val="center"/>
        <w:textAlignment w:val="auto"/>
        <w:rPr>
          <w:rFonts w:eastAsia="仿宋_GB2312" w:cs="宋体"/>
          <w:kern w:val="0"/>
          <w:sz w:val="36"/>
          <w:szCs w:val="36"/>
          <w:highlight w:val="none"/>
        </w:rPr>
      </w:pPr>
      <w:r>
        <w:rPr>
          <w:rFonts w:hint="eastAsia" w:eastAsia="仿宋_GB2312" w:cs="宋体"/>
          <w:kern w:val="0"/>
          <w:sz w:val="36"/>
          <w:szCs w:val="36"/>
          <w:highlight w:val="none"/>
        </w:rPr>
        <w:t>（ 2020年度）</w:t>
      </w:r>
    </w:p>
    <w:p w14:paraId="665E08DD">
      <w:pPr>
        <w:pageBreakBefore w:val="0"/>
        <w:kinsoku/>
        <w:wordWrap/>
        <w:overflowPunct/>
        <w:topLinePunct w:val="0"/>
        <w:autoSpaceDE/>
        <w:autoSpaceDN/>
        <w:bidi w:val="0"/>
        <w:adjustRightInd/>
        <w:snapToGrid/>
        <w:spacing w:line="560" w:lineRule="exact"/>
        <w:jc w:val="center"/>
        <w:textAlignment w:val="auto"/>
        <w:rPr>
          <w:rFonts w:eastAsia="仿宋_GB2312" w:cs="宋体"/>
          <w:kern w:val="0"/>
          <w:sz w:val="30"/>
          <w:szCs w:val="30"/>
          <w:highlight w:val="none"/>
        </w:rPr>
      </w:pPr>
    </w:p>
    <w:p w14:paraId="35CC4B3A">
      <w:pPr>
        <w:pageBreakBefore w:val="0"/>
        <w:kinsoku/>
        <w:wordWrap/>
        <w:overflowPunct/>
        <w:topLinePunct w:val="0"/>
        <w:autoSpaceDE/>
        <w:autoSpaceDN/>
        <w:bidi w:val="0"/>
        <w:adjustRightInd/>
        <w:snapToGrid/>
        <w:spacing w:line="560" w:lineRule="exact"/>
        <w:jc w:val="center"/>
        <w:textAlignment w:val="auto"/>
        <w:rPr>
          <w:rFonts w:eastAsia="仿宋_GB2312" w:cs="宋体"/>
          <w:kern w:val="0"/>
          <w:sz w:val="30"/>
          <w:szCs w:val="30"/>
          <w:highlight w:val="none"/>
        </w:rPr>
      </w:pPr>
    </w:p>
    <w:p w14:paraId="0D045757">
      <w:pPr>
        <w:pageBreakBefore w:val="0"/>
        <w:kinsoku/>
        <w:wordWrap/>
        <w:overflowPunct/>
        <w:topLinePunct w:val="0"/>
        <w:autoSpaceDE/>
        <w:autoSpaceDN/>
        <w:bidi w:val="0"/>
        <w:adjustRightInd/>
        <w:snapToGrid/>
        <w:spacing w:line="560" w:lineRule="exact"/>
        <w:jc w:val="center"/>
        <w:textAlignment w:val="auto"/>
        <w:rPr>
          <w:rFonts w:eastAsia="仿宋_GB2312" w:cs="宋体"/>
          <w:kern w:val="0"/>
          <w:sz w:val="30"/>
          <w:szCs w:val="30"/>
          <w:highlight w:val="none"/>
        </w:rPr>
      </w:pPr>
    </w:p>
    <w:p w14:paraId="0AAB361D">
      <w:pPr>
        <w:pageBreakBefore w:val="0"/>
        <w:kinsoku/>
        <w:wordWrap/>
        <w:overflowPunct/>
        <w:topLinePunct w:val="0"/>
        <w:autoSpaceDE/>
        <w:autoSpaceDN/>
        <w:bidi w:val="0"/>
        <w:adjustRightInd/>
        <w:snapToGrid/>
        <w:spacing w:line="560" w:lineRule="exact"/>
        <w:jc w:val="center"/>
        <w:textAlignment w:val="auto"/>
        <w:rPr>
          <w:rFonts w:eastAsia="仿宋_GB2312" w:cs="宋体"/>
          <w:kern w:val="0"/>
          <w:sz w:val="30"/>
          <w:szCs w:val="30"/>
          <w:highlight w:val="none"/>
        </w:rPr>
      </w:pPr>
    </w:p>
    <w:p w14:paraId="2CFD970A">
      <w:pPr>
        <w:pageBreakBefore w:val="0"/>
        <w:kinsoku/>
        <w:wordWrap/>
        <w:overflowPunct/>
        <w:topLinePunct w:val="0"/>
        <w:autoSpaceDE/>
        <w:autoSpaceDN/>
        <w:bidi w:val="0"/>
        <w:adjustRightInd/>
        <w:snapToGrid/>
        <w:spacing w:line="560" w:lineRule="exact"/>
        <w:textAlignment w:val="auto"/>
        <w:rPr>
          <w:rFonts w:eastAsia="仿宋_GB2312" w:cs="宋体"/>
          <w:kern w:val="0"/>
          <w:sz w:val="30"/>
          <w:szCs w:val="30"/>
          <w:highlight w:val="none"/>
        </w:rPr>
      </w:pPr>
    </w:p>
    <w:p w14:paraId="71D8F53C">
      <w:pPr>
        <w:pageBreakBefore w:val="0"/>
        <w:kinsoku/>
        <w:wordWrap/>
        <w:overflowPunct/>
        <w:topLinePunct w:val="0"/>
        <w:autoSpaceDE/>
        <w:autoSpaceDN/>
        <w:bidi w:val="0"/>
        <w:adjustRightInd/>
        <w:snapToGrid/>
        <w:spacing w:line="560" w:lineRule="exact"/>
        <w:ind w:firstLine="720" w:firstLineChars="200"/>
        <w:jc w:val="left"/>
        <w:textAlignment w:val="auto"/>
        <w:rPr>
          <w:rFonts w:eastAsia="仿宋_GB2312" w:cs="宋体"/>
          <w:kern w:val="0"/>
          <w:sz w:val="36"/>
          <w:szCs w:val="36"/>
          <w:highlight w:val="none"/>
        </w:rPr>
      </w:pPr>
      <w:r>
        <w:rPr>
          <w:rFonts w:hint="eastAsia" w:eastAsia="仿宋_GB2312" w:cs="宋体"/>
          <w:kern w:val="0"/>
          <w:sz w:val="36"/>
          <w:szCs w:val="36"/>
          <w:highlight w:val="none"/>
        </w:rPr>
        <w:t>项目名称：</w:t>
      </w:r>
      <w:r>
        <w:rPr>
          <w:rFonts w:eastAsia="仿宋_GB2312" w:cs="宋体"/>
          <w:kern w:val="0"/>
          <w:sz w:val="36"/>
          <w:szCs w:val="36"/>
          <w:highlight w:val="none"/>
        </w:rPr>
        <w:t>印刷费</w:t>
      </w:r>
    </w:p>
    <w:p w14:paraId="0EA462BF">
      <w:pPr>
        <w:pageBreakBefore w:val="0"/>
        <w:kinsoku/>
        <w:wordWrap/>
        <w:overflowPunct/>
        <w:topLinePunct w:val="0"/>
        <w:autoSpaceDE/>
        <w:autoSpaceDN/>
        <w:bidi w:val="0"/>
        <w:adjustRightInd/>
        <w:snapToGrid/>
        <w:spacing w:line="560" w:lineRule="exact"/>
        <w:ind w:firstLine="720" w:firstLineChars="200"/>
        <w:jc w:val="left"/>
        <w:textAlignment w:val="auto"/>
        <w:rPr>
          <w:rFonts w:eastAsia="仿宋_GB2312" w:cs="宋体"/>
          <w:kern w:val="0"/>
          <w:sz w:val="36"/>
          <w:szCs w:val="36"/>
          <w:highlight w:val="none"/>
        </w:rPr>
      </w:pPr>
      <w:r>
        <w:rPr>
          <w:rFonts w:hint="eastAsia" w:eastAsia="仿宋_GB2312" w:cs="宋体"/>
          <w:kern w:val="0"/>
          <w:sz w:val="36"/>
          <w:szCs w:val="36"/>
          <w:highlight w:val="none"/>
        </w:rPr>
        <w:t>实施单位（公章）：</w:t>
      </w:r>
      <w:r>
        <w:rPr>
          <w:rFonts w:eastAsia="仿宋_GB2312" w:cs="宋体"/>
          <w:kern w:val="0"/>
          <w:sz w:val="36"/>
          <w:szCs w:val="36"/>
          <w:highlight w:val="none"/>
        </w:rPr>
        <w:t>塔城地区文学艺术界联合会</w:t>
      </w:r>
    </w:p>
    <w:p w14:paraId="58F79E18">
      <w:pPr>
        <w:pageBreakBefore w:val="0"/>
        <w:kinsoku/>
        <w:wordWrap/>
        <w:overflowPunct/>
        <w:topLinePunct w:val="0"/>
        <w:autoSpaceDE/>
        <w:autoSpaceDN/>
        <w:bidi w:val="0"/>
        <w:adjustRightInd/>
        <w:snapToGrid/>
        <w:spacing w:line="560" w:lineRule="exact"/>
        <w:ind w:firstLine="720" w:firstLineChars="200"/>
        <w:jc w:val="left"/>
        <w:textAlignment w:val="auto"/>
        <w:rPr>
          <w:rFonts w:eastAsia="仿宋_GB2312" w:cs="宋体"/>
          <w:kern w:val="0"/>
          <w:sz w:val="36"/>
          <w:szCs w:val="36"/>
          <w:highlight w:val="none"/>
        </w:rPr>
      </w:pPr>
      <w:r>
        <w:rPr>
          <w:rFonts w:hint="eastAsia" w:eastAsia="仿宋_GB2312" w:cs="宋体"/>
          <w:kern w:val="0"/>
          <w:sz w:val="36"/>
          <w:szCs w:val="36"/>
          <w:highlight w:val="none"/>
        </w:rPr>
        <w:t>主管部门（公章）：</w:t>
      </w:r>
      <w:r>
        <w:rPr>
          <w:rFonts w:eastAsia="仿宋_GB2312" w:cs="宋体"/>
          <w:kern w:val="0"/>
          <w:sz w:val="36"/>
          <w:szCs w:val="36"/>
          <w:highlight w:val="none"/>
        </w:rPr>
        <w:t>塔城地委宣传部</w:t>
      </w:r>
    </w:p>
    <w:p w14:paraId="34174294">
      <w:pPr>
        <w:pageBreakBefore w:val="0"/>
        <w:kinsoku/>
        <w:wordWrap/>
        <w:overflowPunct/>
        <w:topLinePunct w:val="0"/>
        <w:autoSpaceDE/>
        <w:autoSpaceDN/>
        <w:bidi w:val="0"/>
        <w:adjustRightInd/>
        <w:snapToGrid/>
        <w:spacing w:line="560" w:lineRule="exact"/>
        <w:ind w:firstLine="720" w:firstLineChars="200"/>
        <w:jc w:val="left"/>
        <w:textAlignment w:val="auto"/>
        <w:rPr>
          <w:rFonts w:eastAsia="仿宋_GB2312" w:cs="宋体"/>
          <w:kern w:val="0"/>
          <w:sz w:val="36"/>
          <w:szCs w:val="36"/>
          <w:highlight w:val="none"/>
        </w:rPr>
      </w:pPr>
      <w:r>
        <w:rPr>
          <w:rFonts w:hint="eastAsia" w:eastAsia="仿宋_GB2312" w:cs="宋体"/>
          <w:kern w:val="0"/>
          <w:sz w:val="36"/>
          <w:szCs w:val="36"/>
          <w:highlight w:val="none"/>
        </w:rPr>
        <w:t>填报时间：</w:t>
      </w:r>
      <w:r>
        <w:rPr>
          <w:rFonts w:eastAsia="仿宋_GB2312" w:cs="宋体"/>
          <w:kern w:val="0"/>
          <w:sz w:val="36"/>
          <w:szCs w:val="36"/>
          <w:highlight w:val="none"/>
        </w:rPr>
        <w:t>2021</w:t>
      </w:r>
      <w:r>
        <w:rPr>
          <w:rFonts w:hint="eastAsia" w:eastAsia="仿宋_GB2312" w:cs="宋体"/>
          <w:kern w:val="0"/>
          <w:sz w:val="36"/>
          <w:szCs w:val="36"/>
          <w:highlight w:val="none"/>
        </w:rPr>
        <w:t>年</w:t>
      </w:r>
      <w:r>
        <w:rPr>
          <w:rFonts w:eastAsia="仿宋_GB2312" w:cs="宋体"/>
          <w:kern w:val="0"/>
          <w:sz w:val="36"/>
          <w:szCs w:val="36"/>
          <w:highlight w:val="none"/>
        </w:rPr>
        <w:t>4</w:t>
      </w:r>
      <w:r>
        <w:rPr>
          <w:rFonts w:hint="eastAsia" w:eastAsia="仿宋_GB2312" w:cs="宋体"/>
          <w:kern w:val="0"/>
          <w:sz w:val="36"/>
          <w:szCs w:val="36"/>
          <w:highlight w:val="none"/>
        </w:rPr>
        <w:t>月</w:t>
      </w:r>
      <w:r>
        <w:rPr>
          <w:rFonts w:eastAsia="仿宋_GB2312" w:cs="宋体"/>
          <w:kern w:val="0"/>
          <w:sz w:val="36"/>
          <w:szCs w:val="36"/>
          <w:highlight w:val="none"/>
        </w:rPr>
        <w:t>7</w:t>
      </w:r>
      <w:r>
        <w:rPr>
          <w:rFonts w:hint="eastAsia" w:eastAsia="仿宋_GB2312" w:cs="宋体"/>
          <w:kern w:val="0"/>
          <w:sz w:val="36"/>
          <w:szCs w:val="36"/>
          <w:highlight w:val="none"/>
        </w:rPr>
        <w:t>日</w:t>
      </w:r>
    </w:p>
    <w:p w14:paraId="63A075A7">
      <w:pPr>
        <w:pageBreakBefore w:val="0"/>
        <w:kinsoku/>
        <w:wordWrap/>
        <w:overflowPunct/>
        <w:topLinePunct w:val="0"/>
        <w:autoSpaceDE/>
        <w:autoSpaceDN/>
        <w:bidi w:val="0"/>
        <w:adjustRightInd/>
        <w:snapToGrid/>
        <w:spacing w:line="560" w:lineRule="exact"/>
        <w:jc w:val="center"/>
        <w:textAlignment w:val="auto"/>
        <w:rPr>
          <w:rFonts w:eastAsia="仿宋_GB2312" w:cs="宋体"/>
          <w:kern w:val="0"/>
          <w:sz w:val="30"/>
          <w:szCs w:val="30"/>
          <w:highlight w:val="none"/>
        </w:rPr>
      </w:pPr>
    </w:p>
    <w:p w14:paraId="3F7A7C08">
      <w:pPr>
        <w:pageBreakBefore w:val="0"/>
        <w:kinsoku/>
        <w:wordWrap/>
        <w:overflowPunct/>
        <w:topLinePunct w:val="0"/>
        <w:autoSpaceDE/>
        <w:autoSpaceDN/>
        <w:bidi w:val="0"/>
        <w:adjustRightInd/>
        <w:snapToGrid/>
        <w:spacing w:line="560" w:lineRule="exact"/>
        <w:textAlignment w:val="auto"/>
        <w:rPr>
          <w:rStyle w:val="23"/>
          <w:rFonts w:ascii="黑体" w:eastAsia="黑体"/>
          <w:b w:val="0"/>
          <w:spacing w:val="-4"/>
          <w:sz w:val="32"/>
          <w:szCs w:val="32"/>
          <w:highlight w:val="none"/>
        </w:rPr>
      </w:pPr>
    </w:p>
    <w:p w14:paraId="1FB682B2">
      <w:pPr>
        <w:pageBreakBefore w:val="0"/>
        <w:kinsoku/>
        <w:wordWrap/>
        <w:overflowPunct/>
        <w:topLinePunct w:val="0"/>
        <w:autoSpaceDE/>
        <w:autoSpaceDN/>
        <w:bidi w:val="0"/>
        <w:adjustRightInd/>
        <w:snapToGrid/>
        <w:spacing w:line="560" w:lineRule="exact"/>
        <w:ind w:firstLine="640"/>
        <w:textAlignment w:val="auto"/>
        <w:rPr>
          <w:rStyle w:val="23"/>
          <w:rFonts w:ascii="黑体" w:eastAsia="黑体"/>
          <w:b w:val="0"/>
          <w:spacing w:val="-4"/>
          <w:sz w:val="32"/>
          <w:szCs w:val="32"/>
          <w:highlight w:val="none"/>
        </w:rPr>
      </w:pPr>
    </w:p>
    <w:p w14:paraId="5AD2CA2F">
      <w:pPr>
        <w:pageBreakBefore w:val="0"/>
        <w:kinsoku/>
        <w:wordWrap/>
        <w:overflowPunct/>
        <w:topLinePunct w:val="0"/>
        <w:autoSpaceDE/>
        <w:autoSpaceDN/>
        <w:bidi w:val="0"/>
        <w:adjustRightInd/>
        <w:snapToGrid/>
        <w:spacing w:line="560" w:lineRule="exact"/>
        <w:textAlignment w:val="auto"/>
        <w:rPr>
          <w:rStyle w:val="23"/>
          <w:rFonts w:ascii="黑体" w:eastAsia="黑体"/>
          <w:b w:val="0"/>
          <w:spacing w:val="-4"/>
          <w:sz w:val="32"/>
          <w:szCs w:val="32"/>
          <w:highlight w:val="none"/>
        </w:rPr>
      </w:pPr>
    </w:p>
    <w:p w14:paraId="155EA2BC">
      <w:pPr>
        <w:pageBreakBefore w:val="0"/>
        <w:kinsoku/>
        <w:wordWrap/>
        <w:overflowPunct/>
        <w:topLinePunct w:val="0"/>
        <w:autoSpaceDE/>
        <w:autoSpaceDN/>
        <w:bidi w:val="0"/>
        <w:adjustRightInd/>
        <w:snapToGrid/>
        <w:spacing w:line="560" w:lineRule="exact"/>
        <w:textAlignment w:val="auto"/>
        <w:rPr>
          <w:rFonts w:ascii="黑体" w:eastAsia="黑体" w:cs="黑体"/>
          <w:bCs/>
          <w:sz w:val="32"/>
          <w:szCs w:val="32"/>
          <w:highlight w:val="none"/>
        </w:rPr>
      </w:pPr>
    </w:p>
    <w:p w14:paraId="53A0A51F">
      <w:pPr>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cs="黑体"/>
          <w:bCs/>
          <w:sz w:val="32"/>
          <w:szCs w:val="32"/>
          <w:highlight w:val="none"/>
        </w:rPr>
      </w:pPr>
      <w:r>
        <w:rPr>
          <w:rFonts w:hint="eastAsia" w:ascii="黑体" w:eastAsia="黑体" w:cs="黑体"/>
          <w:bCs/>
          <w:sz w:val="32"/>
          <w:szCs w:val="32"/>
          <w:highlight w:val="none"/>
        </w:rPr>
        <w:t>一、基本情况</w:t>
      </w:r>
    </w:p>
    <w:p w14:paraId="1E2763FD">
      <w:pPr>
        <w:pageBreakBefore w:val="0"/>
        <w:kinsoku/>
        <w:wordWrap/>
        <w:overflowPunct/>
        <w:topLinePunct w:val="0"/>
        <w:autoSpaceDE/>
        <w:autoSpaceDN/>
        <w:bidi w:val="0"/>
        <w:adjustRightInd/>
        <w:snapToGrid/>
        <w:spacing w:line="560" w:lineRule="exact"/>
        <w:ind w:firstLine="482" w:firstLineChars="150"/>
        <w:textAlignment w:val="auto"/>
        <w:rPr>
          <w:rFonts w:ascii="楷体_GB2312" w:eastAsia="楷体_GB2312" w:cs="楷体_GB2312"/>
          <w:b/>
          <w:bCs/>
          <w:sz w:val="32"/>
          <w:szCs w:val="32"/>
          <w:highlight w:val="none"/>
        </w:rPr>
      </w:pPr>
      <w:r>
        <w:rPr>
          <w:rFonts w:hint="eastAsia" w:ascii="楷体_GB2312" w:eastAsia="楷体_GB2312" w:cs="楷体_GB2312"/>
          <w:b/>
          <w:bCs/>
          <w:sz w:val="32"/>
          <w:szCs w:val="32"/>
          <w:highlight w:val="none"/>
        </w:rPr>
        <w:t>（一）项目概况</w:t>
      </w:r>
    </w:p>
    <w:p w14:paraId="6D8D476F">
      <w:pPr>
        <w:pageBreakBefore w:val="0"/>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b/>
          <w:bCs/>
          <w:sz w:val="32"/>
          <w:szCs w:val="32"/>
          <w:highlight w:val="none"/>
        </w:rPr>
      </w:pPr>
      <w:r>
        <w:rPr>
          <w:rFonts w:hint="eastAsia" w:ascii="仿宋_GB2312" w:eastAsia="仿宋_GB2312" w:cs="仿宋_GB2312"/>
          <w:b/>
          <w:bCs/>
          <w:sz w:val="32"/>
          <w:szCs w:val="32"/>
          <w:highlight w:val="none"/>
        </w:rPr>
        <w:t>1</w:t>
      </w:r>
      <w:r>
        <w:rPr>
          <w:rFonts w:ascii="仿宋_GB2312" w:eastAsia="仿宋_GB2312" w:cs="仿宋_GB2312"/>
          <w:b/>
          <w:bCs/>
          <w:sz w:val="32"/>
          <w:szCs w:val="32"/>
          <w:highlight w:val="none"/>
        </w:rPr>
        <w:t>.</w:t>
      </w:r>
      <w:r>
        <w:rPr>
          <w:rFonts w:hint="eastAsia" w:ascii="仿宋_GB2312" w:eastAsia="仿宋_GB2312" w:cs="仿宋_GB2312"/>
          <w:b/>
          <w:bCs/>
          <w:sz w:val="32"/>
          <w:szCs w:val="32"/>
          <w:highlight w:val="none"/>
        </w:rPr>
        <w:t>项目背景</w:t>
      </w:r>
    </w:p>
    <w:p w14:paraId="6AB0688B">
      <w:pPr>
        <w:pageBreakBefore w:val="0"/>
        <w:kinsoku/>
        <w:wordWrap/>
        <w:overflowPunct/>
        <w:topLinePunct w:val="0"/>
        <w:autoSpaceDE/>
        <w:autoSpaceDN/>
        <w:bidi w:val="0"/>
        <w:adjustRightInd/>
        <w:snapToGrid/>
        <w:spacing w:line="560" w:lineRule="exact"/>
        <w:ind w:firstLine="480" w:firstLineChars="150"/>
        <w:textAlignment w:val="auto"/>
        <w:rPr>
          <w:rFonts w:ascii="仿宋_GB2312" w:eastAsia="仿宋_GB2312" w:cs="仿宋_GB2312"/>
          <w:b w:val="0"/>
          <w:bCs w:val="0"/>
          <w:sz w:val="32"/>
          <w:szCs w:val="32"/>
          <w:highlight w:val="none"/>
        </w:rPr>
      </w:pPr>
      <w:r>
        <w:rPr>
          <w:rFonts w:ascii="仿宋_GB2312" w:eastAsia="仿宋_GB2312" w:cs="仿宋_GB2312"/>
          <w:b w:val="0"/>
          <w:bCs w:val="0"/>
          <w:sz w:val="32"/>
          <w:szCs w:val="32"/>
          <w:highlight w:val="none"/>
        </w:rPr>
        <w:t>（1）</w:t>
      </w:r>
      <w:r>
        <w:rPr>
          <w:rFonts w:hint="eastAsia" w:ascii="仿宋_GB2312" w:eastAsia="仿宋_GB2312" w:cs="仿宋_GB2312"/>
          <w:b w:val="0"/>
          <w:bCs w:val="0"/>
          <w:sz w:val="32"/>
          <w:szCs w:val="32"/>
          <w:highlight w:val="none"/>
        </w:rPr>
        <w:t>项目实施的政策背景</w:t>
      </w:r>
    </w:p>
    <w:p w14:paraId="6378BF3E">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2011年10月20日塔地地区文联第二次代表大会会议精神，贯彻落实</w:t>
      </w:r>
      <w:r>
        <w:rPr>
          <w:rFonts w:hint="eastAsia" w:ascii="仿宋_GB2312" w:eastAsia="仿宋_GB2312" w:cs="仿宋_GB2312"/>
          <w:sz w:val="32"/>
          <w:szCs w:val="32"/>
          <w:highlight w:val="none"/>
          <w:lang w:eastAsia="zh-CN"/>
        </w:rPr>
        <w:t>党的十七届六中全会精神</w:t>
      </w:r>
      <w:r>
        <w:rPr>
          <w:rFonts w:hint="eastAsia" w:ascii="仿宋_GB2312" w:eastAsia="仿宋_GB2312" w:cs="仿宋_GB2312"/>
          <w:sz w:val="32"/>
          <w:szCs w:val="32"/>
          <w:highlight w:val="none"/>
        </w:rPr>
        <w:t>，为开创塔城地区文化艺术工作的新局面，创作生产更多的无愧于历史，无愧于时代、无愧于人民的优秀作品，全面贯彻为人民服务、为社会主义服务的方向和百花齐放、百家争鸣的方针，立足发展先进文化、建设和谐文化、激发文化创作生产力、提高文化产品质量，发挥文化引领风尚、教育人民、服务社会、推动发展，致力于繁荣和发展塔城文学艺术事业，由文联组织出版发行文化丛书。</w:t>
      </w:r>
    </w:p>
    <w:p w14:paraId="6A54A8B3">
      <w:pPr>
        <w:pStyle w:val="2"/>
        <w:pageBreakBefore w:val="0"/>
        <w:kinsoku/>
        <w:wordWrap/>
        <w:overflowPunct/>
        <w:topLinePunct w:val="0"/>
        <w:autoSpaceDE/>
        <w:autoSpaceDN/>
        <w:bidi w:val="0"/>
        <w:adjustRightInd/>
        <w:snapToGrid/>
        <w:spacing w:before="0" w:after="0" w:line="560" w:lineRule="exact"/>
        <w:ind w:firstLine="480" w:firstLineChars="150"/>
        <w:jc w:val="left"/>
        <w:textAlignment w:val="auto"/>
        <w:rPr>
          <w:rFonts w:ascii="仿宋_GB2312" w:eastAsia="仿宋_GB2312" w:cs="仿宋_GB2312"/>
          <w:b w:val="0"/>
          <w:bCs w:val="0"/>
          <w:kern w:val="2"/>
          <w:highlight w:val="none"/>
        </w:rPr>
      </w:pPr>
      <w:r>
        <w:rPr>
          <w:rFonts w:ascii="仿宋_GB2312" w:eastAsia="仿宋_GB2312" w:cs="仿宋_GB2312"/>
          <w:b w:val="0"/>
          <w:bCs w:val="0"/>
          <w:kern w:val="2"/>
          <w:highlight w:val="none"/>
        </w:rPr>
        <w:t>（2）</w:t>
      </w:r>
      <w:r>
        <w:rPr>
          <w:rFonts w:hint="eastAsia" w:ascii="仿宋_GB2312" w:eastAsia="仿宋_GB2312" w:cs="仿宋_GB2312"/>
          <w:b w:val="0"/>
          <w:bCs w:val="0"/>
          <w:kern w:val="2"/>
          <w:highlight w:val="none"/>
        </w:rPr>
        <w:t>项目实施的历史概况</w:t>
      </w:r>
    </w:p>
    <w:p w14:paraId="1138952B">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b w:val="0"/>
          <w:bCs w:val="0"/>
          <w:highlight w:val="none"/>
        </w:rPr>
      </w:pPr>
      <w:r>
        <w:rPr>
          <w:rFonts w:hint="eastAsia" w:ascii="仿宋_GB2312" w:eastAsia="仿宋_GB2312" w:cs="仿宋_GB2312"/>
          <w:b w:val="0"/>
          <w:kern w:val="2"/>
          <w:highlight w:val="none"/>
        </w:rPr>
        <w:t>2011年10月20日塔地地区文联第二次代表大会会议精神，贯彻落实</w:t>
      </w:r>
      <w:r>
        <w:rPr>
          <w:rFonts w:hint="eastAsia" w:ascii="仿宋_GB2312" w:eastAsia="仿宋_GB2312" w:cs="仿宋_GB2312"/>
          <w:b w:val="0"/>
          <w:kern w:val="2"/>
          <w:highlight w:val="none"/>
          <w:lang w:eastAsia="zh-CN"/>
        </w:rPr>
        <w:t>党的十七届六中全会精神</w:t>
      </w:r>
      <w:r>
        <w:rPr>
          <w:rFonts w:hint="eastAsia" w:ascii="仿宋_GB2312" w:eastAsia="仿宋_GB2312" w:cs="仿宋_GB2312"/>
          <w:b w:val="0"/>
          <w:kern w:val="2"/>
          <w:highlight w:val="none"/>
        </w:rPr>
        <w:t>，为开创塔城地区文化艺术工作的新局面，致力于繁荣和发展塔城文学艺术事业，由文联组织出版发行文化丛书。自2012年以来每年出版发行《塔城文艺界》2万册，已出版发行文化丛书12套，已交稿2套待发行出版。</w:t>
      </w:r>
    </w:p>
    <w:p w14:paraId="2EB1A2E9">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highlight w:val="none"/>
        </w:rPr>
      </w:pPr>
      <w:r>
        <w:rPr>
          <w:rFonts w:ascii="仿宋_GB2312" w:eastAsia="仿宋_GB2312" w:cs="仿宋_GB2312"/>
          <w:b/>
          <w:bCs/>
          <w:sz w:val="32"/>
          <w:szCs w:val="32"/>
          <w:highlight w:val="none"/>
        </w:rPr>
        <w:t>2.</w:t>
      </w:r>
      <w:r>
        <w:rPr>
          <w:rFonts w:hint="eastAsia" w:ascii="仿宋_GB2312" w:eastAsia="仿宋_GB2312" w:cs="仿宋_GB2312"/>
          <w:b/>
          <w:bCs/>
          <w:sz w:val="32"/>
          <w:szCs w:val="32"/>
          <w:highlight w:val="none"/>
        </w:rPr>
        <w:t>项目主要内容及实施情况</w:t>
      </w:r>
    </w:p>
    <w:p w14:paraId="0378C86E">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b w:val="0"/>
          <w:bCs w:val="0"/>
          <w:kern w:val="2"/>
          <w:highlight w:val="none"/>
        </w:rPr>
      </w:pPr>
      <w:r>
        <w:rPr>
          <w:rFonts w:hint="eastAsia" w:ascii="仿宋_GB2312" w:eastAsia="仿宋_GB2312" w:cs="仿宋_GB2312"/>
          <w:b w:val="0"/>
          <w:bCs w:val="0"/>
          <w:kern w:val="2"/>
          <w:highlight w:val="none"/>
        </w:rPr>
        <w:t>项目主要内容：2020年印刷费费40万元，严格按时财务管理制度规定，主要用于《塔城文艺界》和2套主题文化丛书的印刷、发行等费用。</w:t>
      </w:r>
    </w:p>
    <w:p w14:paraId="5F3B1DA8">
      <w:pPr>
        <w:pageBreakBefore w:val="0"/>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_GB2312" w:eastAsia="仿宋_GB2312" w:cs="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7DAD8C4E">
      <w:pPr>
        <w:pageBreakBefore w:val="0"/>
        <w:kinsoku/>
        <w:wordWrap/>
        <w:overflowPunct/>
        <w:topLinePunct w:val="0"/>
        <w:autoSpaceDE/>
        <w:autoSpaceDN/>
        <w:bidi w:val="0"/>
        <w:adjustRightInd/>
        <w:snapToGrid/>
        <w:spacing w:line="560" w:lineRule="exact"/>
        <w:ind w:firstLine="579" w:firstLineChars="18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本项目总投资</w:t>
      </w:r>
      <w:r>
        <w:rPr>
          <w:rFonts w:ascii="仿宋_GB2312" w:eastAsia="仿宋_GB2312" w:cs="仿宋_GB2312"/>
          <w:sz w:val="32"/>
          <w:szCs w:val="32"/>
          <w:highlight w:val="none"/>
        </w:rPr>
        <w:t>40</w:t>
      </w:r>
      <w:r>
        <w:rPr>
          <w:rFonts w:hint="eastAsia" w:ascii="仿宋_GB2312" w:eastAsia="仿宋_GB2312" w:cs="仿宋_GB2312"/>
          <w:sz w:val="32"/>
          <w:szCs w:val="32"/>
          <w:highlight w:val="none"/>
        </w:rPr>
        <w:t>万元，其中：财政本级资金</w:t>
      </w:r>
      <w:r>
        <w:rPr>
          <w:rFonts w:ascii="仿宋_GB2312" w:eastAsia="仿宋_GB2312" w:cs="仿宋_GB2312"/>
          <w:sz w:val="32"/>
          <w:szCs w:val="32"/>
          <w:highlight w:val="none"/>
        </w:rPr>
        <w:t>40</w:t>
      </w:r>
      <w:r>
        <w:rPr>
          <w:rFonts w:hint="eastAsia" w:ascii="仿宋_GB2312" w:eastAsia="仿宋_GB2312" w:cs="仿宋_GB2312"/>
          <w:sz w:val="32"/>
          <w:szCs w:val="32"/>
          <w:highlight w:val="none"/>
        </w:rPr>
        <w:t>万元。项目实际支出</w:t>
      </w:r>
      <w:r>
        <w:rPr>
          <w:rFonts w:ascii="仿宋_GB2312" w:eastAsia="仿宋_GB2312" w:cs="仿宋_GB2312"/>
          <w:sz w:val="32"/>
          <w:szCs w:val="32"/>
          <w:highlight w:val="none"/>
        </w:rPr>
        <w:t>39.98</w:t>
      </w:r>
      <w:r>
        <w:rPr>
          <w:rFonts w:hint="eastAsia" w:ascii="仿宋_GB2312" w:eastAsia="仿宋_GB2312" w:cs="仿宋_GB2312"/>
          <w:sz w:val="32"/>
          <w:szCs w:val="32"/>
          <w:highlight w:val="none"/>
        </w:rPr>
        <w:t>万元， 支出率为</w:t>
      </w:r>
      <w:r>
        <w:rPr>
          <w:rFonts w:ascii="仿宋_GB2312" w:eastAsia="仿宋_GB2312" w:cs="仿宋_GB2312"/>
          <w:sz w:val="32"/>
          <w:szCs w:val="32"/>
          <w:highlight w:val="none"/>
        </w:rPr>
        <w:t>99.95</w:t>
      </w:r>
      <w:r>
        <w:rPr>
          <w:rFonts w:hint="eastAsia" w:ascii="仿宋_GB2312" w:eastAsia="仿宋_GB2312" w:cs="仿宋_GB2312"/>
          <w:sz w:val="32"/>
          <w:szCs w:val="32"/>
          <w:highlight w:val="none"/>
        </w:rPr>
        <w:t>%。</w:t>
      </w:r>
    </w:p>
    <w:p w14:paraId="0ED9467F">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highlight w:val="none"/>
        </w:rPr>
      </w:pPr>
      <w:r>
        <w:rPr>
          <w:rFonts w:hint="eastAsia" w:ascii="仿宋_GB2312" w:eastAsia="仿宋_GB2312" w:cs="仿宋_GB2312"/>
          <w:b/>
          <w:bCs/>
          <w:sz w:val="32"/>
          <w:szCs w:val="32"/>
          <w:highlight w:val="none"/>
        </w:rPr>
        <w:t>3</w:t>
      </w:r>
      <w:r>
        <w:rPr>
          <w:rFonts w:ascii="仿宋_GB2312" w:eastAsia="仿宋_GB2312" w:cs="仿宋_GB2312"/>
          <w:b/>
          <w:bCs/>
          <w:sz w:val="32"/>
          <w:szCs w:val="32"/>
          <w:highlight w:val="none"/>
        </w:rPr>
        <w:t>.</w:t>
      </w:r>
      <w:r>
        <w:rPr>
          <w:rFonts w:hint="eastAsia" w:ascii="仿宋_GB2312" w:eastAsia="仿宋_GB2312" w:cs="仿宋_GB2312"/>
          <w:b/>
          <w:bCs/>
          <w:sz w:val="32"/>
          <w:szCs w:val="32"/>
          <w:highlight w:val="none"/>
        </w:rPr>
        <w:t>资金投入和使用情况</w:t>
      </w:r>
    </w:p>
    <w:p w14:paraId="4D1882A9">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（1）资金安排</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项目总投资</w:t>
      </w:r>
      <w:r>
        <w:rPr>
          <w:rFonts w:ascii="仿宋_GB2312" w:eastAsia="仿宋_GB2312" w:cs="仿宋_GB2312"/>
          <w:sz w:val="32"/>
          <w:szCs w:val="32"/>
          <w:highlight w:val="none"/>
        </w:rPr>
        <w:t>40</w:t>
      </w:r>
      <w:r>
        <w:rPr>
          <w:rFonts w:hint="eastAsia" w:ascii="仿宋_GB2312" w:eastAsia="仿宋_GB2312" w:cs="仿宋_GB2312"/>
          <w:sz w:val="32"/>
          <w:szCs w:val="32"/>
          <w:highlight w:val="none"/>
        </w:rPr>
        <w:t>万元，按照《</w:t>
      </w:r>
      <w:r>
        <w:rPr>
          <w:rFonts w:ascii="仿宋_GB2312" w:eastAsia="仿宋_GB2312" w:cs="仿宋_GB2312"/>
          <w:sz w:val="32"/>
          <w:szCs w:val="32"/>
          <w:highlight w:val="none"/>
        </w:rPr>
        <w:t>专项</w:t>
      </w:r>
      <w:r>
        <w:rPr>
          <w:rFonts w:hint="eastAsia" w:ascii="仿宋_GB2312" w:eastAsia="仿宋_GB2312" w:cs="仿宋_GB2312"/>
          <w:sz w:val="32"/>
          <w:szCs w:val="32"/>
          <w:highlight w:val="none"/>
        </w:rPr>
        <w:t>资金管理办法》及单位财务制度等相关规定，资金支出符合专项</w:t>
      </w:r>
      <w:r>
        <w:rPr>
          <w:rFonts w:ascii="仿宋_GB2312" w:eastAsia="仿宋_GB2312" w:cs="仿宋_GB2312"/>
          <w:sz w:val="32"/>
          <w:szCs w:val="32"/>
          <w:highlight w:val="none"/>
        </w:rPr>
        <w:t>业务</w:t>
      </w:r>
      <w:r>
        <w:rPr>
          <w:rFonts w:hint="eastAsia" w:ascii="仿宋_GB2312" w:eastAsia="仿宋_GB2312" w:cs="仿宋_GB2312"/>
          <w:sz w:val="32"/>
          <w:szCs w:val="32"/>
          <w:highlight w:val="none"/>
        </w:rPr>
        <w:t>资金费用范围，做到了专款专用。在项目资金拨付和使用过程中，为确保项目资金的安全性，提高项目资金使用效率，严格遵循</w:t>
      </w:r>
      <w:r>
        <w:rPr>
          <w:rFonts w:ascii="仿宋_GB2312" w:eastAsia="仿宋_GB2312" w:cs="仿宋_GB2312"/>
          <w:sz w:val="32"/>
          <w:szCs w:val="32"/>
          <w:highlight w:val="none"/>
        </w:rPr>
        <w:t>专项业务费</w:t>
      </w:r>
      <w:r>
        <w:rPr>
          <w:rFonts w:hint="eastAsia" w:ascii="仿宋_GB2312" w:eastAsia="仿宋_GB2312" w:cs="仿宋_GB2312"/>
          <w:sz w:val="32"/>
          <w:szCs w:val="32"/>
          <w:highlight w:val="none"/>
        </w:rPr>
        <w:t>资金的拨付程序，认真审核项目实施各阶段的相关材料和手续，根据项目实施进展情况拨付资金。</w:t>
      </w:r>
    </w:p>
    <w:p w14:paraId="67B8E7D3">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（2）预算资金来源及使用情况</w:t>
      </w:r>
      <w:bookmarkStart w:id="0" w:name="page10"/>
      <w:bookmarkEnd w:id="0"/>
      <w:r>
        <w:rPr>
          <w:rFonts w:ascii="仿宋_GB2312" w:eastAsia="仿宋_GB2312" w:cs="仿宋_GB2312"/>
          <w:sz w:val="32"/>
          <w:szCs w:val="32"/>
          <w:highlight w:val="none"/>
        </w:rPr>
        <w:t>：</w:t>
      </w:r>
      <w:r>
        <w:rPr>
          <w:rFonts w:hint="eastAsia" w:ascii="仿宋_GB2312" w:eastAsia="仿宋_GB2312" w:cs="仿宋_GB2312"/>
          <w:sz w:val="32"/>
          <w:szCs w:val="32"/>
          <w:highlight w:val="none"/>
        </w:rPr>
        <w:t>项目预算资金来源于《关于批复地区本级预算单位结余资金列入2020年预算的通知》文件中批复的资金，项目资金到位40万元，用于支付项目实施进程中的各项费用。</w:t>
      </w:r>
    </w:p>
    <w:p w14:paraId="6A53B76F">
      <w:pPr>
        <w:pageBreakBefore w:val="0"/>
        <w:kinsoku/>
        <w:wordWrap/>
        <w:overflowPunct/>
        <w:topLinePunct w:val="0"/>
        <w:autoSpaceDE/>
        <w:autoSpaceDN/>
        <w:bidi w:val="0"/>
        <w:adjustRightInd/>
        <w:snapToGrid/>
        <w:spacing w:line="560" w:lineRule="exact"/>
        <w:ind w:firstLine="643" w:firstLineChars="200"/>
        <w:textAlignment w:val="auto"/>
        <w:rPr>
          <w:rFonts w:ascii="楷体_GB2312" w:eastAsia="楷体_GB2312" w:cs="楷体_GB2312"/>
          <w:b/>
          <w:bCs/>
          <w:sz w:val="32"/>
          <w:szCs w:val="32"/>
          <w:highlight w:val="none"/>
        </w:rPr>
      </w:pPr>
      <w:r>
        <w:rPr>
          <w:rFonts w:ascii="楷体_GB2312" w:eastAsia="楷体_GB2312" w:cs="楷体_GB2312"/>
          <w:b/>
          <w:bCs/>
          <w:sz w:val="32"/>
          <w:szCs w:val="32"/>
          <w:highlight w:val="none"/>
        </w:rPr>
        <w:t>(二)</w:t>
      </w:r>
      <w:r>
        <w:rPr>
          <w:rFonts w:hint="eastAsia" w:ascii="楷体_GB2312" w:eastAsia="楷体_GB2312" w:cs="楷体_GB2312"/>
          <w:b/>
          <w:bCs/>
          <w:sz w:val="32"/>
          <w:szCs w:val="32"/>
          <w:highlight w:val="none"/>
        </w:rPr>
        <w:t>项目绩效目标</w:t>
      </w:r>
    </w:p>
    <w:p w14:paraId="4AE0BCEB">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highlight w:val="none"/>
        </w:rPr>
      </w:pPr>
      <w:r>
        <w:rPr>
          <w:rFonts w:ascii="仿宋_GB2312" w:eastAsia="仿宋_GB2312" w:cs="仿宋_GB2312"/>
          <w:b/>
          <w:bCs/>
          <w:sz w:val="32"/>
          <w:szCs w:val="32"/>
          <w:highlight w:val="none"/>
        </w:rPr>
        <w:t>1.</w:t>
      </w:r>
      <w:r>
        <w:rPr>
          <w:rFonts w:hint="eastAsia" w:ascii="仿宋_GB2312" w:eastAsia="仿宋_GB2312" w:cs="仿宋_GB2312"/>
          <w:b/>
          <w:bCs/>
          <w:sz w:val="32"/>
          <w:szCs w:val="32"/>
          <w:highlight w:val="none"/>
        </w:rPr>
        <w:t>总体目标</w:t>
      </w:r>
      <w:r>
        <w:rPr>
          <w:rFonts w:ascii="仿宋_GB2312" w:eastAsia="仿宋_GB2312" w:cs="仿宋_GB2312"/>
          <w:b/>
          <w:bCs/>
          <w:sz w:val="32"/>
          <w:szCs w:val="32"/>
          <w:highlight w:val="none"/>
        </w:rPr>
        <w:t>：</w:t>
      </w:r>
    </w:p>
    <w:p w14:paraId="0D1B18D9">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Cs/>
          <w:sz w:val="32"/>
          <w:szCs w:val="32"/>
          <w:highlight w:val="none"/>
        </w:rPr>
      </w:pPr>
      <w:r>
        <w:rPr>
          <w:rFonts w:ascii="仿宋_GB2312" w:eastAsia="仿宋_GB2312" w:cs="仿宋_GB2312"/>
          <w:sz w:val="32"/>
          <w:szCs w:val="32"/>
          <w:highlight w:val="none"/>
        </w:rPr>
        <w:t>2</w:t>
      </w:r>
      <w:r>
        <w:rPr>
          <w:rFonts w:hint="eastAsia" w:ascii="仿宋_GB2312" w:eastAsia="仿宋_GB2312" w:cs="仿宋_GB2312"/>
          <w:sz w:val="32"/>
          <w:szCs w:val="32"/>
          <w:highlight w:val="none"/>
        </w:rPr>
        <w:t>020年印刷费费40万元，严格按时财务管理制度规定，主要用于《塔城文艺界》和2套主题文化丛书的印刷、发行等费用。</w:t>
      </w:r>
    </w:p>
    <w:p w14:paraId="647B392F">
      <w:pPr>
        <w:pStyle w:val="2"/>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Fonts w:hint="eastAsia" w:ascii="仿宋_GB2312" w:eastAsia="仿宋_GB2312" w:cs="仿宋_GB2312"/>
          <w:highlight w:val="none"/>
          <w:lang w:val="en-US" w:eastAsia="zh-CN"/>
        </w:rPr>
      </w:pPr>
      <w:r>
        <w:rPr>
          <w:rFonts w:hint="eastAsia" w:ascii="仿宋_GB2312" w:eastAsia="仿宋_GB2312" w:cs="仿宋_GB2312"/>
          <w:highlight w:val="none"/>
          <w:lang w:val="en-US" w:eastAsia="zh-CN"/>
        </w:rPr>
        <w:t>2.</w:t>
      </w:r>
      <w:r>
        <w:rPr>
          <w:rFonts w:hint="eastAsia" w:ascii="仿宋_GB2312" w:eastAsia="仿宋_GB2312" w:cs="仿宋_GB2312"/>
          <w:highlight w:val="none"/>
        </w:rPr>
        <w:t>阶段性目标</w:t>
      </w:r>
      <w:r>
        <w:rPr>
          <w:rFonts w:hint="eastAsia" w:ascii="仿宋_GB2312" w:eastAsia="仿宋_GB2312" w:cs="仿宋_GB2312"/>
          <w:highlight w:val="none"/>
          <w:lang w:val="en-US" w:eastAsia="zh-CN"/>
        </w:rPr>
        <w:t>:</w:t>
      </w:r>
    </w:p>
    <w:p w14:paraId="6DE9CE8B">
      <w:pPr>
        <w:pStyle w:val="2"/>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highlight w:val="none"/>
        </w:rPr>
      </w:pPr>
      <w:r>
        <w:rPr>
          <w:rFonts w:hint="eastAsia" w:ascii="仿宋_GB2312" w:eastAsia="仿宋_GB2312" w:cs="仿宋_GB2312"/>
          <w:b w:val="0"/>
          <w:bCs w:val="0"/>
          <w:highlight w:val="none"/>
        </w:rPr>
        <w:t>（1）前期准备：根据</w:t>
      </w:r>
      <w:r>
        <w:rPr>
          <w:rFonts w:ascii="仿宋_GB2312" w:eastAsia="仿宋_GB2312" w:cs="仿宋_GB2312"/>
          <w:b w:val="0"/>
          <w:bCs w:val="0"/>
          <w:highlight w:val="none"/>
        </w:rPr>
        <w:t>各相关部门的工作要求、出版发行规定</w:t>
      </w:r>
      <w:r>
        <w:rPr>
          <w:rFonts w:hint="eastAsia" w:ascii="仿宋_GB2312" w:eastAsia="仿宋_GB2312" w:cs="仿宋_GB2312"/>
          <w:b w:val="0"/>
          <w:bCs w:val="0"/>
          <w:highlight w:val="none"/>
        </w:rPr>
        <w:t>，</w:t>
      </w:r>
      <w:r>
        <w:rPr>
          <w:rFonts w:ascii="仿宋_GB2312" w:eastAsia="仿宋_GB2312" w:cs="仿宋_GB2312"/>
          <w:b w:val="0"/>
          <w:bCs w:val="0"/>
          <w:highlight w:val="none"/>
        </w:rPr>
        <w:t>项目负责部门向党组提交项目审议事项</w:t>
      </w:r>
      <w:r>
        <w:rPr>
          <w:rFonts w:hint="eastAsia" w:ascii="仿宋_GB2312" w:eastAsia="仿宋_GB2312" w:cs="仿宋_GB2312"/>
          <w:b w:val="0"/>
          <w:bCs w:val="0"/>
          <w:highlight w:val="none"/>
        </w:rPr>
        <w:t>，</w:t>
      </w:r>
      <w:r>
        <w:rPr>
          <w:rFonts w:ascii="仿宋_GB2312" w:eastAsia="仿宋_GB2312" w:cs="仿宋_GB2312"/>
          <w:b w:val="0"/>
          <w:bCs w:val="0"/>
          <w:highlight w:val="none"/>
        </w:rPr>
        <w:t>按照三重一大制度，经党组会研究决定</w:t>
      </w:r>
      <w:r>
        <w:rPr>
          <w:rFonts w:hint="eastAsia" w:ascii="仿宋_GB2312" w:eastAsia="仿宋_GB2312" w:cs="仿宋_GB2312"/>
          <w:b w:val="0"/>
          <w:bCs w:val="0"/>
          <w:highlight w:val="none"/>
        </w:rPr>
        <w:t>通过</w:t>
      </w:r>
      <w:r>
        <w:rPr>
          <w:rFonts w:ascii="仿宋_GB2312" w:eastAsia="仿宋_GB2312" w:cs="仿宋_GB2312"/>
          <w:b w:val="0"/>
          <w:bCs w:val="0"/>
          <w:highlight w:val="none"/>
        </w:rPr>
        <w:t>后</w:t>
      </w:r>
      <w:r>
        <w:rPr>
          <w:rFonts w:hint="eastAsia" w:ascii="仿宋_GB2312" w:eastAsia="仿宋_GB2312" w:cs="仿宋_GB2312"/>
          <w:b w:val="0"/>
          <w:bCs w:val="0"/>
          <w:highlight w:val="none"/>
        </w:rPr>
        <w:t>，有序开展后续</w:t>
      </w:r>
      <w:r>
        <w:rPr>
          <w:rFonts w:ascii="仿宋_GB2312" w:eastAsia="仿宋_GB2312" w:cs="仿宋_GB2312"/>
          <w:b w:val="0"/>
          <w:bCs w:val="0"/>
          <w:highlight w:val="none"/>
        </w:rPr>
        <w:t>出版发行工作</w:t>
      </w:r>
      <w:r>
        <w:rPr>
          <w:rFonts w:hint="eastAsia" w:ascii="仿宋_GB2312" w:eastAsia="仿宋_GB2312" w:cs="仿宋_GB2312"/>
          <w:b w:val="0"/>
          <w:bCs w:val="0"/>
          <w:highlight w:val="none"/>
        </w:rPr>
        <w:t>。</w:t>
      </w:r>
    </w:p>
    <w:p w14:paraId="685BC843">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（2）组织实施：资金一到位，立即根据</w:t>
      </w:r>
      <w:r>
        <w:rPr>
          <w:rFonts w:ascii="仿宋_GB2312" w:eastAsia="仿宋_GB2312" w:cs="仿宋_GB2312"/>
          <w:sz w:val="32"/>
          <w:szCs w:val="32"/>
          <w:highlight w:val="none"/>
        </w:rPr>
        <w:t>出版发行</w:t>
      </w:r>
      <w:r>
        <w:rPr>
          <w:rFonts w:hint="eastAsia" w:ascii="仿宋_GB2312" w:eastAsia="仿宋_GB2312" w:cs="仿宋_GB2312"/>
          <w:sz w:val="32"/>
          <w:szCs w:val="32"/>
          <w:highlight w:val="none"/>
        </w:rPr>
        <w:t>要求实施项目。项目责任人按照</w:t>
      </w:r>
      <w:r>
        <w:rPr>
          <w:rFonts w:ascii="仿宋_GB2312" w:eastAsia="仿宋_GB2312" w:cs="仿宋_GB2312"/>
          <w:sz w:val="32"/>
          <w:szCs w:val="32"/>
          <w:highlight w:val="none"/>
        </w:rPr>
        <w:t>工作</w:t>
      </w:r>
      <w:r>
        <w:rPr>
          <w:rFonts w:hint="eastAsia" w:ascii="仿宋_GB2312" w:eastAsia="仿宋_GB2312" w:cs="仿宋_GB2312"/>
          <w:sz w:val="32"/>
          <w:szCs w:val="32"/>
          <w:highlight w:val="none"/>
        </w:rPr>
        <w:t>要求逐一进行项目部署安排，提高项目质量及效率性。</w:t>
      </w:r>
      <w:r>
        <w:rPr>
          <w:rFonts w:ascii="仿宋_GB2312" w:eastAsia="仿宋_GB2312" w:cs="仿宋_GB2312"/>
          <w:sz w:val="32"/>
          <w:szCs w:val="32"/>
          <w:highlight w:val="none"/>
        </w:rPr>
        <w:t>2020年每季度发行一期《塔城文艺界》，在12月底完成全年四期《塔城文艺界》和文化丛书的编审、发行工作。</w:t>
      </w:r>
    </w:p>
    <w:p w14:paraId="2D724308">
      <w:pPr>
        <w:pageBreakBefore w:val="0"/>
        <w:kinsoku/>
        <w:wordWrap/>
        <w:overflowPunct/>
        <w:topLinePunct w:val="0"/>
        <w:autoSpaceDE/>
        <w:autoSpaceDN/>
        <w:bidi w:val="0"/>
        <w:adjustRightInd/>
        <w:snapToGrid/>
        <w:spacing w:line="560" w:lineRule="exact"/>
        <w:ind w:firstLine="641"/>
        <w:textAlignment w:val="auto"/>
        <w:rPr>
          <w:rFonts w:ascii="黑体" w:eastAsia="黑体"/>
          <w:sz w:val="32"/>
          <w:szCs w:val="32"/>
          <w:highlight w:val="none"/>
        </w:rPr>
      </w:pPr>
      <w:r>
        <w:rPr>
          <w:rFonts w:hint="eastAsia" w:ascii="黑体" w:eastAsia="黑体"/>
          <w:sz w:val="32"/>
          <w:szCs w:val="32"/>
          <w:highlight w:val="none"/>
        </w:rPr>
        <w:t>二、绩效评价工作开展情况</w:t>
      </w:r>
    </w:p>
    <w:p w14:paraId="54441E70">
      <w:pPr>
        <w:pageBreakBefore w:val="0"/>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highlight w:val="none"/>
        </w:rPr>
      </w:pPr>
      <w:r>
        <w:rPr>
          <w:rFonts w:hint="eastAsia" w:ascii="楷体_GB2312" w:eastAsia="楷体_GB2312" w:cs="楷体_GB2312"/>
          <w:b/>
          <w:bCs/>
          <w:sz w:val="32"/>
          <w:szCs w:val="32"/>
          <w:highlight w:val="none"/>
        </w:rPr>
        <w:t>（一）绩效评价目的、对象和范围</w:t>
      </w:r>
    </w:p>
    <w:p w14:paraId="552ABB63">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highlight w:val="none"/>
        </w:rPr>
      </w:pPr>
      <w:r>
        <w:rPr>
          <w:rFonts w:hint="eastAsia" w:ascii="仿宋_GB2312" w:eastAsia="仿宋_GB2312" w:cs="仿宋_GB2312"/>
          <w:highlight w:val="none"/>
        </w:rPr>
        <w:t>1</w:t>
      </w:r>
      <w:r>
        <w:rPr>
          <w:rFonts w:ascii="仿宋_GB2312" w:eastAsia="仿宋_GB2312" w:cs="仿宋_GB2312"/>
          <w:highlight w:val="none"/>
        </w:rPr>
        <w:t>.</w:t>
      </w:r>
      <w:r>
        <w:rPr>
          <w:rFonts w:hint="eastAsia" w:ascii="仿宋_GB2312" w:eastAsia="仿宋_GB2312" w:cs="仿宋_GB2312"/>
          <w:highlight w:val="none"/>
        </w:rPr>
        <w:t>绩效评价的目的</w:t>
      </w:r>
    </w:p>
    <w:p w14:paraId="58FC6EA8">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7C12334E">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项目在实施前向项目负责人提供财政支出绩效方面的资金管理信息，促进项目支出严格按照资金管理规定进行。</w:t>
      </w:r>
    </w:p>
    <w:p w14:paraId="52C39D39">
      <w:pPr>
        <w:pageBreakBefore w:val="0"/>
        <w:kinsoku/>
        <w:wordWrap/>
        <w:overflowPunct/>
        <w:topLinePunct w:val="0"/>
        <w:autoSpaceDE/>
        <w:autoSpaceDN/>
        <w:bidi w:val="0"/>
        <w:adjustRightInd/>
        <w:snapToGrid/>
        <w:spacing w:line="560" w:lineRule="exact"/>
        <w:ind w:left="64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（2）项目绩效管理财政支出运行提供及时、有效的信息。</w:t>
      </w:r>
    </w:p>
    <w:p w14:paraId="281DC2B5">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综合来看</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通过开展有效的财政支出绩效评价管理，达到改进预算管理、控制节约成本，提高预算资金使用效益的目的。</w:t>
      </w:r>
      <w:r>
        <w:rPr>
          <w:rFonts w:ascii="仿宋_GB2312" w:eastAsia="仿宋_GB2312" w:cs="仿宋_GB2312"/>
          <w:sz w:val="32"/>
          <w:szCs w:val="32"/>
          <w:highlight w:val="none"/>
        </w:rPr>
        <w:t>地区文联按照</w:t>
      </w:r>
      <w:r>
        <w:rPr>
          <w:rFonts w:hint="eastAsia" w:ascii="仿宋_GB2312" w:eastAsia="仿宋_GB2312" w:cs="仿宋_GB2312"/>
          <w:sz w:val="32"/>
          <w:szCs w:val="32"/>
          <w:highlight w:val="none"/>
          <w:lang w:val="en-US" w:eastAsia="zh-CN"/>
        </w:rPr>
        <w:t>工作</w:t>
      </w:r>
      <w:bookmarkStart w:id="2" w:name="_GoBack"/>
      <w:bookmarkEnd w:id="2"/>
      <w:r>
        <w:rPr>
          <w:rFonts w:ascii="仿宋_GB2312" w:eastAsia="仿宋_GB2312" w:cs="仿宋_GB2312"/>
          <w:sz w:val="32"/>
          <w:szCs w:val="32"/>
          <w:highlight w:val="none"/>
        </w:rPr>
        <w:t>要求，对文联2020年度印刷费项目进行绩效评价，参照相关政策文件与规定，从杂志发行专项经费管理使用角度探寻</w:t>
      </w:r>
      <w:r>
        <w:rPr>
          <w:rFonts w:hint="eastAsia" w:ascii="仿宋_GB2312" w:eastAsia="仿宋_GB2312" w:cs="仿宋_GB2312"/>
          <w:sz w:val="32"/>
          <w:szCs w:val="32"/>
          <w:highlight w:val="none"/>
        </w:rPr>
        <w:t>“</w:t>
      </w:r>
      <w:r>
        <w:rPr>
          <w:rFonts w:ascii="仿宋_GB2312" w:eastAsia="仿宋_GB2312" w:cs="仿宋_GB2312"/>
          <w:sz w:val="32"/>
          <w:szCs w:val="32"/>
          <w:highlight w:val="none"/>
        </w:rPr>
        <w:t>印刷费</w:t>
      </w:r>
      <w:r>
        <w:rPr>
          <w:rFonts w:hint="eastAsia" w:ascii="仿宋_GB2312" w:eastAsia="仿宋_GB2312" w:cs="仿宋_GB2312"/>
          <w:sz w:val="32"/>
          <w:szCs w:val="32"/>
          <w:highlight w:val="none"/>
        </w:rPr>
        <w:t>”</w:t>
      </w:r>
      <w:r>
        <w:rPr>
          <w:rFonts w:ascii="仿宋_GB2312" w:eastAsia="仿宋_GB2312" w:cs="仿宋_GB2312"/>
          <w:sz w:val="32"/>
          <w:szCs w:val="32"/>
          <w:highlight w:val="none"/>
        </w:rPr>
        <w:t>的使用效率和效益，提出有针对性的建议，进一步提高资金的使用率。</w:t>
      </w:r>
    </w:p>
    <w:p w14:paraId="6809539E">
      <w:pPr>
        <w:pStyle w:val="2"/>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eastAsia="仿宋_GB2312" w:cs="仿宋_GB2312"/>
          <w:highlight w:val="none"/>
        </w:rPr>
      </w:pPr>
      <w:r>
        <w:rPr>
          <w:rFonts w:hint="eastAsia" w:ascii="仿宋_GB2312" w:eastAsia="仿宋_GB2312" w:cs="仿宋_GB2312"/>
          <w:highlight w:val="none"/>
          <w:lang w:val="en-US" w:eastAsia="zh-CN"/>
        </w:rPr>
        <w:t>2.</w:t>
      </w:r>
      <w:r>
        <w:rPr>
          <w:rFonts w:hint="eastAsia" w:ascii="仿宋_GB2312" w:eastAsia="仿宋_GB2312" w:cs="仿宋_GB2312"/>
          <w:highlight w:val="none"/>
        </w:rPr>
        <w:t>绩效评价的对象</w:t>
      </w:r>
      <w:r>
        <w:rPr>
          <w:rFonts w:ascii="仿宋_GB2312" w:eastAsia="仿宋_GB2312" w:cs="仿宋_GB2312"/>
          <w:highlight w:val="none"/>
        </w:rPr>
        <w:t>：</w:t>
      </w:r>
    </w:p>
    <w:p w14:paraId="1AF9B3B4">
      <w:pPr>
        <w:pageBreakBefore w:val="0"/>
        <w:kinsoku/>
        <w:wordWrap/>
        <w:overflowPunct/>
        <w:topLinePunct w:val="0"/>
        <w:autoSpaceDE/>
        <w:autoSpaceDN/>
        <w:bidi w:val="0"/>
        <w:adjustRightInd/>
        <w:snapToGrid/>
        <w:spacing w:line="560" w:lineRule="exact"/>
        <w:ind w:firstLine="640" w:firstLineChars="200"/>
        <w:contextualSpacing/>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评价对象为印刷费项目，评价核心为专项资金的支出完成情况和效果。</w:t>
      </w:r>
    </w:p>
    <w:p w14:paraId="78142EA5">
      <w:pPr>
        <w:pageBreakBefore w:val="0"/>
        <w:kinsoku/>
        <w:wordWrap/>
        <w:overflowPunct/>
        <w:topLinePunct w:val="0"/>
        <w:autoSpaceDE/>
        <w:autoSpaceDN/>
        <w:bidi w:val="0"/>
        <w:adjustRightInd/>
        <w:snapToGrid/>
        <w:spacing w:line="560" w:lineRule="exact"/>
        <w:ind w:firstLine="643" w:firstLineChars="200"/>
        <w:contextualSpacing/>
        <w:textAlignment w:val="auto"/>
        <w:rPr>
          <w:rFonts w:ascii="仿宋_GB2312" w:eastAsia="仿宋_GB2312" w:cs="仿宋_GB2312"/>
          <w:b/>
          <w:bCs/>
          <w:sz w:val="32"/>
          <w:szCs w:val="32"/>
          <w:highlight w:val="none"/>
        </w:rPr>
      </w:pPr>
      <w:r>
        <w:rPr>
          <w:rFonts w:hint="eastAsia" w:ascii="仿宋_GB2312" w:eastAsia="仿宋_GB2312" w:cs="仿宋_GB2312"/>
          <w:b/>
          <w:bCs/>
          <w:sz w:val="32"/>
          <w:szCs w:val="32"/>
          <w:highlight w:val="none"/>
        </w:rPr>
        <w:t>3</w:t>
      </w:r>
      <w:r>
        <w:rPr>
          <w:rFonts w:ascii="仿宋_GB2312" w:eastAsia="仿宋_GB2312" w:cs="仿宋_GB2312"/>
          <w:b/>
          <w:bCs/>
          <w:sz w:val="32"/>
          <w:szCs w:val="32"/>
          <w:highlight w:val="none"/>
        </w:rPr>
        <w:t>.</w:t>
      </w:r>
      <w:r>
        <w:rPr>
          <w:rFonts w:hint="eastAsia" w:ascii="仿宋_GB2312" w:eastAsia="仿宋_GB2312" w:cs="仿宋_GB2312"/>
          <w:b/>
          <w:bCs/>
          <w:sz w:val="32"/>
          <w:szCs w:val="32"/>
          <w:highlight w:val="none"/>
        </w:rPr>
        <w:t>绩效评价的范围</w:t>
      </w:r>
    </w:p>
    <w:p w14:paraId="48910B6A">
      <w:pPr>
        <w:pageBreakBefore w:val="0"/>
        <w:kinsoku/>
        <w:wordWrap/>
        <w:overflowPunct/>
        <w:topLinePunct w:val="0"/>
        <w:autoSpaceDE/>
        <w:autoSpaceDN/>
        <w:bidi w:val="0"/>
        <w:adjustRightInd/>
        <w:snapToGrid/>
        <w:spacing w:line="560" w:lineRule="exact"/>
        <w:ind w:firstLine="640" w:firstLineChars="200"/>
        <w:contextualSpacing/>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本次评价从项目决策（包括</w:t>
      </w:r>
      <w:r>
        <w:rPr>
          <w:rFonts w:ascii="仿宋_GB2312" w:eastAsia="仿宋_GB2312" w:cs="仿宋_GB2312"/>
          <w:sz w:val="32"/>
          <w:szCs w:val="32"/>
          <w:highlight w:val="none"/>
        </w:rPr>
        <w:t>项目立项、</w:t>
      </w:r>
      <w:r>
        <w:rPr>
          <w:rFonts w:hint="eastAsia" w:ascii="仿宋_GB2312" w:eastAsia="仿宋_GB2312" w:cs="仿宋_GB2312"/>
          <w:sz w:val="32"/>
          <w:szCs w:val="32"/>
          <w:highlight w:val="none"/>
        </w:rPr>
        <w:t>决策过程</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绩效目标</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、项目管理（包括项目资金、项目实施）、项目产出（包括项目产出数量、产出质量、产出时效和产出成本）项目效益</w:t>
      </w:r>
      <w:r>
        <w:rPr>
          <w:rFonts w:ascii="仿宋_GB2312" w:eastAsia="仿宋_GB2312" w:cs="仿宋_GB2312"/>
          <w:sz w:val="32"/>
          <w:szCs w:val="32"/>
          <w:highlight w:val="none"/>
        </w:rPr>
        <w:t>（包括实施效益及满意度）</w:t>
      </w:r>
      <w:r>
        <w:rPr>
          <w:rFonts w:hint="eastAsia" w:ascii="仿宋_GB2312" w:eastAsia="仿宋_GB2312" w:cs="仿宋_GB2312"/>
          <w:sz w:val="32"/>
          <w:szCs w:val="32"/>
          <w:highlight w:val="none"/>
        </w:rPr>
        <w:t>四个维度进行评价。</w:t>
      </w:r>
    </w:p>
    <w:p w14:paraId="21757903">
      <w:pPr>
        <w:pageBreakBefore w:val="0"/>
        <w:kinsoku/>
        <w:wordWrap/>
        <w:overflowPunct/>
        <w:topLinePunct w:val="0"/>
        <w:autoSpaceDE/>
        <w:autoSpaceDN/>
        <w:bidi w:val="0"/>
        <w:adjustRightInd/>
        <w:snapToGrid/>
        <w:spacing w:line="560" w:lineRule="exact"/>
        <w:ind w:firstLine="641"/>
        <w:textAlignment w:val="auto"/>
        <w:rPr>
          <w:rFonts w:ascii="仿宋_GB2312" w:hAnsi="仿宋_GB2312"/>
          <w:highlight w:val="none"/>
        </w:rPr>
      </w:pPr>
      <w:r>
        <w:rPr>
          <w:rFonts w:hint="eastAsia" w:ascii="楷体_GB2312" w:eastAsia="楷体_GB2312" w:cs="楷体_GB2312"/>
          <w:b/>
          <w:bCs/>
          <w:sz w:val="32"/>
          <w:szCs w:val="32"/>
          <w:highlight w:val="none"/>
        </w:rPr>
        <w:t>（二）绩效评价原则、评价指标体系（详情见表1）、评价方法、评价标准。</w:t>
      </w:r>
    </w:p>
    <w:p w14:paraId="017896BF">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highlight w:val="none"/>
        </w:rPr>
      </w:pPr>
      <w:r>
        <w:rPr>
          <w:rFonts w:hint="eastAsia" w:ascii="仿宋_GB2312" w:eastAsia="仿宋_GB2312" w:cs="仿宋_GB2312"/>
          <w:highlight w:val="none"/>
        </w:rPr>
        <w:t>1</w:t>
      </w:r>
      <w:r>
        <w:rPr>
          <w:rFonts w:ascii="仿宋_GB2312" w:eastAsia="仿宋_GB2312" w:cs="仿宋_GB2312"/>
          <w:highlight w:val="none"/>
        </w:rPr>
        <w:t>.</w:t>
      </w:r>
      <w:r>
        <w:rPr>
          <w:rFonts w:hint="eastAsia" w:ascii="仿宋_GB2312" w:eastAsia="仿宋_GB2312" w:cs="仿宋_GB2312"/>
          <w:highlight w:val="none"/>
        </w:rPr>
        <w:t>绩效评价原则</w:t>
      </w:r>
    </w:p>
    <w:p w14:paraId="19563D4D">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z w:val="32"/>
          <w:szCs w:val="32"/>
          <w:highlight w:val="none"/>
        </w:rPr>
      </w:pPr>
      <w:r>
        <w:rPr>
          <w:rFonts w:hint="eastAsia" w:ascii="仿宋_GB2312" w:eastAsia="仿宋_GB2312" w:cs="仿宋_GB2312"/>
          <w:color w:val="000000"/>
          <w:sz w:val="32"/>
          <w:szCs w:val="32"/>
          <w:highlight w:val="none"/>
        </w:rPr>
        <w:t>本次项目绩效评价遵循以下基本原则：</w:t>
      </w:r>
    </w:p>
    <w:p w14:paraId="7F142350">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highlight w:val="none"/>
        </w:rPr>
      </w:pPr>
      <w:r>
        <w:rPr>
          <w:rFonts w:hint="eastAsia" w:ascii="仿宋_GB2312" w:eastAsia="仿宋_GB2312" w:cs="仿宋_GB2312"/>
          <w:b w:val="0"/>
          <w:bCs w:val="0"/>
          <w:highlight w:val="none"/>
        </w:rPr>
        <w:t>（1）科学公正。绩效评价应当运用科学合理的方法，按照规范的程序，对项目绩效进行客观、公正的反映。</w:t>
      </w:r>
    </w:p>
    <w:p w14:paraId="52CCD7DE">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highlight w:val="none"/>
        </w:rPr>
      </w:pPr>
      <w:r>
        <w:rPr>
          <w:rFonts w:hint="eastAsia" w:asci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r>
        <w:rPr>
          <w:rFonts w:ascii="仿宋_GB2312" w:eastAsia="仿宋_GB2312" w:cs="仿宋_GB2312"/>
          <w:b w:val="0"/>
          <w:bCs w:val="0"/>
          <w:highlight w:val="none"/>
        </w:rPr>
        <w:t>，必要时可委托第三方机构实施</w:t>
      </w:r>
      <w:r>
        <w:rPr>
          <w:rFonts w:hint="eastAsia" w:ascii="仿宋_GB2312" w:eastAsia="仿宋_GB2312" w:cs="仿宋_GB2312"/>
          <w:b w:val="0"/>
          <w:bCs w:val="0"/>
          <w:highlight w:val="none"/>
        </w:rPr>
        <w:t>。</w:t>
      </w:r>
    </w:p>
    <w:p w14:paraId="2F7BF6F0">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highlight w:val="none"/>
        </w:rPr>
      </w:pPr>
      <w:r>
        <w:rPr>
          <w:rFonts w:hint="eastAsia" w:asci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p>
    <w:p w14:paraId="558CCEC2">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highlight w:val="none"/>
        </w:rPr>
      </w:pPr>
      <w:r>
        <w:rPr>
          <w:rFonts w:hint="eastAsia" w:ascii="仿宋_GB2312" w:eastAsia="仿宋_GB2312" w:cs="仿宋_GB2312"/>
          <w:b w:val="0"/>
          <w:bCs w:val="0"/>
          <w:highlight w:val="none"/>
        </w:rPr>
        <w:t>（4）公开透明。绩效评价结果应依法依规公开，并自觉接受社会监督。</w:t>
      </w:r>
    </w:p>
    <w:p w14:paraId="5F17B4E0">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highlight w:val="none"/>
        </w:rPr>
      </w:pPr>
      <w:r>
        <w:rPr>
          <w:rFonts w:hint="eastAsia" w:ascii="仿宋_GB2312" w:eastAsia="仿宋_GB2312" w:cs="仿宋_GB2312"/>
          <w:highlight w:val="none"/>
        </w:rPr>
        <w:t>2</w:t>
      </w:r>
      <w:r>
        <w:rPr>
          <w:rFonts w:ascii="仿宋_GB2312" w:eastAsia="仿宋_GB2312" w:cs="仿宋_GB2312"/>
          <w:highlight w:val="none"/>
        </w:rPr>
        <w:t>.</w:t>
      </w:r>
      <w:r>
        <w:rPr>
          <w:rFonts w:hint="eastAsia" w:ascii="仿宋_GB2312" w:eastAsia="仿宋_GB2312" w:cs="仿宋_GB2312"/>
          <w:highlight w:val="none"/>
        </w:rPr>
        <w:t>评价指标体系</w:t>
      </w:r>
    </w:p>
    <w:p w14:paraId="452427D6">
      <w:pPr>
        <w:pageBreakBefore w:val="0"/>
        <w:kinsoku/>
        <w:wordWrap/>
        <w:overflowPunct/>
        <w:topLinePunct w:val="0"/>
        <w:autoSpaceDE/>
        <w:autoSpaceDN/>
        <w:bidi w:val="0"/>
        <w:adjustRightInd/>
        <w:snapToGrid/>
        <w:spacing w:line="560" w:lineRule="exact"/>
        <w:ind w:firstLine="641"/>
        <w:textAlignment w:val="auto"/>
        <w:rPr>
          <w:rFonts w:ascii="宋体" w:cs="宋体"/>
          <w:color w:val="000000"/>
          <w:spacing w:val="17"/>
          <w:sz w:val="32"/>
          <w:szCs w:val="32"/>
          <w:highlight w:val="none"/>
        </w:rPr>
      </w:pPr>
      <w:r>
        <w:rPr>
          <w:rFonts w:hint="eastAsia" w:asci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3976B1CB">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（1）确定评价指标</w:t>
      </w:r>
    </w:p>
    <w:p w14:paraId="78A00521">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采用层次分析法，建立评价指标体系。绩效评价将指标分为项目决策、项目过程、项目产出、项目效益指标四个维度，最终形成一个由多个相互联系的指标组成的多层次指标体系。</w:t>
      </w:r>
    </w:p>
    <w:p w14:paraId="1F272E0D">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（2）确定权重</w:t>
      </w:r>
    </w:p>
    <w:p w14:paraId="05DD5028">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确定各个指标相对于项目总体绩效的权重分值。在绩效评价指标体系中，项目决策权重为5</w:t>
      </w:r>
      <w:r>
        <w:rPr>
          <w:rFonts w:ascii="仿宋_GB2312" w:eastAsia="仿宋_GB2312" w:cs="仿宋_GB2312"/>
          <w:color w:val="000000"/>
          <w:spacing w:val="17"/>
          <w:sz w:val="32"/>
          <w:szCs w:val="32"/>
          <w:highlight w:val="none"/>
        </w:rPr>
        <w:t>%</w:t>
      </w:r>
      <w:r>
        <w:rPr>
          <w:rFonts w:hint="eastAsia" w:ascii="仿宋_GB2312" w:eastAsia="仿宋_GB2312" w:cs="仿宋_GB2312"/>
          <w:color w:val="000000"/>
          <w:spacing w:val="17"/>
          <w:sz w:val="32"/>
          <w:szCs w:val="32"/>
          <w:highlight w:val="none"/>
        </w:rPr>
        <w:t>，项目过程权重值占</w:t>
      </w:r>
      <w:r>
        <w:rPr>
          <w:rFonts w:ascii="仿宋_GB2312" w:eastAsia="仿宋_GB2312" w:cs="仿宋_GB2312"/>
          <w:color w:val="000000"/>
          <w:spacing w:val="17"/>
          <w:sz w:val="32"/>
          <w:szCs w:val="32"/>
          <w:highlight w:val="none"/>
        </w:rPr>
        <w:t>5%</w:t>
      </w:r>
      <w:r>
        <w:rPr>
          <w:rFonts w:hint="eastAsia" w:ascii="仿宋_GB2312" w:eastAsia="仿宋_GB2312" w:cs="仿宋_GB2312"/>
          <w:color w:val="000000"/>
          <w:spacing w:val="17"/>
          <w:sz w:val="32"/>
          <w:szCs w:val="32"/>
          <w:highlight w:val="none"/>
        </w:rPr>
        <w:t>，项目产出权重值占50</w:t>
      </w:r>
      <w:r>
        <w:rPr>
          <w:rFonts w:ascii="仿宋_GB2312" w:eastAsia="仿宋_GB2312" w:cs="仿宋_GB2312"/>
          <w:color w:val="000000"/>
          <w:spacing w:val="17"/>
          <w:sz w:val="32"/>
          <w:szCs w:val="32"/>
          <w:highlight w:val="none"/>
        </w:rPr>
        <w:t>%</w:t>
      </w:r>
      <w:r>
        <w:rPr>
          <w:rFonts w:hint="eastAsia" w:ascii="仿宋_GB2312" w:eastAsia="仿宋_GB2312" w:cs="仿宋_GB2312"/>
          <w:color w:val="000000"/>
          <w:spacing w:val="17"/>
          <w:sz w:val="32"/>
          <w:szCs w:val="32"/>
          <w:highlight w:val="none"/>
        </w:rPr>
        <w:t>，项目效益权重占40</w:t>
      </w:r>
      <w:r>
        <w:rPr>
          <w:rFonts w:ascii="仿宋_GB2312" w:eastAsia="仿宋_GB2312" w:cs="仿宋_GB2312"/>
          <w:color w:val="000000"/>
          <w:spacing w:val="17"/>
          <w:sz w:val="32"/>
          <w:szCs w:val="32"/>
          <w:highlight w:val="none"/>
        </w:rPr>
        <w:t>%</w:t>
      </w:r>
      <w:r>
        <w:rPr>
          <w:rFonts w:hint="eastAsia" w:ascii="仿宋_GB2312" w:eastAsia="仿宋_GB2312" w:cs="仿宋_GB2312"/>
          <w:color w:val="000000"/>
          <w:spacing w:val="17"/>
          <w:sz w:val="32"/>
          <w:szCs w:val="32"/>
          <w:highlight w:val="none"/>
        </w:rPr>
        <w:t>。</w:t>
      </w:r>
    </w:p>
    <w:p w14:paraId="4A0C1A0D">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（3）确定指标标准值</w:t>
      </w:r>
    </w:p>
    <w:p w14:paraId="1561CC3A">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3F7AF8BC">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eastAsia="仿宋_GB2312" w:cs="仿宋_GB2312"/>
          <w:b w:val="0"/>
          <w:bCs w:val="0"/>
          <w:color w:val="000000"/>
          <w:spacing w:val="17"/>
          <w:kern w:val="2"/>
          <w:highlight w:val="none"/>
        </w:rPr>
      </w:pPr>
      <w:r>
        <w:rPr>
          <w:rFonts w:hint="eastAsia" w:ascii="仿宋_GB2312" w:eastAsia="仿宋_GB2312" w:cs="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3CE6C1B1">
      <w:pPr>
        <w:pStyle w:val="2"/>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ascii="仿宋_GB2312" w:eastAsia="仿宋_GB2312" w:cs="仿宋_GB2312"/>
          <w:b w:val="0"/>
          <w:bCs w:val="0"/>
          <w:color w:val="000000"/>
          <w:spacing w:val="17"/>
          <w:highlight w:val="none"/>
        </w:rPr>
      </w:pPr>
      <w:r>
        <w:rPr>
          <w:rFonts w:hint="eastAsia" w:ascii="仿宋_GB2312" w:eastAsia="仿宋_GB2312" w:cs="仿宋_GB2312"/>
          <w:b w:val="0"/>
          <w:bCs w:val="0"/>
          <w:color w:val="000000"/>
          <w:spacing w:val="17"/>
          <w:highlight w:val="none"/>
        </w:rPr>
        <w:t>具体评价指标体系详情见附件1</w:t>
      </w:r>
    </w:p>
    <w:p w14:paraId="18628923">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highlight w:val="none"/>
        </w:rPr>
      </w:pPr>
      <w:r>
        <w:rPr>
          <w:rFonts w:hint="eastAsia" w:ascii="仿宋_GB2312" w:eastAsia="仿宋_GB2312" w:cs="仿宋_GB2312"/>
          <w:highlight w:val="none"/>
        </w:rPr>
        <w:t>3</w:t>
      </w:r>
      <w:r>
        <w:rPr>
          <w:rFonts w:ascii="仿宋_GB2312" w:eastAsia="仿宋_GB2312" w:cs="仿宋_GB2312"/>
          <w:highlight w:val="none"/>
        </w:rPr>
        <w:t>.</w:t>
      </w:r>
      <w:r>
        <w:rPr>
          <w:rFonts w:hint="eastAsia" w:ascii="仿宋_GB2312" w:eastAsia="仿宋_GB2312" w:cs="仿宋_GB2312"/>
          <w:highlight w:val="none"/>
        </w:rPr>
        <w:t>绩效评价方法</w:t>
      </w:r>
    </w:p>
    <w:p w14:paraId="62355517">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1207652A">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0DA35B8C">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（1）比较法</w:t>
      </w:r>
    </w:p>
    <w:p w14:paraId="3CE5BA43">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通过对绩效目标与实施效果、历史与当期情况，综合分析绩效目标实现程度。对</w:t>
      </w:r>
      <w:r>
        <w:rPr>
          <w:rFonts w:hint="eastAsia" w:ascii="仿宋_GB2312" w:eastAsia="仿宋_GB2312" w:cs="仿宋_GB2312"/>
          <w:sz w:val="32"/>
          <w:szCs w:val="32"/>
          <w:highlight w:val="none"/>
        </w:rPr>
        <w:t>项目</w:t>
      </w:r>
      <w:r>
        <w:rPr>
          <w:rFonts w:hint="eastAsia" w:ascii="仿宋_GB2312" w:eastAsia="仿宋_GB2312" w:cs="仿宋_GB2312"/>
          <w:color w:val="000000"/>
          <w:spacing w:val="17"/>
          <w:sz w:val="32"/>
          <w:szCs w:val="32"/>
          <w:highlight w:val="none"/>
        </w:rPr>
        <w:t>最终验收情况与年度绩效目标对比、预算资金执行情况等相关因素进行比较。</w:t>
      </w:r>
    </w:p>
    <w:p w14:paraId="519EF266">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（2）因素分析法</w:t>
      </w:r>
    </w:p>
    <w:p w14:paraId="6DC4A4A5">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highlight w:val="none"/>
        </w:rPr>
      </w:pPr>
      <w:r>
        <w:rPr>
          <w:rFonts w:hint="eastAsia" w:asci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eastAsia="仿宋_GB2312" w:cs="仿宋_GB2312"/>
          <w:sz w:val="32"/>
          <w:szCs w:val="32"/>
          <w:highlight w:val="none"/>
        </w:rPr>
        <w:t>项目</w:t>
      </w:r>
      <w:r>
        <w:rPr>
          <w:rFonts w:hint="eastAsia" w:asci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4F443FDD">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highlight w:val="none"/>
        </w:rPr>
      </w:pPr>
      <w:r>
        <w:rPr>
          <w:rFonts w:hint="eastAsia" w:ascii="仿宋_GB2312" w:hAnsi="仿宋_GB2312" w:eastAsia="仿宋_GB2312" w:cs="仿宋_GB2312"/>
          <w:highlight w:val="none"/>
        </w:rPr>
        <w:t>4、评价标准</w:t>
      </w:r>
    </w:p>
    <w:p w14:paraId="6DF2B408">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highlight w:val="none"/>
        </w:rPr>
      </w:pPr>
      <w:r>
        <w:rPr>
          <w:rFonts w:ascii="仿宋_GB2312" w:hAnsi="仿宋_GB2312" w:eastAsia="仿宋_GB2312" w:cs="仿宋_GB2312"/>
          <w:color w:val="000000"/>
          <w:spacing w:val="17"/>
          <w:sz w:val="32"/>
          <w:szCs w:val="32"/>
          <w:highlight w:val="none"/>
        </w:rPr>
        <w:t>绩效评价标准通常包括计划标准、行业标准、历史标准等，用于对绩效指标完成情况进行比较。本次评价主要采用了计划标准和行业标准。</w:t>
      </w:r>
    </w:p>
    <w:p w14:paraId="54AC0ADC">
      <w:pPr>
        <w:pStyle w:val="2"/>
        <w:pageBreakBefore w:val="0"/>
        <w:numPr>
          <w:ilvl w:val="0"/>
          <w:numId w:val="0"/>
        </w:numPr>
        <w:kinsoku/>
        <w:wordWrap/>
        <w:overflowPunct/>
        <w:topLinePunct w:val="0"/>
        <w:autoSpaceDE/>
        <w:autoSpaceDN/>
        <w:bidi w:val="0"/>
        <w:adjustRightInd/>
        <w:snapToGrid/>
        <w:spacing w:before="0" w:after="0" w:line="560" w:lineRule="exact"/>
        <w:ind w:firstLine="711" w:firstLineChars="200"/>
        <w:jc w:val="both"/>
        <w:textAlignment w:val="auto"/>
        <w:rPr>
          <w:rFonts w:hint="eastAsia" w:ascii="楷体" w:hAnsi="楷体" w:eastAsia="楷体" w:cs="楷体"/>
          <w:color w:val="000000"/>
          <w:spacing w:val="17"/>
          <w:highlight w:val="none"/>
        </w:rPr>
      </w:pPr>
      <w:r>
        <w:rPr>
          <w:rFonts w:hint="eastAsia" w:ascii="楷体" w:hAnsi="楷体" w:eastAsia="楷体" w:cs="楷体"/>
          <w:color w:val="000000"/>
          <w:spacing w:val="17"/>
          <w:highlight w:val="none"/>
          <w:lang w:val="en-US" w:eastAsia="zh-CN"/>
        </w:rPr>
        <w:t>(三)</w:t>
      </w:r>
      <w:r>
        <w:rPr>
          <w:rFonts w:hint="eastAsia" w:ascii="楷体" w:hAnsi="楷体" w:eastAsia="楷体" w:cs="楷体"/>
          <w:color w:val="000000"/>
          <w:spacing w:val="17"/>
          <w:highlight w:val="none"/>
        </w:rPr>
        <w:t>绩效评价工作过程</w:t>
      </w:r>
    </w:p>
    <w:p w14:paraId="14FAF517">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678A701E">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310CAE8E">
      <w:pPr>
        <w:pageBreakBefore w:val="0"/>
        <w:kinsoku/>
        <w:wordWrap/>
        <w:overflowPunct/>
        <w:topLinePunct w:val="0"/>
        <w:autoSpaceDE/>
        <w:autoSpaceDN/>
        <w:bidi w:val="0"/>
        <w:adjustRightInd/>
        <w:snapToGrid/>
        <w:spacing w:line="560" w:lineRule="exact"/>
        <w:ind w:firstLine="641"/>
        <w:textAlignment w:val="auto"/>
        <w:rPr>
          <w:highlight w:val="none"/>
        </w:rPr>
      </w:pPr>
      <w:r>
        <w:rPr>
          <w:rFonts w:hint="eastAsia" w:ascii="仿宋_GB2312" w:hAnsi="仿宋_GB2312" w:eastAsia="仿宋_GB2312" w:cs="仿宋_GB2312"/>
          <w:color w:val="000000"/>
          <w:spacing w:val="17"/>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448A3380">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黑体" w:eastAsia="黑体" w:cs="黑体"/>
          <w:sz w:val="32"/>
          <w:szCs w:val="32"/>
          <w:highlight w:val="none"/>
        </w:rPr>
      </w:pPr>
      <w:r>
        <w:rPr>
          <w:rFonts w:hint="eastAsia" w:ascii="黑体" w:eastAsia="黑体" w:cs="黑体"/>
          <w:sz w:val="32"/>
          <w:szCs w:val="32"/>
          <w:highlight w:val="none"/>
        </w:rPr>
        <w:t>综合评价情况及评价结论（附相关评分表）</w:t>
      </w:r>
    </w:p>
    <w:p w14:paraId="1914FFAA">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eastAsia="仿宋_GB2312" w:cs="仿宋_GB2312"/>
          <w:b w:val="0"/>
          <w:bCs w:val="0"/>
          <w:highlight w:val="none"/>
        </w:rPr>
      </w:pPr>
      <w:r>
        <w:rPr>
          <w:rFonts w:hint="eastAsia" w:ascii="仿宋_GB2312" w:eastAsia="仿宋_GB2312" w:cs="仿宋_GB2312"/>
          <w:b w:val="0"/>
          <w:bCs w:val="0"/>
          <w:highlight w:val="none"/>
        </w:rPr>
        <w:t>对</w:t>
      </w:r>
      <w:r>
        <w:rPr>
          <w:rFonts w:ascii="仿宋_GB2312" w:eastAsia="仿宋_GB2312" w:cs="仿宋_GB2312"/>
          <w:b w:val="0"/>
          <w:bCs w:val="0"/>
          <w:highlight w:val="none"/>
        </w:rPr>
        <w:t>印刷费</w:t>
      </w:r>
      <w:r>
        <w:rPr>
          <w:rFonts w:hint="eastAsia" w:ascii="仿宋_GB2312" w:eastAsia="仿宋_GB2312" w:cs="仿宋_GB2312"/>
          <w:b w:val="0"/>
          <w:bCs w:val="0"/>
          <w:highlight w:val="none"/>
        </w:rPr>
        <w:t xml:space="preserve">项目进行客观评价，最终评分结果：总得分为 </w:t>
      </w:r>
      <w:r>
        <w:rPr>
          <w:rFonts w:hint="eastAsia" w:ascii="仿宋_GB2312" w:eastAsia="仿宋_GB2312" w:cs="仿宋_GB2312"/>
          <w:b w:val="0"/>
          <w:bCs w:val="0"/>
          <w:highlight w:val="none"/>
          <w:lang w:val="en-US" w:eastAsia="zh-CN"/>
        </w:rPr>
        <w:t>93.36</w:t>
      </w:r>
      <w:r>
        <w:rPr>
          <w:rFonts w:hint="eastAsia" w:ascii="仿宋_GB2312" w:eastAsia="仿宋_GB2312" w:cs="仿宋_GB2312"/>
          <w:b w:val="0"/>
          <w:bCs w:val="0"/>
          <w:highlight w:val="none"/>
        </w:rPr>
        <w:t xml:space="preserve">分，属于“优”。其中，项目决策类指标权重为5分，得分为 </w:t>
      </w:r>
      <w:r>
        <w:rPr>
          <w:rFonts w:ascii="仿宋_GB2312" w:eastAsia="仿宋_GB2312" w:cs="仿宋_GB2312"/>
          <w:b w:val="0"/>
          <w:bCs w:val="0"/>
          <w:highlight w:val="none"/>
        </w:rPr>
        <w:t>5</w:t>
      </w:r>
      <w:r>
        <w:rPr>
          <w:rFonts w:hint="eastAsia" w:ascii="仿宋_GB2312" w:eastAsia="仿宋_GB2312" w:cs="仿宋_GB2312"/>
          <w:b w:val="0"/>
          <w:bCs w:val="0"/>
          <w:highlight w:val="none"/>
        </w:rPr>
        <w:t>分，得分率为</w:t>
      </w:r>
      <w:r>
        <w:rPr>
          <w:rFonts w:ascii="仿宋_GB2312" w:eastAsia="仿宋_GB2312" w:cs="仿宋_GB2312"/>
          <w:b w:val="0"/>
          <w:bCs w:val="0"/>
          <w:highlight w:val="none"/>
        </w:rPr>
        <w:t>100</w:t>
      </w:r>
      <w:r>
        <w:rPr>
          <w:rFonts w:hint="eastAsia" w:ascii="仿宋_GB2312" w:eastAsia="仿宋_GB2312" w:cs="仿宋_GB2312"/>
          <w:b w:val="0"/>
          <w:bCs w:val="0"/>
          <w:highlight w:val="none"/>
        </w:rPr>
        <w:t>%。项目过程类指标权重为5分，得分为</w:t>
      </w:r>
      <w:r>
        <w:rPr>
          <w:rFonts w:ascii="仿宋_GB2312" w:eastAsia="仿宋_GB2312" w:cs="仿宋_GB2312"/>
          <w:b w:val="0"/>
          <w:bCs w:val="0"/>
          <w:highlight w:val="none"/>
        </w:rPr>
        <w:t>4.78</w:t>
      </w:r>
      <w:r>
        <w:rPr>
          <w:rFonts w:hint="eastAsia" w:ascii="仿宋_GB2312" w:eastAsia="仿宋_GB2312" w:cs="仿宋_GB2312"/>
          <w:b w:val="0"/>
          <w:bCs w:val="0"/>
          <w:highlight w:val="none"/>
        </w:rPr>
        <w:t xml:space="preserve">分，得分率为 </w:t>
      </w:r>
      <w:r>
        <w:rPr>
          <w:rFonts w:ascii="仿宋_GB2312" w:eastAsia="仿宋_GB2312" w:cs="仿宋_GB2312"/>
          <w:b w:val="0"/>
          <w:bCs w:val="0"/>
          <w:highlight w:val="none"/>
        </w:rPr>
        <w:t>95.6</w:t>
      </w:r>
      <w:r>
        <w:rPr>
          <w:rFonts w:hint="eastAsia" w:ascii="仿宋_GB2312" w:eastAsia="仿宋_GB2312" w:cs="仿宋_GB2312"/>
          <w:b w:val="0"/>
          <w:bCs w:val="0"/>
          <w:highlight w:val="none"/>
        </w:rPr>
        <w:t>%。项目产出类指标权重为50分，得分为</w:t>
      </w:r>
      <w:r>
        <w:rPr>
          <w:rFonts w:hint="eastAsia" w:ascii="仿宋_GB2312" w:eastAsia="仿宋_GB2312" w:cs="仿宋_GB2312"/>
          <w:b w:val="0"/>
          <w:bCs w:val="0"/>
          <w:highlight w:val="none"/>
          <w:lang w:val="en-US" w:eastAsia="zh-CN"/>
        </w:rPr>
        <w:t>50</w:t>
      </w:r>
      <w:r>
        <w:rPr>
          <w:rFonts w:hint="eastAsia" w:ascii="仿宋_GB2312" w:eastAsia="仿宋_GB2312" w:cs="仿宋_GB2312"/>
          <w:b w:val="0"/>
          <w:bCs w:val="0"/>
          <w:highlight w:val="none"/>
        </w:rPr>
        <w:t>分，得分率为</w:t>
      </w:r>
      <w:r>
        <w:rPr>
          <w:rFonts w:hint="eastAsia" w:ascii="仿宋_GB2312" w:eastAsia="仿宋_GB2312" w:cs="仿宋_GB2312"/>
          <w:b w:val="0"/>
          <w:bCs w:val="0"/>
          <w:highlight w:val="none"/>
          <w:lang w:val="en-US" w:eastAsia="zh-CN"/>
        </w:rPr>
        <w:t>100</w:t>
      </w:r>
      <w:r>
        <w:rPr>
          <w:rFonts w:hint="eastAsia" w:ascii="仿宋_GB2312" w:eastAsia="仿宋_GB2312" w:cs="仿宋_GB2312"/>
          <w:b w:val="0"/>
          <w:bCs w:val="0"/>
          <w:highlight w:val="none"/>
        </w:rPr>
        <w:t>%。项目效益类指标权重为40分，得分为</w:t>
      </w:r>
      <w:r>
        <w:rPr>
          <w:rFonts w:hint="eastAsia" w:ascii="仿宋_GB2312" w:eastAsia="仿宋_GB2312" w:cs="仿宋_GB2312"/>
          <w:b w:val="0"/>
          <w:bCs w:val="0"/>
          <w:highlight w:val="none"/>
          <w:lang w:val="en-US" w:eastAsia="zh-CN"/>
        </w:rPr>
        <w:t>33.58</w:t>
      </w:r>
      <w:r>
        <w:rPr>
          <w:rFonts w:hint="eastAsia" w:ascii="仿宋_GB2312" w:eastAsia="仿宋_GB2312" w:cs="仿宋_GB2312"/>
          <w:b w:val="0"/>
          <w:bCs w:val="0"/>
          <w:highlight w:val="none"/>
        </w:rPr>
        <w:t>分，得分率为</w:t>
      </w:r>
      <w:r>
        <w:rPr>
          <w:rFonts w:ascii="仿宋_GB2312" w:eastAsia="仿宋_GB2312" w:cs="仿宋_GB2312"/>
          <w:b w:val="0"/>
          <w:bCs w:val="0"/>
          <w:highlight w:val="none"/>
        </w:rPr>
        <w:t>8</w:t>
      </w:r>
      <w:r>
        <w:rPr>
          <w:rFonts w:hint="eastAsia" w:ascii="仿宋_GB2312" w:eastAsia="仿宋_GB2312" w:cs="仿宋_GB2312"/>
          <w:b w:val="0"/>
          <w:bCs w:val="0"/>
          <w:highlight w:val="none"/>
          <w:lang w:val="en-US" w:eastAsia="zh-CN"/>
        </w:rPr>
        <w:t>3</w:t>
      </w:r>
      <w:r>
        <w:rPr>
          <w:rFonts w:ascii="仿宋_GB2312" w:eastAsia="仿宋_GB2312" w:cs="仿宋_GB2312"/>
          <w:b w:val="0"/>
          <w:bCs w:val="0"/>
          <w:highlight w:val="none"/>
        </w:rPr>
        <w:t>.</w:t>
      </w:r>
      <w:r>
        <w:rPr>
          <w:rFonts w:hint="eastAsia" w:ascii="仿宋_GB2312" w:eastAsia="仿宋_GB2312" w:cs="仿宋_GB2312"/>
          <w:b w:val="0"/>
          <w:bCs w:val="0"/>
          <w:highlight w:val="none"/>
          <w:lang w:val="en-US" w:eastAsia="zh-CN"/>
        </w:rPr>
        <w:t>9</w:t>
      </w:r>
      <w:r>
        <w:rPr>
          <w:rFonts w:ascii="仿宋_GB2312" w:eastAsia="仿宋_GB2312" w:cs="仿宋_GB2312"/>
          <w:b w:val="0"/>
          <w:bCs w:val="0"/>
          <w:highlight w:val="none"/>
        </w:rPr>
        <w:t>5</w:t>
      </w:r>
      <w:r>
        <w:rPr>
          <w:rFonts w:hint="eastAsia" w:ascii="仿宋_GB2312" w:eastAsia="仿宋_GB2312" w:cs="仿宋_GB2312"/>
          <w:b w:val="0"/>
          <w:bCs w:val="0"/>
          <w:highlight w:val="none"/>
        </w:rPr>
        <w:t>%。</w:t>
      </w:r>
    </w:p>
    <w:p w14:paraId="1F861DAC">
      <w:pPr>
        <w:jc w:val="center"/>
        <w:rPr>
          <w:rFonts w:hint="eastAsia"/>
          <w:b/>
          <w:bCs/>
          <w:sz w:val="32"/>
          <w:szCs w:val="32"/>
          <w:highlight w:val="none"/>
        </w:rPr>
      </w:pPr>
      <w:r>
        <w:rPr>
          <w:rFonts w:hint="eastAsia" w:ascii="仿宋_GB2312" w:eastAsia="仿宋_GB2312" w:cs="仿宋_GB2312"/>
          <w:b/>
          <w:bCs/>
          <w:sz w:val="32"/>
          <w:szCs w:val="32"/>
          <w:highlight w:val="none"/>
        </w:rPr>
        <w:t>表1综合评分表</w:t>
      </w:r>
    </w:p>
    <w:p w14:paraId="7A5D73B3">
      <w:pPr>
        <w:rPr>
          <w:highlight w:val="none"/>
        </w:rPr>
      </w:pP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43088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65" w:hRule="atLeast"/>
          <w:tblHeader/>
        </w:trPr>
        <w:tc>
          <w:tcPr>
            <w:tcW w:w="110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304E2630">
            <w:pPr>
              <w:pStyle w:val="2"/>
              <w:pageBreakBefore w:val="0"/>
              <w:kinsoku/>
              <w:wordWrap/>
              <w:overflowPunct/>
              <w:topLinePunct w:val="0"/>
              <w:autoSpaceDE/>
              <w:autoSpaceDN/>
              <w:bidi w:val="0"/>
              <w:adjustRightInd/>
              <w:snapToGrid/>
              <w:spacing w:before="0" w:after="0" w:line="560" w:lineRule="exact"/>
              <w:textAlignment w:val="auto"/>
              <w:rPr>
                <w:rFonts w:ascii="宋体" w:cs="宋体"/>
                <w:color w:val="000000"/>
                <w:kern w:val="0"/>
                <w:sz w:val="22"/>
                <w:szCs w:val="22"/>
                <w:highlight w:val="none"/>
              </w:rPr>
            </w:pPr>
            <w:r>
              <w:rPr>
                <w:rFonts w:hint="eastAsia" w:ascii="宋体" w:cs="宋体"/>
                <w:color w:val="000000"/>
                <w:kern w:val="0"/>
                <w:sz w:val="22"/>
                <w:szCs w:val="22"/>
                <w:highlight w:val="none"/>
              </w:rPr>
              <w:t>一级指标</w:t>
            </w:r>
          </w:p>
        </w:tc>
        <w:tc>
          <w:tcPr>
            <w:tcW w:w="99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25F323F5">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highlight w:val="none"/>
              </w:rPr>
            </w:pPr>
            <w:r>
              <w:rPr>
                <w:rFonts w:hint="eastAsia" w:ascii="宋体" w:cs="宋体"/>
                <w:b/>
                <w:bCs/>
                <w:color w:val="000000"/>
                <w:kern w:val="0"/>
                <w:sz w:val="22"/>
                <w:szCs w:val="22"/>
                <w:highlight w:val="none"/>
              </w:rPr>
              <w:t>分值</w:t>
            </w:r>
          </w:p>
        </w:tc>
        <w:tc>
          <w:tcPr>
            <w:tcW w:w="1283"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1E09C7C">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highlight w:val="none"/>
              </w:rPr>
            </w:pPr>
            <w:r>
              <w:rPr>
                <w:rFonts w:hint="eastAsia" w:ascii="宋体" w:cs="宋体"/>
                <w:b/>
                <w:bCs/>
                <w:color w:val="000000"/>
                <w:kern w:val="0"/>
                <w:sz w:val="22"/>
                <w:szCs w:val="22"/>
                <w:highlight w:val="none"/>
              </w:rPr>
              <w:t>二级指标</w:t>
            </w:r>
          </w:p>
        </w:tc>
        <w:tc>
          <w:tcPr>
            <w:tcW w:w="170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0C4565B9">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highlight w:val="none"/>
              </w:rPr>
            </w:pPr>
            <w:r>
              <w:rPr>
                <w:rFonts w:hint="eastAsia" w:ascii="宋体" w:cs="宋体"/>
                <w:b/>
                <w:bCs/>
                <w:color w:val="000000"/>
                <w:kern w:val="0"/>
                <w:sz w:val="22"/>
                <w:szCs w:val="22"/>
                <w:highlight w:val="none"/>
              </w:rPr>
              <w:t>三级指标</w:t>
            </w:r>
          </w:p>
        </w:tc>
        <w:tc>
          <w:tcPr>
            <w:tcW w:w="72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4A972A68">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highlight w:val="none"/>
              </w:rPr>
            </w:pPr>
            <w:r>
              <w:rPr>
                <w:rFonts w:hint="eastAsia" w:ascii="宋体" w:cs="宋体"/>
                <w:b/>
                <w:bCs/>
                <w:color w:val="000000"/>
                <w:kern w:val="0"/>
                <w:sz w:val="22"/>
                <w:szCs w:val="22"/>
                <w:highlight w:val="none"/>
              </w:rPr>
              <w:t>权重</w:t>
            </w:r>
          </w:p>
        </w:tc>
        <w:tc>
          <w:tcPr>
            <w:tcW w:w="104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7E4E2A9">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highlight w:val="none"/>
              </w:rPr>
            </w:pPr>
            <w:r>
              <w:rPr>
                <w:rFonts w:hint="eastAsia" w:ascii="宋体" w:cs="宋体"/>
                <w:b/>
                <w:bCs/>
                <w:color w:val="000000"/>
                <w:kern w:val="0"/>
                <w:sz w:val="22"/>
                <w:szCs w:val="22"/>
                <w:highlight w:val="none"/>
              </w:rPr>
              <w:t>目标值</w:t>
            </w:r>
          </w:p>
        </w:tc>
        <w:tc>
          <w:tcPr>
            <w:tcW w:w="92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6DD029B">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highlight w:val="none"/>
              </w:rPr>
            </w:pPr>
            <w:r>
              <w:rPr>
                <w:rFonts w:hint="eastAsia" w:ascii="宋体" w:cs="宋体"/>
                <w:b/>
                <w:bCs/>
                <w:color w:val="000000"/>
                <w:kern w:val="0"/>
                <w:sz w:val="22"/>
                <w:szCs w:val="22"/>
                <w:highlight w:val="none"/>
              </w:rPr>
              <w:t>业绩值</w:t>
            </w:r>
          </w:p>
        </w:tc>
        <w:tc>
          <w:tcPr>
            <w:tcW w:w="1215"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057FECD1">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highlight w:val="none"/>
              </w:rPr>
            </w:pPr>
            <w:r>
              <w:rPr>
                <w:rFonts w:hint="eastAsia" w:ascii="宋体" w:cs="宋体"/>
                <w:b/>
                <w:bCs/>
                <w:color w:val="000000"/>
                <w:kern w:val="0"/>
                <w:sz w:val="22"/>
                <w:szCs w:val="22"/>
                <w:highlight w:val="none"/>
              </w:rPr>
              <w:t>得分率</w:t>
            </w:r>
          </w:p>
        </w:tc>
        <w:tc>
          <w:tcPr>
            <w:tcW w:w="96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6D8B6A7F">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highlight w:val="none"/>
              </w:rPr>
            </w:pPr>
            <w:r>
              <w:rPr>
                <w:rFonts w:hint="eastAsia" w:ascii="宋体" w:cs="宋体"/>
                <w:b/>
                <w:bCs/>
                <w:color w:val="000000"/>
                <w:kern w:val="0"/>
                <w:sz w:val="22"/>
                <w:szCs w:val="22"/>
                <w:highlight w:val="none"/>
              </w:rPr>
              <w:t>得分</w:t>
            </w:r>
          </w:p>
        </w:tc>
      </w:tr>
      <w:tr w14:paraId="5C452F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48BA3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决策　</w:t>
            </w:r>
          </w:p>
          <w:p w14:paraId="094059C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　</w:t>
            </w:r>
          </w:p>
          <w:p w14:paraId="4184C1BB">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　</w:t>
            </w:r>
          </w:p>
          <w:p w14:paraId="40795D7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328B3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kern w:val="0"/>
                <w:sz w:val="22"/>
                <w:szCs w:val="22"/>
                <w:highlight w:val="none"/>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1250A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项目立项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0355CE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立项依据</w:t>
            </w:r>
          </w:p>
          <w:p w14:paraId="374B69D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充分性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50D769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578128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7D2DF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367DD0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8C5493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0.5</w:t>
            </w:r>
          </w:p>
        </w:tc>
      </w:tr>
      <w:tr w14:paraId="7A310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1381123">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9CDA99">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266B7C7">
            <w:pPr>
              <w:pageBreakBefore w:val="0"/>
              <w:kinsoku/>
              <w:wordWrap/>
              <w:overflowPunct/>
              <w:topLinePunct w:val="0"/>
              <w:autoSpaceDE/>
              <w:autoSpaceDN/>
              <w:bidi w:val="0"/>
              <w:adjustRightInd/>
              <w:snapToGrid/>
              <w:spacing w:line="560" w:lineRule="exact"/>
              <w:textAlignment w:val="auto"/>
              <w:rPr>
                <w:highlight w:val="none"/>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E1527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立项程序</w:t>
            </w:r>
          </w:p>
          <w:p w14:paraId="7E2A36E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规范性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84930D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C0288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E1442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182C65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5580E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0.5</w:t>
            </w:r>
          </w:p>
        </w:tc>
      </w:tr>
      <w:tr w14:paraId="638543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4E4ECE1">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F3782B5">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5532C6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绩效目标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A8C258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绩效目标</w:t>
            </w:r>
          </w:p>
          <w:p w14:paraId="7A575E4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合理性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E6856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D5218F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DE4565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896AF2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72162D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r>
      <w:tr w14:paraId="665F8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175C3CE">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3BE1D5">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30D8CE">
            <w:pPr>
              <w:pageBreakBefore w:val="0"/>
              <w:kinsoku/>
              <w:wordWrap/>
              <w:overflowPunct/>
              <w:topLinePunct w:val="0"/>
              <w:autoSpaceDE/>
              <w:autoSpaceDN/>
              <w:bidi w:val="0"/>
              <w:adjustRightInd/>
              <w:snapToGrid/>
              <w:spacing w:line="560" w:lineRule="exact"/>
              <w:textAlignment w:val="auto"/>
              <w:rPr>
                <w:highlight w:val="none"/>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2146A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绩效指标</w:t>
            </w:r>
          </w:p>
          <w:p w14:paraId="4016C46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明确性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F0E635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0C6DCF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8EE4DD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4E67A4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AB78C8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r>
      <w:tr w14:paraId="0D4B1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6D6714">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E6C5476">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1C8137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资金投入</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A441E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预算编制</w:t>
            </w:r>
          </w:p>
          <w:p w14:paraId="331FFA9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科学性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08EFE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5FB6B2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537332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9C81F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730CAA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r>
      <w:tr w14:paraId="63514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AAE6D15">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7E1BFD">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5EE6918">
            <w:pPr>
              <w:pageBreakBefore w:val="0"/>
              <w:kinsoku/>
              <w:wordWrap/>
              <w:overflowPunct/>
              <w:topLinePunct w:val="0"/>
              <w:autoSpaceDE/>
              <w:autoSpaceDN/>
              <w:bidi w:val="0"/>
              <w:adjustRightInd/>
              <w:snapToGrid/>
              <w:spacing w:line="560" w:lineRule="exact"/>
              <w:textAlignment w:val="auto"/>
              <w:rPr>
                <w:highlight w:val="none"/>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A4755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资金分配</w:t>
            </w:r>
          </w:p>
          <w:p w14:paraId="46015BB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合理性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2E7A6D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DED04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F45EB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EEB02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417B79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r>
      <w:tr w14:paraId="7E8A1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14D00A">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过程</w:t>
            </w:r>
          </w:p>
          <w:p w14:paraId="74B90A90">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114E3A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kern w:val="0"/>
                <w:sz w:val="22"/>
                <w:szCs w:val="22"/>
                <w:highlight w:val="none"/>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80AEA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A943F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资金到位率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F287C0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9E562A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C50EBE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FF8D65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D0673D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r>
      <w:tr w14:paraId="21039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3728DB8">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EE8BA87">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11EF518">
            <w:pPr>
              <w:pageBreakBefore w:val="0"/>
              <w:kinsoku/>
              <w:wordWrap/>
              <w:overflowPunct/>
              <w:topLinePunct w:val="0"/>
              <w:autoSpaceDE/>
              <w:autoSpaceDN/>
              <w:bidi w:val="0"/>
              <w:adjustRightInd/>
              <w:snapToGrid/>
              <w:spacing w:line="560" w:lineRule="exact"/>
              <w:textAlignment w:val="auto"/>
              <w:rPr>
                <w:highlight w:val="none"/>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2A1FB2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预算执行率</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A70A3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35132D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0A914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0.98</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4AAF6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98%</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39A5D1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0.98</w:t>
            </w:r>
          </w:p>
        </w:tc>
      </w:tr>
      <w:tr w14:paraId="136F54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C90A2E">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1415257">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6ED514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76CC3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资金使用</w:t>
            </w:r>
          </w:p>
          <w:p w14:paraId="22F738B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合规性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4A0335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EC3BA0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BEA64D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C3ED9D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4A0019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r>
      <w:tr w14:paraId="5A109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F6A28DE">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BDC6D60">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5784EC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组织实施</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14F50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管理制度</w:t>
            </w:r>
          </w:p>
          <w:p w14:paraId="4BD387E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健全性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1D8FEE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5CDDC0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638CE3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90D75A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F63997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0.9</w:t>
            </w:r>
          </w:p>
        </w:tc>
      </w:tr>
      <w:tr w14:paraId="45485E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F28790">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D5219BF">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0E9DA2">
            <w:pPr>
              <w:pageBreakBefore w:val="0"/>
              <w:kinsoku/>
              <w:wordWrap/>
              <w:overflowPunct/>
              <w:topLinePunct w:val="0"/>
              <w:autoSpaceDE/>
              <w:autoSpaceDN/>
              <w:bidi w:val="0"/>
              <w:adjustRightInd/>
              <w:snapToGrid/>
              <w:spacing w:line="560" w:lineRule="exact"/>
              <w:textAlignment w:val="auto"/>
              <w:rPr>
                <w:highlight w:val="none"/>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EECA5F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制度执行</w:t>
            </w:r>
          </w:p>
          <w:p w14:paraId="1320F38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有效性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2B65F5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EC4506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CB5A3B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5A5314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0FABB6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0.9</w:t>
            </w:r>
          </w:p>
        </w:tc>
      </w:tr>
      <w:tr w14:paraId="076A1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6CF2F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产出</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4EAE6B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kern w:val="0"/>
                <w:sz w:val="22"/>
                <w:szCs w:val="22"/>
                <w:highlight w:val="none"/>
              </w:rPr>
              <w:t>50分</w:t>
            </w: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9C288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产出数量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44C04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实际完成率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65485B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A6A62C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7838C9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15</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467B11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7B477B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15</w:t>
            </w:r>
          </w:p>
        </w:tc>
      </w:tr>
      <w:tr w14:paraId="3AF463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7ED925">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553116">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A7C816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产出质量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441E53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质量达标率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6E3AAB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BE54A5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BA06677">
            <w:pPr>
              <w:pageBreakBefore w:val="0"/>
              <w:widowControl/>
              <w:kinsoku/>
              <w:wordWrap/>
              <w:overflowPunct/>
              <w:topLinePunct w:val="0"/>
              <w:autoSpaceDE/>
              <w:autoSpaceDN/>
              <w:bidi w:val="0"/>
              <w:adjustRightInd/>
              <w:snapToGrid/>
              <w:spacing w:line="560" w:lineRule="exact"/>
              <w:jc w:val="center"/>
              <w:textAlignment w:val="auto"/>
              <w:rPr>
                <w:rFonts w:hint="default" w:ascii="宋体" w:eastAsia="宋体" w:cs="宋体"/>
                <w:color w:val="000000"/>
                <w:kern w:val="0"/>
                <w:sz w:val="22"/>
                <w:szCs w:val="22"/>
                <w:highlight w:val="none"/>
                <w:lang w:val="en-US" w:eastAsia="zh-CN"/>
              </w:rPr>
            </w:pPr>
            <w:r>
              <w:rPr>
                <w:rFonts w:hint="eastAsia" w:ascii="宋体" w:cs="宋体"/>
                <w:color w:val="000000"/>
                <w:kern w:val="0"/>
                <w:sz w:val="22"/>
                <w:szCs w:val="22"/>
                <w:highlight w:val="none"/>
                <w:lang w:val="en-US" w:eastAsia="zh-CN"/>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FE0FF8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lang w:val="en-US" w:eastAsia="zh-CN"/>
              </w:rPr>
              <w:t>10</w:t>
            </w:r>
            <w:r>
              <w:rPr>
                <w:rFonts w:ascii="宋体" w:cs="宋体"/>
                <w:color w:val="000000"/>
                <w:kern w:val="0"/>
                <w:sz w:val="22"/>
                <w:szCs w:val="22"/>
                <w:highlight w:val="none"/>
              </w:rPr>
              <w:t>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E7BF572">
            <w:pPr>
              <w:pageBreakBefore w:val="0"/>
              <w:widowControl/>
              <w:kinsoku/>
              <w:wordWrap/>
              <w:overflowPunct/>
              <w:topLinePunct w:val="0"/>
              <w:autoSpaceDE/>
              <w:autoSpaceDN/>
              <w:bidi w:val="0"/>
              <w:adjustRightInd/>
              <w:snapToGrid/>
              <w:spacing w:line="560" w:lineRule="exact"/>
              <w:jc w:val="center"/>
              <w:textAlignment w:val="auto"/>
              <w:rPr>
                <w:rFonts w:hint="default" w:ascii="宋体" w:eastAsia="宋体" w:cs="宋体"/>
                <w:color w:val="000000"/>
                <w:kern w:val="0"/>
                <w:sz w:val="22"/>
                <w:szCs w:val="22"/>
                <w:highlight w:val="none"/>
                <w:lang w:val="en-US" w:eastAsia="zh-CN"/>
              </w:rPr>
            </w:pPr>
            <w:r>
              <w:rPr>
                <w:rFonts w:hint="eastAsia" w:ascii="宋体" w:cs="宋体"/>
                <w:color w:val="000000"/>
                <w:kern w:val="0"/>
                <w:sz w:val="22"/>
                <w:szCs w:val="22"/>
                <w:highlight w:val="none"/>
                <w:lang w:val="en-US" w:eastAsia="zh-CN"/>
              </w:rPr>
              <w:t>10</w:t>
            </w:r>
          </w:p>
        </w:tc>
      </w:tr>
      <w:tr w14:paraId="27C6CA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7DD86F">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BCBC44">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46084C">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产出时效</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6CEDD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完成及时性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1C872F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4072C8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74A1DE8">
            <w:pPr>
              <w:pageBreakBefore w:val="0"/>
              <w:widowControl/>
              <w:kinsoku/>
              <w:wordWrap/>
              <w:overflowPunct/>
              <w:topLinePunct w:val="0"/>
              <w:autoSpaceDE/>
              <w:autoSpaceDN/>
              <w:bidi w:val="0"/>
              <w:adjustRightInd/>
              <w:snapToGrid/>
              <w:spacing w:line="560" w:lineRule="exact"/>
              <w:jc w:val="center"/>
              <w:textAlignment w:val="auto"/>
              <w:rPr>
                <w:rFonts w:hint="default" w:ascii="宋体" w:eastAsia="宋体" w:cs="宋体"/>
                <w:color w:val="000000"/>
                <w:kern w:val="0"/>
                <w:sz w:val="22"/>
                <w:szCs w:val="22"/>
                <w:highlight w:val="none"/>
                <w:lang w:val="en-US" w:eastAsia="zh-CN"/>
              </w:rPr>
            </w:pPr>
            <w:r>
              <w:rPr>
                <w:rFonts w:hint="eastAsia" w:ascii="宋体" w:cs="宋体"/>
                <w:color w:val="000000"/>
                <w:kern w:val="0"/>
                <w:sz w:val="22"/>
                <w:szCs w:val="22"/>
                <w:highlight w:val="none"/>
                <w:lang w:val="en-US" w:eastAsia="zh-CN"/>
              </w:rPr>
              <w:t>15</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94CE73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lang w:val="en-US" w:eastAsia="zh-CN"/>
              </w:rPr>
              <w:t>100</w:t>
            </w:r>
            <w:r>
              <w:rPr>
                <w:rFonts w:ascii="宋体" w:cs="宋体"/>
                <w:color w:val="000000"/>
                <w:kern w:val="0"/>
                <w:sz w:val="22"/>
                <w:szCs w:val="22"/>
                <w:highlight w:val="none"/>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90470D7">
            <w:pPr>
              <w:pageBreakBefore w:val="0"/>
              <w:widowControl/>
              <w:kinsoku/>
              <w:wordWrap/>
              <w:overflowPunct/>
              <w:topLinePunct w:val="0"/>
              <w:autoSpaceDE/>
              <w:autoSpaceDN/>
              <w:bidi w:val="0"/>
              <w:adjustRightInd/>
              <w:snapToGrid/>
              <w:spacing w:line="560" w:lineRule="exact"/>
              <w:jc w:val="center"/>
              <w:textAlignment w:val="auto"/>
              <w:rPr>
                <w:rFonts w:hint="eastAsia" w:ascii="宋体" w:eastAsia="宋体" w:cs="宋体"/>
                <w:color w:val="000000"/>
                <w:kern w:val="0"/>
                <w:sz w:val="22"/>
                <w:szCs w:val="22"/>
                <w:highlight w:val="none"/>
                <w:lang w:eastAsia="zh-CN"/>
              </w:rPr>
            </w:pPr>
            <w:r>
              <w:rPr>
                <w:rFonts w:ascii="宋体" w:cs="宋体"/>
                <w:color w:val="000000"/>
                <w:kern w:val="0"/>
                <w:sz w:val="22"/>
                <w:szCs w:val="22"/>
                <w:highlight w:val="none"/>
              </w:rPr>
              <w:t>1</w:t>
            </w:r>
            <w:r>
              <w:rPr>
                <w:rFonts w:hint="eastAsia" w:ascii="宋体" w:cs="宋体"/>
                <w:color w:val="000000"/>
                <w:kern w:val="0"/>
                <w:sz w:val="22"/>
                <w:szCs w:val="22"/>
                <w:highlight w:val="none"/>
                <w:lang w:val="en-US" w:eastAsia="zh-CN"/>
              </w:rPr>
              <w:t>5</w:t>
            </w:r>
          </w:p>
        </w:tc>
      </w:tr>
      <w:tr w14:paraId="7FFEC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3B3A19">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F66567">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B5688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产出成本</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32EA0E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成本节约率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E5A833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5C9826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39D353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0D8969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6598C4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w:t>
            </w:r>
          </w:p>
        </w:tc>
      </w:tr>
      <w:tr w14:paraId="6C992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342210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效益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5001C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40分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35A99A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项目效益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310531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实施效益</w:t>
            </w:r>
          </w:p>
          <w:p w14:paraId="124CAA9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（社会效益、经济效益、可持续效益）</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8FD05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30</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10FCF9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30</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14D7CCC">
            <w:pPr>
              <w:pageBreakBefore w:val="0"/>
              <w:widowControl/>
              <w:kinsoku/>
              <w:wordWrap/>
              <w:overflowPunct/>
              <w:topLinePunct w:val="0"/>
              <w:autoSpaceDE/>
              <w:autoSpaceDN/>
              <w:bidi w:val="0"/>
              <w:adjustRightInd/>
              <w:snapToGrid/>
              <w:spacing w:line="560" w:lineRule="exact"/>
              <w:jc w:val="center"/>
              <w:textAlignment w:val="auto"/>
              <w:rPr>
                <w:rFonts w:hint="default" w:ascii="宋体" w:eastAsia="宋体" w:cs="宋体"/>
                <w:color w:val="000000"/>
                <w:kern w:val="0"/>
                <w:sz w:val="22"/>
                <w:szCs w:val="22"/>
                <w:highlight w:val="none"/>
                <w:lang w:val="en-US" w:eastAsia="zh-CN"/>
              </w:rPr>
            </w:pPr>
            <w:r>
              <w:rPr>
                <w:rFonts w:hint="eastAsia" w:ascii="宋体" w:cs="宋体"/>
                <w:color w:val="000000"/>
                <w:kern w:val="0"/>
                <w:sz w:val="22"/>
                <w:szCs w:val="22"/>
                <w:highlight w:val="none"/>
                <w:lang w:val="en-US" w:eastAsia="zh-CN"/>
              </w:rPr>
              <w:t>23.58</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D395D1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lang w:val="en-US" w:eastAsia="zh-CN"/>
              </w:rPr>
              <w:t>78.6</w:t>
            </w:r>
            <w:r>
              <w:rPr>
                <w:rFonts w:ascii="宋体" w:cs="宋体"/>
                <w:color w:val="000000"/>
                <w:kern w:val="0"/>
                <w:sz w:val="22"/>
                <w:szCs w:val="22"/>
                <w:highlight w:val="none"/>
              </w:rPr>
              <w:t>%</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2C062C">
            <w:pPr>
              <w:pageBreakBefore w:val="0"/>
              <w:widowControl/>
              <w:kinsoku/>
              <w:wordWrap/>
              <w:overflowPunct/>
              <w:topLinePunct w:val="0"/>
              <w:autoSpaceDE/>
              <w:autoSpaceDN/>
              <w:bidi w:val="0"/>
              <w:adjustRightInd/>
              <w:snapToGrid/>
              <w:spacing w:line="560" w:lineRule="exact"/>
              <w:jc w:val="center"/>
              <w:textAlignment w:val="auto"/>
              <w:rPr>
                <w:rFonts w:hint="default" w:ascii="宋体" w:eastAsia="宋体" w:cs="宋体"/>
                <w:color w:val="000000"/>
                <w:kern w:val="0"/>
                <w:sz w:val="22"/>
                <w:szCs w:val="22"/>
                <w:highlight w:val="none"/>
                <w:lang w:val="en-US" w:eastAsia="zh-CN"/>
              </w:rPr>
            </w:pPr>
            <w:r>
              <w:rPr>
                <w:rFonts w:hint="eastAsia" w:ascii="宋体" w:cs="宋体"/>
                <w:color w:val="000000"/>
                <w:kern w:val="0"/>
                <w:sz w:val="22"/>
                <w:szCs w:val="22"/>
                <w:highlight w:val="none"/>
                <w:lang w:val="en-US" w:eastAsia="zh-CN"/>
              </w:rPr>
              <w:t>23.58</w:t>
            </w:r>
          </w:p>
        </w:tc>
      </w:tr>
      <w:tr w14:paraId="621F5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DBBF50">
            <w:pPr>
              <w:pageBreakBefore w:val="0"/>
              <w:kinsoku/>
              <w:wordWrap/>
              <w:overflowPunct/>
              <w:topLinePunct w:val="0"/>
              <w:autoSpaceDE/>
              <w:autoSpaceDN/>
              <w:bidi w:val="0"/>
              <w:adjustRightInd/>
              <w:snapToGrid/>
              <w:spacing w:line="560" w:lineRule="exact"/>
              <w:textAlignment w:val="auto"/>
              <w:rPr>
                <w:highlight w:val="none"/>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842B32">
            <w:pPr>
              <w:pageBreakBefore w:val="0"/>
              <w:kinsoku/>
              <w:wordWrap/>
              <w:overflowPunct/>
              <w:topLinePunct w:val="0"/>
              <w:autoSpaceDE/>
              <w:autoSpaceDN/>
              <w:bidi w:val="0"/>
              <w:adjustRightInd/>
              <w:snapToGrid/>
              <w:spacing w:line="560" w:lineRule="exact"/>
              <w:textAlignment w:val="auto"/>
              <w:rPr>
                <w:highlight w:val="none"/>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A7B651D">
            <w:pPr>
              <w:pageBreakBefore w:val="0"/>
              <w:kinsoku/>
              <w:wordWrap/>
              <w:overflowPunct/>
              <w:topLinePunct w:val="0"/>
              <w:autoSpaceDE/>
              <w:autoSpaceDN/>
              <w:bidi w:val="0"/>
              <w:adjustRightInd/>
              <w:snapToGrid/>
              <w:spacing w:line="560" w:lineRule="exact"/>
              <w:textAlignment w:val="auto"/>
              <w:rPr>
                <w:highlight w:val="none"/>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CCE5F8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满意度</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2573E4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C18011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ascii="宋体" w:cs="宋体"/>
                <w:color w:val="000000"/>
                <w:kern w:val="0"/>
                <w:sz w:val="22"/>
                <w:szCs w:val="22"/>
                <w:highlight w:val="none"/>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F336095">
            <w:pPr>
              <w:pageBreakBefore w:val="0"/>
              <w:widowControl/>
              <w:kinsoku/>
              <w:wordWrap/>
              <w:overflowPunct/>
              <w:topLinePunct w:val="0"/>
              <w:autoSpaceDE/>
              <w:autoSpaceDN/>
              <w:bidi w:val="0"/>
              <w:adjustRightInd/>
              <w:snapToGrid/>
              <w:spacing w:line="560" w:lineRule="exact"/>
              <w:jc w:val="center"/>
              <w:textAlignment w:val="auto"/>
              <w:rPr>
                <w:rFonts w:hint="default" w:ascii="宋体" w:eastAsia="宋体" w:cs="宋体"/>
                <w:color w:val="000000"/>
                <w:kern w:val="0"/>
                <w:sz w:val="22"/>
                <w:szCs w:val="22"/>
                <w:highlight w:val="none"/>
                <w:lang w:val="en-US" w:eastAsia="zh-CN"/>
              </w:rPr>
            </w:pPr>
            <w:r>
              <w:rPr>
                <w:rFonts w:hint="eastAsia" w:ascii="宋体" w:cs="宋体"/>
                <w:color w:val="000000"/>
                <w:kern w:val="0"/>
                <w:sz w:val="22"/>
                <w:szCs w:val="22"/>
                <w:highlight w:val="none"/>
                <w:lang w:val="en-US" w:eastAsia="zh-CN"/>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6890DE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2"/>
                <w:szCs w:val="22"/>
                <w:highlight w:val="none"/>
              </w:rPr>
            </w:pPr>
            <w:r>
              <w:rPr>
                <w:rFonts w:hint="eastAsia" w:ascii="宋体" w:cs="宋体"/>
                <w:color w:val="000000"/>
                <w:kern w:val="0"/>
                <w:sz w:val="22"/>
                <w:szCs w:val="22"/>
                <w:highlight w:val="none"/>
                <w:lang w:val="en-US" w:eastAsia="zh-CN"/>
              </w:rPr>
              <w:t>100</w:t>
            </w:r>
            <w:r>
              <w:rPr>
                <w:rFonts w:ascii="宋体" w:cs="宋体"/>
                <w:color w:val="000000"/>
                <w:kern w:val="0"/>
                <w:sz w:val="22"/>
                <w:szCs w:val="22"/>
                <w:highlight w:val="none"/>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D4AB4C0">
            <w:pPr>
              <w:pageBreakBefore w:val="0"/>
              <w:widowControl/>
              <w:kinsoku/>
              <w:wordWrap/>
              <w:overflowPunct/>
              <w:topLinePunct w:val="0"/>
              <w:autoSpaceDE/>
              <w:autoSpaceDN/>
              <w:bidi w:val="0"/>
              <w:adjustRightInd/>
              <w:snapToGrid/>
              <w:spacing w:line="560" w:lineRule="exact"/>
              <w:jc w:val="center"/>
              <w:textAlignment w:val="auto"/>
              <w:rPr>
                <w:rFonts w:hint="default" w:ascii="宋体" w:eastAsia="宋体" w:cs="宋体"/>
                <w:color w:val="000000"/>
                <w:kern w:val="0"/>
                <w:sz w:val="22"/>
                <w:szCs w:val="22"/>
                <w:highlight w:val="none"/>
                <w:lang w:val="en-US" w:eastAsia="zh-CN"/>
              </w:rPr>
            </w:pPr>
            <w:r>
              <w:rPr>
                <w:rFonts w:hint="eastAsia" w:ascii="宋体" w:cs="宋体"/>
                <w:color w:val="000000"/>
                <w:kern w:val="0"/>
                <w:sz w:val="22"/>
                <w:szCs w:val="22"/>
                <w:highlight w:val="none"/>
                <w:lang w:val="en-US" w:eastAsia="zh-CN"/>
              </w:rPr>
              <w:t>10</w:t>
            </w:r>
          </w:p>
        </w:tc>
      </w:tr>
    </w:tbl>
    <w:p w14:paraId="079F03D1">
      <w:pPr>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highlight w:val="none"/>
        </w:rPr>
      </w:pPr>
      <w:r>
        <w:rPr>
          <w:rFonts w:hint="eastAsia" w:ascii="黑体" w:eastAsia="黑体"/>
          <w:sz w:val="32"/>
          <w:szCs w:val="32"/>
          <w:highlight w:val="none"/>
        </w:rPr>
        <w:t>四、绩效评价指标分析</w:t>
      </w:r>
    </w:p>
    <w:p w14:paraId="34755680">
      <w:pPr>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b/>
          <w:sz w:val="32"/>
          <w:szCs w:val="32"/>
          <w:highlight w:val="none"/>
        </w:rPr>
      </w:pPr>
      <w:r>
        <w:rPr>
          <w:rFonts w:hint="eastAsia" w:ascii="仿宋_GB2312" w:eastAsia="仿宋_GB2312" w:cs="仿宋_GB2312"/>
          <w:b/>
          <w:sz w:val="32"/>
          <w:szCs w:val="32"/>
          <w:highlight w:val="none"/>
        </w:rPr>
        <w:t>（一）项目决策情况</w:t>
      </w:r>
    </w:p>
    <w:tbl>
      <w:tblPr>
        <w:tblStyle w:val="21"/>
        <w:tblW w:w="8522" w:type="dxa"/>
        <w:tblInd w:w="0" w:type="dxa"/>
        <w:tblLayout w:type="fixed"/>
        <w:tblCellMar>
          <w:top w:w="0" w:type="dxa"/>
          <w:left w:w="108" w:type="dxa"/>
          <w:bottom w:w="0" w:type="dxa"/>
          <w:right w:w="108" w:type="dxa"/>
        </w:tblCellMar>
      </w:tblPr>
      <w:tblGrid>
        <w:gridCol w:w="2515"/>
        <w:gridCol w:w="2269"/>
        <w:gridCol w:w="1986"/>
        <w:gridCol w:w="1752"/>
      </w:tblGrid>
      <w:tr w14:paraId="4FD62E50">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14:paraId="69B4BBF5">
            <w:pPr>
              <w:widowControl/>
              <w:jc w:val="center"/>
              <w:rPr>
                <w:rFonts w:hint="eastAsia" w:ascii="仿宋" w:hAnsi="仿宋" w:eastAsia="仿宋" w:cs="仿宋"/>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项目决策指标得分情况</w:t>
            </w:r>
          </w:p>
        </w:tc>
      </w:tr>
      <w:tr w14:paraId="2E12FFC4">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14:paraId="4BC7DB1D">
            <w:pPr>
              <w:widowControl/>
              <w:spacing w:line="400" w:lineRule="exact"/>
              <w:jc w:val="center"/>
              <w:rPr>
                <w:rFonts w:hint="eastAsia" w:ascii="仿宋" w:hAnsi="仿宋" w:eastAsia="仿宋" w:cs="仿宋"/>
                <w:b/>
                <w:bCs/>
                <w:color w:val="000000"/>
                <w:kern w:val="0"/>
                <w:sz w:val="32"/>
                <w:szCs w:val="32"/>
                <w:highlight w:val="none"/>
              </w:rPr>
            </w:pPr>
            <w:r>
              <w:rPr>
                <w:rFonts w:hint="eastAsia" w:ascii="仿宋" w:hAnsi="仿宋" w:eastAsia="仿宋" w:cs="仿宋"/>
                <w:b/>
                <w:bCs/>
                <w:color w:val="000000"/>
                <w:kern w:val="0"/>
                <w:sz w:val="32"/>
                <w:szCs w:val="32"/>
                <w:highlight w:val="none"/>
                <w:lang w:eastAsia="zh-CN"/>
              </w:rPr>
              <w:t>二</w:t>
            </w:r>
            <w:r>
              <w:rPr>
                <w:rFonts w:hint="eastAsia" w:ascii="仿宋" w:hAnsi="仿宋" w:eastAsia="仿宋" w:cs="仿宋"/>
                <w:b/>
                <w:bCs/>
                <w:color w:val="000000"/>
                <w:kern w:val="0"/>
                <w:sz w:val="32"/>
                <w:szCs w:val="32"/>
                <w:highlight w:val="none"/>
              </w:rPr>
              <w:t>级指标</w:t>
            </w:r>
          </w:p>
        </w:tc>
        <w:tc>
          <w:tcPr>
            <w:tcW w:w="2269" w:type="dxa"/>
            <w:tcBorders>
              <w:top w:val="nil"/>
              <w:left w:val="nil"/>
              <w:bottom w:val="single" w:color="auto" w:sz="8" w:space="0"/>
              <w:right w:val="single" w:color="auto" w:sz="8" w:space="0"/>
            </w:tcBorders>
            <w:shd w:val="clear" w:color="000000" w:fill="A6A6A6"/>
            <w:vAlign w:val="center"/>
          </w:tcPr>
          <w:p w14:paraId="728108F4">
            <w:pPr>
              <w:widowControl/>
              <w:spacing w:line="400" w:lineRule="exact"/>
              <w:jc w:val="center"/>
              <w:rPr>
                <w:rFonts w:hint="eastAsia" w:ascii="仿宋" w:hAnsi="仿宋" w:eastAsia="仿宋" w:cs="仿宋"/>
                <w:b/>
                <w:bCs/>
                <w:color w:val="000000"/>
                <w:kern w:val="0"/>
                <w:sz w:val="32"/>
                <w:szCs w:val="32"/>
                <w:highlight w:val="none"/>
              </w:rPr>
            </w:pPr>
            <w:r>
              <w:rPr>
                <w:rFonts w:hint="eastAsia" w:ascii="仿宋" w:hAnsi="仿宋" w:eastAsia="仿宋" w:cs="仿宋"/>
                <w:b/>
                <w:bCs/>
                <w:color w:val="000000"/>
                <w:kern w:val="0"/>
                <w:sz w:val="32"/>
                <w:szCs w:val="32"/>
                <w:highlight w:val="none"/>
              </w:rPr>
              <w:t>权重</w:t>
            </w:r>
          </w:p>
        </w:tc>
        <w:tc>
          <w:tcPr>
            <w:tcW w:w="1986" w:type="dxa"/>
            <w:tcBorders>
              <w:top w:val="nil"/>
              <w:left w:val="nil"/>
              <w:bottom w:val="single" w:color="auto" w:sz="8" w:space="0"/>
              <w:right w:val="single" w:color="auto" w:sz="8" w:space="0"/>
            </w:tcBorders>
            <w:shd w:val="clear" w:color="000000" w:fill="A6A6A6"/>
            <w:vAlign w:val="center"/>
          </w:tcPr>
          <w:p w14:paraId="2809B1EA">
            <w:pPr>
              <w:widowControl/>
              <w:spacing w:line="400" w:lineRule="exact"/>
              <w:jc w:val="center"/>
              <w:rPr>
                <w:rFonts w:hint="eastAsia" w:ascii="仿宋" w:hAnsi="仿宋" w:eastAsia="仿宋" w:cs="仿宋"/>
                <w:b/>
                <w:bCs/>
                <w:color w:val="000000"/>
                <w:kern w:val="0"/>
                <w:sz w:val="32"/>
                <w:szCs w:val="32"/>
                <w:highlight w:val="none"/>
              </w:rPr>
            </w:pPr>
            <w:r>
              <w:rPr>
                <w:rFonts w:hint="eastAsia" w:ascii="仿宋" w:hAnsi="仿宋" w:eastAsia="仿宋" w:cs="仿宋"/>
                <w:b/>
                <w:bCs/>
                <w:color w:val="000000"/>
                <w:kern w:val="0"/>
                <w:sz w:val="32"/>
                <w:szCs w:val="32"/>
                <w:highlight w:val="none"/>
              </w:rPr>
              <w:t>得分率</w:t>
            </w:r>
          </w:p>
        </w:tc>
        <w:tc>
          <w:tcPr>
            <w:tcW w:w="1752" w:type="dxa"/>
            <w:tcBorders>
              <w:top w:val="nil"/>
              <w:left w:val="nil"/>
              <w:bottom w:val="single" w:color="auto" w:sz="8" w:space="0"/>
              <w:right w:val="single" w:color="auto" w:sz="8" w:space="0"/>
            </w:tcBorders>
            <w:shd w:val="clear" w:color="000000" w:fill="A6A6A6"/>
            <w:vAlign w:val="center"/>
          </w:tcPr>
          <w:p w14:paraId="768CEDB4">
            <w:pPr>
              <w:widowControl/>
              <w:spacing w:line="400" w:lineRule="exact"/>
              <w:jc w:val="center"/>
              <w:rPr>
                <w:rFonts w:hint="eastAsia" w:ascii="仿宋" w:hAnsi="仿宋" w:eastAsia="仿宋" w:cs="仿宋"/>
                <w:b/>
                <w:bCs/>
                <w:color w:val="000000"/>
                <w:kern w:val="0"/>
                <w:sz w:val="32"/>
                <w:szCs w:val="32"/>
                <w:highlight w:val="none"/>
              </w:rPr>
            </w:pPr>
            <w:r>
              <w:rPr>
                <w:rFonts w:hint="eastAsia" w:ascii="仿宋" w:hAnsi="仿宋" w:eastAsia="仿宋" w:cs="仿宋"/>
                <w:b/>
                <w:bCs/>
                <w:color w:val="000000"/>
                <w:kern w:val="0"/>
                <w:sz w:val="32"/>
                <w:szCs w:val="32"/>
                <w:highlight w:val="none"/>
              </w:rPr>
              <w:t>实际得分</w:t>
            </w:r>
          </w:p>
        </w:tc>
      </w:tr>
      <w:tr w14:paraId="410CEC29">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14:paraId="4D81C4C7">
            <w:pPr>
              <w:widowControl/>
              <w:spacing w:line="0" w:lineRule="atLeast"/>
              <w:jc w:val="center"/>
              <w:rPr>
                <w:rFonts w:hint="eastAsia" w:ascii="仿宋" w:hAnsi="仿宋" w:eastAsia="仿宋" w:cs="仿宋"/>
                <w:color w:val="000000"/>
                <w:kern w:val="0"/>
                <w:sz w:val="32"/>
                <w:szCs w:val="32"/>
                <w:highlight w:val="none"/>
              </w:rPr>
            </w:pPr>
            <w:r>
              <w:rPr>
                <w:rFonts w:hint="eastAsia" w:ascii="仿宋_GB2312" w:eastAsia="仿宋_GB2312" w:cs="仿宋_GB2312"/>
                <w:sz w:val="32"/>
                <w:szCs w:val="32"/>
                <w:highlight w:val="none"/>
              </w:rPr>
              <w:t>项目</w:t>
            </w:r>
            <w:r>
              <w:rPr>
                <w:rFonts w:ascii="仿宋_GB2312" w:eastAsia="仿宋_GB2312" w:cs="仿宋_GB2312"/>
                <w:sz w:val="32"/>
                <w:szCs w:val="32"/>
                <w:highlight w:val="none"/>
              </w:rPr>
              <w:t>立项</w:t>
            </w:r>
          </w:p>
        </w:tc>
        <w:tc>
          <w:tcPr>
            <w:tcW w:w="2269" w:type="dxa"/>
            <w:tcBorders>
              <w:top w:val="nil"/>
              <w:left w:val="nil"/>
              <w:bottom w:val="single" w:color="auto" w:sz="8" w:space="0"/>
              <w:right w:val="single" w:color="auto" w:sz="8" w:space="0"/>
            </w:tcBorders>
            <w:vAlign w:val="center"/>
          </w:tcPr>
          <w:p w14:paraId="22DD64E4">
            <w:pPr>
              <w:widowControl/>
              <w:spacing w:line="0" w:lineRule="atLeast"/>
              <w:jc w:val="center"/>
              <w:rPr>
                <w:rFonts w:hint="default"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1</w:t>
            </w:r>
          </w:p>
        </w:tc>
        <w:tc>
          <w:tcPr>
            <w:tcW w:w="1986" w:type="dxa"/>
            <w:tcBorders>
              <w:top w:val="nil"/>
              <w:left w:val="nil"/>
              <w:bottom w:val="single" w:color="auto" w:sz="8" w:space="0"/>
              <w:right w:val="single" w:color="auto" w:sz="8" w:space="0"/>
            </w:tcBorders>
            <w:vAlign w:val="center"/>
          </w:tcPr>
          <w:p w14:paraId="205E51D1">
            <w:pPr>
              <w:widowControl/>
              <w:spacing w:line="0" w:lineRule="atLeast"/>
              <w:jc w:val="center"/>
              <w:rPr>
                <w:rFonts w:hint="eastAsia" w:ascii="宋体" w:hAnsi="宋体" w:cs="宋体"/>
                <w:color w:val="000000"/>
                <w:kern w:val="0"/>
                <w:sz w:val="32"/>
                <w:szCs w:val="32"/>
                <w:highlight w:val="none"/>
              </w:rPr>
            </w:pPr>
            <w:r>
              <w:rPr>
                <w:rFonts w:hint="eastAsia" w:ascii="宋体" w:hAnsi="宋体" w:cs="宋体"/>
                <w:color w:val="000000"/>
                <w:kern w:val="0"/>
                <w:sz w:val="32"/>
                <w:szCs w:val="32"/>
                <w:highlight w:val="none"/>
                <w:lang w:val="en-US" w:eastAsia="zh-CN"/>
              </w:rPr>
              <w:t>100</w:t>
            </w:r>
            <w:r>
              <w:rPr>
                <w:rFonts w:hint="eastAsia" w:ascii="宋体" w:hAnsi="宋体" w:cs="宋体"/>
                <w:color w:val="000000"/>
                <w:kern w:val="0"/>
                <w:sz w:val="32"/>
                <w:szCs w:val="32"/>
                <w:highlight w:val="none"/>
              </w:rPr>
              <w:t>%</w:t>
            </w:r>
          </w:p>
        </w:tc>
        <w:tc>
          <w:tcPr>
            <w:tcW w:w="1752" w:type="dxa"/>
            <w:tcBorders>
              <w:top w:val="nil"/>
              <w:left w:val="nil"/>
              <w:bottom w:val="single" w:color="auto" w:sz="8" w:space="0"/>
              <w:right w:val="single" w:color="auto" w:sz="8" w:space="0"/>
            </w:tcBorders>
            <w:vAlign w:val="center"/>
          </w:tcPr>
          <w:p w14:paraId="7F66D3F0">
            <w:pPr>
              <w:widowControl/>
              <w:spacing w:line="0" w:lineRule="atLeast"/>
              <w:jc w:val="center"/>
              <w:rPr>
                <w:rFonts w:hint="default"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1</w:t>
            </w:r>
          </w:p>
        </w:tc>
      </w:tr>
      <w:tr w14:paraId="5403A7C7">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14:paraId="1CF6A276">
            <w:pPr>
              <w:widowControl/>
              <w:spacing w:line="0" w:lineRule="atLeast"/>
              <w:jc w:val="center"/>
              <w:rPr>
                <w:rStyle w:val="23"/>
                <w:rFonts w:hint="eastAsia" w:ascii="仿宋_GB2312" w:hAnsi="仿宋_GB2312" w:eastAsia="仿宋_GB2312" w:cs="仿宋_GB2312"/>
                <w:b w:val="0"/>
                <w:bCs/>
                <w:color w:val="auto"/>
                <w:spacing w:val="-4"/>
                <w:kern w:val="2"/>
                <w:sz w:val="32"/>
                <w:szCs w:val="32"/>
                <w:highlight w:val="none"/>
                <w:lang w:val="en-US" w:eastAsia="zh-CN" w:bidi="ar-SA"/>
              </w:rPr>
            </w:pPr>
            <w:r>
              <w:rPr>
                <w:rFonts w:hint="eastAsia" w:ascii="仿宋_GB2312" w:eastAsia="仿宋_GB2312" w:cs="仿宋_GB2312"/>
                <w:sz w:val="32"/>
                <w:szCs w:val="32"/>
                <w:highlight w:val="none"/>
              </w:rPr>
              <w:t>绩效目标</w:t>
            </w:r>
          </w:p>
        </w:tc>
        <w:tc>
          <w:tcPr>
            <w:tcW w:w="2269" w:type="dxa"/>
            <w:tcBorders>
              <w:top w:val="nil"/>
              <w:left w:val="nil"/>
              <w:bottom w:val="single" w:color="auto" w:sz="8" w:space="0"/>
              <w:right w:val="single" w:color="auto" w:sz="8" w:space="0"/>
            </w:tcBorders>
            <w:vAlign w:val="center"/>
          </w:tcPr>
          <w:p w14:paraId="5FB840E3">
            <w:pPr>
              <w:widowControl/>
              <w:spacing w:line="0" w:lineRule="atLeast"/>
              <w:jc w:val="center"/>
              <w:rPr>
                <w:rFonts w:hint="eastAsia"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2</w:t>
            </w:r>
          </w:p>
        </w:tc>
        <w:tc>
          <w:tcPr>
            <w:tcW w:w="1986" w:type="dxa"/>
            <w:tcBorders>
              <w:top w:val="nil"/>
              <w:left w:val="nil"/>
              <w:bottom w:val="single" w:color="auto" w:sz="8" w:space="0"/>
              <w:right w:val="single" w:color="auto" w:sz="8" w:space="0"/>
            </w:tcBorders>
            <w:vAlign w:val="center"/>
          </w:tcPr>
          <w:p w14:paraId="16140963">
            <w:pPr>
              <w:widowControl/>
              <w:spacing w:line="0" w:lineRule="atLeast"/>
              <w:jc w:val="center"/>
              <w:rPr>
                <w:rFonts w:hint="eastAsia"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100</w:t>
            </w:r>
            <w:r>
              <w:rPr>
                <w:rFonts w:hint="eastAsia" w:ascii="宋体" w:hAnsi="宋体" w:cs="宋体"/>
                <w:color w:val="000000"/>
                <w:kern w:val="0"/>
                <w:sz w:val="32"/>
                <w:szCs w:val="32"/>
                <w:highlight w:val="none"/>
              </w:rPr>
              <w:t>%</w:t>
            </w:r>
          </w:p>
        </w:tc>
        <w:tc>
          <w:tcPr>
            <w:tcW w:w="1752" w:type="dxa"/>
            <w:tcBorders>
              <w:top w:val="nil"/>
              <w:left w:val="nil"/>
              <w:bottom w:val="single" w:color="auto" w:sz="8" w:space="0"/>
              <w:right w:val="single" w:color="auto" w:sz="8" w:space="0"/>
            </w:tcBorders>
            <w:vAlign w:val="center"/>
          </w:tcPr>
          <w:p w14:paraId="4C1AD58A">
            <w:pPr>
              <w:widowControl/>
              <w:spacing w:line="0" w:lineRule="atLeast"/>
              <w:jc w:val="center"/>
              <w:rPr>
                <w:rFonts w:hint="eastAsia"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2</w:t>
            </w:r>
          </w:p>
        </w:tc>
      </w:tr>
      <w:tr w14:paraId="47A279A1">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14:paraId="31F9DEE5">
            <w:pPr>
              <w:widowControl/>
              <w:spacing w:line="0" w:lineRule="atLeast"/>
              <w:jc w:val="center"/>
              <w:rPr>
                <w:rStyle w:val="23"/>
                <w:rFonts w:hint="eastAsia" w:ascii="仿宋_GB2312" w:hAnsi="仿宋_GB2312" w:eastAsia="仿宋_GB2312" w:cs="仿宋_GB2312"/>
                <w:b w:val="0"/>
                <w:bCs/>
                <w:color w:val="auto"/>
                <w:spacing w:val="-4"/>
                <w:kern w:val="2"/>
                <w:sz w:val="32"/>
                <w:szCs w:val="32"/>
                <w:highlight w:val="none"/>
                <w:lang w:val="en-US" w:eastAsia="zh-CN" w:bidi="ar-SA"/>
              </w:rPr>
            </w:pPr>
            <w:r>
              <w:rPr>
                <w:rFonts w:hint="eastAsia" w:ascii="仿宋_GB2312" w:eastAsia="仿宋_GB2312" w:cs="仿宋_GB2312"/>
                <w:sz w:val="32"/>
                <w:szCs w:val="32"/>
                <w:highlight w:val="none"/>
              </w:rPr>
              <w:t>资金投入</w:t>
            </w:r>
          </w:p>
        </w:tc>
        <w:tc>
          <w:tcPr>
            <w:tcW w:w="2269" w:type="dxa"/>
            <w:tcBorders>
              <w:top w:val="nil"/>
              <w:left w:val="nil"/>
              <w:bottom w:val="single" w:color="auto" w:sz="8" w:space="0"/>
              <w:right w:val="single" w:color="auto" w:sz="8" w:space="0"/>
            </w:tcBorders>
            <w:vAlign w:val="center"/>
          </w:tcPr>
          <w:p w14:paraId="7A7B9B0F">
            <w:pPr>
              <w:widowControl/>
              <w:spacing w:line="0" w:lineRule="atLeast"/>
              <w:jc w:val="center"/>
              <w:rPr>
                <w:rFonts w:hint="eastAsia"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2</w:t>
            </w:r>
          </w:p>
        </w:tc>
        <w:tc>
          <w:tcPr>
            <w:tcW w:w="1986" w:type="dxa"/>
            <w:tcBorders>
              <w:top w:val="nil"/>
              <w:left w:val="nil"/>
              <w:bottom w:val="single" w:color="auto" w:sz="8" w:space="0"/>
              <w:right w:val="single" w:color="auto" w:sz="8" w:space="0"/>
            </w:tcBorders>
            <w:vAlign w:val="center"/>
          </w:tcPr>
          <w:p w14:paraId="36AE3F44">
            <w:pPr>
              <w:widowControl/>
              <w:spacing w:line="0" w:lineRule="atLeast"/>
              <w:jc w:val="center"/>
              <w:rPr>
                <w:rFonts w:hint="eastAsia"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100%</w:t>
            </w:r>
          </w:p>
        </w:tc>
        <w:tc>
          <w:tcPr>
            <w:tcW w:w="1752" w:type="dxa"/>
            <w:tcBorders>
              <w:top w:val="nil"/>
              <w:left w:val="nil"/>
              <w:bottom w:val="single" w:color="auto" w:sz="8" w:space="0"/>
              <w:right w:val="single" w:color="auto" w:sz="8" w:space="0"/>
            </w:tcBorders>
            <w:vAlign w:val="center"/>
          </w:tcPr>
          <w:p w14:paraId="57B939C1">
            <w:pPr>
              <w:widowControl/>
              <w:spacing w:line="0" w:lineRule="atLeast"/>
              <w:jc w:val="center"/>
              <w:rPr>
                <w:rFonts w:hint="eastAsia"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2</w:t>
            </w:r>
          </w:p>
        </w:tc>
      </w:tr>
      <w:tr w14:paraId="7479C0D1">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14:paraId="08DFF7D9">
            <w:pPr>
              <w:widowControl/>
              <w:spacing w:line="400" w:lineRule="exact"/>
              <w:jc w:val="center"/>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合计</w:t>
            </w:r>
          </w:p>
        </w:tc>
        <w:tc>
          <w:tcPr>
            <w:tcW w:w="2269" w:type="dxa"/>
            <w:tcBorders>
              <w:top w:val="single" w:color="auto" w:sz="8" w:space="0"/>
              <w:left w:val="nil"/>
              <w:bottom w:val="single" w:color="auto" w:sz="8" w:space="0"/>
              <w:right w:val="single" w:color="auto" w:sz="8" w:space="0"/>
            </w:tcBorders>
            <w:vAlign w:val="center"/>
          </w:tcPr>
          <w:p w14:paraId="1A864DA7">
            <w:pPr>
              <w:widowControl/>
              <w:spacing w:line="0" w:lineRule="atLeast"/>
              <w:jc w:val="center"/>
              <w:rPr>
                <w:rFonts w:hint="default"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5</w:t>
            </w:r>
          </w:p>
        </w:tc>
        <w:tc>
          <w:tcPr>
            <w:tcW w:w="1986" w:type="dxa"/>
            <w:tcBorders>
              <w:top w:val="single" w:color="auto" w:sz="8" w:space="0"/>
              <w:left w:val="nil"/>
              <w:bottom w:val="single" w:color="auto" w:sz="8" w:space="0"/>
              <w:right w:val="single" w:color="auto" w:sz="8" w:space="0"/>
            </w:tcBorders>
            <w:vAlign w:val="center"/>
          </w:tcPr>
          <w:p w14:paraId="715137B7">
            <w:pPr>
              <w:widowControl/>
              <w:spacing w:line="0" w:lineRule="atLeast"/>
              <w:jc w:val="center"/>
              <w:rPr>
                <w:rFonts w:hint="eastAsia" w:ascii="宋体" w:hAnsi="宋体" w:cs="宋体"/>
                <w:color w:val="000000"/>
                <w:kern w:val="0"/>
                <w:sz w:val="32"/>
                <w:szCs w:val="32"/>
                <w:highlight w:val="none"/>
              </w:rPr>
            </w:pPr>
            <w:r>
              <w:rPr>
                <w:rFonts w:hint="eastAsia" w:ascii="宋体" w:hAnsi="宋体" w:cs="宋体"/>
                <w:color w:val="000000"/>
                <w:kern w:val="0"/>
                <w:sz w:val="32"/>
                <w:szCs w:val="32"/>
                <w:highlight w:val="none"/>
                <w:lang w:val="en-US" w:eastAsia="zh-CN"/>
              </w:rPr>
              <w:t>100</w:t>
            </w:r>
            <w:r>
              <w:rPr>
                <w:rFonts w:hint="eastAsia" w:ascii="宋体" w:hAnsi="宋体" w:cs="宋体"/>
                <w:color w:val="000000"/>
                <w:kern w:val="0"/>
                <w:sz w:val="32"/>
                <w:szCs w:val="32"/>
                <w:highlight w:val="none"/>
              </w:rPr>
              <w:t>%</w:t>
            </w:r>
          </w:p>
        </w:tc>
        <w:tc>
          <w:tcPr>
            <w:tcW w:w="1752" w:type="dxa"/>
            <w:tcBorders>
              <w:top w:val="single" w:color="auto" w:sz="8" w:space="0"/>
              <w:left w:val="nil"/>
              <w:bottom w:val="single" w:color="auto" w:sz="8" w:space="0"/>
              <w:right w:val="single" w:color="auto" w:sz="8" w:space="0"/>
            </w:tcBorders>
            <w:vAlign w:val="center"/>
          </w:tcPr>
          <w:p w14:paraId="5AD94575">
            <w:pPr>
              <w:widowControl/>
              <w:spacing w:line="0" w:lineRule="atLeast"/>
              <w:jc w:val="center"/>
              <w:rPr>
                <w:rFonts w:hint="default" w:ascii="宋体" w:hAnsi="宋体" w:cs="宋体"/>
                <w:color w:val="000000"/>
                <w:kern w:val="0"/>
                <w:sz w:val="32"/>
                <w:szCs w:val="32"/>
                <w:highlight w:val="none"/>
                <w:lang w:val="en-US" w:eastAsia="zh-CN"/>
              </w:rPr>
            </w:pPr>
            <w:r>
              <w:rPr>
                <w:rFonts w:hint="eastAsia" w:ascii="宋体" w:hAnsi="宋体" w:cs="宋体"/>
                <w:color w:val="000000"/>
                <w:kern w:val="0"/>
                <w:sz w:val="32"/>
                <w:szCs w:val="32"/>
                <w:highlight w:val="none"/>
                <w:lang w:val="en-US" w:eastAsia="zh-CN"/>
              </w:rPr>
              <w:t>5</w:t>
            </w:r>
          </w:p>
        </w:tc>
      </w:tr>
    </w:tbl>
    <w:p w14:paraId="52EE2C72">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项目决策指标从项目</w:t>
      </w:r>
      <w:r>
        <w:rPr>
          <w:rFonts w:ascii="仿宋_GB2312" w:eastAsia="仿宋_GB2312" w:cs="仿宋_GB2312"/>
          <w:sz w:val="32"/>
          <w:szCs w:val="32"/>
          <w:highlight w:val="none"/>
        </w:rPr>
        <w:t>立项、</w:t>
      </w:r>
      <w:r>
        <w:rPr>
          <w:rFonts w:hint="eastAsia" w:ascii="仿宋_GB2312" w:eastAsia="仿宋_GB2312" w:cs="仿宋_GB2312"/>
          <w:sz w:val="32"/>
          <w:szCs w:val="32"/>
          <w:highlight w:val="none"/>
        </w:rPr>
        <w:t>绩效目标、资金投入</w:t>
      </w:r>
      <w:r>
        <w:rPr>
          <w:rFonts w:ascii="仿宋_GB2312" w:eastAsia="仿宋_GB2312" w:cs="仿宋_GB2312"/>
          <w:sz w:val="32"/>
          <w:szCs w:val="32"/>
          <w:highlight w:val="none"/>
        </w:rPr>
        <w:t>3</w:t>
      </w:r>
      <w:r>
        <w:rPr>
          <w:rFonts w:hint="eastAsia" w:ascii="仿宋_GB2312" w:eastAsia="仿宋_GB2312" w:cs="仿宋_GB2312"/>
          <w:sz w:val="32"/>
          <w:szCs w:val="32"/>
          <w:highlight w:val="none"/>
        </w:rPr>
        <w:t>个方面对项目</w:t>
      </w:r>
      <w:r>
        <w:rPr>
          <w:rFonts w:ascii="仿宋_GB2312" w:eastAsia="仿宋_GB2312" w:cs="仿宋_GB2312"/>
          <w:sz w:val="32"/>
          <w:szCs w:val="32"/>
          <w:highlight w:val="none"/>
        </w:rPr>
        <w:t>立项是否符合法律法规、相关政策、发展规划以及部门职责</w:t>
      </w:r>
      <w:r>
        <w:rPr>
          <w:rFonts w:hint="eastAsia" w:ascii="仿宋_GB2312" w:eastAsia="仿宋_GB2312" w:cs="仿宋_GB2312"/>
          <w:sz w:val="32"/>
          <w:szCs w:val="32"/>
          <w:highlight w:val="none"/>
        </w:rPr>
        <w:t>，</w:t>
      </w:r>
      <w:r>
        <w:rPr>
          <w:rFonts w:ascii="仿宋_GB2312" w:eastAsia="仿宋_GB2312" w:cs="仿宋_GB2312"/>
          <w:sz w:val="32"/>
          <w:szCs w:val="32"/>
          <w:highlight w:val="none"/>
        </w:rPr>
        <w:t>用以反映和考核</w:t>
      </w:r>
      <w:r>
        <w:rPr>
          <w:rFonts w:hint="eastAsia" w:ascii="仿宋_GB2312" w:eastAsia="仿宋_GB2312" w:cs="仿宋_GB2312"/>
          <w:sz w:val="32"/>
          <w:szCs w:val="32"/>
          <w:highlight w:val="none"/>
        </w:rPr>
        <w:t>项目</w:t>
      </w:r>
      <w:r>
        <w:rPr>
          <w:rFonts w:ascii="仿宋_GB2312" w:eastAsia="仿宋_GB2312" w:cs="仿宋_GB2312"/>
          <w:sz w:val="32"/>
          <w:szCs w:val="32"/>
          <w:highlight w:val="none"/>
        </w:rPr>
        <w:t>立项依据情况进行考察，</w:t>
      </w:r>
      <w:r>
        <w:rPr>
          <w:rFonts w:hint="eastAsia" w:ascii="仿宋_GB2312" w:eastAsia="仿宋_GB2312" w:cs="仿宋_GB2312"/>
          <w:sz w:val="32"/>
          <w:szCs w:val="32"/>
          <w:highlight w:val="none"/>
        </w:rPr>
        <w:t>项目</w:t>
      </w:r>
      <w:r>
        <w:rPr>
          <w:rFonts w:ascii="仿宋_GB2312" w:eastAsia="仿宋_GB2312" w:cs="仿宋_GB2312"/>
          <w:sz w:val="32"/>
          <w:szCs w:val="32"/>
          <w:highlight w:val="none"/>
        </w:rPr>
        <w:t>决策</w:t>
      </w:r>
      <w:r>
        <w:rPr>
          <w:rFonts w:hint="eastAsia" w:ascii="仿宋_GB2312" w:eastAsia="仿宋_GB2312" w:cs="仿宋_GB2312"/>
          <w:sz w:val="32"/>
          <w:szCs w:val="32"/>
          <w:highlight w:val="none"/>
        </w:rPr>
        <w:t>类指标分值</w:t>
      </w:r>
      <w:r>
        <w:rPr>
          <w:rFonts w:ascii="仿宋_GB2312" w:eastAsia="仿宋_GB2312" w:cs="仿宋_GB2312"/>
          <w:sz w:val="32"/>
          <w:szCs w:val="32"/>
          <w:highlight w:val="none"/>
        </w:rPr>
        <w:t>5</w:t>
      </w:r>
      <w:r>
        <w:rPr>
          <w:rFonts w:hint="eastAsia" w:ascii="仿宋_GB2312" w:eastAsia="仿宋_GB2312" w:cs="仿宋_GB2312"/>
          <w:sz w:val="32"/>
          <w:szCs w:val="32"/>
          <w:highlight w:val="none"/>
        </w:rPr>
        <w:t>分，实际得分</w:t>
      </w:r>
      <w:r>
        <w:rPr>
          <w:rFonts w:ascii="仿宋_GB2312" w:eastAsia="仿宋_GB2312" w:cs="仿宋_GB2312"/>
          <w:sz w:val="32"/>
          <w:szCs w:val="32"/>
          <w:highlight w:val="none"/>
        </w:rPr>
        <w:t>5</w:t>
      </w:r>
      <w:r>
        <w:rPr>
          <w:rFonts w:hint="eastAsia" w:ascii="仿宋_GB2312" w:eastAsia="仿宋_GB2312" w:cs="仿宋_GB2312"/>
          <w:sz w:val="32"/>
          <w:szCs w:val="32"/>
          <w:highlight w:val="none"/>
        </w:rPr>
        <w:t>分，得分率</w:t>
      </w:r>
      <w:r>
        <w:rPr>
          <w:rFonts w:ascii="仿宋_GB2312" w:eastAsia="仿宋_GB2312" w:cs="仿宋_GB2312"/>
          <w:sz w:val="32"/>
          <w:szCs w:val="32"/>
          <w:highlight w:val="none"/>
        </w:rPr>
        <w:t>100%</w:t>
      </w:r>
      <w:r>
        <w:rPr>
          <w:rFonts w:hint="eastAsia" w:ascii="仿宋_GB2312" w:eastAsia="仿宋_GB2312" w:cs="仿宋_GB2312"/>
          <w:sz w:val="32"/>
          <w:szCs w:val="32"/>
          <w:highlight w:val="none"/>
        </w:rPr>
        <w:t>。</w:t>
      </w:r>
    </w:p>
    <w:p w14:paraId="2AF258D6">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对于“</w:t>
      </w:r>
      <w:r>
        <w:rPr>
          <w:rFonts w:ascii="仿宋_GB2312" w:eastAsia="仿宋_GB2312" w:cs="仿宋_GB2312"/>
          <w:sz w:val="32"/>
          <w:szCs w:val="32"/>
          <w:highlight w:val="none"/>
        </w:rPr>
        <w:t>项目立项</w:t>
      </w:r>
      <w:r>
        <w:rPr>
          <w:rFonts w:hint="eastAsia" w:ascii="仿宋_GB2312" w:eastAsia="仿宋_GB2312" w:cs="仿宋_GB2312"/>
          <w:sz w:val="32"/>
          <w:szCs w:val="32"/>
          <w:highlight w:val="none"/>
        </w:rPr>
        <w:t>”，</w:t>
      </w:r>
      <w:r>
        <w:rPr>
          <w:rFonts w:ascii="仿宋_GB2312" w:eastAsia="仿宋_GB2312" w:cs="仿宋_GB2312"/>
          <w:sz w:val="32"/>
          <w:szCs w:val="32"/>
          <w:highlight w:val="none"/>
        </w:rPr>
        <w:t>立项</w:t>
      </w:r>
      <w:r>
        <w:rPr>
          <w:rFonts w:hint="eastAsia" w:ascii="仿宋_GB2312" w:eastAsia="仿宋_GB2312" w:cs="仿宋_GB2312"/>
          <w:sz w:val="32"/>
          <w:szCs w:val="32"/>
          <w:highlight w:val="none"/>
        </w:rPr>
        <w:t>有文件依据，根据评分标准，该指标不扣分，实际得分</w:t>
      </w:r>
      <w:r>
        <w:rPr>
          <w:rFonts w:ascii="仿宋_GB2312" w:eastAsia="仿宋_GB2312" w:cs="仿宋_GB2312"/>
          <w:sz w:val="32"/>
          <w:szCs w:val="32"/>
          <w:highlight w:val="none"/>
        </w:rPr>
        <w:t>1</w:t>
      </w:r>
      <w:r>
        <w:rPr>
          <w:rFonts w:hint="eastAsia" w:ascii="仿宋_GB2312" w:eastAsia="仿宋_GB2312" w:cs="仿宋_GB2312"/>
          <w:sz w:val="32"/>
          <w:szCs w:val="32"/>
          <w:highlight w:val="none"/>
        </w:rPr>
        <w:t>分。</w:t>
      </w:r>
    </w:p>
    <w:p w14:paraId="6734FBED">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对于“绩效目标”，</w:t>
      </w:r>
      <w:r>
        <w:rPr>
          <w:rFonts w:ascii="仿宋_GB2312" w:eastAsia="仿宋_GB2312" w:cs="仿宋_GB2312"/>
          <w:sz w:val="32"/>
          <w:szCs w:val="32"/>
          <w:highlight w:val="none"/>
        </w:rPr>
        <w:t>印刷费</w:t>
      </w:r>
      <w:r>
        <w:rPr>
          <w:rFonts w:hint="eastAsia" w:ascii="仿宋_GB2312" w:eastAsia="仿宋_GB2312" w:cs="仿宋_GB2312"/>
          <w:sz w:val="32"/>
          <w:szCs w:val="32"/>
          <w:highlight w:val="none"/>
        </w:rPr>
        <w:t>项目设置了较为详细的项目支出绩效目标，根据评分标准，指标不扣分，实际得分</w:t>
      </w:r>
      <w:r>
        <w:rPr>
          <w:rFonts w:ascii="仿宋_GB2312" w:eastAsia="仿宋_GB2312" w:cs="仿宋_GB2312"/>
          <w:sz w:val="32"/>
          <w:szCs w:val="32"/>
          <w:highlight w:val="none"/>
        </w:rPr>
        <w:t>2</w:t>
      </w:r>
      <w:r>
        <w:rPr>
          <w:rFonts w:hint="eastAsia" w:ascii="仿宋_GB2312" w:eastAsia="仿宋_GB2312" w:cs="仿宋_GB2312"/>
          <w:sz w:val="32"/>
          <w:szCs w:val="32"/>
          <w:highlight w:val="none"/>
        </w:rPr>
        <w:t>分。</w:t>
      </w:r>
    </w:p>
    <w:p w14:paraId="5DC58486">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对于“资金投入”，</w:t>
      </w:r>
      <w:r>
        <w:rPr>
          <w:rFonts w:ascii="仿宋_GB2312" w:eastAsia="仿宋_GB2312" w:cs="仿宋_GB2312"/>
          <w:sz w:val="32"/>
          <w:szCs w:val="32"/>
          <w:highlight w:val="none"/>
        </w:rPr>
        <w:t>该项目</w:t>
      </w:r>
      <w:r>
        <w:rPr>
          <w:rFonts w:hint="eastAsia" w:ascii="仿宋_GB2312" w:eastAsia="仿宋_GB2312" w:cs="仿宋_GB2312"/>
          <w:sz w:val="32"/>
          <w:szCs w:val="32"/>
          <w:highlight w:val="none"/>
        </w:rPr>
        <w:t>本级资金</w:t>
      </w:r>
      <w:r>
        <w:rPr>
          <w:rFonts w:ascii="仿宋_GB2312" w:eastAsia="仿宋_GB2312" w:cs="仿宋_GB2312"/>
          <w:sz w:val="32"/>
          <w:szCs w:val="32"/>
          <w:highlight w:val="none"/>
        </w:rPr>
        <w:t>40</w:t>
      </w:r>
      <w:r>
        <w:rPr>
          <w:rFonts w:hint="eastAsia" w:ascii="仿宋_GB2312" w:eastAsia="仿宋_GB2312" w:cs="仿宋_GB2312"/>
          <w:sz w:val="32"/>
          <w:szCs w:val="32"/>
          <w:highlight w:val="none"/>
        </w:rPr>
        <w:t>万元，本级财政预算资金</w:t>
      </w:r>
      <w:r>
        <w:rPr>
          <w:rFonts w:ascii="仿宋_GB2312" w:eastAsia="仿宋_GB2312" w:cs="仿宋_GB2312"/>
          <w:sz w:val="32"/>
          <w:szCs w:val="32"/>
          <w:highlight w:val="none"/>
        </w:rPr>
        <w:t>40</w:t>
      </w:r>
      <w:r>
        <w:rPr>
          <w:rFonts w:hint="eastAsia" w:ascii="仿宋_GB2312" w:eastAsia="仿宋_GB2312" w:cs="仿宋_GB2312"/>
          <w:sz w:val="32"/>
          <w:szCs w:val="32"/>
          <w:highlight w:val="none"/>
        </w:rPr>
        <w:t>万元，均按时</w:t>
      </w:r>
      <w:r>
        <w:rPr>
          <w:rFonts w:ascii="仿宋_GB2312" w:eastAsia="仿宋_GB2312" w:cs="仿宋_GB2312"/>
          <w:sz w:val="32"/>
          <w:szCs w:val="32"/>
          <w:highlight w:val="none"/>
        </w:rPr>
        <w:t>到位。</w:t>
      </w:r>
      <w:r>
        <w:rPr>
          <w:rFonts w:hint="eastAsia" w:ascii="仿宋_GB2312" w:eastAsia="仿宋_GB2312" w:cs="仿宋_GB2312"/>
          <w:sz w:val="32"/>
          <w:szCs w:val="32"/>
          <w:highlight w:val="none"/>
        </w:rPr>
        <w:t>资金有效保证了</w:t>
      </w:r>
      <w:r>
        <w:rPr>
          <w:rFonts w:ascii="仿宋_GB2312" w:eastAsia="仿宋_GB2312" w:cs="仿宋_GB2312"/>
          <w:sz w:val="32"/>
          <w:szCs w:val="32"/>
          <w:highlight w:val="none"/>
        </w:rPr>
        <w:t>项目</w:t>
      </w:r>
      <w:r>
        <w:rPr>
          <w:rFonts w:hint="eastAsia" w:ascii="仿宋_GB2312" w:eastAsia="仿宋_GB2312" w:cs="仿宋_GB2312"/>
          <w:sz w:val="32"/>
          <w:szCs w:val="32"/>
          <w:highlight w:val="none"/>
        </w:rPr>
        <w:t>的实施。根据评分标准，该指标不扣分，实际得分</w:t>
      </w:r>
      <w:r>
        <w:rPr>
          <w:rFonts w:ascii="仿宋_GB2312" w:eastAsia="仿宋_GB2312" w:cs="仿宋_GB2312"/>
          <w:sz w:val="32"/>
          <w:szCs w:val="32"/>
          <w:highlight w:val="none"/>
        </w:rPr>
        <w:t>2</w:t>
      </w:r>
      <w:r>
        <w:rPr>
          <w:rFonts w:hint="eastAsia" w:ascii="仿宋_GB2312" w:eastAsia="仿宋_GB2312" w:cs="仿宋_GB2312"/>
          <w:sz w:val="32"/>
          <w:szCs w:val="32"/>
          <w:highlight w:val="none"/>
        </w:rPr>
        <w:t>分。</w:t>
      </w:r>
    </w:p>
    <w:p w14:paraId="6080EBF5">
      <w:pPr>
        <w:pageBreakBefore w:val="0"/>
        <w:widowControl/>
        <w:kinsoku/>
        <w:wordWrap/>
        <w:overflowPunct/>
        <w:topLinePunct w:val="0"/>
        <w:autoSpaceDE/>
        <w:autoSpaceDN/>
        <w:bidi w:val="0"/>
        <w:adjustRightInd/>
        <w:snapToGrid/>
        <w:spacing w:line="560" w:lineRule="exact"/>
        <w:ind w:firstLine="482" w:firstLineChars="150"/>
        <w:textAlignment w:val="auto"/>
        <w:rPr>
          <w:rFonts w:ascii="仿宋_GB2312" w:eastAsia="仿宋_GB2312" w:cs="仿宋_GB2312"/>
          <w:b/>
          <w:sz w:val="32"/>
          <w:szCs w:val="32"/>
          <w:highlight w:val="none"/>
        </w:rPr>
      </w:pPr>
      <w:r>
        <w:rPr>
          <w:rFonts w:hint="eastAsia" w:ascii="仿宋_GB2312" w:eastAsia="仿宋_GB2312" w:cs="仿宋_GB2312"/>
          <w:b/>
          <w:sz w:val="32"/>
          <w:szCs w:val="32"/>
          <w:highlight w:val="none"/>
        </w:rPr>
        <w:t>（二）项目过程情况</w:t>
      </w:r>
    </w:p>
    <w:tbl>
      <w:tblPr>
        <w:tblStyle w:val="21"/>
        <w:tblW w:w="8522" w:type="dxa"/>
        <w:tblInd w:w="0" w:type="dxa"/>
        <w:tblLayout w:type="fixed"/>
        <w:tblCellMar>
          <w:top w:w="0" w:type="dxa"/>
          <w:left w:w="108" w:type="dxa"/>
          <w:bottom w:w="0" w:type="dxa"/>
          <w:right w:w="108" w:type="dxa"/>
        </w:tblCellMar>
      </w:tblPr>
      <w:tblGrid>
        <w:gridCol w:w="2874"/>
        <w:gridCol w:w="1765"/>
        <w:gridCol w:w="1986"/>
        <w:gridCol w:w="1897"/>
      </w:tblGrid>
      <w:tr w14:paraId="2809031B">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14:paraId="26FA3605">
            <w:pPr>
              <w:widowControl/>
              <w:jc w:val="center"/>
              <w:rPr>
                <w:rFonts w:ascii="宋体" w:hAnsi="宋体" w:cs="宋体"/>
                <w:color w:val="000000"/>
                <w:kern w:val="0"/>
                <w:sz w:val="24"/>
                <w:highlight w:val="none"/>
              </w:rPr>
            </w:pPr>
            <w:r>
              <w:rPr>
                <w:rFonts w:hint="eastAsia" w:ascii="仿宋_GB2312" w:hAnsi="仿宋_GB2312" w:eastAsia="仿宋_GB2312" w:cs="仿宋_GB2312"/>
                <w:b/>
                <w:bCs/>
                <w:color w:val="000000"/>
                <w:kern w:val="0"/>
                <w:sz w:val="32"/>
                <w:szCs w:val="32"/>
                <w:highlight w:val="none"/>
              </w:rPr>
              <w:t>项目</w:t>
            </w:r>
            <w:r>
              <w:rPr>
                <w:rFonts w:hint="eastAsia" w:ascii="仿宋_GB2312" w:hAnsi="仿宋_GB2312" w:eastAsia="仿宋_GB2312" w:cs="仿宋_GB2312"/>
                <w:b/>
                <w:bCs/>
                <w:color w:val="000000"/>
                <w:kern w:val="0"/>
                <w:sz w:val="32"/>
                <w:szCs w:val="32"/>
                <w:highlight w:val="none"/>
                <w:lang w:val="en-US" w:eastAsia="zh-CN"/>
              </w:rPr>
              <w:t>过程</w:t>
            </w:r>
            <w:r>
              <w:rPr>
                <w:rFonts w:hint="eastAsia" w:ascii="仿宋_GB2312" w:hAnsi="仿宋_GB2312" w:eastAsia="仿宋_GB2312" w:cs="仿宋_GB2312"/>
                <w:b/>
                <w:bCs/>
                <w:color w:val="000000"/>
                <w:kern w:val="0"/>
                <w:sz w:val="32"/>
                <w:szCs w:val="32"/>
                <w:highlight w:val="none"/>
              </w:rPr>
              <w:t>指标得分情况</w:t>
            </w:r>
          </w:p>
        </w:tc>
      </w:tr>
      <w:tr w14:paraId="11F0F48E">
        <w:tblPrEx>
          <w:tblCellMar>
            <w:top w:w="0" w:type="dxa"/>
            <w:left w:w="108" w:type="dxa"/>
            <w:bottom w:w="0" w:type="dxa"/>
            <w:right w:w="108" w:type="dxa"/>
          </w:tblCellMar>
        </w:tblPrEx>
        <w:trPr>
          <w:trHeight w:val="510" w:hRule="exact"/>
          <w:tblHeader/>
        </w:trPr>
        <w:tc>
          <w:tcPr>
            <w:tcW w:w="2874" w:type="dxa"/>
            <w:tcBorders>
              <w:top w:val="nil"/>
              <w:left w:val="single" w:color="auto" w:sz="8" w:space="0"/>
              <w:bottom w:val="nil"/>
              <w:right w:val="single" w:color="auto" w:sz="8" w:space="0"/>
            </w:tcBorders>
            <w:shd w:val="clear" w:color="000000" w:fill="A6A6A6"/>
            <w:vAlign w:val="center"/>
          </w:tcPr>
          <w:p w14:paraId="606595BE">
            <w:pPr>
              <w:widowControl/>
              <w:spacing w:line="400" w:lineRule="exact"/>
              <w:jc w:val="center"/>
              <w:rPr>
                <w:rFonts w:ascii="宋体" w:hAnsi="宋体" w:cs="宋体"/>
                <w:b/>
                <w:bCs/>
                <w:color w:val="000000"/>
                <w:kern w:val="0"/>
                <w:sz w:val="24"/>
                <w:highlight w:val="none"/>
              </w:rPr>
            </w:pPr>
            <w:r>
              <w:rPr>
                <w:rFonts w:hint="eastAsia" w:ascii="宋体" w:hAnsi="宋体" w:cs="宋体"/>
                <w:b/>
                <w:bCs/>
                <w:color w:val="000000"/>
                <w:kern w:val="0"/>
                <w:sz w:val="24"/>
                <w:highlight w:val="none"/>
                <w:lang w:eastAsia="zh-CN"/>
              </w:rPr>
              <w:t>三</w:t>
            </w:r>
            <w:r>
              <w:rPr>
                <w:rFonts w:hint="eastAsia" w:ascii="宋体" w:hAnsi="宋体" w:cs="宋体"/>
                <w:b/>
                <w:bCs/>
                <w:color w:val="000000"/>
                <w:kern w:val="0"/>
                <w:sz w:val="24"/>
                <w:highlight w:val="none"/>
              </w:rPr>
              <w:t>级指标</w:t>
            </w:r>
          </w:p>
        </w:tc>
        <w:tc>
          <w:tcPr>
            <w:tcW w:w="1765" w:type="dxa"/>
            <w:tcBorders>
              <w:top w:val="nil"/>
              <w:left w:val="nil"/>
              <w:bottom w:val="nil"/>
              <w:right w:val="single" w:color="auto" w:sz="8" w:space="0"/>
            </w:tcBorders>
            <w:shd w:val="clear" w:color="000000" w:fill="A6A6A6"/>
            <w:vAlign w:val="center"/>
          </w:tcPr>
          <w:p w14:paraId="2E684B04">
            <w:pPr>
              <w:widowControl/>
              <w:spacing w:line="400" w:lineRule="exact"/>
              <w:jc w:val="center"/>
              <w:rPr>
                <w:rFonts w:ascii="宋体" w:hAnsi="宋体" w:cs="宋体"/>
                <w:b/>
                <w:bCs/>
                <w:color w:val="000000"/>
                <w:kern w:val="0"/>
                <w:sz w:val="24"/>
                <w:highlight w:val="none"/>
              </w:rPr>
            </w:pPr>
            <w:r>
              <w:rPr>
                <w:rFonts w:hint="eastAsia" w:ascii="宋体" w:hAnsi="宋体" w:cs="宋体"/>
                <w:b/>
                <w:bCs/>
                <w:color w:val="000000"/>
                <w:kern w:val="0"/>
                <w:sz w:val="24"/>
                <w:highlight w:val="none"/>
              </w:rPr>
              <w:t>权重</w:t>
            </w:r>
          </w:p>
        </w:tc>
        <w:tc>
          <w:tcPr>
            <w:tcW w:w="1986" w:type="dxa"/>
            <w:tcBorders>
              <w:top w:val="nil"/>
              <w:left w:val="nil"/>
              <w:bottom w:val="nil"/>
              <w:right w:val="single" w:color="auto" w:sz="8" w:space="0"/>
            </w:tcBorders>
            <w:shd w:val="clear" w:color="000000" w:fill="A6A6A6"/>
            <w:vAlign w:val="center"/>
          </w:tcPr>
          <w:p w14:paraId="630EB493">
            <w:pPr>
              <w:widowControl/>
              <w:spacing w:line="400" w:lineRule="exact"/>
              <w:jc w:val="center"/>
              <w:rPr>
                <w:rFonts w:ascii="宋体" w:hAnsi="宋体" w:cs="宋体"/>
                <w:b/>
                <w:bCs/>
                <w:color w:val="000000"/>
                <w:kern w:val="0"/>
                <w:sz w:val="24"/>
                <w:highlight w:val="none"/>
              </w:rPr>
            </w:pPr>
            <w:r>
              <w:rPr>
                <w:rFonts w:hint="eastAsia" w:ascii="宋体" w:hAnsi="宋体" w:cs="宋体"/>
                <w:b/>
                <w:bCs/>
                <w:color w:val="000000"/>
                <w:kern w:val="0"/>
                <w:sz w:val="24"/>
                <w:highlight w:val="none"/>
              </w:rPr>
              <w:t>得分率</w:t>
            </w:r>
          </w:p>
        </w:tc>
        <w:tc>
          <w:tcPr>
            <w:tcW w:w="1897" w:type="dxa"/>
            <w:tcBorders>
              <w:top w:val="nil"/>
              <w:left w:val="nil"/>
              <w:bottom w:val="nil"/>
              <w:right w:val="single" w:color="auto" w:sz="8" w:space="0"/>
            </w:tcBorders>
            <w:shd w:val="clear" w:color="000000" w:fill="A6A6A6"/>
            <w:vAlign w:val="center"/>
          </w:tcPr>
          <w:p w14:paraId="08CBA8D0">
            <w:pPr>
              <w:widowControl/>
              <w:spacing w:line="400" w:lineRule="exact"/>
              <w:jc w:val="center"/>
              <w:rPr>
                <w:rFonts w:ascii="宋体" w:hAnsi="宋体" w:cs="宋体"/>
                <w:b/>
                <w:bCs/>
                <w:color w:val="000000"/>
                <w:kern w:val="0"/>
                <w:sz w:val="24"/>
                <w:highlight w:val="none"/>
              </w:rPr>
            </w:pPr>
            <w:r>
              <w:rPr>
                <w:rFonts w:hint="eastAsia" w:ascii="宋体" w:hAnsi="宋体" w:cs="宋体"/>
                <w:b/>
                <w:bCs/>
                <w:color w:val="000000"/>
                <w:kern w:val="0"/>
                <w:sz w:val="24"/>
                <w:highlight w:val="none"/>
              </w:rPr>
              <w:t>实际得分</w:t>
            </w:r>
          </w:p>
        </w:tc>
      </w:tr>
      <w:tr w14:paraId="48EF2DE2">
        <w:tblPrEx>
          <w:tblCellMar>
            <w:top w:w="0" w:type="dxa"/>
            <w:left w:w="108" w:type="dxa"/>
            <w:bottom w:w="0" w:type="dxa"/>
            <w:right w:w="108" w:type="dxa"/>
          </w:tblCellMar>
        </w:tblPrEx>
        <w:trPr>
          <w:trHeight w:val="510" w:hRule="exact"/>
        </w:trPr>
        <w:tc>
          <w:tcPr>
            <w:tcW w:w="2874" w:type="dxa"/>
            <w:tcBorders>
              <w:top w:val="single" w:color="auto" w:sz="4" w:space="0"/>
              <w:left w:val="single" w:color="auto" w:sz="4" w:space="0"/>
              <w:bottom w:val="single" w:color="auto" w:sz="4" w:space="0"/>
              <w:right w:val="single" w:color="auto" w:sz="4" w:space="0"/>
            </w:tcBorders>
            <w:noWrap/>
            <w:vAlign w:val="center"/>
          </w:tcPr>
          <w:p w14:paraId="1FD19F53">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rPr>
              <w:t>资金到位率</w:t>
            </w:r>
          </w:p>
        </w:tc>
        <w:tc>
          <w:tcPr>
            <w:tcW w:w="1765" w:type="dxa"/>
            <w:tcBorders>
              <w:top w:val="single" w:color="auto" w:sz="4" w:space="0"/>
              <w:left w:val="nil"/>
              <w:bottom w:val="single" w:color="auto" w:sz="4" w:space="0"/>
              <w:right w:val="single" w:color="auto" w:sz="4" w:space="0"/>
            </w:tcBorders>
            <w:noWrap/>
            <w:vAlign w:val="center"/>
          </w:tcPr>
          <w:p w14:paraId="645683B3">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w:t>
            </w:r>
          </w:p>
        </w:tc>
        <w:tc>
          <w:tcPr>
            <w:tcW w:w="1986" w:type="dxa"/>
            <w:tcBorders>
              <w:top w:val="single" w:color="auto" w:sz="4" w:space="0"/>
              <w:left w:val="nil"/>
              <w:bottom w:val="single" w:color="auto" w:sz="4" w:space="0"/>
              <w:right w:val="single" w:color="auto" w:sz="4" w:space="0"/>
            </w:tcBorders>
            <w:vAlign w:val="center"/>
          </w:tcPr>
          <w:p w14:paraId="57E03995">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100%</w:t>
            </w:r>
          </w:p>
        </w:tc>
        <w:tc>
          <w:tcPr>
            <w:tcW w:w="1897" w:type="dxa"/>
            <w:tcBorders>
              <w:top w:val="single" w:color="auto" w:sz="4" w:space="0"/>
              <w:left w:val="nil"/>
              <w:bottom w:val="single" w:color="auto" w:sz="4" w:space="0"/>
              <w:right w:val="single" w:color="auto" w:sz="4" w:space="0"/>
            </w:tcBorders>
            <w:noWrap/>
            <w:vAlign w:val="center"/>
          </w:tcPr>
          <w:p w14:paraId="795B65BB">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w:t>
            </w:r>
          </w:p>
        </w:tc>
      </w:tr>
      <w:tr w14:paraId="7A0E501B">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14:paraId="6F7B249A">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rPr>
              <w:t>预算执行率</w:t>
            </w:r>
          </w:p>
        </w:tc>
        <w:tc>
          <w:tcPr>
            <w:tcW w:w="1765" w:type="dxa"/>
            <w:tcBorders>
              <w:top w:val="nil"/>
              <w:left w:val="nil"/>
              <w:bottom w:val="single" w:color="auto" w:sz="4" w:space="0"/>
              <w:right w:val="single" w:color="auto" w:sz="4" w:space="0"/>
            </w:tcBorders>
            <w:noWrap/>
            <w:vAlign w:val="center"/>
          </w:tcPr>
          <w:p w14:paraId="1B3F01F0">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w:t>
            </w:r>
          </w:p>
        </w:tc>
        <w:tc>
          <w:tcPr>
            <w:tcW w:w="1986" w:type="dxa"/>
            <w:tcBorders>
              <w:top w:val="nil"/>
              <w:left w:val="nil"/>
              <w:bottom w:val="single" w:color="auto" w:sz="4" w:space="0"/>
              <w:right w:val="single" w:color="auto" w:sz="4" w:space="0"/>
            </w:tcBorders>
            <w:vAlign w:val="center"/>
          </w:tcPr>
          <w:p w14:paraId="52A15756">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98%</w:t>
            </w:r>
          </w:p>
        </w:tc>
        <w:tc>
          <w:tcPr>
            <w:tcW w:w="1897" w:type="dxa"/>
            <w:tcBorders>
              <w:top w:val="nil"/>
              <w:left w:val="nil"/>
              <w:bottom w:val="single" w:color="auto" w:sz="4" w:space="0"/>
              <w:right w:val="single" w:color="auto" w:sz="4" w:space="0"/>
            </w:tcBorders>
            <w:noWrap/>
            <w:vAlign w:val="center"/>
          </w:tcPr>
          <w:p w14:paraId="6F800030">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0.98</w:t>
            </w:r>
          </w:p>
        </w:tc>
      </w:tr>
      <w:tr w14:paraId="5AA78F8F">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14:paraId="6D44E15B">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rPr>
              <w:t>资金使用合规性</w:t>
            </w:r>
          </w:p>
        </w:tc>
        <w:tc>
          <w:tcPr>
            <w:tcW w:w="1765" w:type="dxa"/>
            <w:tcBorders>
              <w:top w:val="nil"/>
              <w:left w:val="nil"/>
              <w:bottom w:val="single" w:color="auto" w:sz="4" w:space="0"/>
              <w:right w:val="single" w:color="auto" w:sz="4" w:space="0"/>
            </w:tcBorders>
            <w:noWrap/>
            <w:vAlign w:val="center"/>
          </w:tcPr>
          <w:p w14:paraId="6DF4014D">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w:t>
            </w:r>
          </w:p>
        </w:tc>
        <w:tc>
          <w:tcPr>
            <w:tcW w:w="1986" w:type="dxa"/>
            <w:tcBorders>
              <w:top w:val="nil"/>
              <w:left w:val="nil"/>
              <w:bottom w:val="single" w:color="auto" w:sz="4" w:space="0"/>
              <w:right w:val="single" w:color="auto" w:sz="4" w:space="0"/>
            </w:tcBorders>
            <w:vAlign w:val="center"/>
          </w:tcPr>
          <w:p w14:paraId="195BC747">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100%</w:t>
            </w:r>
          </w:p>
        </w:tc>
        <w:tc>
          <w:tcPr>
            <w:tcW w:w="1897" w:type="dxa"/>
            <w:tcBorders>
              <w:top w:val="nil"/>
              <w:left w:val="nil"/>
              <w:bottom w:val="single" w:color="auto" w:sz="4" w:space="0"/>
              <w:right w:val="single" w:color="auto" w:sz="4" w:space="0"/>
            </w:tcBorders>
            <w:noWrap/>
            <w:vAlign w:val="center"/>
          </w:tcPr>
          <w:p w14:paraId="173997BF">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w:t>
            </w:r>
          </w:p>
        </w:tc>
      </w:tr>
      <w:tr w14:paraId="4AEE5979">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14:paraId="12D0FDF4">
            <w:pPr>
              <w:widowControl/>
              <w:spacing w:line="0" w:lineRule="atLeas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管理制度健全性</w:t>
            </w:r>
          </w:p>
        </w:tc>
        <w:tc>
          <w:tcPr>
            <w:tcW w:w="1765" w:type="dxa"/>
            <w:tcBorders>
              <w:top w:val="nil"/>
              <w:left w:val="nil"/>
              <w:bottom w:val="single" w:color="auto" w:sz="4" w:space="0"/>
              <w:right w:val="single" w:color="auto" w:sz="4" w:space="0"/>
            </w:tcBorders>
            <w:noWrap/>
            <w:vAlign w:val="center"/>
          </w:tcPr>
          <w:p w14:paraId="47FC4D82">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w:t>
            </w:r>
          </w:p>
        </w:tc>
        <w:tc>
          <w:tcPr>
            <w:tcW w:w="1986" w:type="dxa"/>
            <w:tcBorders>
              <w:top w:val="nil"/>
              <w:left w:val="nil"/>
              <w:bottom w:val="single" w:color="auto" w:sz="4" w:space="0"/>
              <w:right w:val="single" w:color="auto" w:sz="4" w:space="0"/>
            </w:tcBorders>
            <w:vAlign w:val="center"/>
          </w:tcPr>
          <w:p w14:paraId="3797B0A2">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90%</w:t>
            </w:r>
          </w:p>
        </w:tc>
        <w:tc>
          <w:tcPr>
            <w:tcW w:w="1897" w:type="dxa"/>
            <w:tcBorders>
              <w:top w:val="nil"/>
              <w:left w:val="nil"/>
              <w:bottom w:val="single" w:color="auto" w:sz="4" w:space="0"/>
              <w:right w:val="single" w:color="auto" w:sz="4" w:space="0"/>
            </w:tcBorders>
            <w:noWrap/>
            <w:vAlign w:val="center"/>
          </w:tcPr>
          <w:p w14:paraId="28A10BFD">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0.9</w:t>
            </w:r>
          </w:p>
        </w:tc>
      </w:tr>
      <w:tr w14:paraId="0C9FD776">
        <w:tblPrEx>
          <w:tblCellMar>
            <w:top w:w="0" w:type="dxa"/>
            <w:left w:w="108" w:type="dxa"/>
            <w:bottom w:w="0" w:type="dxa"/>
            <w:right w:w="108" w:type="dxa"/>
          </w:tblCellMar>
        </w:tblPrEx>
        <w:trPr>
          <w:trHeight w:val="510" w:hRule="exact"/>
        </w:trPr>
        <w:tc>
          <w:tcPr>
            <w:tcW w:w="2874" w:type="dxa"/>
            <w:tcBorders>
              <w:top w:val="nil"/>
              <w:left w:val="single" w:color="auto" w:sz="4" w:space="0"/>
              <w:bottom w:val="single" w:color="auto" w:sz="4" w:space="0"/>
              <w:right w:val="single" w:color="auto" w:sz="4" w:space="0"/>
            </w:tcBorders>
            <w:noWrap/>
            <w:vAlign w:val="center"/>
          </w:tcPr>
          <w:p w14:paraId="13BE189A">
            <w:pPr>
              <w:widowControl/>
              <w:spacing w:line="0" w:lineRule="atLeas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制度执行有效性</w:t>
            </w:r>
          </w:p>
        </w:tc>
        <w:tc>
          <w:tcPr>
            <w:tcW w:w="1765" w:type="dxa"/>
            <w:tcBorders>
              <w:top w:val="nil"/>
              <w:left w:val="nil"/>
              <w:bottom w:val="single" w:color="auto" w:sz="4" w:space="0"/>
              <w:right w:val="single" w:color="auto" w:sz="4" w:space="0"/>
            </w:tcBorders>
            <w:noWrap/>
            <w:vAlign w:val="center"/>
          </w:tcPr>
          <w:p w14:paraId="31B66BC3">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1</w:t>
            </w:r>
          </w:p>
        </w:tc>
        <w:tc>
          <w:tcPr>
            <w:tcW w:w="1986" w:type="dxa"/>
            <w:tcBorders>
              <w:top w:val="nil"/>
              <w:left w:val="nil"/>
              <w:bottom w:val="single" w:color="auto" w:sz="4" w:space="0"/>
              <w:right w:val="single" w:color="auto" w:sz="4" w:space="0"/>
            </w:tcBorders>
            <w:vAlign w:val="center"/>
          </w:tcPr>
          <w:p w14:paraId="07B1D110">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90%</w:t>
            </w:r>
          </w:p>
        </w:tc>
        <w:tc>
          <w:tcPr>
            <w:tcW w:w="1897" w:type="dxa"/>
            <w:tcBorders>
              <w:top w:val="nil"/>
              <w:left w:val="nil"/>
              <w:bottom w:val="single" w:color="auto" w:sz="4" w:space="0"/>
              <w:right w:val="single" w:color="auto" w:sz="4" w:space="0"/>
            </w:tcBorders>
            <w:noWrap/>
            <w:vAlign w:val="center"/>
          </w:tcPr>
          <w:p w14:paraId="052FEC3E">
            <w:pPr>
              <w:widowControl/>
              <w:spacing w:line="0" w:lineRule="atLeast"/>
              <w:jc w:val="center"/>
              <w:rPr>
                <w:rStyle w:val="23"/>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rPr>
              <w:t>0.9</w:t>
            </w:r>
          </w:p>
        </w:tc>
      </w:tr>
      <w:tr w14:paraId="0E966CF7">
        <w:tblPrEx>
          <w:tblCellMar>
            <w:top w:w="0" w:type="dxa"/>
            <w:left w:w="108" w:type="dxa"/>
            <w:bottom w:w="0" w:type="dxa"/>
            <w:right w:w="108" w:type="dxa"/>
          </w:tblCellMar>
        </w:tblPrEx>
        <w:trPr>
          <w:trHeight w:val="510" w:hRule="exact"/>
        </w:trPr>
        <w:tc>
          <w:tcPr>
            <w:tcW w:w="2874" w:type="dxa"/>
            <w:tcBorders>
              <w:top w:val="single" w:color="auto" w:sz="4" w:space="0"/>
              <w:left w:val="single" w:color="auto" w:sz="4" w:space="0"/>
              <w:bottom w:val="single" w:color="auto" w:sz="4" w:space="0"/>
              <w:right w:val="single" w:color="auto" w:sz="4" w:space="0"/>
            </w:tcBorders>
            <w:noWrap/>
            <w:vAlign w:val="center"/>
          </w:tcPr>
          <w:p w14:paraId="578C3F28">
            <w:pPr>
              <w:widowControl/>
              <w:spacing w:line="0" w:lineRule="atLeas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合  计</w:t>
            </w:r>
          </w:p>
        </w:tc>
        <w:tc>
          <w:tcPr>
            <w:tcW w:w="1765" w:type="dxa"/>
            <w:tcBorders>
              <w:top w:val="single" w:color="auto" w:sz="4" w:space="0"/>
              <w:left w:val="nil"/>
              <w:bottom w:val="single" w:color="auto" w:sz="4" w:space="0"/>
              <w:right w:val="single" w:color="auto" w:sz="4" w:space="0"/>
            </w:tcBorders>
            <w:noWrap/>
            <w:vAlign w:val="center"/>
          </w:tcPr>
          <w:p w14:paraId="24118880">
            <w:pPr>
              <w:widowControl/>
              <w:spacing w:line="0" w:lineRule="atLeas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w:t>
            </w:r>
          </w:p>
        </w:tc>
        <w:tc>
          <w:tcPr>
            <w:tcW w:w="1986" w:type="dxa"/>
            <w:tcBorders>
              <w:top w:val="single" w:color="auto" w:sz="4" w:space="0"/>
              <w:left w:val="nil"/>
              <w:bottom w:val="single" w:color="auto" w:sz="4" w:space="0"/>
              <w:right w:val="single" w:color="auto" w:sz="4" w:space="0"/>
            </w:tcBorders>
            <w:vAlign w:val="center"/>
          </w:tcPr>
          <w:p w14:paraId="3C61820D">
            <w:pPr>
              <w:widowControl/>
              <w:spacing w:line="0" w:lineRule="atLeas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97.6%</w:t>
            </w:r>
          </w:p>
        </w:tc>
        <w:tc>
          <w:tcPr>
            <w:tcW w:w="1897" w:type="dxa"/>
            <w:tcBorders>
              <w:top w:val="single" w:color="auto" w:sz="4" w:space="0"/>
              <w:left w:val="nil"/>
              <w:bottom w:val="single" w:color="auto" w:sz="4" w:space="0"/>
              <w:right w:val="single" w:color="auto" w:sz="4" w:space="0"/>
            </w:tcBorders>
            <w:noWrap/>
            <w:vAlign w:val="center"/>
          </w:tcPr>
          <w:p w14:paraId="3F51D64E">
            <w:pPr>
              <w:widowControl/>
              <w:spacing w:line="0" w:lineRule="atLeas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4.78</w:t>
            </w:r>
          </w:p>
        </w:tc>
      </w:tr>
    </w:tbl>
    <w:p w14:paraId="4713EC14">
      <w:pPr>
        <w:pageBreakBefore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宋体"/>
          <w:sz w:val="32"/>
          <w:szCs w:val="32"/>
          <w:highlight w:val="none"/>
        </w:rPr>
      </w:pPr>
      <w:r>
        <w:rPr>
          <w:rFonts w:hint="eastAsia" w:ascii="仿宋_GB2312" w:eastAsia="仿宋_GB2312" w:cs="仿宋_GB2312"/>
          <w:sz w:val="32"/>
          <w:szCs w:val="32"/>
          <w:highlight w:val="none"/>
        </w:rPr>
        <w:t>项目过程指标从资金到位率、预算执行率、资金使用合规性、管理制度健全性、制度执行有效性</w:t>
      </w:r>
      <w:r>
        <w:rPr>
          <w:rFonts w:ascii="仿宋_GB2312" w:eastAsia="仿宋_GB2312" w:cs="仿宋_GB2312"/>
          <w:sz w:val="32"/>
          <w:szCs w:val="32"/>
          <w:highlight w:val="none"/>
        </w:rPr>
        <w:t>5</w:t>
      </w:r>
      <w:r>
        <w:rPr>
          <w:rFonts w:hint="eastAsia" w:ascii="仿宋_GB2312" w:eastAsia="仿宋_GB2312" w:cs="仿宋_GB2312"/>
          <w:sz w:val="32"/>
          <w:szCs w:val="32"/>
          <w:highlight w:val="none"/>
        </w:rPr>
        <w:t>个方面对项目的管理情况进行考察。项目过程类指标分值</w:t>
      </w:r>
      <w:r>
        <w:rPr>
          <w:rFonts w:ascii="仿宋_GB2312" w:eastAsia="仿宋_GB2312" w:cs="仿宋_GB2312"/>
          <w:sz w:val="32"/>
          <w:szCs w:val="32"/>
          <w:highlight w:val="none"/>
        </w:rPr>
        <w:t>5</w:t>
      </w:r>
      <w:r>
        <w:rPr>
          <w:rFonts w:hint="eastAsia" w:ascii="仿宋_GB2312" w:eastAsia="仿宋_GB2312" w:cs="仿宋_GB2312"/>
          <w:sz w:val="32"/>
          <w:szCs w:val="32"/>
          <w:highlight w:val="none"/>
        </w:rPr>
        <w:t>分，实际得分</w:t>
      </w:r>
      <w:r>
        <w:rPr>
          <w:rFonts w:ascii="仿宋_GB2312" w:eastAsia="仿宋_GB2312" w:cs="仿宋_GB2312"/>
          <w:sz w:val="32"/>
          <w:szCs w:val="32"/>
          <w:highlight w:val="none"/>
        </w:rPr>
        <w:t>4.</w:t>
      </w:r>
      <w:r>
        <w:rPr>
          <w:rFonts w:hint="eastAsia" w:ascii="仿宋_GB2312" w:eastAsia="仿宋_GB2312" w:cs="仿宋_GB2312"/>
          <w:sz w:val="32"/>
          <w:szCs w:val="32"/>
          <w:highlight w:val="none"/>
          <w:lang w:val="en-US" w:eastAsia="zh-CN"/>
        </w:rPr>
        <w:t>7</w:t>
      </w:r>
      <w:r>
        <w:rPr>
          <w:rFonts w:ascii="仿宋_GB2312" w:eastAsia="仿宋_GB2312" w:cs="仿宋_GB2312"/>
          <w:sz w:val="32"/>
          <w:szCs w:val="32"/>
          <w:highlight w:val="none"/>
        </w:rPr>
        <w:t>8</w:t>
      </w:r>
      <w:r>
        <w:rPr>
          <w:rFonts w:hint="eastAsia" w:ascii="仿宋_GB2312" w:eastAsia="仿宋_GB2312" w:cs="仿宋_GB2312"/>
          <w:sz w:val="32"/>
          <w:szCs w:val="32"/>
          <w:highlight w:val="none"/>
        </w:rPr>
        <w:t>分，得分率为</w:t>
      </w:r>
      <w:r>
        <w:rPr>
          <w:rFonts w:ascii="仿宋_GB2312" w:eastAsia="仿宋_GB2312" w:cs="仿宋_GB2312"/>
          <w:sz w:val="32"/>
          <w:szCs w:val="32"/>
          <w:highlight w:val="none"/>
        </w:rPr>
        <w:t>9</w:t>
      </w:r>
      <w:r>
        <w:rPr>
          <w:rFonts w:hint="eastAsia" w:ascii="仿宋_GB2312" w:eastAsia="仿宋_GB2312" w:cs="仿宋_GB2312"/>
          <w:sz w:val="32"/>
          <w:szCs w:val="32"/>
          <w:highlight w:val="none"/>
          <w:lang w:val="en-US" w:eastAsia="zh-CN"/>
        </w:rPr>
        <w:t>5</w:t>
      </w:r>
      <w:r>
        <w:rPr>
          <w:rFonts w:ascii="仿宋_GB2312" w:eastAsia="仿宋_GB2312" w:cs="仿宋_GB2312"/>
          <w:sz w:val="32"/>
          <w:szCs w:val="32"/>
          <w:highlight w:val="none"/>
        </w:rPr>
        <w:t>.6%</w:t>
      </w:r>
      <w:r>
        <w:rPr>
          <w:rFonts w:hint="eastAsia" w:ascii="仿宋_GB2312" w:eastAsia="仿宋_GB2312" w:cs="仿宋_GB2312"/>
          <w:sz w:val="32"/>
          <w:szCs w:val="32"/>
          <w:highlight w:val="none"/>
        </w:rPr>
        <w:t>。</w:t>
      </w:r>
    </w:p>
    <w:p w14:paraId="58C152EF">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对于“资金到位率”，项目资金到位及时，到位率为</w:t>
      </w:r>
      <w:r>
        <w:rPr>
          <w:rFonts w:ascii="仿宋_GB2312" w:eastAsia="仿宋_GB2312" w:cs="仿宋_GB2312"/>
          <w:sz w:val="32"/>
          <w:szCs w:val="32"/>
          <w:highlight w:val="none"/>
        </w:rPr>
        <w:t>100%</w:t>
      </w:r>
      <w:r>
        <w:rPr>
          <w:rFonts w:hint="eastAsia" w:ascii="仿宋_GB2312" w:eastAsia="仿宋_GB2312" w:cs="仿宋_GB2312"/>
          <w:sz w:val="32"/>
          <w:szCs w:val="32"/>
          <w:highlight w:val="none"/>
        </w:rPr>
        <w:t>。根据评分标准，该指标不扣分，实际得分</w:t>
      </w:r>
      <w:r>
        <w:rPr>
          <w:rFonts w:ascii="仿宋_GB2312" w:eastAsia="仿宋_GB2312" w:cs="仿宋_GB2312"/>
          <w:sz w:val="32"/>
          <w:szCs w:val="32"/>
          <w:highlight w:val="none"/>
        </w:rPr>
        <w:t>1</w:t>
      </w:r>
      <w:r>
        <w:rPr>
          <w:rFonts w:hint="eastAsia" w:ascii="仿宋_GB2312" w:eastAsia="仿宋_GB2312" w:cs="仿宋_GB2312"/>
          <w:sz w:val="32"/>
          <w:szCs w:val="32"/>
          <w:highlight w:val="none"/>
        </w:rPr>
        <w:t>分。</w:t>
      </w:r>
    </w:p>
    <w:p w14:paraId="4EEFA5D1">
      <w:pPr>
        <w:pStyle w:val="2"/>
        <w:pageBreakBefore w:val="0"/>
        <w:kinsoku/>
        <w:wordWrap/>
        <w:overflowPunct/>
        <w:topLinePunct w:val="0"/>
        <w:autoSpaceDE/>
        <w:autoSpaceDN/>
        <w:bidi w:val="0"/>
        <w:adjustRightInd/>
        <w:snapToGrid/>
        <w:spacing w:before="0" w:after="0" w:line="560" w:lineRule="exact"/>
        <w:jc w:val="both"/>
        <w:textAlignment w:val="auto"/>
        <w:rPr>
          <w:rFonts w:ascii="仿宋_GB2312" w:eastAsia="仿宋_GB2312" w:cs="仿宋_GB2312"/>
          <w:b w:val="0"/>
          <w:kern w:val="2"/>
          <w:highlight w:val="none"/>
        </w:rPr>
      </w:pPr>
      <w:r>
        <w:rPr>
          <w:rFonts w:ascii="仿宋_GB2312" w:eastAsia="仿宋_GB2312" w:cs="仿宋_GB2312"/>
          <w:highlight w:val="none"/>
        </w:rPr>
        <w:t xml:space="preserve"> </w:t>
      </w:r>
      <w:r>
        <w:rPr>
          <w:rFonts w:hint="eastAsia" w:ascii="仿宋_GB2312" w:eastAsia="仿宋_GB2312" w:cs="仿宋_GB2312"/>
          <w:b w:val="0"/>
          <w:kern w:val="2"/>
          <w:highlight w:val="none"/>
        </w:rPr>
        <w:t xml:space="preserve"> </w:t>
      </w:r>
      <w:r>
        <w:rPr>
          <w:rFonts w:ascii="仿宋_GB2312" w:eastAsia="仿宋_GB2312" w:cs="仿宋_GB2312"/>
          <w:b w:val="0"/>
          <w:kern w:val="2"/>
          <w:highlight w:val="none"/>
        </w:rPr>
        <w:t xml:space="preserve">  </w:t>
      </w:r>
      <w:r>
        <w:rPr>
          <w:rFonts w:hint="eastAsia" w:ascii="仿宋_GB2312" w:eastAsia="仿宋_GB2312" w:cs="仿宋_GB2312"/>
          <w:b w:val="0"/>
          <w:kern w:val="2"/>
          <w:highlight w:val="none"/>
        </w:rPr>
        <w:t>对于“预算执行率”，项目资金</w:t>
      </w:r>
      <w:r>
        <w:rPr>
          <w:rFonts w:ascii="仿宋_GB2312" w:eastAsia="仿宋_GB2312" w:cs="仿宋_GB2312"/>
          <w:b w:val="0"/>
          <w:kern w:val="2"/>
          <w:highlight w:val="none"/>
        </w:rPr>
        <w:t>执行按照合同和实际支出</w:t>
      </w:r>
      <w:r>
        <w:rPr>
          <w:rFonts w:hint="eastAsia" w:ascii="仿宋_GB2312" w:eastAsia="仿宋_GB2312" w:cs="仿宋_GB2312"/>
          <w:b w:val="0"/>
          <w:kern w:val="2"/>
          <w:highlight w:val="none"/>
        </w:rPr>
        <w:t>，到</w:t>
      </w:r>
      <w:r>
        <w:rPr>
          <w:rFonts w:ascii="仿宋_GB2312" w:eastAsia="仿宋_GB2312" w:cs="仿宋_GB2312"/>
          <w:b w:val="0"/>
          <w:kern w:val="2"/>
          <w:highlight w:val="none"/>
        </w:rPr>
        <w:t>执行</w:t>
      </w:r>
      <w:r>
        <w:rPr>
          <w:rFonts w:hint="eastAsia" w:ascii="仿宋_GB2312" w:eastAsia="仿宋_GB2312" w:cs="仿宋_GB2312"/>
          <w:b w:val="0"/>
          <w:kern w:val="2"/>
          <w:highlight w:val="none"/>
        </w:rPr>
        <w:t>率为</w:t>
      </w:r>
      <w:r>
        <w:rPr>
          <w:rFonts w:ascii="仿宋_GB2312" w:eastAsia="仿宋_GB2312" w:cs="仿宋_GB2312"/>
          <w:b w:val="0"/>
          <w:kern w:val="2"/>
          <w:highlight w:val="none"/>
        </w:rPr>
        <w:t>99.</w:t>
      </w:r>
      <w:r>
        <w:rPr>
          <w:rFonts w:hint="eastAsia" w:ascii="仿宋_GB2312" w:eastAsia="仿宋_GB2312" w:cs="仿宋_GB2312"/>
          <w:b w:val="0"/>
          <w:kern w:val="2"/>
          <w:highlight w:val="none"/>
          <w:lang w:val="en-US" w:eastAsia="zh-CN"/>
        </w:rPr>
        <w:t>95</w:t>
      </w:r>
      <w:r>
        <w:rPr>
          <w:rFonts w:hint="eastAsia" w:ascii="仿宋_GB2312" w:eastAsia="仿宋_GB2312" w:cs="仿宋_GB2312"/>
          <w:b w:val="0"/>
          <w:kern w:val="2"/>
          <w:highlight w:val="none"/>
        </w:rPr>
        <w:t>%。根据评分标准，该指标扣分</w:t>
      </w:r>
      <w:r>
        <w:rPr>
          <w:rFonts w:ascii="仿宋_GB2312" w:eastAsia="仿宋_GB2312" w:cs="仿宋_GB2312"/>
          <w:b w:val="0"/>
          <w:kern w:val="2"/>
          <w:highlight w:val="none"/>
        </w:rPr>
        <w:t>0.02分</w:t>
      </w:r>
      <w:r>
        <w:rPr>
          <w:rFonts w:hint="eastAsia" w:ascii="仿宋_GB2312" w:eastAsia="仿宋_GB2312" w:cs="仿宋_GB2312"/>
          <w:b w:val="0"/>
          <w:kern w:val="2"/>
          <w:highlight w:val="none"/>
        </w:rPr>
        <w:t>，</w:t>
      </w:r>
      <w:r>
        <w:rPr>
          <w:rFonts w:hint="eastAsia" w:ascii="仿宋_GB2312" w:eastAsia="仿宋_GB2312" w:cs="仿宋_GB2312"/>
          <w:b w:val="0"/>
          <w:bCs w:val="0"/>
          <w:kern w:val="2"/>
          <w:highlight w:val="none"/>
        </w:rPr>
        <w:t>实际得分</w:t>
      </w:r>
      <w:r>
        <w:rPr>
          <w:rFonts w:ascii="仿宋_GB2312" w:eastAsia="仿宋_GB2312" w:cs="仿宋_GB2312"/>
          <w:b w:val="0"/>
          <w:bCs w:val="0"/>
          <w:kern w:val="2"/>
          <w:highlight w:val="none"/>
        </w:rPr>
        <w:t>0.98</w:t>
      </w:r>
      <w:r>
        <w:rPr>
          <w:rFonts w:hint="eastAsia" w:ascii="仿宋_GB2312" w:eastAsia="仿宋_GB2312" w:cs="仿宋_GB2312"/>
          <w:b w:val="0"/>
          <w:bCs w:val="0"/>
          <w:kern w:val="2"/>
          <w:highlight w:val="none"/>
        </w:rPr>
        <w:t>分</w:t>
      </w:r>
      <w:r>
        <w:rPr>
          <w:rFonts w:hint="eastAsia" w:ascii="仿宋_GB2312" w:eastAsia="仿宋_GB2312" w:cs="仿宋_GB2312"/>
          <w:b w:val="0"/>
          <w:kern w:val="2"/>
          <w:highlight w:val="none"/>
        </w:rPr>
        <w:t>。</w:t>
      </w:r>
    </w:p>
    <w:p w14:paraId="09C1B7F1">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bCs/>
          <w:sz w:val="32"/>
          <w:szCs w:val="32"/>
          <w:highlight w:val="none"/>
        </w:rPr>
        <w:t>对于“资金使用合规性”项目按照专项资金</w:t>
      </w:r>
      <w:r>
        <w:rPr>
          <w:rFonts w:hint="eastAsia" w:ascii="仿宋_GB2312" w:eastAsia="仿宋_GB2312" w:cs="仿宋_GB2312"/>
          <w:sz w:val="32"/>
          <w:szCs w:val="32"/>
          <w:highlight w:val="none"/>
        </w:rPr>
        <w:t>列支的范围使用资金，支出范围合规；资金支出能按财务制度执行，并能按国库集中支付制度规定执行，不存在资金违纪违规使用情况。根据评分标准，该指标不扣分，实际得分</w:t>
      </w:r>
      <w:r>
        <w:rPr>
          <w:rFonts w:ascii="仿宋_GB2312" w:eastAsia="仿宋_GB2312" w:cs="仿宋_GB2312"/>
          <w:sz w:val="32"/>
          <w:szCs w:val="32"/>
          <w:highlight w:val="none"/>
        </w:rPr>
        <w:t>1</w:t>
      </w:r>
      <w:r>
        <w:rPr>
          <w:rFonts w:hint="eastAsia" w:ascii="仿宋_GB2312" w:eastAsia="仿宋_GB2312" w:cs="仿宋_GB2312"/>
          <w:sz w:val="32"/>
          <w:szCs w:val="32"/>
          <w:highlight w:val="none"/>
        </w:rPr>
        <w:t>分</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得分率为</w:t>
      </w:r>
      <w:r>
        <w:rPr>
          <w:rFonts w:ascii="仿宋_GB2312" w:eastAsia="仿宋_GB2312" w:cs="仿宋_GB2312"/>
          <w:sz w:val="32"/>
          <w:szCs w:val="32"/>
          <w:highlight w:val="none"/>
        </w:rPr>
        <w:t>100%</w:t>
      </w:r>
      <w:r>
        <w:rPr>
          <w:rFonts w:hint="eastAsia" w:ascii="仿宋_GB2312" w:eastAsia="仿宋_GB2312" w:cs="仿宋_GB2312"/>
          <w:sz w:val="32"/>
          <w:szCs w:val="32"/>
          <w:highlight w:val="none"/>
        </w:rPr>
        <w:t>。</w:t>
      </w:r>
    </w:p>
    <w:p w14:paraId="2E409102">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对于“管理制度健全性”，项目机构健全，分工明确，不存在不相容岗位兼任情况。但未制定项目管理实施细则，根据评分标准，该指标扣</w:t>
      </w:r>
      <w:r>
        <w:rPr>
          <w:rFonts w:ascii="仿宋_GB2312" w:eastAsia="仿宋_GB2312" w:cs="仿宋_GB2312"/>
          <w:sz w:val="32"/>
          <w:szCs w:val="32"/>
          <w:highlight w:val="none"/>
        </w:rPr>
        <w:t>0.1</w:t>
      </w:r>
      <w:r>
        <w:rPr>
          <w:rFonts w:hint="eastAsia" w:ascii="仿宋_GB2312" w:eastAsia="仿宋_GB2312" w:cs="仿宋_GB2312"/>
          <w:sz w:val="32"/>
          <w:szCs w:val="32"/>
          <w:highlight w:val="none"/>
        </w:rPr>
        <w:t>分，实际得分</w:t>
      </w:r>
      <w:r>
        <w:rPr>
          <w:rFonts w:ascii="仿宋_GB2312" w:eastAsia="仿宋_GB2312" w:cs="仿宋_GB2312"/>
          <w:sz w:val="32"/>
          <w:szCs w:val="32"/>
          <w:highlight w:val="none"/>
        </w:rPr>
        <w:t>0.9</w:t>
      </w:r>
      <w:r>
        <w:rPr>
          <w:rFonts w:hint="eastAsia" w:ascii="仿宋_GB2312" w:eastAsia="仿宋_GB2312" w:cs="仿宋_GB2312"/>
          <w:sz w:val="32"/>
          <w:szCs w:val="32"/>
          <w:highlight w:val="none"/>
        </w:rPr>
        <w:t>分</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得分率为</w:t>
      </w:r>
      <w:r>
        <w:rPr>
          <w:rFonts w:ascii="仿宋_GB2312" w:eastAsia="仿宋_GB2312" w:cs="仿宋_GB2312"/>
          <w:sz w:val="32"/>
          <w:szCs w:val="32"/>
          <w:highlight w:val="none"/>
        </w:rPr>
        <w:t>90%</w:t>
      </w:r>
      <w:r>
        <w:rPr>
          <w:rFonts w:hint="eastAsia" w:ascii="仿宋_GB2312" w:eastAsia="仿宋_GB2312" w:cs="仿宋_GB2312"/>
          <w:sz w:val="32"/>
          <w:szCs w:val="32"/>
          <w:highlight w:val="none"/>
        </w:rPr>
        <w:t>。</w:t>
      </w:r>
    </w:p>
    <w:p w14:paraId="45B00FFB">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对于“制度执行有效性”，组建了项目建设领导小组，认真组织项目实施，但在项目执行过程中，由于对制度执行的效率了解还不够深入，根据评分标准，该指标扣</w:t>
      </w:r>
      <w:r>
        <w:rPr>
          <w:rFonts w:ascii="仿宋_GB2312" w:eastAsia="仿宋_GB2312" w:cs="仿宋_GB2312"/>
          <w:sz w:val="32"/>
          <w:szCs w:val="32"/>
          <w:highlight w:val="none"/>
        </w:rPr>
        <w:t>0.1</w:t>
      </w:r>
      <w:r>
        <w:rPr>
          <w:rFonts w:hint="eastAsia" w:ascii="仿宋_GB2312" w:eastAsia="仿宋_GB2312" w:cs="仿宋_GB2312"/>
          <w:sz w:val="32"/>
          <w:szCs w:val="32"/>
          <w:highlight w:val="none"/>
        </w:rPr>
        <w:t>分，实际得分</w:t>
      </w:r>
      <w:r>
        <w:rPr>
          <w:rFonts w:ascii="仿宋_GB2312" w:eastAsia="仿宋_GB2312" w:cs="仿宋_GB2312"/>
          <w:sz w:val="32"/>
          <w:szCs w:val="32"/>
          <w:highlight w:val="none"/>
        </w:rPr>
        <w:t>0.9</w:t>
      </w:r>
      <w:r>
        <w:rPr>
          <w:rFonts w:hint="eastAsia" w:ascii="仿宋_GB2312" w:eastAsia="仿宋_GB2312" w:cs="仿宋_GB2312"/>
          <w:sz w:val="32"/>
          <w:szCs w:val="32"/>
          <w:highlight w:val="none"/>
        </w:rPr>
        <w:t>分</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得分率为</w:t>
      </w:r>
      <w:r>
        <w:rPr>
          <w:rFonts w:ascii="仿宋_GB2312" w:eastAsia="仿宋_GB2312" w:cs="仿宋_GB2312"/>
          <w:sz w:val="32"/>
          <w:szCs w:val="32"/>
          <w:highlight w:val="none"/>
        </w:rPr>
        <w:t>90%</w:t>
      </w:r>
      <w:r>
        <w:rPr>
          <w:rFonts w:hint="eastAsia" w:ascii="仿宋_GB2312" w:eastAsia="仿宋_GB2312" w:cs="仿宋_GB2312"/>
          <w:sz w:val="32"/>
          <w:szCs w:val="32"/>
          <w:highlight w:val="none"/>
        </w:rPr>
        <w:t>。</w:t>
      </w:r>
    </w:p>
    <w:p w14:paraId="51597543">
      <w:pPr>
        <w:pageBreakBefore w:val="0"/>
        <w:widowControl/>
        <w:kinsoku/>
        <w:wordWrap/>
        <w:overflowPunct/>
        <w:topLinePunct w:val="0"/>
        <w:autoSpaceDE/>
        <w:autoSpaceDN/>
        <w:bidi w:val="0"/>
        <w:adjustRightInd/>
        <w:snapToGrid/>
        <w:spacing w:line="560" w:lineRule="exact"/>
        <w:ind w:firstLine="482" w:firstLineChars="150"/>
        <w:textAlignment w:val="auto"/>
        <w:rPr>
          <w:rFonts w:ascii="仿宋_GB2312" w:eastAsia="仿宋_GB2312" w:cs="仿宋_GB2312"/>
          <w:b/>
          <w:sz w:val="32"/>
          <w:szCs w:val="32"/>
          <w:highlight w:val="none"/>
        </w:rPr>
      </w:pPr>
      <w:r>
        <w:rPr>
          <w:rFonts w:hint="eastAsia" w:ascii="仿宋_GB2312" w:eastAsia="仿宋_GB2312" w:cs="仿宋_GB2312"/>
          <w:b/>
          <w:sz w:val="32"/>
          <w:szCs w:val="32"/>
          <w:highlight w:val="none"/>
        </w:rPr>
        <w:t>（三）项目产出情况</w:t>
      </w:r>
    </w:p>
    <w:p w14:paraId="6B799B06">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项目绩效主要从项目产出的产出数量、产出质量、产出时效、成本情况4个方面对项目的绩效情况进行评价。</w:t>
      </w:r>
    </w:p>
    <w:p w14:paraId="3FE9A172">
      <w:pPr>
        <w:pageBreakBefore w:val="0"/>
        <w:kinsoku/>
        <w:wordWrap/>
        <w:overflowPunct/>
        <w:topLinePunct w:val="0"/>
        <w:autoSpaceDE/>
        <w:autoSpaceDN/>
        <w:bidi w:val="0"/>
        <w:adjustRightInd/>
        <w:snapToGrid/>
        <w:spacing w:line="560" w:lineRule="exact"/>
        <w:ind w:firstLine="640"/>
        <w:jc w:val="center"/>
        <w:rPr>
          <w:rStyle w:val="37"/>
          <w:rFonts w:hint="eastAsia" w:ascii="仿宋_GB2312" w:hAnsi="仿宋_GB2312" w:eastAsia="仿宋_GB2312" w:cs="仿宋_GB2312"/>
          <w:color w:val="auto"/>
          <w:sz w:val="32"/>
          <w:szCs w:val="32"/>
          <w:highlight w:val="none"/>
        </w:rPr>
      </w:pPr>
      <w:r>
        <w:rPr>
          <w:rStyle w:val="37"/>
          <w:rFonts w:hint="eastAsia" w:ascii="仿宋_GB2312" w:hAnsi="仿宋_GB2312" w:eastAsia="仿宋_GB2312" w:cs="仿宋_GB2312"/>
          <w:color w:val="auto"/>
          <w:sz w:val="32"/>
          <w:szCs w:val="32"/>
          <w:highlight w:val="none"/>
        </w:rPr>
        <w:t>数量指标方面：</w:t>
      </w:r>
    </w:p>
    <w:tbl>
      <w:tblPr>
        <w:tblStyle w:val="21"/>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14:paraId="203D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620E6B0B">
            <w:pPr>
              <w:pageBreakBefore w:val="0"/>
              <w:widowControl/>
              <w:kinsoku/>
              <w:wordWrap/>
              <w:overflowPunct/>
              <w:topLinePunct w:val="0"/>
              <w:autoSpaceDE/>
              <w:autoSpaceDN/>
              <w:bidi w:val="0"/>
              <w:adjustRightInd/>
              <w:snapToGrid/>
              <w:spacing w:line="560" w:lineRule="exact"/>
              <w:ind w:firstLine="643" w:firstLineChars="200"/>
              <w:jc w:val="both"/>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三级指标</w:t>
            </w:r>
          </w:p>
        </w:tc>
        <w:tc>
          <w:tcPr>
            <w:tcW w:w="2042" w:type="dxa"/>
            <w:shd w:val="clear" w:color="auto" w:fill="auto"/>
            <w:vAlign w:val="center"/>
          </w:tcPr>
          <w:p w14:paraId="7213783F">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2041" w:type="dxa"/>
            <w:shd w:val="clear" w:color="auto" w:fill="auto"/>
            <w:vAlign w:val="center"/>
          </w:tcPr>
          <w:p w14:paraId="4AC9F957">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2042" w:type="dxa"/>
            <w:shd w:val="clear" w:color="auto" w:fill="auto"/>
            <w:vAlign w:val="center"/>
          </w:tcPr>
          <w:p w14:paraId="643998D5">
            <w:pPr>
              <w:pageBreakBefore w:val="0"/>
              <w:widowControl/>
              <w:kinsoku/>
              <w:wordWrap/>
              <w:overflowPunct/>
              <w:topLinePunct w:val="0"/>
              <w:autoSpaceDE/>
              <w:autoSpaceDN/>
              <w:bidi w:val="0"/>
              <w:adjustRightInd/>
              <w:snapToGrid/>
              <w:spacing w:line="560" w:lineRule="exact"/>
              <w:ind w:firstLine="321" w:firstLineChars="100"/>
              <w:jc w:val="left"/>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14:paraId="74B6A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4C97E2F4">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产出数量</w:t>
            </w:r>
          </w:p>
        </w:tc>
        <w:tc>
          <w:tcPr>
            <w:tcW w:w="2042" w:type="dxa"/>
            <w:shd w:val="clear" w:color="auto" w:fill="auto"/>
            <w:vAlign w:val="center"/>
          </w:tcPr>
          <w:p w14:paraId="028D9622">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15</w:t>
            </w:r>
          </w:p>
        </w:tc>
        <w:tc>
          <w:tcPr>
            <w:tcW w:w="2041" w:type="dxa"/>
            <w:shd w:val="clear" w:color="auto" w:fill="auto"/>
            <w:vAlign w:val="center"/>
          </w:tcPr>
          <w:p w14:paraId="1AFF33D7">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2" w:type="dxa"/>
            <w:shd w:val="clear" w:color="auto" w:fill="auto"/>
            <w:vAlign w:val="center"/>
          </w:tcPr>
          <w:p w14:paraId="24B92969">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15</w:t>
            </w:r>
          </w:p>
        </w:tc>
      </w:tr>
      <w:tr w14:paraId="63F6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408D0D7F">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产出质量</w:t>
            </w:r>
          </w:p>
        </w:tc>
        <w:tc>
          <w:tcPr>
            <w:tcW w:w="2042" w:type="dxa"/>
            <w:shd w:val="clear" w:color="auto" w:fill="auto"/>
            <w:vAlign w:val="center"/>
          </w:tcPr>
          <w:p w14:paraId="7422BD5D">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1" w:type="dxa"/>
            <w:shd w:val="clear" w:color="auto" w:fill="auto"/>
            <w:vAlign w:val="center"/>
          </w:tcPr>
          <w:p w14:paraId="41CE6A12">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2" w:type="dxa"/>
            <w:shd w:val="clear" w:color="auto" w:fill="auto"/>
            <w:vAlign w:val="center"/>
          </w:tcPr>
          <w:p w14:paraId="07157686">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14:paraId="6792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126B3202">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产出时效</w:t>
            </w:r>
          </w:p>
        </w:tc>
        <w:tc>
          <w:tcPr>
            <w:tcW w:w="2042" w:type="dxa"/>
            <w:shd w:val="clear" w:color="auto" w:fill="auto"/>
            <w:vAlign w:val="center"/>
          </w:tcPr>
          <w:p w14:paraId="1E08BDF3">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15</w:t>
            </w:r>
          </w:p>
        </w:tc>
        <w:tc>
          <w:tcPr>
            <w:tcW w:w="2041" w:type="dxa"/>
            <w:shd w:val="clear" w:color="auto" w:fill="auto"/>
            <w:vAlign w:val="center"/>
          </w:tcPr>
          <w:p w14:paraId="46AF9658">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2" w:type="dxa"/>
            <w:shd w:val="clear" w:color="auto" w:fill="auto"/>
            <w:vAlign w:val="center"/>
          </w:tcPr>
          <w:p w14:paraId="7E0691B5">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r>
      <w:tr w14:paraId="53CE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31B24B93">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成本情况</w:t>
            </w:r>
          </w:p>
        </w:tc>
        <w:tc>
          <w:tcPr>
            <w:tcW w:w="2042" w:type="dxa"/>
            <w:shd w:val="clear" w:color="auto" w:fill="auto"/>
            <w:vAlign w:val="center"/>
          </w:tcPr>
          <w:p w14:paraId="53AB2F36">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1" w:type="dxa"/>
            <w:shd w:val="clear" w:color="auto" w:fill="auto"/>
            <w:vAlign w:val="center"/>
          </w:tcPr>
          <w:p w14:paraId="00F42BA4">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2" w:type="dxa"/>
            <w:shd w:val="clear" w:color="auto" w:fill="auto"/>
            <w:vAlign w:val="center"/>
          </w:tcPr>
          <w:p w14:paraId="68A02A3C">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rPr>
              <w:t>10</w:t>
            </w:r>
          </w:p>
        </w:tc>
      </w:tr>
      <w:tr w14:paraId="1F1A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7E6ED4D5">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42" w:type="dxa"/>
            <w:shd w:val="clear" w:color="auto" w:fill="auto"/>
            <w:vAlign w:val="center"/>
          </w:tcPr>
          <w:p w14:paraId="5A7A1712">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50</w:t>
            </w:r>
          </w:p>
        </w:tc>
        <w:tc>
          <w:tcPr>
            <w:tcW w:w="2041" w:type="dxa"/>
            <w:shd w:val="clear" w:color="auto" w:fill="auto"/>
            <w:vAlign w:val="center"/>
          </w:tcPr>
          <w:p w14:paraId="7C96C668">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FF"/>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100%</w:t>
            </w:r>
          </w:p>
        </w:tc>
        <w:tc>
          <w:tcPr>
            <w:tcW w:w="2042" w:type="dxa"/>
            <w:shd w:val="clear" w:color="auto" w:fill="auto"/>
            <w:vAlign w:val="center"/>
          </w:tcPr>
          <w:p w14:paraId="2E400357">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FF"/>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50</w:t>
            </w:r>
          </w:p>
        </w:tc>
      </w:tr>
    </w:tbl>
    <w:p w14:paraId="71030A73">
      <w:pPr>
        <w:pStyle w:val="18"/>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数量指标：</w:t>
      </w:r>
      <w:r>
        <w:rPr>
          <w:rFonts w:hint="eastAsia" w:ascii="仿宋_GB2312" w:hAnsi="仿宋_GB2312" w:eastAsia="仿宋_GB2312" w:cs="仿宋_GB2312"/>
          <w:b w:val="0"/>
          <w:bCs w:val="0"/>
          <w:color w:val="000000"/>
          <w:sz w:val="32"/>
          <w:szCs w:val="32"/>
          <w:highlight w:val="none"/>
        </w:rPr>
        <w:t>发行量</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color w:val="000000"/>
          <w:sz w:val="32"/>
          <w:szCs w:val="32"/>
          <w:highlight w:val="none"/>
        </w:rPr>
        <w:t>1.6万册</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color w:val="000000"/>
          <w:sz w:val="32"/>
          <w:szCs w:val="32"/>
          <w:highlight w:val="none"/>
        </w:rPr>
        <w:t>1.6万册</w:t>
      </w:r>
      <w:r>
        <w:rPr>
          <w:rFonts w:hint="eastAsia" w:ascii="仿宋_GB2312" w:hAnsi="仿宋_GB2312" w:eastAsia="仿宋_GB2312" w:cs="仿宋_GB2312"/>
          <w:sz w:val="32"/>
          <w:szCs w:val="32"/>
          <w:highlight w:val="none"/>
        </w:rPr>
        <w:t>期，指标完成率100%；</w:t>
      </w:r>
    </w:p>
    <w:p w14:paraId="10AD5579">
      <w:pPr>
        <w:pStyle w:val="18"/>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highlight w:val="none"/>
        </w:rPr>
        <w:t>主题丛书，</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color w:val="000000"/>
          <w:sz w:val="32"/>
          <w:szCs w:val="32"/>
          <w:highlight w:val="none"/>
        </w:rPr>
        <w:t>≥1套</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color w:val="000000"/>
          <w:sz w:val="32"/>
          <w:szCs w:val="32"/>
          <w:highlight w:val="none"/>
        </w:rPr>
        <w:t>≥1套</w:t>
      </w:r>
      <w:r>
        <w:rPr>
          <w:rFonts w:hint="eastAsia" w:ascii="仿宋_GB2312" w:hAnsi="仿宋_GB2312" w:eastAsia="仿宋_GB2312" w:cs="仿宋_GB2312"/>
          <w:sz w:val="32"/>
          <w:szCs w:val="32"/>
          <w:highlight w:val="none"/>
        </w:rPr>
        <w:t>，指标完成率100%；</w:t>
      </w:r>
    </w:p>
    <w:p w14:paraId="71AF498F">
      <w:pPr>
        <w:pStyle w:val="18"/>
        <w:pageBreakBefore w:val="0"/>
        <w:widowControl/>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质量指标：</w:t>
      </w:r>
    </w:p>
    <w:p w14:paraId="6A096F23">
      <w:pPr>
        <w:pStyle w:val="18"/>
        <w:pageBreakBefore w:val="0"/>
        <w:widowControl/>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eastAsia="zh-CN"/>
        </w:rPr>
        <w:t>指标</w:t>
      </w: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color w:val="000000"/>
          <w:sz w:val="32"/>
          <w:szCs w:val="32"/>
          <w:highlight w:val="none"/>
        </w:rPr>
        <w:t>发行杂志审核通过率</w:t>
      </w:r>
      <w:r>
        <w:rPr>
          <w:rFonts w:hint="eastAsia" w:ascii="仿宋_GB2312" w:hAnsi="仿宋_GB2312" w:eastAsia="仿宋_GB2312" w:cs="仿宋_GB2312"/>
          <w:b w:val="0"/>
          <w:bCs w:val="0"/>
          <w:sz w:val="32"/>
          <w:szCs w:val="32"/>
          <w:highlight w:val="none"/>
        </w:rPr>
        <w:t>，预期指标值</w:t>
      </w:r>
      <w:r>
        <w:rPr>
          <w:rFonts w:hint="eastAsia" w:ascii="仿宋_GB2312" w:hAnsi="仿宋_GB2312" w:eastAsia="仿宋_GB2312" w:cs="仿宋_GB2312"/>
          <w:b w:val="0"/>
          <w:bCs w:val="0"/>
          <w:color w:val="000000"/>
          <w:sz w:val="32"/>
          <w:szCs w:val="32"/>
          <w:highlight w:val="none"/>
        </w:rPr>
        <w:t>=100%</w:t>
      </w:r>
      <w:r>
        <w:rPr>
          <w:rFonts w:hint="eastAsia" w:ascii="仿宋_GB2312" w:hAnsi="仿宋_GB2312" w:eastAsia="仿宋_GB2312" w:cs="仿宋_GB2312"/>
          <w:b w:val="0"/>
          <w:bCs w:val="0"/>
          <w:sz w:val="32"/>
          <w:szCs w:val="32"/>
          <w:highlight w:val="none"/>
        </w:rPr>
        <w:t>，指标完成值100%，指标完成率100%；</w:t>
      </w:r>
    </w:p>
    <w:p w14:paraId="365F78F2">
      <w:pPr>
        <w:pStyle w:val="18"/>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color w:val="000000"/>
          <w:sz w:val="32"/>
          <w:szCs w:val="32"/>
          <w:highlight w:val="none"/>
          <w:lang w:eastAsia="zh-CN"/>
        </w:rPr>
        <w:t>指标</w:t>
      </w:r>
      <w:r>
        <w:rPr>
          <w:rFonts w:hint="eastAsia" w:ascii="仿宋_GB2312" w:hAnsi="仿宋_GB2312" w:eastAsia="仿宋_GB2312" w:cs="仿宋_GB2312"/>
          <w:b w:val="0"/>
          <w:bCs w:val="0"/>
          <w:color w:val="000000"/>
          <w:sz w:val="32"/>
          <w:szCs w:val="32"/>
          <w:highlight w:val="none"/>
          <w:lang w:val="en-US" w:eastAsia="zh-CN"/>
        </w:rPr>
        <w:t>2：</w:t>
      </w:r>
      <w:r>
        <w:rPr>
          <w:rFonts w:hint="eastAsia" w:ascii="仿宋_GB2312" w:hAnsi="仿宋_GB2312" w:eastAsia="仿宋_GB2312" w:cs="仿宋_GB2312"/>
          <w:b w:val="0"/>
          <w:bCs w:val="0"/>
          <w:color w:val="000000"/>
          <w:sz w:val="32"/>
          <w:szCs w:val="32"/>
          <w:highlight w:val="none"/>
        </w:rPr>
        <w:t>历史文化丛书发行率</w:t>
      </w:r>
      <w:r>
        <w:rPr>
          <w:rFonts w:hint="eastAsia" w:ascii="仿宋_GB2312" w:hAnsi="仿宋_GB2312" w:eastAsia="仿宋_GB2312" w:cs="仿宋_GB2312"/>
          <w:b w:val="0"/>
          <w:bCs w:val="0"/>
          <w:sz w:val="32"/>
          <w:szCs w:val="32"/>
          <w:highlight w:val="none"/>
        </w:rPr>
        <w:t>，预</w:t>
      </w:r>
      <w:r>
        <w:rPr>
          <w:rFonts w:hint="eastAsia" w:ascii="仿宋_GB2312" w:hAnsi="仿宋_GB2312" w:eastAsia="仿宋_GB2312" w:cs="仿宋_GB2312"/>
          <w:sz w:val="32"/>
          <w:szCs w:val="32"/>
          <w:highlight w:val="none"/>
        </w:rPr>
        <w:t>期指标值</w:t>
      </w:r>
      <w:r>
        <w:rPr>
          <w:rFonts w:hint="eastAsia" w:ascii="仿宋_GB2312" w:hAnsi="仿宋_GB2312" w:eastAsia="仿宋_GB2312" w:cs="仿宋_GB2312"/>
          <w:color w:val="000000"/>
          <w:sz w:val="32"/>
          <w:szCs w:val="32"/>
          <w:highlight w:val="none"/>
        </w:rPr>
        <w:t>=100%</w:t>
      </w:r>
      <w:r>
        <w:rPr>
          <w:rFonts w:hint="eastAsia" w:ascii="仿宋_GB2312" w:hAnsi="仿宋_GB2312" w:eastAsia="仿宋_GB2312" w:cs="仿宋_GB2312"/>
          <w:sz w:val="32"/>
          <w:szCs w:val="32"/>
          <w:highlight w:val="none"/>
        </w:rPr>
        <w:t>，指标完成值100%，指标完成率100%；</w:t>
      </w:r>
    </w:p>
    <w:p w14:paraId="2D4949AC">
      <w:pPr>
        <w:pStyle w:val="18"/>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时效指标：</w:t>
      </w:r>
      <w:r>
        <w:rPr>
          <w:rFonts w:hint="eastAsia" w:ascii="仿宋_GB2312" w:hAnsi="仿宋_GB2312" w:eastAsia="仿宋_GB2312" w:cs="仿宋_GB2312"/>
          <w:b w:val="0"/>
          <w:bCs w:val="0"/>
          <w:color w:val="000000"/>
          <w:sz w:val="32"/>
          <w:szCs w:val="32"/>
          <w:highlight w:val="none"/>
        </w:rPr>
        <w:t>杂志按期发行率</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color w:val="000000"/>
          <w:sz w:val="32"/>
          <w:szCs w:val="32"/>
          <w:highlight w:val="none"/>
        </w:rPr>
        <w:t>=100%</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7BA8FD77">
      <w:pPr>
        <w:pStyle w:val="18"/>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rPr>
        <w:t>成本指标：</w:t>
      </w:r>
      <w:r>
        <w:rPr>
          <w:rFonts w:hint="eastAsia" w:ascii="仿宋_GB2312" w:hAnsi="仿宋_GB2312" w:eastAsia="仿宋_GB2312" w:cs="仿宋_GB2312"/>
          <w:b w:val="0"/>
          <w:bCs w:val="0"/>
          <w:sz w:val="32"/>
          <w:szCs w:val="32"/>
          <w:highlight w:val="none"/>
        </w:rPr>
        <w:t>印刷成本，</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color w:val="000000"/>
          <w:sz w:val="32"/>
          <w:szCs w:val="32"/>
          <w:highlight w:val="none"/>
        </w:rPr>
        <w:t>=40万元</w:t>
      </w:r>
      <w:r>
        <w:rPr>
          <w:rFonts w:hint="eastAsia" w:ascii="仿宋_GB2312" w:hAnsi="仿宋_GB2312" w:eastAsia="仿宋_GB2312" w:cs="仿宋_GB2312"/>
          <w:sz w:val="32"/>
          <w:szCs w:val="32"/>
          <w:highlight w:val="none"/>
        </w:rPr>
        <w:t>，指标完成值39.98万元，指标完成率99.95%</w:t>
      </w:r>
      <w:r>
        <w:rPr>
          <w:rFonts w:hint="eastAsia" w:ascii="仿宋_GB2312" w:hAnsi="仿宋_GB2312" w:eastAsia="仿宋_GB2312" w:cs="仿宋_GB2312"/>
          <w:sz w:val="32"/>
          <w:szCs w:val="32"/>
          <w:highlight w:val="none"/>
          <w:lang w:eastAsia="zh-CN"/>
        </w:rPr>
        <w:t>；</w:t>
      </w:r>
    </w:p>
    <w:p w14:paraId="5AF64211">
      <w:pPr>
        <w:pageBreakBefore w:val="0"/>
        <w:widowControl/>
        <w:kinsoku/>
        <w:wordWrap/>
        <w:overflowPunct/>
        <w:topLinePunct w:val="0"/>
        <w:autoSpaceDE/>
        <w:autoSpaceDN/>
        <w:bidi w:val="0"/>
        <w:adjustRightInd/>
        <w:snapToGrid/>
        <w:spacing w:line="560" w:lineRule="exact"/>
        <w:ind w:firstLine="482" w:firstLineChars="150"/>
        <w:textAlignment w:val="auto"/>
        <w:rPr>
          <w:rFonts w:ascii="仿宋_GB2312" w:eastAsia="仿宋_GB2312" w:cs="仿宋_GB2312"/>
          <w:b/>
          <w:sz w:val="32"/>
          <w:szCs w:val="32"/>
          <w:highlight w:val="none"/>
        </w:rPr>
      </w:pPr>
      <w:r>
        <w:rPr>
          <w:rFonts w:hint="eastAsia" w:ascii="仿宋_GB2312" w:eastAsia="仿宋_GB2312" w:cs="仿宋_GB2312"/>
          <w:b/>
          <w:sz w:val="32"/>
          <w:szCs w:val="32"/>
          <w:highlight w:val="none"/>
        </w:rPr>
        <w:t>（四）项目效益情况</w:t>
      </w:r>
    </w:p>
    <w:p w14:paraId="22E9779E">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项目绩效主要从项目产出的效果的社会效益、可持续影响、满意度</w:t>
      </w:r>
      <w:r>
        <w:rPr>
          <w:rFonts w:hint="eastAsia" w:ascii="仿宋_GB2312" w:eastAsia="仿宋_GB2312" w:cs="仿宋_GB2312"/>
          <w:sz w:val="32"/>
          <w:szCs w:val="32"/>
          <w:highlight w:val="none"/>
          <w:lang w:val="en-US" w:eastAsia="zh-CN"/>
        </w:rPr>
        <w:t>3</w:t>
      </w:r>
      <w:r>
        <w:rPr>
          <w:rFonts w:hint="eastAsia" w:ascii="仿宋_GB2312" w:eastAsia="仿宋_GB2312" w:cs="仿宋_GB2312"/>
          <w:sz w:val="32"/>
          <w:szCs w:val="32"/>
          <w:highlight w:val="none"/>
        </w:rPr>
        <w:t>个方面对项目的绩效情况进行评价。</w:t>
      </w:r>
    </w:p>
    <w:p w14:paraId="20430E87">
      <w:pPr>
        <w:pageBreakBefore w:val="0"/>
        <w:kinsoku/>
        <w:wordWrap/>
        <w:overflowPunct/>
        <w:topLinePunct w:val="0"/>
        <w:autoSpaceDE/>
        <w:autoSpaceDN/>
        <w:bidi w:val="0"/>
        <w:adjustRightInd/>
        <w:snapToGrid/>
        <w:spacing w:line="560" w:lineRule="exact"/>
        <w:ind w:firstLine="640"/>
        <w:jc w:val="center"/>
        <w:rPr>
          <w:rStyle w:val="37"/>
          <w:rFonts w:hint="eastAsia" w:ascii="仿宋" w:hAnsi="仿宋" w:eastAsia="仿宋" w:cs="仿宋"/>
          <w:b/>
          <w:bCs/>
          <w:color w:val="auto"/>
          <w:highlight w:val="none"/>
        </w:rPr>
      </w:pPr>
      <w:r>
        <w:rPr>
          <w:rStyle w:val="37"/>
          <w:rFonts w:hint="eastAsia" w:ascii="仿宋" w:hAnsi="仿宋" w:eastAsia="仿宋" w:cs="仿宋"/>
          <w:b/>
          <w:bCs/>
          <w:color w:val="auto"/>
          <w:highlight w:val="none"/>
        </w:rPr>
        <w:t>项目绩效指标得分情况</w:t>
      </w:r>
    </w:p>
    <w:tbl>
      <w:tblPr>
        <w:tblStyle w:val="21"/>
        <w:tblpPr w:leftFromText="180" w:rightFromText="180" w:vertAnchor="text" w:horzAnchor="page" w:tblpX="2219" w:tblpY="29"/>
        <w:tblOverlap w:val="never"/>
        <w:tblW w:w="8340" w:type="dxa"/>
        <w:jc w:val="center"/>
        <w:tblLayout w:type="fixed"/>
        <w:tblCellMar>
          <w:top w:w="0" w:type="dxa"/>
          <w:left w:w="0" w:type="dxa"/>
          <w:bottom w:w="0" w:type="dxa"/>
          <w:right w:w="0" w:type="dxa"/>
        </w:tblCellMar>
      </w:tblPr>
      <w:tblGrid>
        <w:gridCol w:w="2383"/>
        <w:gridCol w:w="1986"/>
        <w:gridCol w:w="1985"/>
        <w:gridCol w:w="1986"/>
      </w:tblGrid>
      <w:tr w14:paraId="27A2E187">
        <w:tblPrEx>
          <w:tblCellMar>
            <w:top w:w="0" w:type="dxa"/>
            <w:left w:w="0" w:type="dxa"/>
            <w:bottom w:w="0" w:type="dxa"/>
            <w:right w:w="0" w:type="dxa"/>
          </w:tblCellMar>
        </w:tblPrEx>
        <w:trPr>
          <w:trHeight w:val="575" w:hRule="atLeast"/>
          <w:jc w:val="center"/>
        </w:trPr>
        <w:tc>
          <w:tcPr>
            <w:tcW w:w="23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CC8E5A4">
            <w:pPr>
              <w:pageBreakBefore w:val="0"/>
              <w:widowControl/>
              <w:kinsoku/>
              <w:wordWrap/>
              <w:overflowPunct/>
              <w:topLinePunct w:val="0"/>
              <w:autoSpaceDE/>
              <w:autoSpaceDN/>
              <w:bidi w:val="0"/>
              <w:adjustRightInd/>
              <w:snapToGrid/>
              <w:spacing w:line="560" w:lineRule="exact"/>
              <w:jc w:val="center"/>
              <w:textAlignment w:val="center"/>
              <w:rPr>
                <w:rStyle w:val="37"/>
                <w:rFonts w:hint="eastAsia" w:ascii="仿宋_GB2312" w:hAnsi="仿宋_GB2312" w:eastAsia="仿宋_GB2312" w:cs="仿宋_GB2312"/>
                <w:b/>
                <w:bCs/>
                <w:color w:val="auto"/>
                <w:sz w:val="32"/>
                <w:szCs w:val="32"/>
                <w:highlight w:val="none"/>
              </w:rPr>
            </w:pPr>
            <w:r>
              <w:rPr>
                <w:rStyle w:val="37"/>
                <w:rFonts w:hint="eastAsia" w:ascii="仿宋_GB2312" w:hAnsi="仿宋_GB2312" w:eastAsia="仿宋_GB2312" w:cs="仿宋_GB2312"/>
                <w:b/>
                <w:bCs/>
                <w:color w:val="auto"/>
                <w:sz w:val="32"/>
                <w:szCs w:val="32"/>
                <w:highlight w:val="none"/>
              </w:rPr>
              <w:t>三级指标</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E74762">
            <w:pPr>
              <w:pageBreakBefore w:val="0"/>
              <w:widowControl/>
              <w:kinsoku/>
              <w:wordWrap/>
              <w:overflowPunct/>
              <w:topLinePunct w:val="0"/>
              <w:autoSpaceDE/>
              <w:autoSpaceDN/>
              <w:bidi w:val="0"/>
              <w:adjustRightInd/>
              <w:snapToGrid/>
              <w:spacing w:line="560" w:lineRule="exact"/>
              <w:jc w:val="center"/>
              <w:textAlignment w:val="center"/>
              <w:rPr>
                <w:rStyle w:val="37"/>
                <w:rFonts w:hint="eastAsia" w:ascii="仿宋_GB2312" w:hAnsi="仿宋_GB2312" w:eastAsia="仿宋_GB2312" w:cs="仿宋_GB2312"/>
                <w:b/>
                <w:bCs/>
                <w:color w:val="auto"/>
                <w:sz w:val="32"/>
                <w:szCs w:val="32"/>
                <w:highlight w:val="none"/>
              </w:rPr>
            </w:pPr>
            <w:r>
              <w:rPr>
                <w:rStyle w:val="37"/>
                <w:rFonts w:hint="eastAsia" w:ascii="仿宋_GB2312" w:hAnsi="仿宋_GB2312" w:eastAsia="仿宋_GB2312" w:cs="仿宋_GB2312"/>
                <w:b/>
                <w:bCs/>
                <w:color w:val="auto"/>
                <w:sz w:val="32"/>
                <w:szCs w:val="32"/>
                <w:highlight w:val="none"/>
              </w:rPr>
              <w:t>权重</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77D72C">
            <w:pPr>
              <w:pageBreakBefore w:val="0"/>
              <w:widowControl/>
              <w:kinsoku/>
              <w:wordWrap/>
              <w:overflowPunct/>
              <w:topLinePunct w:val="0"/>
              <w:autoSpaceDE/>
              <w:autoSpaceDN/>
              <w:bidi w:val="0"/>
              <w:adjustRightInd/>
              <w:snapToGrid/>
              <w:spacing w:line="560" w:lineRule="exact"/>
              <w:jc w:val="center"/>
              <w:textAlignment w:val="center"/>
              <w:rPr>
                <w:rStyle w:val="37"/>
                <w:rFonts w:hint="eastAsia" w:ascii="仿宋_GB2312" w:hAnsi="仿宋_GB2312" w:eastAsia="仿宋_GB2312" w:cs="仿宋_GB2312"/>
                <w:b/>
                <w:bCs/>
                <w:color w:val="auto"/>
                <w:sz w:val="32"/>
                <w:szCs w:val="32"/>
                <w:highlight w:val="none"/>
              </w:rPr>
            </w:pPr>
            <w:r>
              <w:rPr>
                <w:rStyle w:val="37"/>
                <w:rFonts w:hint="eastAsia" w:ascii="仿宋_GB2312" w:hAnsi="仿宋_GB2312" w:eastAsia="仿宋_GB2312" w:cs="仿宋_GB2312"/>
                <w:b/>
                <w:bCs/>
                <w:color w:val="auto"/>
                <w:sz w:val="32"/>
                <w:szCs w:val="32"/>
                <w:highlight w:val="none"/>
              </w:rPr>
              <w:t>得分率</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C2E2C9">
            <w:pPr>
              <w:pageBreakBefore w:val="0"/>
              <w:widowControl/>
              <w:kinsoku/>
              <w:wordWrap/>
              <w:overflowPunct/>
              <w:topLinePunct w:val="0"/>
              <w:autoSpaceDE/>
              <w:autoSpaceDN/>
              <w:bidi w:val="0"/>
              <w:adjustRightInd/>
              <w:snapToGrid/>
              <w:spacing w:line="560" w:lineRule="exact"/>
              <w:jc w:val="center"/>
              <w:textAlignment w:val="center"/>
              <w:rPr>
                <w:rStyle w:val="37"/>
                <w:rFonts w:hint="eastAsia" w:ascii="仿宋_GB2312" w:hAnsi="仿宋_GB2312" w:eastAsia="仿宋_GB2312" w:cs="仿宋_GB2312"/>
                <w:b/>
                <w:bCs/>
                <w:color w:val="auto"/>
                <w:sz w:val="32"/>
                <w:szCs w:val="32"/>
                <w:highlight w:val="none"/>
              </w:rPr>
            </w:pPr>
            <w:r>
              <w:rPr>
                <w:rStyle w:val="37"/>
                <w:rFonts w:hint="eastAsia" w:ascii="仿宋_GB2312" w:hAnsi="仿宋_GB2312" w:eastAsia="仿宋_GB2312" w:cs="仿宋_GB2312"/>
                <w:b/>
                <w:bCs/>
                <w:color w:val="auto"/>
                <w:sz w:val="32"/>
                <w:szCs w:val="32"/>
                <w:highlight w:val="none"/>
              </w:rPr>
              <w:t>实际得分</w:t>
            </w:r>
          </w:p>
        </w:tc>
      </w:tr>
      <w:tr w14:paraId="2E97ED97">
        <w:tblPrEx>
          <w:tblCellMar>
            <w:top w:w="0" w:type="dxa"/>
            <w:left w:w="0" w:type="dxa"/>
            <w:bottom w:w="0" w:type="dxa"/>
            <w:right w:w="0" w:type="dxa"/>
          </w:tblCellMar>
        </w:tblPrEx>
        <w:trPr>
          <w:trHeight w:val="575" w:hRule="atLeast"/>
          <w:jc w:val="center"/>
        </w:trPr>
        <w:tc>
          <w:tcPr>
            <w:tcW w:w="23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3551D0D">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Style w:val="37"/>
                <w:rFonts w:hint="eastAsia" w:ascii="仿宋_GB2312" w:hAnsi="仿宋_GB2312" w:eastAsia="仿宋_GB2312" w:cs="仿宋_GB2312"/>
                <w:color w:val="auto"/>
                <w:sz w:val="32"/>
                <w:szCs w:val="32"/>
                <w:highlight w:val="none"/>
              </w:rPr>
              <w:t>社会效益指标</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95F543">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15</w:t>
            </w:r>
          </w:p>
        </w:tc>
        <w:tc>
          <w:tcPr>
            <w:tcW w:w="198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5F6A3AD">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97.2</w:t>
            </w:r>
            <w:r>
              <w:rPr>
                <w:rFonts w:hint="eastAsia" w:ascii="仿宋_GB2312" w:hAnsi="仿宋_GB2312" w:eastAsia="仿宋_GB2312" w:cs="仿宋_GB2312"/>
                <w:color w:val="auto"/>
                <w:kern w:val="0"/>
                <w:sz w:val="32"/>
                <w:szCs w:val="32"/>
                <w:highlight w:val="none"/>
              </w:rPr>
              <w:t>%</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0C603">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14.58</w:t>
            </w:r>
          </w:p>
        </w:tc>
      </w:tr>
      <w:tr w14:paraId="07234868">
        <w:tblPrEx>
          <w:tblCellMar>
            <w:top w:w="0" w:type="dxa"/>
            <w:left w:w="0" w:type="dxa"/>
            <w:bottom w:w="0" w:type="dxa"/>
            <w:right w:w="0" w:type="dxa"/>
          </w:tblCellMar>
        </w:tblPrEx>
        <w:trPr>
          <w:trHeight w:val="575" w:hRule="atLeast"/>
          <w:jc w:val="center"/>
        </w:trPr>
        <w:tc>
          <w:tcPr>
            <w:tcW w:w="23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9C0F40D">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Style w:val="37"/>
                <w:rFonts w:hint="eastAsia" w:ascii="仿宋_GB2312" w:hAnsi="仿宋_GB2312" w:eastAsia="仿宋_GB2312" w:cs="仿宋_GB2312"/>
                <w:color w:val="auto"/>
                <w:sz w:val="32"/>
                <w:szCs w:val="32"/>
                <w:highlight w:val="none"/>
              </w:rPr>
              <w:t>可持续影响指标</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5E1582">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15</w:t>
            </w:r>
          </w:p>
        </w:tc>
        <w:tc>
          <w:tcPr>
            <w:tcW w:w="198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DB621AA">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60</w:t>
            </w:r>
            <w:r>
              <w:rPr>
                <w:rFonts w:hint="eastAsia" w:ascii="仿宋_GB2312" w:hAnsi="仿宋_GB2312" w:eastAsia="仿宋_GB2312" w:cs="仿宋_GB2312"/>
                <w:color w:val="auto"/>
                <w:kern w:val="0"/>
                <w:sz w:val="32"/>
                <w:szCs w:val="32"/>
                <w:highlight w:val="none"/>
              </w:rPr>
              <w:t>%</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7185B">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w:t>
            </w:r>
          </w:p>
        </w:tc>
      </w:tr>
      <w:tr w14:paraId="6AAADD68">
        <w:tblPrEx>
          <w:tblCellMar>
            <w:top w:w="0" w:type="dxa"/>
            <w:left w:w="0" w:type="dxa"/>
            <w:bottom w:w="0" w:type="dxa"/>
            <w:right w:w="0" w:type="dxa"/>
          </w:tblCellMar>
        </w:tblPrEx>
        <w:trPr>
          <w:trHeight w:val="575" w:hRule="atLeast"/>
          <w:jc w:val="center"/>
        </w:trPr>
        <w:tc>
          <w:tcPr>
            <w:tcW w:w="23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E66AB8C">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Style w:val="37"/>
                <w:rFonts w:hint="eastAsia" w:ascii="仿宋_GB2312" w:hAnsi="仿宋_GB2312" w:eastAsia="仿宋_GB2312" w:cs="仿宋_GB2312"/>
                <w:color w:val="auto"/>
                <w:sz w:val="32"/>
                <w:szCs w:val="32"/>
                <w:highlight w:val="none"/>
              </w:rPr>
              <w:t>满意度</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D6C2C6">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w:t>
            </w:r>
          </w:p>
        </w:tc>
        <w:tc>
          <w:tcPr>
            <w:tcW w:w="198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3BF0319">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8E8C4">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w:t>
            </w:r>
          </w:p>
        </w:tc>
      </w:tr>
      <w:tr w14:paraId="7888968D">
        <w:tblPrEx>
          <w:tblCellMar>
            <w:top w:w="0" w:type="dxa"/>
            <w:left w:w="0" w:type="dxa"/>
            <w:bottom w:w="0" w:type="dxa"/>
            <w:right w:w="0" w:type="dxa"/>
          </w:tblCellMar>
        </w:tblPrEx>
        <w:trPr>
          <w:trHeight w:val="585" w:hRule="atLeast"/>
          <w:jc w:val="center"/>
        </w:trPr>
        <w:tc>
          <w:tcPr>
            <w:tcW w:w="23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14:paraId="61E9ED1F">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31970191">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40</w:t>
            </w:r>
          </w:p>
        </w:tc>
        <w:tc>
          <w:tcPr>
            <w:tcW w:w="198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E7C2CAC">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83.95%</w:t>
            </w:r>
          </w:p>
        </w:tc>
        <w:tc>
          <w:tcPr>
            <w:tcW w:w="19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6EE57406">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33.58</w:t>
            </w:r>
          </w:p>
        </w:tc>
      </w:tr>
    </w:tbl>
    <w:p w14:paraId="70622CC8">
      <w:pPr>
        <w:pStyle w:val="18"/>
        <w:pageBreakBefore w:val="0"/>
        <w:widowControl/>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社会效益指标：</w:t>
      </w:r>
    </w:p>
    <w:p w14:paraId="7D8CAE11">
      <w:pPr>
        <w:pStyle w:val="18"/>
        <w:pageBreakBefore w:val="0"/>
        <w:widowControl/>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eastAsia="zh-CN"/>
        </w:rPr>
        <w:t>指标</w:t>
      </w: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sz w:val="32"/>
          <w:szCs w:val="32"/>
          <w:highlight w:val="none"/>
        </w:rPr>
        <w:t>杂志发行覆盖面，预期指标值大于等90%，指标完成值85%，指标完成率94.4%；</w:t>
      </w:r>
    </w:p>
    <w:p w14:paraId="23504398">
      <w:pPr>
        <w:pStyle w:val="18"/>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eastAsia="zh-CN"/>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rPr>
        <w:t>激发文学爱好者，预期指标值大于等80%，指标完成值80%，指标完成率100%；</w:t>
      </w:r>
    </w:p>
    <w:p w14:paraId="193DFA85">
      <w:pPr>
        <w:pStyle w:val="18"/>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bCs/>
          <w:sz w:val="32"/>
          <w:szCs w:val="32"/>
          <w:highlight w:val="none"/>
        </w:rPr>
        <w:t>可持续影响指标：</w:t>
      </w:r>
      <w:r>
        <w:rPr>
          <w:rFonts w:hint="eastAsia" w:ascii="仿宋_GB2312" w:hAnsi="仿宋_GB2312" w:eastAsia="仿宋_GB2312" w:cs="仿宋_GB2312"/>
          <w:b w:val="0"/>
          <w:bCs w:val="0"/>
          <w:sz w:val="32"/>
          <w:szCs w:val="32"/>
          <w:highlight w:val="none"/>
        </w:rPr>
        <w:t>提升塔城知名度，预期指标值有所提升，指标完成值略微提升；由于</w:t>
      </w:r>
      <w:r>
        <w:rPr>
          <w:rFonts w:hint="eastAsia" w:ascii="仿宋_GB2312" w:hAnsi="仿宋_GB2312" w:eastAsia="仿宋_GB2312" w:cs="仿宋_GB2312"/>
          <w:b w:val="0"/>
          <w:bCs w:val="0"/>
          <w:sz w:val="32"/>
          <w:szCs w:val="32"/>
          <w:highlight w:val="none"/>
          <w:lang w:val="en-US" w:eastAsia="zh-CN"/>
        </w:rPr>
        <w:t>防控工作</w:t>
      </w:r>
      <w:r>
        <w:rPr>
          <w:rFonts w:hint="eastAsia" w:ascii="仿宋_GB2312" w:hAnsi="仿宋_GB2312" w:eastAsia="仿宋_GB2312" w:cs="仿宋_GB2312"/>
          <w:b w:val="0"/>
          <w:bCs w:val="0"/>
          <w:sz w:val="32"/>
          <w:szCs w:val="32"/>
          <w:highlight w:val="none"/>
        </w:rPr>
        <w:t>影响了宣传力度</w:t>
      </w:r>
      <w:r>
        <w:rPr>
          <w:rStyle w:val="37"/>
          <w:rFonts w:hint="eastAsia" w:ascii="仿宋_GB2312" w:hAnsi="仿宋_GB2312" w:eastAsia="仿宋_GB2312" w:cs="仿宋_GB2312"/>
          <w:b w:val="0"/>
          <w:bCs w:val="0"/>
          <w:color w:val="auto"/>
          <w:highlight w:val="none"/>
        </w:rPr>
        <w:t>。</w:t>
      </w:r>
      <w:r>
        <w:rPr>
          <w:rFonts w:hint="eastAsia" w:ascii="仿宋_GB2312" w:hAnsi="仿宋_GB2312" w:eastAsia="仿宋_GB2312" w:cs="仿宋_GB2312"/>
          <w:b w:val="0"/>
          <w:bCs w:val="0"/>
          <w:sz w:val="32"/>
          <w:szCs w:val="32"/>
          <w:highlight w:val="none"/>
        </w:rPr>
        <w:t>指标完成率</w:t>
      </w:r>
      <w:r>
        <w:rPr>
          <w:rFonts w:hint="eastAsia" w:ascii="仿宋_GB2312" w:hAnsi="仿宋_GB2312" w:eastAsia="仿宋_GB2312" w:cs="仿宋_GB2312"/>
          <w:b w:val="0"/>
          <w:bCs w:val="0"/>
          <w:sz w:val="32"/>
          <w:szCs w:val="32"/>
          <w:highlight w:val="none"/>
          <w:lang w:val="en-US" w:eastAsia="zh-CN"/>
        </w:rPr>
        <w:t>60</w:t>
      </w:r>
      <w:r>
        <w:rPr>
          <w:rFonts w:hint="eastAsia" w:ascii="仿宋_GB2312" w:hAnsi="仿宋_GB2312" w:eastAsia="仿宋_GB2312" w:cs="仿宋_GB2312"/>
          <w:b w:val="0"/>
          <w:bCs w:val="0"/>
          <w:sz w:val="32"/>
          <w:szCs w:val="32"/>
          <w:highlight w:val="none"/>
        </w:rPr>
        <w:t>%；</w:t>
      </w:r>
    </w:p>
    <w:p w14:paraId="4CBC897C">
      <w:pPr>
        <w:pStyle w:val="18"/>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bCs/>
          <w:sz w:val="32"/>
          <w:szCs w:val="32"/>
          <w:highlight w:val="none"/>
        </w:rPr>
        <w:t>服务对象满意度指标：</w:t>
      </w:r>
      <w:r>
        <w:rPr>
          <w:rFonts w:hint="eastAsia" w:ascii="仿宋_GB2312" w:hAnsi="仿宋_GB2312" w:eastAsia="仿宋_GB2312" w:cs="仿宋_GB2312"/>
          <w:b w:val="0"/>
          <w:bCs w:val="0"/>
          <w:sz w:val="32"/>
          <w:szCs w:val="32"/>
          <w:highlight w:val="none"/>
        </w:rPr>
        <w:t>群众对文联工作的满意度，预期指标值大于等90%，指标完成值90%，指标完成率100%；</w:t>
      </w:r>
    </w:p>
    <w:p w14:paraId="653BC588">
      <w:pPr>
        <w:pageBreakBefore w:val="0"/>
        <w:kinsoku/>
        <w:wordWrap/>
        <w:overflowPunct/>
        <w:topLinePunct w:val="0"/>
        <w:autoSpaceDE/>
        <w:autoSpaceDN/>
        <w:bidi w:val="0"/>
        <w:adjustRightInd/>
        <w:snapToGrid/>
        <w:spacing w:line="560" w:lineRule="exact"/>
        <w:ind w:firstLine="640" w:firstLineChars="200"/>
        <w:textAlignment w:val="auto"/>
        <w:rPr>
          <w:rStyle w:val="37"/>
          <w:color w:val="auto"/>
          <w:highlight w:val="none"/>
        </w:rPr>
      </w:pPr>
      <w:r>
        <w:rPr>
          <w:rFonts w:hint="eastAsia" w:ascii="黑体" w:eastAsia="黑体"/>
          <w:sz w:val="32"/>
          <w:szCs w:val="32"/>
          <w:highlight w:val="none"/>
        </w:rPr>
        <w:t>五、主要经验及做法、存在的问题及原因分析</w:t>
      </w:r>
    </w:p>
    <w:p w14:paraId="276D1140">
      <w:pPr>
        <w:pageBreakBefore w:val="0"/>
        <w:kinsoku/>
        <w:wordWrap/>
        <w:overflowPunct/>
        <w:topLinePunct w:val="0"/>
        <w:autoSpaceDE/>
        <w:autoSpaceDN/>
        <w:bidi w:val="0"/>
        <w:adjustRightInd/>
        <w:snapToGrid/>
        <w:spacing w:line="560" w:lineRule="exact"/>
        <w:ind w:firstLine="567" w:firstLineChars="181"/>
        <w:textAlignment w:val="auto"/>
        <w:rPr>
          <w:rFonts w:ascii="楷体" w:eastAsia="楷体"/>
          <w:b/>
          <w:spacing w:val="-4"/>
          <w:sz w:val="32"/>
          <w:szCs w:val="32"/>
          <w:highlight w:val="none"/>
        </w:rPr>
      </w:pPr>
      <w:r>
        <w:rPr>
          <w:rFonts w:hint="eastAsia" w:ascii="楷体" w:eastAsia="楷体"/>
          <w:b/>
          <w:spacing w:val="-4"/>
          <w:sz w:val="32"/>
          <w:szCs w:val="32"/>
          <w:highlight w:val="none"/>
        </w:rPr>
        <w:t>（一）主要经验及做法</w:t>
      </w:r>
    </w:p>
    <w:p w14:paraId="1ACCE1A3">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7EFD5D8">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b w:val="0"/>
          <w:bCs w:val="0"/>
          <w:kern w:val="2"/>
          <w:highlight w:val="none"/>
        </w:rPr>
      </w:pPr>
      <w:r>
        <w:rPr>
          <w:rFonts w:hint="eastAsia" w:ascii="仿宋_GB2312" w:eastAsia="仿宋_GB2312" w:cs="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7C7F1F1">
      <w:pPr>
        <w:keepNext/>
        <w:keepLines/>
        <w:pageBreakBefore w:val="0"/>
        <w:numPr>
          <w:ilvl w:val="0"/>
          <w:numId w:val="3"/>
        </w:numPr>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highlight w:val="none"/>
        </w:rPr>
      </w:pPr>
      <w:r>
        <w:rPr>
          <w:rFonts w:hint="eastAsia" w:ascii="楷体_GB2312" w:eastAsia="楷体_GB2312" w:cs="楷体_GB2312"/>
          <w:b/>
          <w:bCs/>
          <w:sz w:val="32"/>
          <w:szCs w:val="32"/>
          <w:highlight w:val="none"/>
        </w:rPr>
        <w:t>存在的问题及原因分析</w:t>
      </w:r>
    </w:p>
    <w:p w14:paraId="286F58BD">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仿宋_GB2312" w:eastAsia="仿宋_GB2312" w:cs="仿宋_GB2312"/>
          <w:kern w:val="2"/>
          <w:highlight w:val="none"/>
        </w:rPr>
      </w:pPr>
      <w:r>
        <w:rPr>
          <w:rFonts w:ascii="仿宋_GB2312" w:eastAsia="仿宋_GB2312" w:cs="仿宋_GB2312"/>
          <w:kern w:val="2"/>
          <w:highlight w:val="none"/>
        </w:rPr>
        <w:t>1.</w:t>
      </w:r>
      <w:r>
        <w:rPr>
          <w:rFonts w:hint="eastAsia" w:ascii="仿宋_GB2312" w:eastAsia="仿宋_GB2312" w:cs="仿宋_GB2312"/>
          <w:kern w:val="2"/>
          <w:highlight w:val="none"/>
        </w:rPr>
        <w:t>存在的问题</w:t>
      </w:r>
    </w:p>
    <w:p w14:paraId="05C46603">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项目绩效管理缺乏经验，有待强化。在项目具体执行过程往往只重视预算执行情况，忽视产出和效果，项目实施过程中需提供行之有效的绩效管理办法和评价机制。</w:t>
      </w:r>
    </w:p>
    <w:p w14:paraId="436F0EB6">
      <w:pPr>
        <w:pageBreakBefore w:val="0"/>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b/>
          <w:bCs/>
          <w:sz w:val="32"/>
          <w:szCs w:val="32"/>
          <w:highlight w:val="none"/>
        </w:rPr>
      </w:pPr>
      <w:r>
        <w:rPr>
          <w:rFonts w:hint="eastAsia" w:ascii="仿宋_GB2312" w:eastAsia="仿宋_GB2312" w:cs="仿宋_GB2312"/>
          <w:b/>
          <w:bCs/>
          <w:sz w:val="32"/>
          <w:szCs w:val="32"/>
          <w:highlight w:val="none"/>
        </w:rPr>
        <w:t>2</w:t>
      </w:r>
      <w:r>
        <w:rPr>
          <w:rFonts w:ascii="仿宋_GB2312" w:eastAsia="仿宋_GB2312" w:cs="仿宋_GB2312"/>
          <w:b/>
          <w:bCs/>
          <w:sz w:val="32"/>
          <w:szCs w:val="32"/>
          <w:highlight w:val="none"/>
        </w:rPr>
        <w:t>.</w:t>
      </w:r>
      <w:r>
        <w:rPr>
          <w:rFonts w:hint="eastAsia" w:ascii="仿宋_GB2312" w:eastAsia="仿宋_GB2312" w:cs="仿宋_GB2312"/>
          <w:b/>
          <w:bCs/>
          <w:sz w:val="32"/>
          <w:szCs w:val="32"/>
          <w:highlight w:val="none"/>
        </w:rPr>
        <w:t>原因分析</w:t>
      </w:r>
    </w:p>
    <w:p w14:paraId="623157F0">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ascii="仿宋_GB2312" w:eastAsia="仿宋_GB2312" w:cs="仿宋_GB2312"/>
          <w:sz w:val="32"/>
          <w:szCs w:val="32"/>
          <w:highlight w:val="none"/>
        </w:rPr>
        <w:t>单位存在分工不明确，具体项目执行部门不够重视项目绩效工作，相关财务制度不完善。</w:t>
      </w:r>
    </w:p>
    <w:p w14:paraId="603DE1E5">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eastAsia="黑体"/>
          <w:sz w:val="32"/>
          <w:szCs w:val="32"/>
          <w:highlight w:val="none"/>
        </w:rPr>
      </w:pPr>
      <w:r>
        <w:rPr>
          <w:rFonts w:hint="eastAsia" w:ascii="黑体" w:eastAsia="黑体"/>
          <w:sz w:val="32"/>
          <w:szCs w:val="32"/>
          <w:highlight w:val="none"/>
        </w:rPr>
        <w:t>有关建议</w:t>
      </w:r>
    </w:p>
    <w:p w14:paraId="58B6ADEA">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5EBBF84C">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14:paraId="461F2351">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eastAsia="黑体"/>
          <w:sz w:val="32"/>
          <w:szCs w:val="32"/>
          <w:highlight w:val="none"/>
        </w:rPr>
      </w:pPr>
      <w:r>
        <w:rPr>
          <w:rFonts w:hint="eastAsia" w:ascii="黑体" w:eastAsia="黑体"/>
          <w:sz w:val="32"/>
          <w:szCs w:val="32"/>
          <w:highlight w:val="none"/>
        </w:rPr>
        <w:t>其他需要说</w:t>
      </w:r>
      <w:bookmarkStart w:id="1" w:name="page8"/>
      <w:bookmarkEnd w:id="1"/>
      <w:r>
        <w:rPr>
          <w:rFonts w:hint="eastAsia" w:ascii="黑体" w:eastAsia="黑体"/>
          <w:sz w:val="32"/>
          <w:szCs w:val="32"/>
          <w:highlight w:val="none"/>
        </w:rPr>
        <w:t>明的问题</w:t>
      </w:r>
    </w:p>
    <w:p w14:paraId="54EB4CC8">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highlight w:val="none"/>
        </w:rPr>
      </w:pPr>
      <w:r>
        <w:rPr>
          <w:rFonts w:hint="eastAsia" w:ascii="仿宋_GB2312" w:eastAsia="仿宋_GB2312" w:cs="仿宋_GB2312"/>
          <w:sz w:val="32"/>
          <w:szCs w:val="32"/>
          <w:highlight w:val="none"/>
        </w:rPr>
        <w:t>无</w:t>
      </w:r>
    </w:p>
    <w:p w14:paraId="60533578">
      <w:pPr>
        <w:pStyle w:val="2"/>
        <w:pageBreakBefore w:val="0"/>
        <w:kinsoku/>
        <w:wordWrap/>
        <w:overflowPunct/>
        <w:topLinePunct w:val="0"/>
        <w:autoSpaceDE/>
        <w:autoSpaceDN/>
        <w:bidi w:val="0"/>
        <w:adjustRightInd/>
        <w:snapToGrid/>
        <w:spacing w:before="0" w:after="0" w:line="560" w:lineRule="exact"/>
        <w:textAlignment w:val="auto"/>
        <w:rPr>
          <w:rFonts w:ascii="黑体" w:eastAsia="黑体"/>
          <w:highlight w:val="none"/>
        </w:rPr>
      </w:pPr>
    </w:p>
    <w:p w14:paraId="28D1BF3A">
      <w:pPr>
        <w:pageBreakBefore w:val="0"/>
        <w:kinsoku/>
        <w:wordWrap/>
        <w:overflowPunct/>
        <w:topLinePunct w:val="0"/>
        <w:autoSpaceDE/>
        <w:autoSpaceDN/>
        <w:bidi w:val="0"/>
        <w:adjustRightInd/>
        <w:snapToGrid/>
        <w:spacing w:line="560" w:lineRule="exact"/>
        <w:textAlignment w:val="auto"/>
        <w:rPr>
          <w:highlight w:val="none"/>
        </w:rPr>
      </w:pPr>
    </w:p>
    <w:p w14:paraId="1E645395">
      <w:pPr>
        <w:pageBreakBefore w:val="0"/>
        <w:kinsoku/>
        <w:wordWrap/>
        <w:overflowPunct/>
        <w:topLinePunct w:val="0"/>
        <w:autoSpaceDE/>
        <w:autoSpaceDN/>
        <w:bidi w:val="0"/>
        <w:adjustRightInd/>
        <w:snapToGrid/>
        <w:spacing w:line="560" w:lineRule="exact"/>
        <w:textAlignment w:val="auto"/>
        <w:rPr>
          <w:rFonts w:ascii="黑体" w:eastAsia="黑体"/>
          <w:sz w:val="32"/>
          <w:szCs w:val="32"/>
          <w:highlight w:val="none"/>
        </w:rPr>
      </w:pPr>
    </w:p>
    <w:p w14:paraId="41C6316C">
      <w:pPr>
        <w:pStyle w:val="2"/>
        <w:pageBreakBefore w:val="0"/>
        <w:kinsoku/>
        <w:wordWrap/>
        <w:overflowPunct/>
        <w:topLinePunct w:val="0"/>
        <w:autoSpaceDE/>
        <w:autoSpaceDN/>
        <w:bidi w:val="0"/>
        <w:adjustRightInd/>
        <w:snapToGrid/>
        <w:spacing w:before="0" w:after="0" w:line="560" w:lineRule="exact"/>
        <w:textAlignment w:val="auto"/>
        <w:rPr>
          <w:rFonts w:ascii="黑体" w:eastAsia="黑体"/>
          <w:highlight w:val="none"/>
        </w:rPr>
      </w:pPr>
    </w:p>
    <w:p w14:paraId="4B9D3459">
      <w:pPr>
        <w:pageBreakBefore w:val="0"/>
        <w:kinsoku/>
        <w:wordWrap/>
        <w:overflowPunct/>
        <w:topLinePunct w:val="0"/>
        <w:autoSpaceDE/>
        <w:autoSpaceDN/>
        <w:bidi w:val="0"/>
        <w:adjustRightInd/>
        <w:snapToGrid/>
        <w:spacing w:line="560" w:lineRule="exact"/>
        <w:textAlignment w:val="auto"/>
        <w:rPr>
          <w:highlight w:val="none"/>
        </w:rPr>
      </w:pPr>
    </w:p>
    <w:p w14:paraId="39010D4A">
      <w:pPr>
        <w:pStyle w:val="2"/>
        <w:rPr>
          <w:highlight w:val="none"/>
        </w:rPr>
      </w:pPr>
    </w:p>
    <w:p w14:paraId="12D6595B">
      <w:pPr>
        <w:rPr>
          <w:highlight w:val="none"/>
        </w:rPr>
      </w:pPr>
    </w:p>
    <w:p w14:paraId="449FC873">
      <w:pPr>
        <w:pStyle w:val="2"/>
        <w:rPr>
          <w:highlight w:val="none"/>
        </w:rPr>
      </w:pPr>
    </w:p>
    <w:p w14:paraId="00803824">
      <w:pPr>
        <w:rPr>
          <w:highlight w:val="none"/>
        </w:rPr>
      </w:pPr>
    </w:p>
    <w:p w14:paraId="21461705">
      <w:pPr>
        <w:pStyle w:val="2"/>
        <w:rPr>
          <w:highlight w:val="none"/>
        </w:rPr>
      </w:pPr>
    </w:p>
    <w:p w14:paraId="72AC5429">
      <w:pPr>
        <w:rPr>
          <w:highlight w:val="none"/>
        </w:rPr>
      </w:pPr>
    </w:p>
    <w:p w14:paraId="1EBB665B">
      <w:pPr>
        <w:pStyle w:val="2"/>
        <w:pageBreakBefore w:val="0"/>
        <w:kinsoku/>
        <w:wordWrap/>
        <w:overflowPunct/>
        <w:topLinePunct w:val="0"/>
        <w:autoSpaceDE/>
        <w:autoSpaceDN/>
        <w:bidi w:val="0"/>
        <w:adjustRightInd/>
        <w:snapToGrid/>
        <w:spacing w:before="0" w:after="0" w:line="560" w:lineRule="exact"/>
        <w:jc w:val="both"/>
        <w:textAlignment w:val="auto"/>
        <w:rPr>
          <w:highlight w:val="none"/>
        </w:rPr>
      </w:pPr>
    </w:p>
    <w:p w14:paraId="5BAB0618">
      <w:pPr>
        <w:rPr>
          <w:highlight w:val="none"/>
        </w:rPr>
      </w:pPr>
    </w:p>
    <w:p w14:paraId="3BB9F39D">
      <w:pPr>
        <w:pStyle w:val="2"/>
        <w:rPr>
          <w:highlight w:val="none"/>
        </w:rPr>
      </w:pPr>
    </w:p>
    <w:p w14:paraId="6EF50469">
      <w:pPr>
        <w:rPr>
          <w:highlight w:val="none"/>
        </w:rPr>
      </w:pPr>
    </w:p>
    <w:p w14:paraId="259245CE">
      <w:pPr>
        <w:pStyle w:val="2"/>
        <w:rPr>
          <w:highlight w:val="none"/>
        </w:rPr>
      </w:pPr>
    </w:p>
    <w:tbl>
      <w:tblPr>
        <w:tblStyle w:val="21"/>
        <w:tblW w:w="9765"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680"/>
        <w:gridCol w:w="2205"/>
      </w:tblGrid>
      <w:tr w14:paraId="6C4FCCA6">
        <w:tblPrEx>
          <w:tblCellMar>
            <w:top w:w="0" w:type="dxa"/>
            <w:left w:w="0" w:type="dxa"/>
            <w:bottom w:w="0" w:type="dxa"/>
            <w:right w:w="0" w:type="dxa"/>
          </w:tblCellMar>
        </w:tblPrEx>
        <w:trPr>
          <w:trHeight w:val="409" w:hRule="atLeast"/>
        </w:trPr>
        <w:tc>
          <w:tcPr>
            <w:tcW w:w="9765" w:type="dxa"/>
            <w:gridSpan w:val="9"/>
            <w:tcBorders>
              <w:top w:val="nil"/>
              <w:left w:val="nil"/>
              <w:bottom w:val="nil"/>
              <w:right w:val="nil"/>
            </w:tcBorders>
            <w:shd w:val="clear" w:color="auto" w:fill="auto"/>
            <w:tcMar>
              <w:top w:w="15" w:type="dxa"/>
              <w:left w:w="15" w:type="dxa"/>
              <w:right w:w="15" w:type="dxa"/>
            </w:tcMar>
            <w:vAlign w:val="center"/>
          </w:tcPr>
          <w:p w14:paraId="61F756C5">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方正小标宋_GBK" w:hAnsi="方正小标宋_GBK" w:eastAsia="方正小标宋_GBK" w:cs="方正小标宋_GBK"/>
                <w:b w:val="0"/>
                <w:bCs/>
                <w:i w:val="0"/>
                <w:color w:val="000000"/>
                <w:kern w:val="0"/>
                <w:sz w:val="44"/>
                <w:szCs w:val="44"/>
                <w:highlight w:val="none"/>
                <w:u w:val="none"/>
                <w:lang w:val="en-US" w:eastAsia="zh-CN" w:bidi="ar"/>
              </w:rPr>
              <w:t>项目支出绩效自评表</w:t>
            </w:r>
          </w:p>
        </w:tc>
      </w:tr>
      <w:tr w14:paraId="34516547">
        <w:tblPrEx>
          <w:tblCellMar>
            <w:top w:w="0" w:type="dxa"/>
            <w:left w:w="0" w:type="dxa"/>
            <w:bottom w:w="0" w:type="dxa"/>
            <w:right w:w="0" w:type="dxa"/>
          </w:tblCellMar>
        </w:tblPrEx>
        <w:trPr>
          <w:trHeight w:val="409" w:hRule="atLeast"/>
        </w:trPr>
        <w:tc>
          <w:tcPr>
            <w:tcW w:w="9765" w:type="dxa"/>
            <w:gridSpan w:val="9"/>
            <w:tcBorders>
              <w:top w:val="nil"/>
              <w:left w:val="nil"/>
              <w:bottom w:val="nil"/>
              <w:right w:val="nil"/>
            </w:tcBorders>
            <w:shd w:val="clear" w:color="auto" w:fill="auto"/>
            <w:tcMar>
              <w:top w:w="15" w:type="dxa"/>
              <w:left w:w="15" w:type="dxa"/>
              <w:right w:w="15" w:type="dxa"/>
            </w:tcMar>
            <w:vAlign w:val="center"/>
          </w:tcPr>
          <w:p w14:paraId="52A3EE32">
            <w:pPr>
              <w:keepNext w:val="0"/>
              <w:keepLines w:val="0"/>
              <w:widowControl/>
              <w:suppressLineNumbers w:val="0"/>
              <w:jc w:val="center"/>
              <w:textAlignment w:val="center"/>
              <w:rPr>
                <w:rFonts w:hint="eastAsia" w:ascii="宋体" w:hAnsi="宋体" w:eastAsia="宋体" w:cs="宋体"/>
                <w:i w:val="0"/>
                <w:color w:val="000000"/>
                <w:sz w:val="32"/>
                <w:szCs w:val="32"/>
                <w:highlight w:val="none"/>
                <w:u w:val="none"/>
              </w:rPr>
            </w:pPr>
            <w:r>
              <w:rPr>
                <w:rFonts w:hint="eastAsia" w:ascii="宋体" w:hAnsi="宋体" w:eastAsia="宋体" w:cs="宋体"/>
                <w:i w:val="0"/>
                <w:color w:val="000000"/>
                <w:kern w:val="0"/>
                <w:sz w:val="32"/>
                <w:szCs w:val="32"/>
                <w:highlight w:val="none"/>
                <w:u w:val="none"/>
                <w:lang w:val="en-US" w:eastAsia="zh-CN" w:bidi="ar"/>
              </w:rPr>
              <w:t>（  2020 年度）</w:t>
            </w:r>
          </w:p>
        </w:tc>
      </w:tr>
      <w:tr w14:paraId="4CF6A873">
        <w:tblPrEx>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62CE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808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AF7A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印刷费</w:t>
            </w:r>
          </w:p>
        </w:tc>
      </w:tr>
      <w:tr w14:paraId="73F192AC">
        <w:tblPrEx>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A7D8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44D84">
            <w:pPr>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F044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77EA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塔城地区文学艺术界联合会</w:t>
            </w:r>
          </w:p>
        </w:tc>
      </w:tr>
      <w:tr w14:paraId="2E59F772">
        <w:tblPrEx>
          <w:shd w:val="clear" w:color="auto" w:fill="auto"/>
          <w:tblCellMar>
            <w:top w:w="0" w:type="dxa"/>
            <w:left w:w="0" w:type="dxa"/>
            <w:bottom w:w="0" w:type="dxa"/>
            <w:right w:w="0" w:type="dxa"/>
          </w:tblCellMar>
        </w:tblPrEx>
        <w:trPr>
          <w:trHeight w:val="5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936C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0827494">
            <w:pPr>
              <w:rPr>
                <w:rFonts w:hint="eastAsia" w:ascii="Arial" w:hAnsi="Arial" w:cs="Arial"/>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8502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73F2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FFAF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全年执行数</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C457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执行率</w:t>
            </w:r>
          </w:p>
        </w:tc>
      </w:tr>
      <w:tr w14:paraId="407C9ABB">
        <w:tblPrEx>
          <w:shd w:val="clear" w:color="auto" w:fill="auto"/>
          <w:tblCellMar>
            <w:top w:w="0" w:type="dxa"/>
            <w:left w:w="0" w:type="dxa"/>
            <w:bottom w:w="0" w:type="dxa"/>
            <w:right w:w="0" w:type="dxa"/>
          </w:tblCellMar>
        </w:tblPrEx>
        <w:trPr>
          <w:trHeight w:val="270"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3804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6CD0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3467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829B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DC2F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39.98</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7A16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99.95%</w:t>
            </w:r>
          </w:p>
        </w:tc>
      </w:tr>
      <w:tr w14:paraId="6063C088">
        <w:tblPrEx>
          <w:tblCellMar>
            <w:top w:w="0" w:type="dxa"/>
            <w:left w:w="0" w:type="dxa"/>
            <w:bottom w:w="0" w:type="dxa"/>
            <w:right w:w="0" w:type="dxa"/>
          </w:tblCellMar>
        </w:tblPrEx>
        <w:trPr>
          <w:trHeight w:val="392"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C474C">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F139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A821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7B2A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40.00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7600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39.98</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6D98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14:paraId="2C3CBEDE">
        <w:tblPrEx>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60DFD">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0FB5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80F16">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7BF0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CF5D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87B8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14:paraId="60A72862">
        <w:tblPrEx>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5E2D3">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65B4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6E54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22EB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2EE3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CCA8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14:paraId="1E638070">
        <w:tblPrEx>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7FD8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0D75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预期目标</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7185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实际完成情况</w:t>
            </w:r>
          </w:p>
        </w:tc>
      </w:tr>
      <w:tr w14:paraId="13F3E633">
        <w:tblPrEx>
          <w:shd w:val="clear" w:color="auto" w:fill="auto"/>
          <w:tblCellMar>
            <w:top w:w="0" w:type="dxa"/>
            <w:left w:w="0" w:type="dxa"/>
            <w:bottom w:w="0" w:type="dxa"/>
            <w:right w:w="0" w:type="dxa"/>
          </w:tblCellMar>
        </w:tblPrEx>
        <w:trPr>
          <w:trHeight w:val="16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7D519">
            <w:pPr>
              <w:jc w:val="center"/>
              <w:rPr>
                <w:rFonts w:hint="eastAsia" w:ascii="宋体" w:hAnsi="宋体" w:eastAsia="宋体" w:cs="宋体"/>
                <w:i w:val="0"/>
                <w:color w:val="000000"/>
                <w:sz w:val="18"/>
                <w:szCs w:val="18"/>
                <w:highlight w:val="none"/>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0D3A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每年发行《塔城文艺界》四期，每期印刷费39600元，小计158400元，稿费每期10500元，小计42000元；另发行历史文化从书、其他刊物及支付稿费199600元。按照文件要求，将印刷费用作为《塔城文艺界》及历史文化从书的出版、发行资金。</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6D0E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每年发行《塔城文艺界》四期，每期印刷费39600元，小计158400元，稿费每期10500元，小计42000元；另发行历史文化从书、其他刊物及支付稿费199600元。按照文件要求，将印刷费用作为《塔城文艺界》及历史文化从书的出版、发行资金。</w:t>
            </w:r>
          </w:p>
        </w:tc>
      </w:tr>
      <w:tr w14:paraId="15979A86">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2D688">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3C8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AE1D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EF09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BC64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AB50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实际完成值</w:t>
            </w:r>
          </w:p>
        </w:tc>
        <w:tc>
          <w:tcPr>
            <w:tcW w:w="22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569BF">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偏差原因分析及改进措施</w:t>
            </w:r>
          </w:p>
        </w:tc>
      </w:tr>
      <w:tr w14:paraId="60522A02">
        <w:tblPrEx>
          <w:tblCellMar>
            <w:top w:w="0" w:type="dxa"/>
            <w:left w:w="0" w:type="dxa"/>
            <w:bottom w:w="0" w:type="dxa"/>
            <w:right w:w="0" w:type="dxa"/>
          </w:tblCellMar>
        </w:tblPrEx>
        <w:trPr>
          <w:trHeight w:val="31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0FC0F">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FDAEB">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14BE2">
            <w:pPr>
              <w:jc w:val="center"/>
              <w:rPr>
                <w:rFonts w:hint="eastAsia" w:ascii="宋体" w:hAnsi="宋体" w:eastAsia="宋体" w:cs="宋体"/>
                <w:i w:val="0"/>
                <w:color w:val="000000"/>
                <w:sz w:val="18"/>
                <w:szCs w:val="18"/>
                <w:highlight w:val="none"/>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D4BD5">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66256">
            <w:pPr>
              <w:jc w:val="center"/>
              <w:rPr>
                <w:rFonts w:hint="eastAsia" w:ascii="宋体" w:hAnsi="宋体" w:eastAsia="宋体" w:cs="宋体"/>
                <w:i w:val="0"/>
                <w:color w:val="000000"/>
                <w:sz w:val="18"/>
                <w:szCs w:val="18"/>
                <w:highlight w:val="none"/>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81F8D">
            <w:pPr>
              <w:jc w:val="center"/>
              <w:rPr>
                <w:rFonts w:hint="eastAsia" w:ascii="宋体" w:hAnsi="宋体" w:eastAsia="宋体" w:cs="宋体"/>
                <w:i w:val="0"/>
                <w:color w:val="000000"/>
                <w:sz w:val="18"/>
                <w:szCs w:val="18"/>
                <w:highlight w:val="none"/>
                <w:u w:val="none"/>
              </w:rPr>
            </w:pPr>
          </w:p>
        </w:tc>
        <w:tc>
          <w:tcPr>
            <w:tcW w:w="22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FEF95">
            <w:pPr>
              <w:jc w:val="center"/>
              <w:rPr>
                <w:rFonts w:hint="eastAsia" w:ascii="宋体" w:hAnsi="宋体" w:eastAsia="宋体" w:cs="宋体"/>
                <w:i w:val="0"/>
                <w:color w:val="000000"/>
                <w:sz w:val="18"/>
                <w:szCs w:val="18"/>
                <w:highlight w:val="none"/>
                <w:u w:val="none"/>
              </w:rPr>
            </w:pPr>
          </w:p>
        </w:tc>
      </w:tr>
      <w:tr w14:paraId="21F31CE4">
        <w:tblPrEx>
          <w:tblCellMar>
            <w:top w:w="0" w:type="dxa"/>
            <w:left w:w="0" w:type="dxa"/>
            <w:bottom w:w="0" w:type="dxa"/>
            <w:right w:w="0" w:type="dxa"/>
          </w:tblCellMar>
        </w:tblPrEx>
        <w:trPr>
          <w:trHeight w:val="438"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8892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A322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B000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A05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发行量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8C11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=1.6万册</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1489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1.6万册</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BDB23">
            <w:pPr>
              <w:jc w:val="center"/>
              <w:rPr>
                <w:rFonts w:hint="eastAsia" w:ascii="宋体" w:hAnsi="宋体" w:eastAsia="宋体" w:cs="宋体"/>
                <w:i w:val="0"/>
                <w:color w:val="000000"/>
                <w:sz w:val="18"/>
                <w:szCs w:val="18"/>
                <w:highlight w:val="none"/>
                <w:u w:val="none"/>
              </w:rPr>
            </w:pPr>
          </w:p>
        </w:tc>
      </w:tr>
      <w:tr w14:paraId="40D283A7">
        <w:tblPrEx>
          <w:shd w:val="clear" w:color="auto" w:fill="auto"/>
          <w:tblCellMar>
            <w:top w:w="0" w:type="dxa"/>
            <w:left w:w="0" w:type="dxa"/>
            <w:bottom w:w="0" w:type="dxa"/>
            <w:right w:w="0" w:type="dxa"/>
          </w:tblCellMar>
        </w:tblPrEx>
        <w:trPr>
          <w:trHeight w:val="36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BAB62">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8BAB2">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4AA3B">
            <w:pPr>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BA93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主题丛书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1B25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≥1套</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1219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1套</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8785E">
            <w:pPr>
              <w:jc w:val="center"/>
              <w:rPr>
                <w:rFonts w:hint="eastAsia" w:ascii="宋体" w:hAnsi="宋体" w:eastAsia="宋体" w:cs="宋体"/>
                <w:i w:val="0"/>
                <w:color w:val="000000"/>
                <w:sz w:val="18"/>
                <w:szCs w:val="18"/>
                <w:highlight w:val="none"/>
                <w:u w:val="none"/>
              </w:rPr>
            </w:pPr>
          </w:p>
        </w:tc>
      </w:tr>
      <w:tr w14:paraId="037D757D">
        <w:tblPrEx>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AAC6C">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80F50">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F107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341A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发行杂志审核通过率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6779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1382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F4969">
            <w:pPr>
              <w:jc w:val="center"/>
              <w:rPr>
                <w:rFonts w:hint="eastAsia" w:ascii="宋体" w:hAnsi="宋体" w:eastAsia="宋体" w:cs="宋体"/>
                <w:i w:val="0"/>
                <w:color w:val="000000"/>
                <w:sz w:val="18"/>
                <w:szCs w:val="18"/>
                <w:highlight w:val="none"/>
                <w:u w:val="none"/>
              </w:rPr>
            </w:pPr>
          </w:p>
        </w:tc>
      </w:tr>
      <w:tr w14:paraId="0BD4CBEC">
        <w:tblPrEx>
          <w:tblCellMar>
            <w:top w:w="0" w:type="dxa"/>
            <w:left w:w="0" w:type="dxa"/>
            <w:bottom w:w="0" w:type="dxa"/>
            <w:right w:w="0" w:type="dxa"/>
          </w:tblCellMar>
        </w:tblPrEx>
        <w:trPr>
          <w:trHeight w:val="4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26055">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3B43A">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B4D4F">
            <w:pPr>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B44A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历史文化丛书发行率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4332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8753">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F78DB">
            <w:pPr>
              <w:jc w:val="center"/>
              <w:rPr>
                <w:rFonts w:hint="eastAsia" w:ascii="宋体" w:hAnsi="宋体" w:eastAsia="宋体" w:cs="宋体"/>
                <w:i w:val="0"/>
                <w:color w:val="000000"/>
                <w:sz w:val="18"/>
                <w:szCs w:val="18"/>
                <w:highlight w:val="none"/>
                <w:u w:val="none"/>
              </w:rPr>
            </w:pPr>
          </w:p>
        </w:tc>
      </w:tr>
      <w:tr w14:paraId="3BC08AC8">
        <w:tblPrEx>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75564">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3C53D">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E332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A225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杂志按期发行率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974C2">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99CC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903B0">
            <w:pPr>
              <w:jc w:val="center"/>
              <w:rPr>
                <w:rFonts w:hint="eastAsia" w:ascii="宋体" w:hAnsi="宋体" w:eastAsia="宋体" w:cs="宋体"/>
                <w:i w:val="0"/>
                <w:color w:val="000000"/>
                <w:sz w:val="18"/>
                <w:szCs w:val="18"/>
                <w:highlight w:val="none"/>
                <w:u w:val="none"/>
              </w:rPr>
            </w:pPr>
          </w:p>
        </w:tc>
      </w:tr>
      <w:tr w14:paraId="50389807">
        <w:tblPrEx>
          <w:tblCellMar>
            <w:top w:w="0" w:type="dxa"/>
            <w:left w:w="0" w:type="dxa"/>
            <w:bottom w:w="0" w:type="dxa"/>
            <w:right w:w="0" w:type="dxa"/>
          </w:tblCellMar>
        </w:tblPrEx>
        <w:trPr>
          <w:trHeight w:val="52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499A4">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77728">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DB43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08BA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印刷成本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33FE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=40万元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8EF75">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39.98万元</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A123D">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按发合同发票支付存在差额</w:t>
            </w:r>
          </w:p>
        </w:tc>
      </w:tr>
      <w:tr w14:paraId="05BE9290">
        <w:tblPrEx>
          <w:tblCellMar>
            <w:top w:w="0" w:type="dxa"/>
            <w:left w:w="0" w:type="dxa"/>
            <w:bottom w:w="0" w:type="dxa"/>
            <w:right w:w="0" w:type="dxa"/>
          </w:tblCellMar>
        </w:tblPrEx>
        <w:trPr>
          <w:trHeight w:val="45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E7488">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E71D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79AE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E6700">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FCA01">
            <w:pPr>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98EB1">
            <w:pPr>
              <w:jc w:val="center"/>
              <w:rPr>
                <w:rFonts w:hint="eastAsia" w:ascii="宋体" w:hAnsi="宋体" w:eastAsia="宋体" w:cs="宋体"/>
                <w:i w:val="0"/>
                <w:color w:val="000000"/>
                <w:sz w:val="18"/>
                <w:szCs w:val="18"/>
                <w:highlight w:val="none"/>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337BB">
            <w:pPr>
              <w:jc w:val="center"/>
              <w:rPr>
                <w:rFonts w:hint="eastAsia" w:ascii="宋体" w:hAnsi="宋体" w:eastAsia="宋体" w:cs="宋体"/>
                <w:i w:val="0"/>
                <w:color w:val="000000"/>
                <w:sz w:val="18"/>
                <w:szCs w:val="18"/>
                <w:highlight w:val="none"/>
                <w:u w:val="none"/>
              </w:rPr>
            </w:pPr>
          </w:p>
        </w:tc>
      </w:tr>
      <w:tr w14:paraId="719FFD62">
        <w:tblPrEx>
          <w:tblCellMar>
            <w:top w:w="0" w:type="dxa"/>
            <w:left w:w="0" w:type="dxa"/>
            <w:bottom w:w="0" w:type="dxa"/>
            <w:right w:w="0" w:type="dxa"/>
          </w:tblCellMar>
        </w:tblPrEx>
        <w:trPr>
          <w:trHeight w:val="6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EC312">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0406A">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0585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33834">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杂志发行覆盖面</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5A8CA">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C3B9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85%</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136DE">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color w:val="000000"/>
                <w:kern w:val="0"/>
                <w:sz w:val="18"/>
                <w:szCs w:val="18"/>
                <w:highlight w:val="none"/>
                <w:u w:val="none"/>
                <w:lang w:val="en-US" w:eastAsia="zh-CN" w:bidi="ar"/>
              </w:rPr>
              <w:t>防控影响</w:t>
            </w:r>
          </w:p>
        </w:tc>
      </w:tr>
      <w:tr w14:paraId="53BC6871">
        <w:tblPrEx>
          <w:tblCellMar>
            <w:top w:w="0" w:type="dxa"/>
            <w:left w:w="0" w:type="dxa"/>
            <w:bottom w:w="0" w:type="dxa"/>
            <w:right w:w="0" w:type="dxa"/>
          </w:tblCellMar>
        </w:tblPrEx>
        <w:trPr>
          <w:trHeight w:val="50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FDDF1">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D0EA5">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3092D">
            <w:pPr>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7F0A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激发文学爱好者</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A152B">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933A0">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80%</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ABC27">
            <w:pPr>
              <w:jc w:val="center"/>
              <w:rPr>
                <w:rFonts w:hint="eastAsia" w:ascii="宋体" w:hAnsi="宋体" w:eastAsia="宋体" w:cs="宋体"/>
                <w:i w:val="0"/>
                <w:color w:val="000000"/>
                <w:sz w:val="18"/>
                <w:szCs w:val="18"/>
                <w:highlight w:val="none"/>
                <w:u w:val="none"/>
              </w:rPr>
            </w:pPr>
          </w:p>
        </w:tc>
      </w:tr>
      <w:tr w14:paraId="4823ED4E">
        <w:tblPrEx>
          <w:tblCellMar>
            <w:top w:w="0" w:type="dxa"/>
            <w:left w:w="0" w:type="dxa"/>
            <w:bottom w:w="0" w:type="dxa"/>
            <w:right w:w="0" w:type="dxa"/>
          </w:tblCellMar>
        </w:tblPrEx>
        <w:trPr>
          <w:trHeight w:val="50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D1B2E">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01C82">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E555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94B0B">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69F0F">
            <w:pPr>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69B72">
            <w:pPr>
              <w:jc w:val="center"/>
              <w:rPr>
                <w:rFonts w:hint="eastAsia" w:ascii="宋体" w:hAnsi="宋体" w:eastAsia="宋体" w:cs="宋体"/>
                <w:i w:val="0"/>
                <w:color w:val="000000"/>
                <w:sz w:val="18"/>
                <w:szCs w:val="18"/>
                <w:highlight w:val="none"/>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961D5">
            <w:pPr>
              <w:jc w:val="center"/>
              <w:rPr>
                <w:rFonts w:hint="eastAsia" w:ascii="宋体" w:hAnsi="宋体" w:eastAsia="宋体" w:cs="宋体"/>
                <w:i w:val="0"/>
                <w:color w:val="000000"/>
                <w:sz w:val="18"/>
                <w:szCs w:val="18"/>
                <w:highlight w:val="none"/>
                <w:u w:val="none"/>
              </w:rPr>
            </w:pPr>
          </w:p>
        </w:tc>
      </w:tr>
      <w:tr w14:paraId="2AD19620">
        <w:tblPrEx>
          <w:shd w:val="clear" w:color="auto" w:fill="auto"/>
          <w:tblCellMar>
            <w:top w:w="0" w:type="dxa"/>
            <w:left w:w="0" w:type="dxa"/>
            <w:bottom w:w="0" w:type="dxa"/>
            <w:right w:w="0" w:type="dxa"/>
          </w:tblCellMar>
        </w:tblPrEx>
        <w:trPr>
          <w:trHeight w:val="7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C72A9">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FD508">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B55D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5BBB1">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提升塔城知名度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5EC8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E6D3C">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85%</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0F7F8">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防控影响</w:t>
            </w:r>
          </w:p>
        </w:tc>
      </w:tr>
      <w:tr w14:paraId="02C2A175">
        <w:tblPrEx>
          <w:tblCellMar>
            <w:top w:w="0" w:type="dxa"/>
            <w:left w:w="0" w:type="dxa"/>
            <w:bottom w:w="0" w:type="dxa"/>
            <w:right w:w="0" w:type="dxa"/>
          </w:tblCellMar>
        </w:tblPrEx>
        <w:trPr>
          <w:trHeight w:val="9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5FEC9">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F70CE">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0B387">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A9399">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群众对文联工作的满意度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EDB8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4FD96">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95%</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77E9F">
            <w:pPr>
              <w:jc w:val="center"/>
              <w:rPr>
                <w:rFonts w:hint="eastAsia" w:ascii="宋体" w:hAnsi="宋体" w:eastAsia="宋体" w:cs="宋体"/>
                <w:i w:val="0"/>
                <w:color w:val="000000"/>
                <w:sz w:val="18"/>
                <w:szCs w:val="18"/>
                <w:highlight w:val="none"/>
                <w:u w:val="none"/>
              </w:rPr>
            </w:pPr>
          </w:p>
        </w:tc>
      </w:tr>
    </w:tbl>
    <w:p w14:paraId="406082E3">
      <w:pPr>
        <w:pStyle w:val="2"/>
        <w:rPr>
          <w:highlight w:val="none"/>
        </w:rPr>
        <w:sectPr>
          <w:footerReference r:id="rId3" w:type="default"/>
          <w:pgSz w:w="11906" w:h="16838"/>
          <w:pgMar w:top="1440" w:right="1558" w:bottom="1440" w:left="1800" w:header="851" w:footer="992" w:gutter="0"/>
          <w:cols w:space="720" w:num="1"/>
          <w:docGrid w:type="lines" w:linePitch="312" w:charSpace="0"/>
        </w:sectPr>
      </w:pPr>
    </w:p>
    <w:p w14:paraId="025F855A">
      <w:pPr>
        <w:pageBreakBefore w:val="0"/>
        <w:kinsoku/>
        <w:wordWrap/>
        <w:overflowPunct/>
        <w:topLinePunct w:val="0"/>
        <w:autoSpaceDE/>
        <w:autoSpaceDN/>
        <w:bidi w:val="0"/>
        <w:adjustRightInd/>
        <w:snapToGrid/>
        <w:spacing w:line="560" w:lineRule="exact"/>
        <w:textAlignment w:val="auto"/>
        <w:rPr>
          <w:rFonts w:ascii="仿宋_GB2312" w:hAnsi="仿宋_GB2312"/>
          <w:bCs/>
          <w:sz w:val="32"/>
          <w:szCs w:val="32"/>
          <w:highlight w:val="none"/>
        </w:rPr>
      </w:pPr>
      <w:r>
        <w:rPr>
          <w:rFonts w:hint="eastAsia" w:ascii="仿宋_GB2312" w:hAnsi="仿宋_GB2312"/>
          <w:bCs/>
          <w:sz w:val="32"/>
          <w:szCs w:val="32"/>
          <w:highlight w:val="none"/>
        </w:rPr>
        <w:t>附件1</w:t>
      </w:r>
    </w:p>
    <w:tbl>
      <w:tblPr>
        <w:tblStyle w:val="21"/>
        <w:tblW w:w="1398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1"/>
        <w:gridCol w:w="511"/>
        <w:gridCol w:w="583"/>
        <w:gridCol w:w="4616"/>
        <w:gridCol w:w="5274"/>
        <w:gridCol w:w="1337"/>
        <w:gridCol w:w="1152"/>
      </w:tblGrid>
      <w:tr w14:paraId="627AD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50B430">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一级指标</w:t>
            </w:r>
          </w:p>
        </w:tc>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FCCBF9">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二级指标</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2119772">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三级指标</w:t>
            </w:r>
          </w:p>
        </w:tc>
        <w:tc>
          <w:tcPr>
            <w:tcW w:w="461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D3D4ECD">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指标解释</w:t>
            </w:r>
          </w:p>
        </w:tc>
        <w:tc>
          <w:tcPr>
            <w:tcW w:w="527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EF8FE9">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指标说明</w:t>
            </w:r>
          </w:p>
        </w:tc>
        <w:tc>
          <w:tcPr>
            <w:tcW w:w="133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D6FD4F">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权重</w:t>
            </w:r>
          </w:p>
        </w:tc>
        <w:tc>
          <w:tcPr>
            <w:tcW w:w="115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38C2311">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得分</w:t>
            </w:r>
          </w:p>
        </w:tc>
      </w:tr>
      <w:tr w14:paraId="2476A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58" w:hRule="atLeast"/>
          <w:jc w:val="center"/>
        </w:trPr>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55A8F5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决策　</w:t>
            </w:r>
          </w:p>
          <w:p w14:paraId="69D1580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　</w:t>
            </w:r>
          </w:p>
          <w:p w14:paraId="45FB063B">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　</w:t>
            </w:r>
          </w:p>
        </w:tc>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ECB29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项目立项　</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3C887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立项依据</w:t>
            </w:r>
          </w:p>
          <w:p w14:paraId="426D11D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充分性</w:t>
            </w:r>
          </w:p>
        </w:tc>
        <w:tc>
          <w:tcPr>
            <w:tcW w:w="461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557FCF1">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项目立项是否符合法律法规、相关政策、发展规划以及部门职责，用以反映和考核项目立项依据情况。</w:t>
            </w:r>
          </w:p>
        </w:tc>
        <w:tc>
          <w:tcPr>
            <w:tcW w:w="527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E5F4A0">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①项目立项是否符合国家法律法规、国民经济发展规划和相关政策；</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②项目立项是否符合行业发展规划和政策要求；</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③项目立项是否与部门职责范围相符，属于部门履职所需；</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④项目是否属于公共财政支持范围，是否符合中央、地方事权支出责任划分原则；</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⑤项目是否与相关部门同类项目或部门内部相关项目重复。</w:t>
            </w:r>
          </w:p>
        </w:tc>
        <w:tc>
          <w:tcPr>
            <w:tcW w:w="133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98CE4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0.5</w:t>
            </w:r>
          </w:p>
        </w:tc>
        <w:tc>
          <w:tcPr>
            <w:tcW w:w="115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3CFBEC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0.5</w:t>
            </w:r>
          </w:p>
        </w:tc>
      </w:tr>
      <w:tr w14:paraId="21BF04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148198">
            <w:pPr>
              <w:pageBreakBefore w:val="0"/>
              <w:kinsoku/>
              <w:wordWrap/>
              <w:overflowPunct/>
              <w:topLinePunct w:val="0"/>
              <w:autoSpaceDE/>
              <w:autoSpaceDN/>
              <w:bidi w:val="0"/>
              <w:adjustRightInd/>
              <w:snapToGrid/>
              <w:spacing w:line="560" w:lineRule="exact"/>
              <w:textAlignment w:val="auto"/>
              <w:rPr>
                <w:highlight w:val="none"/>
              </w:rPr>
            </w:pPr>
          </w:p>
        </w:tc>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A65F5F5">
            <w:pPr>
              <w:pageBreakBefore w:val="0"/>
              <w:kinsoku/>
              <w:wordWrap/>
              <w:overflowPunct/>
              <w:topLinePunct w:val="0"/>
              <w:autoSpaceDE/>
              <w:autoSpaceDN/>
              <w:bidi w:val="0"/>
              <w:adjustRightInd/>
              <w:snapToGrid/>
              <w:spacing w:line="560" w:lineRule="exact"/>
              <w:textAlignment w:val="auto"/>
              <w:rPr>
                <w:highlight w:val="none"/>
              </w:rPr>
            </w:pP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DB295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立项程序</w:t>
            </w:r>
          </w:p>
          <w:p w14:paraId="5F18953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规范性</w:t>
            </w:r>
          </w:p>
        </w:tc>
        <w:tc>
          <w:tcPr>
            <w:tcW w:w="461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1269A91">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项目申请、设立过程是否符合相关要求，用以反映和考核项目立项的规范情况。</w:t>
            </w:r>
          </w:p>
        </w:tc>
        <w:tc>
          <w:tcPr>
            <w:tcW w:w="527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A82BAE">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①项目是否按照规定的程序申请设立；</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②审批文件、材料是否符合相关要求；</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③事前是否已经过必要的可行性研究、专家论证、风险评估、绩效评估、集体决策。</w:t>
            </w:r>
          </w:p>
        </w:tc>
        <w:tc>
          <w:tcPr>
            <w:tcW w:w="133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31BEA0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0.5</w:t>
            </w:r>
          </w:p>
        </w:tc>
        <w:tc>
          <w:tcPr>
            <w:tcW w:w="115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3F56C4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0.5</w:t>
            </w:r>
          </w:p>
        </w:tc>
      </w:tr>
      <w:tr w14:paraId="1DC07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475CB4">
            <w:pPr>
              <w:pageBreakBefore w:val="0"/>
              <w:kinsoku/>
              <w:wordWrap/>
              <w:overflowPunct/>
              <w:topLinePunct w:val="0"/>
              <w:autoSpaceDE/>
              <w:autoSpaceDN/>
              <w:bidi w:val="0"/>
              <w:adjustRightInd/>
              <w:snapToGrid/>
              <w:spacing w:line="560" w:lineRule="exact"/>
              <w:textAlignment w:val="auto"/>
              <w:rPr>
                <w:highlight w:val="none"/>
              </w:rPr>
            </w:pPr>
          </w:p>
        </w:tc>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83495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绩效目标　</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35155C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绩效目标</w:t>
            </w:r>
          </w:p>
          <w:p w14:paraId="3B92ABA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合理性</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185331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项目所设定的绩效目标是否依据充分，是否符合客观实际，用以反映和考核项目绩效目标与项目实施的相符情况。</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89259E7">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（如未设定预算绩效目标，也可考核其他工作任务目标）</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①项目是否有绩效目标；</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②项目绩效目标与实际工作内容是否具有相关性；</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③项目预期产出效益和效果是否符合正常的业绩水平；</w:t>
            </w:r>
          </w:p>
          <w:p w14:paraId="753BE78E">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④是否与预算确定的项目投资额或资金量相匹配。</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F677A8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07B509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r>
      <w:tr w14:paraId="5E956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80ED6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决策　</w:t>
            </w:r>
          </w:p>
        </w:tc>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69CB9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绩效目标</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04B04D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绩效指标</w:t>
            </w:r>
          </w:p>
          <w:p w14:paraId="44B40A1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明确性</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471ECA4">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依据绩效目标设定的绩效指标是否清晰、细化、可衡量等，用以反映和考核项目绩效目标的明细化情况。</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B61A7D4">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①是否将项目绩效目标细化分解为具体的绩效指标；</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②是否通过清晰、可衡量的指标值予以体现；</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③是否与项目目标任务数或计划数相对应。</w:t>
            </w:r>
            <w:r>
              <w:rPr>
                <w:rFonts w:hint="eastAsia" w:ascii="宋体" w:cs="宋体"/>
                <w:color w:val="000000"/>
                <w:kern w:val="0"/>
                <w:sz w:val="20"/>
                <w:szCs w:val="20"/>
                <w:highlight w:val="none"/>
              </w:rPr>
              <w:br w:type="textWrapping"/>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BBCED1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AE67C6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r>
      <w:tr w14:paraId="3E304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95"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D2B1019">
            <w:pPr>
              <w:pageBreakBefore w:val="0"/>
              <w:kinsoku/>
              <w:wordWrap/>
              <w:overflowPunct/>
              <w:topLinePunct w:val="0"/>
              <w:autoSpaceDE/>
              <w:autoSpaceDN/>
              <w:bidi w:val="0"/>
              <w:adjustRightInd/>
              <w:snapToGrid/>
              <w:spacing w:line="560" w:lineRule="exact"/>
              <w:textAlignment w:val="auto"/>
              <w:rPr>
                <w:highlight w:val="none"/>
              </w:rPr>
            </w:pPr>
          </w:p>
        </w:tc>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07DF8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资金投入</w:t>
            </w:r>
          </w:p>
          <w:p w14:paraId="4D29C7C9">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　</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849F9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预算编制</w:t>
            </w:r>
          </w:p>
          <w:p w14:paraId="59B61BD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科学性</w:t>
            </w:r>
          </w:p>
        </w:tc>
        <w:tc>
          <w:tcPr>
            <w:tcW w:w="461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C318D4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项目预算编制是否经过科学论证、有明确标准，资金额度与年度目标是否相适应，用以反映和考核项目预算编制的科学性、合理性情况。</w:t>
            </w:r>
          </w:p>
        </w:tc>
        <w:tc>
          <w:tcPr>
            <w:tcW w:w="527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A4393B">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①预算编制是否经过科学论证；</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②预算内容与项目内容是否匹配；</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③预算额度测算依据是否充分，是否按照标准编制；</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④预算确定的项目投资额或资金量是否与工作任务相匹配。</w:t>
            </w:r>
          </w:p>
        </w:tc>
        <w:tc>
          <w:tcPr>
            <w:tcW w:w="133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7FD687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c>
          <w:tcPr>
            <w:tcW w:w="115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97281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r>
      <w:tr w14:paraId="11689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E37AD8A">
            <w:pPr>
              <w:pageBreakBefore w:val="0"/>
              <w:kinsoku/>
              <w:wordWrap/>
              <w:overflowPunct/>
              <w:topLinePunct w:val="0"/>
              <w:autoSpaceDE/>
              <w:autoSpaceDN/>
              <w:bidi w:val="0"/>
              <w:adjustRightInd/>
              <w:snapToGrid/>
              <w:spacing w:line="560" w:lineRule="exact"/>
              <w:textAlignment w:val="auto"/>
              <w:rPr>
                <w:highlight w:val="none"/>
              </w:rPr>
            </w:pPr>
          </w:p>
        </w:tc>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FBA0E6D">
            <w:pPr>
              <w:pageBreakBefore w:val="0"/>
              <w:kinsoku/>
              <w:wordWrap/>
              <w:overflowPunct/>
              <w:topLinePunct w:val="0"/>
              <w:autoSpaceDE/>
              <w:autoSpaceDN/>
              <w:bidi w:val="0"/>
              <w:adjustRightInd/>
              <w:snapToGrid/>
              <w:spacing w:line="560" w:lineRule="exact"/>
              <w:textAlignment w:val="auto"/>
              <w:rPr>
                <w:highlight w:val="none"/>
              </w:rPr>
            </w:pP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75A00D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资金分配</w:t>
            </w:r>
          </w:p>
          <w:p w14:paraId="0AD116A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合理性</w:t>
            </w:r>
          </w:p>
        </w:tc>
        <w:tc>
          <w:tcPr>
            <w:tcW w:w="461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BC6ECC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项目预算资金分配是否有测算依据，与补助单位或地方实际是否相适应，用以反映和考核项目预算资金分配的科学性、合理性情况。</w:t>
            </w:r>
          </w:p>
        </w:tc>
        <w:tc>
          <w:tcPr>
            <w:tcW w:w="527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0E4FB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①预算资金分配依据是否充分；</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②资金分配额度是否合理，与项目单位或地方实际是否相适应。</w:t>
            </w:r>
          </w:p>
        </w:tc>
        <w:tc>
          <w:tcPr>
            <w:tcW w:w="133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C1939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c>
          <w:tcPr>
            <w:tcW w:w="115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C79A5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r>
      <w:tr w14:paraId="76CC9B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D6194DA">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过程</w:t>
            </w:r>
          </w:p>
        </w:tc>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72027E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资金管理</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70A80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资金到位率</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3513BC1">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实际到位资金与预算资金的比率，用以反映和考核资金落实情况对项目实施的总体保障程度。</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B19F2CD">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资金到位率=（实际到位资金/预算资金）×100%。</w:t>
            </w:r>
          </w:p>
          <w:p w14:paraId="4B8C694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实际到位资金：一定时期（本年度或项目期）内落实到具体项目的资金。</w:t>
            </w:r>
          </w:p>
          <w:p w14:paraId="5BE3367B">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预算资金：一定时期（本年度或项目期）内预算安排到具体项目的资金。</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FF5B83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35DE0F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r>
      <w:tr w14:paraId="0993F1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539E7B">
            <w:pPr>
              <w:pageBreakBefore w:val="0"/>
              <w:kinsoku/>
              <w:wordWrap/>
              <w:overflowPunct/>
              <w:topLinePunct w:val="0"/>
              <w:autoSpaceDE/>
              <w:autoSpaceDN/>
              <w:bidi w:val="0"/>
              <w:adjustRightInd/>
              <w:snapToGrid/>
              <w:spacing w:line="560" w:lineRule="exact"/>
              <w:textAlignment w:val="auto"/>
              <w:rPr>
                <w:highlight w:val="none"/>
              </w:rPr>
            </w:pPr>
          </w:p>
        </w:tc>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A6E9E8">
            <w:pPr>
              <w:pageBreakBefore w:val="0"/>
              <w:kinsoku/>
              <w:wordWrap/>
              <w:overflowPunct/>
              <w:topLinePunct w:val="0"/>
              <w:autoSpaceDE/>
              <w:autoSpaceDN/>
              <w:bidi w:val="0"/>
              <w:adjustRightInd/>
              <w:snapToGrid/>
              <w:spacing w:line="560" w:lineRule="exact"/>
              <w:textAlignment w:val="auto"/>
              <w:rPr>
                <w:highlight w:val="none"/>
              </w:rPr>
            </w:pP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9E531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预算执行率</w:t>
            </w:r>
          </w:p>
        </w:tc>
        <w:tc>
          <w:tcPr>
            <w:tcW w:w="461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B1B1232">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项目预算资金是否按照计划执行，用以反映或考核项目预算执行情况。</w:t>
            </w:r>
          </w:p>
        </w:tc>
        <w:tc>
          <w:tcPr>
            <w:tcW w:w="527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B08FA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预算执行率=（实际支出资金/实际到位资金）×100%。</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实际支出资金：一定时期（本年度或项目期）内项目实际拨付的资金。</w:t>
            </w:r>
          </w:p>
        </w:tc>
        <w:tc>
          <w:tcPr>
            <w:tcW w:w="133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A4AF8C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0.98</w:t>
            </w:r>
          </w:p>
        </w:tc>
        <w:tc>
          <w:tcPr>
            <w:tcW w:w="115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BBD5B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0.98</w:t>
            </w:r>
          </w:p>
        </w:tc>
      </w:tr>
      <w:tr w14:paraId="3B8CC2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98DC8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　</w:t>
            </w:r>
          </w:p>
          <w:p w14:paraId="49A1659E">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过程　</w:t>
            </w:r>
          </w:p>
        </w:tc>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D5CD99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资金管理</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ADDFE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资金使用</w:t>
            </w:r>
          </w:p>
          <w:p w14:paraId="0D3583E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合规性</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D1869B3">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项目资金使用是否符合相关的财务管理制度规定，用以反映和考核项目资金的规范运行情况。</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0A8EB8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①是否符合国家财经法规和财务管理制度以及有关专项资金管理办法的规定；</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②资金的拨付是否有完整的审批程序和手续；</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③是否符合项目预算批复或合同规定的用途；</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④是否存在截留、挤占、挪用、虚列支出等情况。</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BF7A82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04C246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p>
        </w:tc>
      </w:tr>
      <w:tr w14:paraId="00B6F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7B0F16B">
            <w:pPr>
              <w:pageBreakBefore w:val="0"/>
              <w:kinsoku/>
              <w:wordWrap/>
              <w:overflowPunct/>
              <w:topLinePunct w:val="0"/>
              <w:autoSpaceDE/>
              <w:autoSpaceDN/>
              <w:bidi w:val="0"/>
              <w:adjustRightInd/>
              <w:snapToGrid/>
              <w:spacing w:line="560" w:lineRule="exact"/>
              <w:textAlignment w:val="auto"/>
              <w:rPr>
                <w:highlight w:val="none"/>
              </w:rPr>
            </w:pPr>
          </w:p>
        </w:tc>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328D6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组织实施</w:t>
            </w:r>
          </w:p>
          <w:p w14:paraId="61867689">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　</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7B9B30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管理制度</w:t>
            </w:r>
          </w:p>
          <w:p w14:paraId="332750A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健全性</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578CC7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项目实施单位的财务和业务管理制度是否健全，用以反映和考核财务和业务管理制度对项目顺利实施的保障情况。</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9EE4FD8">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①是否已制定或具有相应的财务和业务管理制度；</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②财务和业务管理制度是否合法、合规、完整。</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F8AF6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0.9</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1F5000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0.9</w:t>
            </w:r>
          </w:p>
        </w:tc>
      </w:tr>
      <w:tr w14:paraId="5FAD4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8D19E5">
            <w:pPr>
              <w:pageBreakBefore w:val="0"/>
              <w:kinsoku/>
              <w:wordWrap/>
              <w:overflowPunct/>
              <w:topLinePunct w:val="0"/>
              <w:autoSpaceDE/>
              <w:autoSpaceDN/>
              <w:bidi w:val="0"/>
              <w:adjustRightInd/>
              <w:snapToGrid/>
              <w:spacing w:line="560" w:lineRule="exact"/>
              <w:textAlignment w:val="auto"/>
              <w:rPr>
                <w:highlight w:val="none"/>
              </w:rPr>
            </w:pPr>
          </w:p>
        </w:tc>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86AC455">
            <w:pPr>
              <w:pageBreakBefore w:val="0"/>
              <w:kinsoku/>
              <w:wordWrap/>
              <w:overflowPunct/>
              <w:topLinePunct w:val="0"/>
              <w:autoSpaceDE/>
              <w:autoSpaceDN/>
              <w:bidi w:val="0"/>
              <w:adjustRightInd/>
              <w:snapToGrid/>
              <w:spacing w:line="560" w:lineRule="exact"/>
              <w:textAlignment w:val="auto"/>
              <w:rPr>
                <w:highlight w:val="none"/>
              </w:rPr>
            </w:pP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A057C4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制度执行</w:t>
            </w:r>
          </w:p>
          <w:p w14:paraId="0FC10D1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有效性</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D8223E8">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项目实施是否符合相关管理规定，用以反映和考核相关管理制度的有效执行情况。</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7EA73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评价要点：</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①是否遵守相关法律法规和相关管理规定；</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②项目调整及支出调整手续是否完备；</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③项目合同书、验收报告、技术鉴定等资料是否齐全并及时归档；</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④项目实施的人员条件、场地设备、信息支撑等是否落实到位。</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70F67F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0.9</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9FA31F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0.9</w:t>
            </w:r>
          </w:p>
        </w:tc>
      </w:tr>
      <w:tr w14:paraId="7CF16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61CD8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产出</w:t>
            </w:r>
          </w:p>
        </w:tc>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64D52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产出数量</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21800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实际完成率</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66C8789">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项目实施的实际产出数与计划产出数的比率，用以反映和考核项目产出数量目标的实现程度。</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13A9DD4">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实际完成率=（实际产出数/计划产出数）×100%。</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实际产出数：一定时期（本年度或项目期）内项目实际产出的产品或提供的服务数量。</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计划产出数：项目绩效目标确定的在一定时期（本年度或项目期）内计划产出的产品或提供的服务数量。</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102848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15</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CDA373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15</w:t>
            </w:r>
          </w:p>
        </w:tc>
      </w:tr>
      <w:tr w14:paraId="6456E1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4F6BB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产出</w:t>
            </w:r>
          </w:p>
        </w:tc>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2AF496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产出质量</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51C1E0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质量达标率</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51C7DFD">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项目完成的质量达标产出数与实际产出数的比率，用以反映和考核项目产出质量目标的实现程度。</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B7C1F89">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质量达标率=（质量达标产出数/实际产出数）×100%。</w:t>
            </w:r>
          </w:p>
          <w:p w14:paraId="76DFAB9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7FCF69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2"/>
                <w:szCs w:val="22"/>
                <w:highlight w:val="none"/>
                <w:lang w:val="en-US" w:eastAsia="zh-CN"/>
              </w:rPr>
              <w:t>10</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064E44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2"/>
                <w:szCs w:val="22"/>
                <w:highlight w:val="none"/>
                <w:lang w:val="en-US" w:eastAsia="zh-CN"/>
              </w:rPr>
              <w:t>10</w:t>
            </w:r>
          </w:p>
        </w:tc>
      </w:tr>
      <w:tr w14:paraId="574A0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1"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3D45C5">
            <w:pPr>
              <w:pageBreakBefore w:val="0"/>
              <w:kinsoku/>
              <w:wordWrap/>
              <w:overflowPunct/>
              <w:topLinePunct w:val="0"/>
              <w:autoSpaceDE/>
              <w:autoSpaceDN/>
              <w:bidi w:val="0"/>
              <w:adjustRightInd/>
              <w:snapToGrid/>
              <w:spacing w:line="560" w:lineRule="exact"/>
              <w:textAlignment w:val="auto"/>
              <w:rPr>
                <w:highlight w:val="none"/>
              </w:rPr>
            </w:pPr>
          </w:p>
        </w:tc>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D7660ED">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产出时效</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AEAE01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完成及时性</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DC6BA6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项目实际完成时间与计划完成时间的比较，用以反映和考核项目产出时效目标的实现程度。</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4708FD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实际完成时间：项目实施单位完成该项目实际所耗用的时间。</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计划完成时间：按照项目实施计划或相关规定完成该项目所需的时间。</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BA14B8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r>
              <w:rPr>
                <w:rFonts w:hint="eastAsia" w:ascii="宋体" w:cs="宋体"/>
                <w:color w:val="000000"/>
                <w:kern w:val="0"/>
                <w:sz w:val="22"/>
                <w:szCs w:val="22"/>
                <w:highlight w:val="none"/>
                <w:lang w:val="en-US" w:eastAsia="zh-CN"/>
              </w:rPr>
              <w:t>5</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F5C8A0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w:t>
            </w:r>
            <w:r>
              <w:rPr>
                <w:rFonts w:hint="eastAsia" w:ascii="宋体" w:cs="宋体"/>
                <w:color w:val="000000"/>
                <w:kern w:val="0"/>
                <w:sz w:val="22"/>
                <w:szCs w:val="22"/>
                <w:highlight w:val="none"/>
                <w:lang w:val="en-US" w:eastAsia="zh-CN"/>
              </w:rPr>
              <w:t>5</w:t>
            </w:r>
          </w:p>
        </w:tc>
      </w:tr>
      <w:tr w14:paraId="03BC1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40"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DD644CF">
            <w:pPr>
              <w:pageBreakBefore w:val="0"/>
              <w:kinsoku/>
              <w:wordWrap/>
              <w:overflowPunct/>
              <w:topLinePunct w:val="0"/>
              <w:autoSpaceDE/>
              <w:autoSpaceDN/>
              <w:bidi w:val="0"/>
              <w:adjustRightInd/>
              <w:snapToGrid/>
              <w:spacing w:line="560" w:lineRule="exact"/>
              <w:textAlignment w:val="auto"/>
              <w:rPr>
                <w:highlight w:val="none"/>
              </w:rPr>
            </w:pPr>
          </w:p>
        </w:tc>
        <w:tc>
          <w:tcPr>
            <w:tcW w:w="5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13D5E1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产出成本</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13A8B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成本节约率</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253BEBD">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完成项目计划工作目标的实际节约成本与计划成本的比率，用以反映和考核项目的成本节约程度。</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3EEB9DB">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成本节约率=[（计划成本-实际成本）/计划成本]×100%。</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实际成本：项目实施单位如期、保质、保量完成既定工作目标实际所耗费的支出。</w:t>
            </w:r>
            <w:r>
              <w:rPr>
                <w:rFonts w:hint="eastAsia" w:ascii="宋体" w:cs="宋体"/>
                <w:color w:val="000000"/>
                <w:kern w:val="0"/>
                <w:sz w:val="20"/>
                <w:szCs w:val="20"/>
                <w:highlight w:val="none"/>
              </w:rPr>
              <w:br w:type="textWrapping"/>
            </w:r>
            <w:r>
              <w:rPr>
                <w:rFonts w:hint="eastAsia" w:ascii="宋体" w:cs="宋体"/>
                <w:color w:val="000000"/>
                <w:kern w:val="0"/>
                <w:sz w:val="20"/>
                <w:szCs w:val="20"/>
                <w:highlight w:val="none"/>
              </w:rPr>
              <w:t>计划成本：项目实施单位为完成工作目标计划安排的支出，一般以项目预算为参考。</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155DAA5">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10</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C4A152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ascii="宋体" w:cs="宋体"/>
                <w:color w:val="000000"/>
                <w:kern w:val="0"/>
                <w:sz w:val="22"/>
                <w:szCs w:val="22"/>
                <w:highlight w:val="none"/>
              </w:rPr>
              <w:t>10</w:t>
            </w:r>
          </w:p>
        </w:tc>
      </w:tr>
      <w:tr w14:paraId="2CD6F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23F1D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效益　</w:t>
            </w:r>
          </w:p>
        </w:tc>
        <w:tc>
          <w:tcPr>
            <w:tcW w:w="511"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BB5A5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项目效益　</w:t>
            </w: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6DD06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实施效益</w:t>
            </w:r>
          </w:p>
        </w:tc>
        <w:tc>
          <w:tcPr>
            <w:tcW w:w="461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4252421">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项目实施所产生的效益。</w:t>
            </w:r>
          </w:p>
        </w:tc>
        <w:tc>
          <w:tcPr>
            <w:tcW w:w="527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4A630A">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项目实施所产生的社会效益、经济效益、生态效益、可持续影响等。可根据项目实际情况有选择地设置和细化。</w:t>
            </w:r>
          </w:p>
        </w:tc>
        <w:tc>
          <w:tcPr>
            <w:tcW w:w="133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97DF2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2"/>
                <w:szCs w:val="22"/>
                <w:highlight w:val="none"/>
                <w:lang w:val="en-US" w:eastAsia="zh-CN"/>
              </w:rPr>
              <w:t>23.58</w:t>
            </w:r>
          </w:p>
        </w:tc>
        <w:tc>
          <w:tcPr>
            <w:tcW w:w="115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CD765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2"/>
                <w:szCs w:val="22"/>
                <w:highlight w:val="none"/>
                <w:lang w:val="en-US" w:eastAsia="zh-CN"/>
              </w:rPr>
              <w:t>23.58</w:t>
            </w:r>
          </w:p>
        </w:tc>
      </w:tr>
      <w:tr w14:paraId="4AF5C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79A382">
            <w:pPr>
              <w:pageBreakBefore w:val="0"/>
              <w:kinsoku/>
              <w:wordWrap/>
              <w:overflowPunct/>
              <w:topLinePunct w:val="0"/>
              <w:autoSpaceDE/>
              <w:autoSpaceDN/>
              <w:bidi w:val="0"/>
              <w:adjustRightInd/>
              <w:snapToGrid/>
              <w:spacing w:line="560" w:lineRule="exact"/>
              <w:textAlignment w:val="auto"/>
              <w:rPr>
                <w:highlight w:val="none"/>
              </w:rPr>
            </w:pPr>
          </w:p>
        </w:tc>
        <w:tc>
          <w:tcPr>
            <w:tcW w:w="511"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9591E35">
            <w:pPr>
              <w:pageBreakBefore w:val="0"/>
              <w:kinsoku/>
              <w:wordWrap/>
              <w:overflowPunct/>
              <w:topLinePunct w:val="0"/>
              <w:autoSpaceDE/>
              <w:autoSpaceDN/>
              <w:bidi w:val="0"/>
              <w:adjustRightInd/>
              <w:snapToGrid/>
              <w:spacing w:line="560" w:lineRule="exact"/>
              <w:textAlignment w:val="auto"/>
              <w:rPr>
                <w:highlight w:val="none"/>
              </w:rPr>
            </w:pPr>
          </w:p>
        </w:tc>
        <w:tc>
          <w:tcPr>
            <w:tcW w:w="5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48E99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0"/>
                <w:szCs w:val="20"/>
                <w:highlight w:val="none"/>
              </w:rPr>
              <w:t>满意度</w:t>
            </w:r>
          </w:p>
        </w:tc>
        <w:tc>
          <w:tcPr>
            <w:tcW w:w="4616"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0BFFD2E">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社会公众或服务对象对项目实施效果的满意程度。</w:t>
            </w:r>
          </w:p>
        </w:tc>
        <w:tc>
          <w:tcPr>
            <w:tcW w:w="527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21FBDDA">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highlight w:val="none"/>
              </w:rPr>
            </w:pPr>
            <w:r>
              <w:rPr>
                <w:rFonts w:hint="eastAsia" w:ascii="宋体" w:cs="宋体"/>
                <w:color w:val="000000"/>
                <w:kern w:val="0"/>
                <w:sz w:val="20"/>
                <w:szCs w:val="20"/>
                <w:highlight w:val="none"/>
              </w:rPr>
              <w:t>社会公众或服务对象是指因该项目实施而受到影响的部门（单位）、群体或个人。一般采取社会调查的方式。</w:t>
            </w:r>
          </w:p>
        </w:tc>
        <w:tc>
          <w:tcPr>
            <w:tcW w:w="133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87AE2A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2"/>
                <w:szCs w:val="22"/>
                <w:highlight w:val="none"/>
                <w:lang w:val="en-US" w:eastAsia="zh-CN"/>
              </w:rPr>
              <w:t>10</w:t>
            </w:r>
          </w:p>
        </w:tc>
        <w:tc>
          <w:tcPr>
            <w:tcW w:w="115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6E9F76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highlight w:val="none"/>
              </w:rPr>
            </w:pPr>
            <w:r>
              <w:rPr>
                <w:rFonts w:hint="eastAsia" w:ascii="宋体" w:cs="宋体"/>
                <w:color w:val="000000"/>
                <w:kern w:val="0"/>
                <w:sz w:val="22"/>
                <w:szCs w:val="22"/>
                <w:highlight w:val="none"/>
                <w:lang w:val="en-US" w:eastAsia="zh-CN"/>
              </w:rPr>
              <w:t>10</w:t>
            </w:r>
          </w:p>
        </w:tc>
      </w:tr>
    </w:tbl>
    <w:p w14:paraId="7DE3E653">
      <w:pPr>
        <w:pStyle w:val="2"/>
        <w:pageBreakBefore w:val="0"/>
        <w:kinsoku/>
        <w:wordWrap/>
        <w:overflowPunct/>
        <w:topLinePunct w:val="0"/>
        <w:autoSpaceDE/>
        <w:autoSpaceDN/>
        <w:bidi w:val="0"/>
        <w:adjustRightInd/>
        <w:snapToGrid/>
        <w:spacing w:before="0" w:after="0" w:line="560" w:lineRule="exact"/>
        <w:textAlignment w:val="auto"/>
        <w:rPr>
          <w:sz w:val="20"/>
          <w:szCs w:val="20"/>
          <w:highlight w:val="none"/>
        </w:rPr>
      </w:pPr>
    </w:p>
    <w:p w14:paraId="2346AD9F">
      <w:pPr>
        <w:pageBreakBefore w:val="0"/>
        <w:kinsoku/>
        <w:wordWrap/>
        <w:overflowPunct/>
        <w:topLinePunct w:val="0"/>
        <w:autoSpaceDE/>
        <w:autoSpaceDN/>
        <w:bidi w:val="0"/>
        <w:adjustRightInd/>
        <w:snapToGrid/>
        <w:spacing w:line="560" w:lineRule="exact"/>
        <w:textAlignment w:val="auto"/>
        <w:rPr>
          <w:sz w:val="20"/>
          <w:szCs w:val="20"/>
          <w:highlight w:val="none"/>
        </w:rPr>
      </w:pPr>
    </w:p>
    <w:p w14:paraId="041BC694">
      <w:pPr>
        <w:pageBreakBefore w:val="0"/>
        <w:kinsoku/>
        <w:wordWrap/>
        <w:overflowPunct/>
        <w:topLinePunct w:val="0"/>
        <w:autoSpaceDE/>
        <w:autoSpaceDN/>
        <w:bidi w:val="0"/>
        <w:adjustRightInd/>
        <w:snapToGrid/>
        <w:spacing w:line="560" w:lineRule="exact"/>
        <w:ind w:firstLine="640"/>
        <w:textAlignment w:val="auto"/>
        <w:rPr>
          <w:rStyle w:val="23"/>
          <w:rFonts w:ascii="黑体" w:eastAsia="黑体"/>
          <w:bCs w:val="0"/>
          <w:spacing w:val="-4"/>
          <w:sz w:val="20"/>
          <w:szCs w:val="20"/>
          <w:highlight w:val="none"/>
        </w:rPr>
      </w:pPr>
    </w:p>
    <w:p w14:paraId="098E90AF">
      <w:pPr>
        <w:pageBreakBefore w:val="0"/>
        <w:kinsoku/>
        <w:wordWrap/>
        <w:overflowPunct/>
        <w:topLinePunct w:val="0"/>
        <w:autoSpaceDE/>
        <w:autoSpaceDN/>
        <w:bidi w:val="0"/>
        <w:adjustRightInd/>
        <w:snapToGrid/>
        <w:spacing w:line="560" w:lineRule="exact"/>
        <w:ind w:firstLine="640"/>
        <w:textAlignment w:val="auto"/>
        <w:rPr>
          <w:rStyle w:val="23"/>
          <w:rFonts w:ascii="黑体" w:eastAsia="黑体"/>
          <w:bCs w:val="0"/>
          <w:spacing w:val="-4"/>
          <w:sz w:val="20"/>
          <w:szCs w:val="20"/>
          <w:highlight w:val="none"/>
        </w:rPr>
      </w:pPr>
    </w:p>
    <w:p w14:paraId="4B224A0C">
      <w:pPr>
        <w:pageBreakBefore w:val="0"/>
        <w:kinsoku/>
        <w:wordWrap/>
        <w:overflowPunct/>
        <w:topLinePunct w:val="0"/>
        <w:autoSpaceDE/>
        <w:autoSpaceDN/>
        <w:bidi w:val="0"/>
        <w:adjustRightInd/>
        <w:snapToGrid/>
        <w:spacing w:line="560" w:lineRule="exact"/>
        <w:textAlignment w:val="auto"/>
        <w:rPr>
          <w:rStyle w:val="23"/>
          <w:rFonts w:ascii="黑体" w:eastAsia="黑体"/>
          <w:b w:val="0"/>
          <w:bCs w:val="0"/>
          <w:spacing w:val="-4"/>
          <w:sz w:val="20"/>
          <w:szCs w:val="20"/>
          <w:highlight w:val="none"/>
        </w:rPr>
      </w:pPr>
    </w:p>
    <w:sectPr>
      <w:pgSz w:w="16840" w:h="11907" w:orient="landscape"/>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8448394-3D61-4182-9BB8-458956A76BFB}"/>
  </w:font>
  <w:font w:name="黑体">
    <w:panose1 w:val="02010609060101010101"/>
    <w:charset w:val="86"/>
    <w:family w:val="auto"/>
    <w:pitch w:val="default"/>
    <w:sig w:usb0="800002BF" w:usb1="38CF7CFA" w:usb2="00000016" w:usb3="00000000" w:csb0="00040001" w:csb1="00000000"/>
    <w:embedRegular r:id="rId2" w:fontKey="{7319285A-4CA6-4F85-A135-83045C3859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B57873E8-CFBC-4E79-9BD1-F8B3AFF79FB0}"/>
  </w:font>
  <w:font w:name="仿宋">
    <w:panose1 w:val="02010609060101010101"/>
    <w:charset w:val="86"/>
    <w:family w:val="modern"/>
    <w:pitch w:val="default"/>
    <w:sig w:usb0="800002BF" w:usb1="38CF7CFA" w:usb2="00000016" w:usb3="00000000" w:csb0="00040001" w:csb1="00000000"/>
    <w:embedRegular r:id="rId4" w:fontKey="{6CCC95FF-A90C-469C-971C-777DBEB376E7}"/>
  </w:font>
  <w:font w:name="华文中宋">
    <w:panose1 w:val="02010600040101010101"/>
    <w:charset w:val="86"/>
    <w:family w:val="auto"/>
    <w:pitch w:val="default"/>
    <w:sig w:usb0="00000287" w:usb1="080F0000" w:usb2="00000000" w:usb3="00000000" w:csb0="0004009F" w:csb1="DFD70000"/>
    <w:embedRegular r:id="rId5" w:fontKey="{8F3F2E7A-CF09-4F8B-8FBA-6749186011C6}"/>
  </w:font>
  <w:font w:name="方正小标宋_GBK">
    <w:altName w:val="Arial Unicode MS"/>
    <w:panose1 w:val="03000509000000000000"/>
    <w:charset w:val="86"/>
    <w:family w:val="script"/>
    <w:pitch w:val="default"/>
    <w:sig w:usb0="00000000" w:usb1="00000000" w:usb2="00000000" w:usb3="00000000" w:csb0="00040000" w:csb1="00000000"/>
    <w:embedRegular r:id="rId6" w:fontKey="{AFD2EEE5-3B1B-4779-BE5B-EC4C1935313F}"/>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embedRegular r:id="rId7" w:fontKey="{ADD49587-882B-4033-A83E-B7224843F0FD}"/>
  </w:font>
  <w:font w:name="楷体">
    <w:panose1 w:val="02010609060101010101"/>
    <w:charset w:val="86"/>
    <w:family w:val="modern"/>
    <w:pitch w:val="default"/>
    <w:sig w:usb0="800002BF" w:usb1="38CF7CFA" w:usb2="00000016" w:usb3="00000000" w:csb0="00040001" w:csb1="00000000"/>
    <w:embedRegular r:id="rId8" w:fontKey="{752D273C-52B6-47FB-83C2-723A0FDEDB51}"/>
  </w:font>
  <w:font w:name="方正仿宋_GBK">
    <w:panose1 w:val="02000000000000000000"/>
    <w:charset w:val="86"/>
    <w:family w:val="script"/>
    <w:pitch w:val="default"/>
    <w:sig w:usb0="A00002BF" w:usb1="38CF7CFA" w:usb2="00082016" w:usb3="00000000" w:csb0="00040001" w:csb1="00000000"/>
    <w:embedRegular r:id="rId9" w:fontKey="{FF7AC4E2-9C04-4183-A5D9-97FEE25CD485}"/>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1627922"/>
    </w:sdtPr>
    <w:sdtContent>
      <w:p w14:paraId="61F1840E">
        <w:pPr>
          <w:pStyle w:val="15"/>
          <w:jc w:val="center"/>
        </w:pPr>
        <w:r>
          <w:fldChar w:fldCharType="begin"/>
        </w:r>
        <w:r>
          <w:instrText xml:space="preserve">PAGE   \* MERGEFORMAT</w:instrText>
        </w:r>
        <w:r>
          <w:fldChar w:fldCharType="separate"/>
        </w:r>
        <w:r>
          <w:rPr>
            <w:lang w:val="zh-CN"/>
          </w:rPr>
          <w:t>19</w:t>
        </w:r>
        <w:r>
          <w:fldChar w:fldCharType="end"/>
        </w:r>
      </w:p>
    </w:sdtContent>
  </w:sdt>
  <w:p w14:paraId="0BA3D86C">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pPr>
        <w:tabs>
          <w:tab w:val="left" w:pos="0"/>
        </w:tabs>
        <w:ind w:left="0" w:firstLine="0"/>
      </w:pPr>
      <w:rPr>
        <w:rFonts w:hint="eastAsia"/>
      </w:rPr>
    </w:lvl>
  </w:abstractNum>
  <w:abstractNum w:abstractNumId="1">
    <w:nsid w:val="DEF60FE1"/>
    <w:multiLevelType w:val="singleLevel"/>
    <w:tmpl w:val="DEF60FE1"/>
    <w:lvl w:ilvl="0" w:tentative="0">
      <w:start w:val="1"/>
      <w:numFmt w:val="decimal"/>
      <w:suff w:val="nothing"/>
      <w:lvlText w:val="（%1）"/>
      <w:lvlJc w:val="left"/>
      <w:pPr>
        <w:tabs>
          <w:tab w:val="left" w:pos="0"/>
        </w:tabs>
        <w:ind w:left="0" w:firstLine="0"/>
      </w:pPr>
    </w:lvl>
  </w:abstractNum>
  <w:abstractNum w:abstractNumId="2">
    <w:nsid w:val="FF4BB6DE"/>
    <w:multiLevelType w:val="singleLevel"/>
    <w:tmpl w:val="FF4BB6DE"/>
    <w:lvl w:ilvl="0" w:tentative="0">
      <w:start w:val="1"/>
      <w:numFmt w:val="decimal"/>
      <w:suff w:val="nothing"/>
      <w:lvlText w:val="%1、"/>
      <w:lvlJc w:val="left"/>
      <w:pPr>
        <w:tabs>
          <w:tab w:val="left" w:pos="0"/>
        </w:tabs>
        <w:ind w:left="0" w:firstLine="0"/>
      </w:pPr>
    </w:lvl>
  </w:abstractNum>
  <w:abstractNum w:abstractNumId="3">
    <w:nsid w:val="FF9379A8"/>
    <w:multiLevelType w:val="singleLevel"/>
    <w:tmpl w:val="FF9379A8"/>
    <w:lvl w:ilvl="0" w:tentative="0">
      <w:start w:val="2"/>
      <w:numFmt w:val="chineseCounting"/>
      <w:suff w:val="nothing"/>
      <w:lvlText w:val="（%1）"/>
      <w:lvlJc w:val="left"/>
      <w:pPr>
        <w:tabs>
          <w:tab w:val="left" w:pos="0"/>
        </w:tabs>
        <w:ind w:left="0" w:firstLine="0"/>
      </w:pPr>
      <w:rPr>
        <w:rFonts w:hint="eastAsia"/>
      </w:rPr>
    </w:lvl>
  </w:abstractNum>
  <w:abstractNum w:abstractNumId="4">
    <w:nsid w:val="116B29BF"/>
    <w:multiLevelType w:val="singleLevel"/>
    <w:tmpl w:val="116B29BF"/>
    <w:lvl w:ilvl="0" w:tentative="0">
      <w:start w:val="3"/>
      <w:numFmt w:val="chineseCounting"/>
      <w:suff w:val="nothing"/>
      <w:lvlText w:val="%1、"/>
      <w:lvlJc w:val="left"/>
      <w:pPr>
        <w:tabs>
          <w:tab w:val="left" w:pos="0"/>
        </w:tabs>
        <w:ind w:left="0" w:firstLine="0"/>
      </w:pPr>
      <w:rPr>
        <w:rFonts w:hint="eastAsia"/>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D68"/>
    <w:rsid w:val="007F1603"/>
    <w:rsid w:val="00C5311F"/>
    <w:rsid w:val="00D55D68"/>
    <w:rsid w:val="0345149B"/>
    <w:rsid w:val="05150F11"/>
    <w:rsid w:val="080C4DBB"/>
    <w:rsid w:val="13B8685D"/>
    <w:rsid w:val="1A163D48"/>
    <w:rsid w:val="1A424B3D"/>
    <w:rsid w:val="1A703041"/>
    <w:rsid w:val="1D79158C"/>
    <w:rsid w:val="1FA30020"/>
    <w:rsid w:val="20176AD9"/>
    <w:rsid w:val="27B31C2C"/>
    <w:rsid w:val="2E8A5D44"/>
    <w:rsid w:val="2F144EC2"/>
    <w:rsid w:val="35841810"/>
    <w:rsid w:val="3AF31091"/>
    <w:rsid w:val="41982D68"/>
    <w:rsid w:val="450B698D"/>
    <w:rsid w:val="4D737DF0"/>
    <w:rsid w:val="53F603DD"/>
    <w:rsid w:val="55556FBB"/>
    <w:rsid w:val="573834AC"/>
    <w:rsid w:val="5C391B3E"/>
    <w:rsid w:val="5D6437B1"/>
    <w:rsid w:val="5E490B8D"/>
    <w:rsid w:val="6BAD196E"/>
    <w:rsid w:val="7D0A1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widowControl/>
      <w:spacing w:before="240" w:after="60"/>
      <w:jc w:val="left"/>
      <w:outlineLvl w:val="0"/>
    </w:pPr>
    <w:rPr>
      <w:rFonts w:ascii="Cambria" w:hAnsi="Cambria"/>
      <w:b/>
      <w:bCs/>
      <w:kern w:val="32"/>
      <w:sz w:val="32"/>
      <w:szCs w:val="32"/>
    </w:rPr>
  </w:style>
  <w:style w:type="paragraph" w:styleId="4">
    <w:name w:val="heading 2"/>
    <w:basedOn w:val="1"/>
    <w:next w:val="1"/>
    <w:qFormat/>
    <w:uiPriority w:val="0"/>
    <w:pPr>
      <w:keepNext/>
      <w:widowControl/>
      <w:spacing w:before="240" w:after="60"/>
      <w:jc w:val="left"/>
      <w:outlineLvl w:val="1"/>
    </w:pPr>
    <w:rPr>
      <w:rFonts w:ascii="Cambria" w:hAnsi="Cambria"/>
      <w:b/>
      <w:bCs/>
      <w:i/>
      <w:iCs/>
      <w:kern w:val="0"/>
      <w:sz w:val="28"/>
      <w:szCs w:val="28"/>
    </w:rPr>
  </w:style>
  <w:style w:type="paragraph" w:styleId="5">
    <w:name w:val="heading 3"/>
    <w:next w:val="1"/>
    <w:qFormat/>
    <w:uiPriority w:val="0"/>
    <w:pPr>
      <w:keepNext/>
      <w:keepLines/>
      <w:widowControl w:val="0"/>
      <w:spacing w:before="260" w:after="260" w:line="415" w:lineRule="auto"/>
      <w:jc w:val="both"/>
      <w:outlineLvl w:val="2"/>
    </w:pPr>
    <w:rPr>
      <w:rFonts w:ascii="Times New Roman" w:hAnsi="Times New Roman" w:eastAsia="宋体" w:cs="Times New Roman"/>
      <w:b/>
      <w:bCs/>
      <w:kern w:val="2"/>
      <w:sz w:val="21"/>
      <w:szCs w:val="24"/>
      <w:lang w:val="en-US" w:eastAsia="zh-CN" w:bidi="ar-SA"/>
    </w:rPr>
  </w:style>
  <w:style w:type="paragraph" w:styleId="6">
    <w:name w:val="heading 4"/>
    <w:basedOn w:val="1"/>
    <w:next w:val="1"/>
    <w:qFormat/>
    <w:uiPriority w:val="0"/>
    <w:pPr>
      <w:keepNext/>
      <w:widowControl/>
      <w:spacing w:before="240" w:after="60"/>
      <w:jc w:val="left"/>
      <w:outlineLvl w:val="3"/>
    </w:pPr>
    <w:rPr>
      <w:rFonts w:ascii="Calibri" w:hAnsi="Calibri"/>
      <w:b/>
      <w:bCs/>
      <w:kern w:val="0"/>
      <w:sz w:val="28"/>
      <w:szCs w:val="28"/>
    </w:rPr>
  </w:style>
  <w:style w:type="paragraph" w:styleId="7">
    <w:name w:val="heading 5"/>
    <w:basedOn w:val="1"/>
    <w:next w:val="1"/>
    <w:qFormat/>
    <w:uiPriority w:val="0"/>
    <w:pPr>
      <w:widowControl/>
      <w:spacing w:before="240" w:after="60"/>
      <w:jc w:val="left"/>
      <w:outlineLvl w:val="4"/>
    </w:pPr>
    <w:rPr>
      <w:rFonts w:ascii="Calibri" w:hAnsi="Calibri"/>
      <w:b/>
      <w:bCs/>
      <w:i/>
      <w:iCs/>
      <w:kern w:val="0"/>
      <w:sz w:val="26"/>
      <w:szCs w:val="26"/>
    </w:rPr>
  </w:style>
  <w:style w:type="paragraph" w:styleId="8">
    <w:name w:val="heading 6"/>
    <w:basedOn w:val="1"/>
    <w:next w:val="1"/>
    <w:qFormat/>
    <w:uiPriority w:val="0"/>
    <w:pPr>
      <w:widowControl/>
      <w:spacing w:before="240" w:after="60"/>
      <w:jc w:val="left"/>
      <w:outlineLvl w:val="5"/>
    </w:pPr>
    <w:rPr>
      <w:rFonts w:ascii="Calibri" w:hAnsi="Calibri"/>
      <w:b/>
      <w:bCs/>
      <w:kern w:val="0"/>
      <w:sz w:val="22"/>
      <w:szCs w:val="22"/>
    </w:rPr>
  </w:style>
  <w:style w:type="paragraph" w:styleId="9">
    <w:name w:val="heading 7"/>
    <w:basedOn w:val="1"/>
    <w:next w:val="1"/>
    <w:qFormat/>
    <w:uiPriority w:val="0"/>
    <w:pPr>
      <w:widowControl/>
      <w:spacing w:before="240" w:after="60"/>
      <w:jc w:val="left"/>
      <w:outlineLvl w:val="6"/>
    </w:pPr>
    <w:rPr>
      <w:rFonts w:ascii="Calibri" w:hAnsi="Calibri"/>
      <w:kern w:val="0"/>
      <w:sz w:val="24"/>
    </w:rPr>
  </w:style>
  <w:style w:type="paragraph" w:styleId="10">
    <w:name w:val="heading 8"/>
    <w:basedOn w:val="1"/>
    <w:next w:val="1"/>
    <w:qFormat/>
    <w:uiPriority w:val="0"/>
    <w:pPr>
      <w:widowControl/>
      <w:spacing w:before="240" w:after="60"/>
      <w:jc w:val="left"/>
      <w:outlineLvl w:val="7"/>
    </w:pPr>
    <w:rPr>
      <w:rFonts w:ascii="Calibri" w:hAnsi="Calibri"/>
      <w:i/>
      <w:iCs/>
      <w:kern w:val="0"/>
      <w:sz w:val="24"/>
    </w:rPr>
  </w:style>
  <w:style w:type="paragraph" w:styleId="11">
    <w:name w:val="heading 9"/>
    <w:basedOn w:val="1"/>
    <w:next w:val="1"/>
    <w:qFormat/>
    <w:uiPriority w:val="0"/>
    <w:pPr>
      <w:widowControl/>
      <w:spacing w:before="240" w:after="60"/>
      <w:jc w:val="left"/>
      <w:outlineLvl w:val="8"/>
    </w:pPr>
    <w:rPr>
      <w:rFonts w:ascii="Cambria" w:hAnsi="Cambr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spacing w:before="240" w:after="60"/>
      <w:jc w:val="center"/>
      <w:outlineLvl w:val="0"/>
    </w:pPr>
    <w:rPr>
      <w:rFonts w:ascii="Cambria" w:hAnsi="Cambria"/>
      <w:b/>
      <w:bCs/>
      <w:kern w:val="28"/>
      <w:sz w:val="32"/>
      <w:szCs w:val="32"/>
    </w:rPr>
  </w:style>
  <w:style w:type="paragraph" w:styleId="12">
    <w:name w:val="annotation text"/>
    <w:basedOn w:val="1"/>
    <w:link w:val="38"/>
    <w:qFormat/>
    <w:uiPriority w:val="0"/>
    <w:pPr>
      <w:jc w:val="left"/>
    </w:pPr>
  </w:style>
  <w:style w:type="paragraph" w:styleId="13">
    <w:name w:val="Body Text"/>
    <w:basedOn w:val="1"/>
    <w:qFormat/>
    <w:uiPriority w:val="0"/>
    <w:pPr>
      <w:spacing w:after="120"/>
    </w:pPr>
  </w:style>
  <w:style w:type="paragraph" w:styleId="14">
    <w:name w:val="Balloon Text"/>
    <w:basedOn w:val="1"/>
    <w:qFormat/>
    <w:uiPriority w:val="0"/>
    <w:rPr>
      <w:sz w:val="18"/>
      <w:szCs w:val="18"/>
    </w:rPr>
  </w:style>
  <w:style w:type="paragraph" w:styleId="15">
    <w:name w:val="footer"/>
    <w:basedOn w:val="1"/>
    <w:qFormat/>
    <w:uiPriority w:val="0"/>
    <w:pPr>
      <w:tabs>
        <w:tab w:val="center" w:pos="4153"/>
        <w:tab w:val="right" w:pos="8306"/>
      </w:tabs>
      <w:snapToGrid w:val="0"/>
      <w:jc w:val="left"/>
    </w:pPr>
    <w:rPr>
      <w:rFonts w:ascii="Calibri" w:hAnsi="Calibri"/>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qFormat/>
    <w:uiPriority w:val="0"/>
    <w:pPr>
      <w:widowControl/>
      <w:spacing w:after="60"/>
      <w:jc w:val="center"/>
      <w:outlineLvl w:val="1"/>
    </w:pPr>
    <w:rPr>
      <w:rFonts w:ascii="Cambria" w:hAnsi="Cambria"/>
      <w:kern w:val="0"/>
      <w:sz w:val="24"/>
    </w:rPr>
  </w:style>
  <w:style w:type="paragraph" w:styleId="18">
    <w:name w:val="Normal (Web)"/>
    <w:basedOn w:val="1"/>
    <w:qFormat/>
    <w:uiPriority w:val="0"/>
    <w:rPr>
      <w:sz w:val="24"/>
    </w:rPr>
  </w:style>
  <w:style w:type="paragraph" w:styleId="19">
    <w:name w:val="annotation subject"/>
    <w:basedOn w:val="12"/>
    <w:next w:val="12"/>
    <w:link w:val="39"/>
    <w:qFormat/>
    <w:uiPriority w:val="0"/>
    <w:rPr>
      <w:b/>
      <w:bCs/>
    </w:rPr>
  </w:style>
  <w:style w:type="paragraph" w:styleId="20">
    <w:name w:val="Body Text First Indent"/>
    <w:basedOn w:val="13"/>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0"/>
    <w:rPr>
      <w:rFonts w:ascii="Calibri" w:hAnsi="Calibri"/>
      <w:b/>
      <w:i/>
      <w:iCs/>
    </w:rPr>
  </w:style>
  <w:style w:type="character" w:styleId="25">
    <w:name w:val="annotation reference"/>
    <w:basedOn w:val="22"/>
    <w:qFormat/>
    <w:uiPriority w:val="0"/>
    <w:rPr>
      <w:sz w:val="21"/>
      <w:szCs w:val="21"/>
    </w:rPr>
  </w:style>
  <w:style w:type="paragraph" w:styleId="26">
    <w:name w:val="No Spacing"/>
    <w:basedOn w:val="1"/>
    <w:qFormat/>
    <w:uiPriority w:val="0"/>
    <w:pPr>
      <w:widowControl/>
      <w:jc w:val="left"/>
    </w:pPr>
    <w:rPr>
      <w:rFonts w:ascii="Calibri" w:hAnsi="Calibri"/>
      <w:kern w:val="0"/>
      <w:sz w:val="24"/>
      <w:szCs w:val="32"/>
      <w:lang w:bidi="en-US"/>
    </w:rPr>
  </w:style>
  <w:style w:type="paragraph" w:styleId="27">
    <w:name w:val="List Paragraph"/>
    <w:basedOn w:val="1"/>
    <w:qFormat/>
    <w:uiPriority w:val="0"/>
    <w:pPr>
      <w:widowControl/>
      <w:ind w:left="720"/>
      <w:contextualSpacing/>
      <w:jc w:val="left"/>
    </w:pPr>
    <w:rPr>
      <w:rFonts w:ascii="Calibri" w:hAnsi="Calibri"/>
      <w:kern w:val="0"/>
      <w:sz w:val="24"/>
      <w:lang w:bidi="en-US"/>
    </w:rPr>
  </w:style>
  <w:style w:type="paragraph" w:styleId="28">
    <w:name w:val="Quote"/>
    <w:basedOn w:val="1"/>
    <w:next w:val="1"/>
    <w:qFormat/>
    <w:uiPriority w:val="0"/>
    <w:pPr>
      <w:widowControl/>
      <w:jc w:val="left"/>
    </w:pPr>
    <w:rPr>
      <w:rFonts w:ascii="Calibri" w:hAnsi="Calibri"/>
      <w:i/>
      <w:kern w:val="0"/>
      <w:sz w:val="24"/>
    </w:rPr>
  </w:style>
  <w:style w:type="paragraph" w:styleId="29">
    <w:name w:val="Intense Quote"/>
    <w:basedOn w:val="1"/>
    <w:next w:val="1"/>
    <w:qFormat/>
    <w:uiPriority w:val="0"/>
    <w:pPr>
      <w:widowControl/>
      <w:ind w:left="720" w:right="720"/>
      <w:jc w:val="left"/>
    </w:pPr>
    <w:rPr>
      <w:rFonts w:ascii="Calibri" w:hAnsi="Calibri"/>
      <w:b/>
      <w:i/>
      <w:kern w:val="0"/>
      <w:sz w:val="24"/>
      <w:szCs w:val="22"/>
    </w:rPr>
  </w:style>
  <w:style w:type="character" w:customStyle="1" w:styleId="30">
    <w:name w:val="不明显强调1"/>
    <w:qFormat/>
    <w:uiPriority w:val="0"/>
    <w:rPr>
      <w:i/>
      <w:color w:val="595959"/>
    </w:rPr>
  </w:style>
  <w:style w:type="character" w:customStyle="1" w:styleId="31">
    <w:name w:val="明显强调1"/>
    <w:basedOn w:val="22"/>
    <w:qFormat/>
    <w:uiPriority w:val="0"/>
    <w:rPr>
      <w:b/>
      <w:i/>
      <w:sz w:val="24"/>
      <w:szCs w:val="24"/>
      <w:u w:val="single"/>
    </w:rPr>
  </w:style>
  <w:style w:type="character" w:customStyle="1" w:styleId="32">
    <w:name w:val="不明显参考1"/>
    <w:basedOn w:val="22"/>
    <w:qFormat/>
    <w:uiPriority w:val="0"/>
    <w:rPr>
      <w:sz w:val="24"/>
      <w:szCs w:val="24"/>
      <w:u w:val="single"/>
    </w:rPr>
  </w:style>
  <w:style w:type="character" w:customStyle="1" w:styleId="33">
    <w:name w:val="明显参考1"/>
    <w:basedOn w:val="22"/>
    <w:qFormat/>
    <w:uiPriority w:val="0"/>
    <w:rPr>
      <w:b/>
      <w:sz w:val="24"/>
      <w:u w:val="single"/>
    </w:rPr>
  </w:style>
  <w:style w:type="character" w:customStyle="1" w:styleId="34">
    <w:name w:val="书籍标题1"/>
    <w:basedOn w:val="22"/>
    <w:qFormat/>
    <w:uiPriority w:val="0"/>
    <w:rPr>
      <w:rFonts w:ascii="Cambria" w:hAnsi="Cambria" w:eastAsia="宋体"/>
      <w:b/>
      <w:i/>
      <w:sz w:val="24"/>
      <w:szCs w:val="24"/>
    </w:rPr>
  </w:style>
  <w:style w:type="paragraph" w:customStyle="1" w:styleId="35">
    <w:name w:val="TOC 标题1"/>
    <w:basedOn w:val="3"/>
    <w:next w:val="1"/>
    <w:qFormat/>
    <w:uiPriority w:val="0"/>
    <w:pPr>
      <w:outlineLvl w:val="9"/>
    </w:pPr>
    <w:rPr>
      <w:lang w:bidi="en-US"/>
    </w:rPr>
  </w:style>
  <w:style w:type="paragraph" w:customStyle="1" w:styleId="36">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37">
    <w:name w:val="fontstyle01"/>
    <w:qFormat/>
    <w:uiPriority w:val="0"/>
    <w:rPr>
      <w:rFonts w:ascii="仿宋_GB2312" w:eastAsia="仿宋_GB2312" w:cs="仿宋_GB2312"/>
      <w:color w:val="000000"/>
      <w:sz w:val="32"/>
      <w:szCs w:val="32"/>
    </w:rPr>
  </w:style>
  <w:style w:type="character" w:customStyle="1" w:styleId="38">
    <w:name w:val="批注文字 字符"/>
    <w:basedOn w:val="22"/>
    <w:link w:val="12"/>
    <w:qFormat/>
    <w:uiPriority w:val="0"/>
    <w:rPr>
      <w:kern w:val="2"/>
      <w:sz w:val="21"/>
      <w:szCs w:val="24"/>
    </w:rPr>
  </w:style>
  <w:style w:type="character" w:customStyle="1" w:styleId="39">
    <w:name w:val="批注主题 字符"/>
    <w:basedOn w:val="38"/>
    <w:link w:val="19"/>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6275</Words>
  <Characters>6822</Characters>
  <Lines>68</Lines>
  <Paragraphs>19</Paragraphs>
  <TotalTime>2</TotalTime>
  <ScaleCrop>false</ScaleCrop>
  <LinksUpToDate>false</LinksUpToDate>
  <CharactersWithSpaces>6856</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2021-04-08T03:55:00Z</cp:lastPrinted>
  <dcterms:modified xsi:type="dcterms:W3CDTF">2025-09-03T03:17:18Z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D7B12233B90A43FABB58ED9894ADB5C6</vt:lpwstr>
  </property>
  <property fmtid="{D5CDD505-2E9C-101B-9397-08002B2CF9AE}" pid="4" name="KSOTemplateDocerSaveRecord">
    <vt:lpwstr>eyJoZGlkIjoiN2VjMGM4YTNmZTY1NDFjMWFjNmVmZmU0NDA2ZTk0ZmMiLCJ1c2VySWQiOiI4NjI1NDMxNDkifQ==</vt:lpwstr>
  </property>
</Properties>
</file>