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6"/>
          <w:szCs w:val="36"/>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6"/>
          <w:szCs w:val="36"/>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6"/>
          <w:szCs w:val="36"/>
        </w:rPr>
      </w:pPr>
    </w:p>
    <w:p>
      <w:pPr>
        <w:pageBreakBefore w:val="0"/>
        <w:kinsoku/>
        <w:wordWrap/>
        <w:overflowPunct/>
        <w:topLinePunct w:val="0"/>
        <w:autoSpaceDE/>
        <w:bidi w:val="0"/>
        <w:adjustRightInd/>
        <w:snapToGrid/>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部门预算项目支出绩效自评报告</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（2020年度）</w:t>
      </w: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ind w:left="1800" w:hanging="1600" w:hangingChars="5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bCs/>
          <w:color w:val="000000"/>
          <w:kern w:val="0"/>
          <w:sz w:val="32"/>
          <w:szCs w:val="32"/>
        </w:rPr>
        <w:t>边境地区群众文化艺术人才培育项目</w:t>
      </w:r>
    </w:p>
    <w:p>
      <w:pPr>
        <w:pageBreakBefore w:val="0"/>
        <w:kinsoku/>
        <w:wordWrap/>
        <w:overflowPunct/>
        <w:topLinePunct w:val="0"/>
        <w:autoSpaceDE/>
        <w:bidi w:val="0"/>
        <w:adjustRightInd/>
        <w:snapToGrid/>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实施单位（公章）：塔城地区文化馆</w:t>
      </w:r>
    </w:p>
    <w:p>
      <w:pPr>
        <w:pageBreakBefore w:val="0"/>
        <w:kinsoku/>
        <w:wordWrap/>
        <w:overflowPunct/>
        <w:topLinePunct w:val="0"/>
        <w:autoSpaceDE/>
        <w:bidi w:val="0"/>
        <w:adjustRightInd/>
        <w:snapToGrid/>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主管部门（公章）：塔城地区文化体育广播电视和旅游局</w:t>
      </w:r>
    </w:p>
    <w:p>
      <w:pPr>
        <w:pageBreakBefore w:val="0"/>
        <w:kinsoku/>
        <w:wordWrap/>
        <w:overflowPunct/>
        <w:topLinePunct w:val="0"/>
        <w:autoSpaceDE/>
        <w:bidi w:val="0"/>
        <w:adjustRightInd/>
        <w:snapToGrid/>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项目负责人（签章）：尹照东</w:t>
      </w:r>
    </w:p>
    <w:p>
      <w:pPr>
        <w:pageBreakBefore w:val="0"/>
        <w:kinsoku/>
        <w:wordWrap/>
        <w:overflowPunct/>
        <w:topLinePunct w:val="0"/>
        <w:autoSpaceDE/>
        <w:bidi w:val="0"/>
        <w:adjustRightInd/>
        <w:snapToGrid/>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填报时间：2020年3月16日</w:t>
      </w:r>
    </w:p>
    <w:p>
      <w:pPr>
        <w:pageBreakBefore w:val="0"/>
        <w:kinsoku/>
        <w:wordWrap/>
        <w:overflowPunct/>
        <w:topLinePunct w:val="0"/>
        <w:autoSpaceDE/>
        <w:bidi w:val="0"/>
        <w:adjustRightInd/>
        <w:snapToGrid/>
        <w:spacing w:line="560" w:lineRule="exact"/>
        <w:ind w:firstLine="800" w:firstLineChars="250"/>
        <w:jc w:val="lef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sz w:val="32"/>
          <w:szCs w:val="3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 w:val="32"/>
          <w:szCs w:val="32"/>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rPr>
      </w:pP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kern w:val="0"/>
          <w:sz w:val="36"/>
          <w:szCs w:val="36"/>
        </w:rPr>
      </w:pP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目录</w:t>
      </w:r>
    </w:p>
    <w:p>
      <w:pPr>
        <w:pStyle w:val="10"/>
        <w:pageBreakBefore w:val="0"/>
        <w:tabs>
          <w:tab w:val="right" w:leader="dot" w:pos="8306"/>
        </w:tabs>
        <w:kinsoku/>
        <w:wordWrap/>
        <w:overflowPunct/>
        <w:topLinePunct w:val="0"/>
        <w:autoSpaceDE/>
        <w:bidi w:val="0"/>
        <w:adjustRightInd/>
        <w:snapToGrid/>
        <w:spacing w:before="0" w:after="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56"/>
        </w:rPr>
        <w:fldChar w:fldCharType="begin"/>
      </w:r>
      <w:r>
        <w:rPr>
          <w:rFonts w:hint="eastAsia" w:ascii="仿宋_GB2312" w:hAnsi="仿宋_GB2312" w:eastAsia="仿宋_GB2312" w:cs="仿宋_GB2312"/>
          <w:sz w:val="24"/>
          <w:szCs w:val="56"/>
        </w:rPr>
        <w:instrText xml:space="preserve">TOC \o "1-4" \f \h \z</w:instrText>
      </w:r>
      <w:r>
        <w:rPr>
          <w:rFonts w:hint="eastAsia" w:ascii="仿宋_GB2312" w:hAnsi="仿宋_GB2312" w:eastAsia="仿宋_GB2312" w:cs="仿宋_GB2312"/>
          <w:sz w:val="24"/>
          <w:szCs w:val="56"/>
        </w:rPr>
        <w:fldChar w:fldCharType="separate"/>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"_Toc4359"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一、项目概况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_Toc4359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"_Toc7007"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（一）项目单位基本情况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_Toc7007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"_Toc559"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（二）项目绩效目标设置情况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_Toc559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0"/>
        <w:pageBreakBefore w:val="0"/>
        <w:tabs>
          <w:tab w:val="right" w:leader="dot" w:pos="8306"/>
        </w:tabs>
        <w:kinsoku/>
        <w:wordWrap/>
        <w:overflowPunct/>
        <w:topLinePunct w:val="0"/>
        <w:autoSpaceDE/>
        <w:bidi w:val="0"/>
        <w:adjustRightInd/>
        <w:snapToGrid/>
        <w:spacing w:before="0" w:after="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"_Toc9195"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二、项目资金使用情况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_Toc9195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"_Toc17693"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（一）项目资金安排落实、总投入等情况分析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_Toc17693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"_Toc29569"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（二）项目资金实际使用情况分析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_Toc29569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"_Toc731"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（三）项目资金管理情况分析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_Toc731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0"/>
        <w:pageBreakBefore w:val="0"/>
        <w:tabs>
          <w:tab w:val="right" w:leader="dot" w:pos="8306"/>
        </w:tabs>
        <w:kinsoku/>
        <w:wordWrap/>
        <w:overflowPunct/>
        <w:topLinePunct w:val="0"/>
        <w:autoSpaceDE/>
        <w:bidi w:val="0"/>
        <w:adjustRightInd/>
        <w:snapToGrid/>
        <w:spacing w:before="0" w:after="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"_Toc21487"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三、项目组织实施情况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_Toc21487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"_Toc14134"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（一）项目组织情况分析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_Toc14134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"_Toc19977"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（二）项目管理情况分析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_Toc19977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0"/>
        <w:pageBreakBefore w:val="0"/>
        <w:tabs>
          <w:tab w:val="right" w:leader="dot" w:pos="8306"/>
        </w:tabs>
        <w:kinsoku/>
        <w:wordWrap/>
        <w:overflowPunct/>
        <w:topLinePunct w:val="0"/>
        <w:autoSpaceDE/>
        <w:bidi w:val="0"/>
        <w:adjustRightInd/>
        <w:snapToGrid/>
        <w:spacing w:before="0" w:after="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"_Toc15117"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四、项目绩效情况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_Toc15117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"_Toc17719"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（一）项目绩效目标完成情况分析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_Toc17719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"_Toc16902"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（二）没有完成绩效目标的指标</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_Toc16902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"_Toc3304"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（三）原因解释</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_Toc3304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0"/>
        <w:pageBreakBefore w:val="0"/>
        <w:tabs>
          <w:tab w:val="right" w:leader="dot" w:pos="8306"/>
        </w:tabs>
        <w:kinsoku/>
        <w:wordWrap/>
        <w:overflowPunct/>
        <w:topLinePunct w:val="0"/>
        <w:autoSpaceDE/>
        <w:bidi w:val="0"/>
        <w:adjustRightInd/>
        <w:snapToGrid/>
        <w:spacing w:before="0" w:after="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"_Toc28357"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五、其他需要说明的问题</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_Toc28357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"_Toc11859"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（一）后续工作计划</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_Toc11859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2"/>
        <w:pageBreakBefore w:val="0"/>
        <w:tabs>
          <w:tab w:val="right" w:leader="dot" w:pos="8306"/>
        </w:tabs>
        <w:kinsoku/>
        <w:wordWrap/>
        <w:overflowPunct/>
        <w:topLinePunct w:val="0"/>
        <w:autoSpaceDE/>
        <w:bidi w:val="0"/>
        <w:adjustRightInd/>
        <w:snapToGrid/>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"_Toc31272"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（二）主要经验及做法、存在问题和建议</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_Toc31272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0"/>
        <w:pageBreakBefore w:val="0"/>
        <w:tabs>
          <w:tab w:val="right" w:leader="dot" w:pos="8306"/>
        </w:tabs>
        <w:kinsoku/>
        <w:wordWrap/>
        <w:overflowPunct/>
        <w:topLinePunct w:val="0"/>
        <w:autoSpaceDE/>
        <w:bidi w:val="0"/>
        <w:adjustRightInd/>
        <w:snapToGrid/>
        <w:spacing w:before="0" w:after="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"_Toc2398"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六、项目评价工作情况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_Toc2398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10</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0"/>
        <w:pageBreakBefore w:val="0"/>
        <w:tabs>
          <w:tab w:val="right" w:leader="dot" w:pos="8306"/>
        </w:tabs>
        <w:kinsoku/>
        <w:wordWrap/>
        <w:overflowPunct/>
        <w:topLinePunct w:val="0"/>
        <w:autoSpaceDE/>
        <w:bidi w:val="0"/>
        <w:adjustRightInd/>
        <w:snapToGrid/>
        <w:spacing w:before="0" w:after="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"_Toc3345"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七、项目支出绩效评价表</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_Toc3345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sz w:val="44"/>
          <w:szCs w:val="56"/>
        </w:rPr>
      </w:pPr>
      <w:r>
        <w:rPr>
          <w:rFonts w:hint="eastAsia" w:ascii="仿宋_GB2312" w:hAnsi="仿宋_GB2312" w:eastAsia="仿宋_GB2312" w:cs="仿宋_GB2312"/>
          <w:sz w:val="44"/>
          <w:szCs w:val="56"/>
        </w:rPr>
        <w:fldChar w:fldCharType="end"/>
      </w: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szCs w:val="44"/>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szCs w:val="44"/>
        </w:rPr>
      </w:pPr>
    </w:p>
    <w:p>
      <w:pPr>
        <w:rPr>
          <w:rFonts w:hint="eastAsia" w:ascii="仿宋_GB2312" w:hAnsi="仿宋_GB2312" w:eastAsia="仿宋_GB2312" w:cs="仿宋_GB2312"/>
          <w:szCs w:val="44"/>
        </w:rPr>
      </w:pPr>
    </w:p>
    <w:p>
      <w:pPr>
        <w:pStyle w:val="2"/>
        <w:rPr>
          <w:rFonts w:hint="eastAsia" w:ascii="仿宋_GB2312" w:hAnsi="仿宋_GB2312" w:eastAsia="仿宋_GB2312" w:cs="仿宋_GB2312"/>
        </w:rPr>
      </w:pPr>
    </w:p>
    <w:p>
      <w:pPr>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b/>
          <w:bCs/>
          <w:sz w:val="32"/>
          <w:szCs w:val="32"/>
        </w:rPr>
      </w:pPr>
      <w:r>
        <w:rPr>
          <w:rFonts w:hint="eastAsia" w:ascii="黑体" w:hAnsi="黑体" w:eastAsia="黑体" w:cs="黑体"/>
          <w:sz w:val="32"/>
          <w:szCs w:val="32"/>
        </w:rPr>
        <w:t>一、基本情况</w:t>
      </w:r>
    </w:p>
    <w:p>
      <w:pPr>
        <w:pageBreakBefore w:val="0"/>
        <w:kinsoku/>
        <w:wordWrap/>
        <w:overflowPunct/>
        <w:topLinePunct w:val="0"/>
        <w:autoSpaceDE/>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val="0"/>
        <w:bidi w:val="0"/>
        <w:adjustRightInd/>
        <w:snapToGrid/>
        <w:spacing w:line="560" w:lineRule="exact"/>
        <w:ind w:right="109" w:rightChars="52" w:firstLine="964" w:firstLineChars="3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val="0"/>
        <w:bidi w:val="0"/>
        <w:adjustRightInd/>
        <w:snapToGrid/>
        <w:spacing w:line="560" w:lineRule="exact"/>
        <w:ind w:right="109" w:rightChars="52"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（1）项目实施的政策背景</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塔城地区申报创建的“边境地区群众文化艺术人才培育”是2015年第三批国家公共文化示范项目，塔城地区有5个县市40个乡镇中的458个村与哈萨克斯坦共和国接壤，是一个典型的地处边境又是一个多民族聚集的区域，存在多民族语言文字等方面的障碍，仅凭我们现有的群众文化艺术人才远远不能满足边境地区城乡人民群众对健康文化的迫切需求。因此，创建国家“边境群众文化艺术人才培育”示范项目具有重大的现实意义和历史意义。</w:t>
      </w:r>
    </w:p>
    <w:p>
      <w:pPr>
        <w:pageBreakBefore w:val="0"/>
        <w:kinsoku/>
        <w:wordWrap/>
        <w:overflowPunct/>
        <w:topLinePunct w:val="0"/>
        <w:autoSpaceDE/>
        <w:autoSpaceDN w:val="0"/>
        <w:bidi w:val="0"/>
        <w:adjustRightInd/>
        <w:snapToGrid/>
        <w:spacing w:line="560" w:lineRule="exact"/>
        <w:ind w:right="109" w:rightChars="52" w:firstLine="640" w:firstLineChars="200"/>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（2）项目实施的历史背景</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创建的“边境地区群众文化艺术人才培育”，能够有利于提升塔城地区群众文化艺术人才培育的质量，为加快塔城地区公共文化服务体系建设和群众文化艺术人才培育工作提供有力的保障；有利于进一步推进塔城地区群众文化艺术人才发挥先进文化的引领作用；有利于推动塔城地区现代文化服务体系的全面发展；有利于提升边境地区优秀传统文化的影响力；有利于塔城地区群众文化艺术事业的健康、快速发展；有利于推动塔城地区的社会稳定和长治久安。</w:t>
      </w:r>
    </w:p>
    <w:p>
      <w:pPr>
        <w:pageBreakBefore w:val="0"/>
        <w:numPr>
          <w:ilvl w:val="0"/>
          <w:numId w:val="1"/>
        </w:numPr>
        <w:kinsoku/>
        <w:wordWrap/>
        <w:overflowPunct/>
        <w:topLinePunct w:val="0"/>
        <w:autoSpaceDE/>
        <w:autoSpaceDN w:val="0"/>
        <w:bidi w:val="0"/>
        <w:adjustRightInd/>
        <w:snapToGrid/>
        <w:spacing w:line="560" w:lineRule="exact"/>
        <w:ind w:right="109" w:rightChars="52" w:firstLine="643" w:firstLineChars="200"/>
        <w:rPr>
          <w:rFonts w:hint="eastAsia" w:ascii="仿宋_GB2312" w:hAnsi="仿宋_GB2312" w:eastAsia="仿宋_GB2312" w:cs="仿宋_GB2312"/>
          <w:b/>
          <w:bCs/>
          <w:snapToGrid w:val="0"/>
          <w:sz w:val="32"/>
          <w:szCs w:val="32"/>
        </w:rPr>
      </w:pPr>
      <w:r>
        <w:rPr>
          <w:rFonts w:hint="eastAsia" w:ascii="仿宋_GB2312" w:hAnsi="仿宋_GB2312" w:eastAsia="仿宋_GB2312" w:cs="仿宋_GB2312"/>
          <w:b/>
          <w:bCs/>
          <w:snapToGrid w:val="0"/>
          <w:sz w:val="32"/>
          <w:szCs w:val="32"/>
        </w:rPr>
        <w:t>项目主要内容及实施情况</w:t>
      </w:r>
    </w:p>
    <w:p>
      <w:pPr>
        <w:pageBreakBefore w:val="0"/>
        <w:numPr>
          <w:ilvl w:val="0"/>
          <w:numId w:val="0"/>
        </w:numPr>
        <w:kinsoku/>
        <w:wordWrap/>
        <w:overflowPunct/>
        <w:topLinePunct w:val="0"/>
        <w:autoSpaceDE/>
        <w:autoSpaceDN w:val="0"/>
        <w:bidi w:val="0"/>
        <w:adjustRightInd/>
        <w:snapToGrid/>
        <w:spacing w:line="560" w:lineRule="exact"/>
        <w:ind w:right="109" w:rightChars="52" w:firstLine="640" w:firstLineChars="200"/>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(1)</w:t>
      </w:r>
      <w:r>
        <w:rPr>
          <w:rFonts w:hint="eastAsia" w:ascii="仿宋_GB2312" w:hAnsi="仿宋_GB2312" w:eastAsia="仿宋_GB2312" w:cs="仿宋_GB2312"/>
          <w:snapToGrid w:val="0"/>
          <w:sz w:val="32"/>
          <w:szCs w:val="32"/>
        </w:rPr>
        <w:t>项目主要内容：</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使用示范项目75万元用于文化中心的市民文化活动中心的建设和群众文化培育基地建设，塔城文化中心（文博书苑）在文化馆中建有一个市民文化活动中心，它是根据新时期、新时代群众文化工作的需要设计和建设的，更是进入新时期开展群众文化艺术人才培育的一个重要基地和窗口，它的建成和使用是衡量一个地区群众文化活动的一个重要标志，也是文化馆开展群众文化活动和培育边境地区文化艺术人才的一个重要的窗口和基地。</w:t>
      </w:r>
    </w:p>
    <w:p>
      <w:pPr>
        <w:pageBreakBefore w:val="0"/>
        <w:kinsoku/>
        <w:wordWrap/>
        <w:overflowPunct/>
        <w:topLinePunct w:val="0"/>
        <w:autoSpaceDE/>
        <w:autoSpaceDN w:val="0"/>
        <w:bidi w:val="0"/>
        <w:adjustRightInd/>
        <w:snapToGrid/>
        <w:spacing w:line="560" w:lineRule="exact"/>
        <w:ind w:right="109" w:rightChars="52" w:firstLine="640" w:firstLineChars="200"/>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（2）项目实施情况：</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本项目总投资75万元，其中：财政本级资金75万元。项目实际支出75万元， 支出率为100%。</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75万元，按照《中央补助地方公共文化服务体系建设资金资金管理办法》及单位财务制度等相关规定，资金支出符合中央补助地方公共文化服务体系建设专项资金费用范围，做到了专款专用。在项目资金拨付和使用过程中，为确保项目资金的安全性，提高项目资金使用效率，严格遵循中央补助地方公共文化服务体系建设资金的拨付程序，认真审核项目实施各阶段的相关材料和手续，根据项目实施进展情况拨付资金。</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项目预算资金来源于塔地财教【2019】72文件中批复的资金，项目资金到位75万元，用于支付项目实施进程中的各项费用。</w:t>
      </w:r>
    </w:p>
    <w:p>
      <w:pPr>
        <w:pageBreakBefore w:val="0"/>
        <w:kinsoku/>
        <w:wordWrap/>
        <w:overflowPunct/>
        <w:topLinePunct w:val="0"/>
        <w:autoSpaceDE/>
        <w:bidi w:val="0"/>
        <w:adjustRightInd/>
        <w:snapToGrid/>
        <w:spacing w:line="560" w:lineRule="exact"/>
        <w:ind w:firstLine="321" w:firstLineChars="1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使用示范项目75万元用于文化中心的市民文化活动中心的建设和群众文化培育基地建设。</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（1）前期准备：根据《市民文化活动中心和群众文化培育基地建设心案》，通过制定项目实施方案，经项目负责人审核通过后，有序开展后续工程。</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（2）组织实施：资金一到位，立即根据项目要求实施项目。项目责任人按照《市民文化活动中心和群众文化培育基地建设方案》要求逐一进行项目部署安排，提高项目质量及效率性。</w:t>
      </w:r>
    </w:p>
    <w:p>
      <w:pPr>
        <w:pageBreakBefore w:val="0"/>
        <w:kinsoku/>
        <w:wordWrap/>
        <w:overflowPunct/>
        <w:topLinePunct w:val="0"/>
        <w:autoSpaceDE/>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二、绩效评价工作开展情况</w:t>
      </w:r>
    </w:p>
    <w:p>
      <w:pPr>
        <w:pageBreakBefore w:val="0"/>
        <w:kinsoku/>
        <w:wordWrap/>
        <w:overflowPunct/>
        <w:topLinePunct w:val="0"/>
        <w:autoSpaceDE/>
        <w:bidi w:val="0"/>
        <w:adjustRightInd/>
        <w:snapToGrid/>
        <w:spacing w:line="560" w:lineRule="exact"/>
        <w:ind w:firstLine="641"/>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bidi w:val="0"/>
        <w:adjustRightInd/>
        <w:snapToGrid/>
        <w:spacing w:line="560" w:lineRule="exact"/>
        <w:ind w:left="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本绩效评价对象为：文化中心的市民文化活动中心的建设和群众文化培育基地建设项目。</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评价范围为市民文化活动中心的建设和群众文化培育基地建设项目资金的使用情况、项目实施情况以及取得的综合绩效。</w:t>
      </w:r>
    </w:p>
    <w:p>
      <w:pPr>
        <w:pageBreakBefore w:val="0"/>
        <w:kinsoku/>
        <w:wordWrap/>
        <w:overflowPunct/>
        <w:topLinePunct w:val="0"/>
        <w:autoSpaceDE/>
        <w:bidi w:val="0"/>
        <w:adjustRightInd/>
        <w:snapToGrid/>
        <w:spacing w:line="560" w:lineRule="exact"/>
        <w:ind w:firstLine="641"/>
        <w:rPr>
          <w:rFonts w:hint="eastAsia" w:ascii="楷体_GB2312" w:hAnsi="楷体_GB2312" w:eastAsia="楷体_GB2312" w:cs="楷体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采用层次分析法，建立评价指标体系。绩效评价将指标分为项目决策、项目过程、项目产出、项目效益指标四个维度，最终形成一个由多个相互联系的指标组成的多层次指标体系。</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确定各个指标相对于项目总体绩效的权重分值。在绩效评价指标体系中，项目决策权重为5%，项目过程权重值占5%，项目产出权重值占50%，项目效益权重占40%。</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bidi w:val="0"/>
        <w:adjustRightInd/>
        <w:snapToGrid/>
        <w:spacing w:before="0" w:after="0" w:line="560" w:lineRule="exact"/>
        <w:ind w:firstLine="708" w:firstLineChars="200"/>
        <w:jc w:val="both"/>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Fonts w:hint="eastAsia" w:ascii="仿宋_GB2312" w:hAnsi="仿宋_GB2312" w:eastAsia="仿宋_GB2312" w:cs="仿宋_GB2312"/>
          <w:b w:val="0"/>
          <w:bCs w:val="0"/>
          <w:color w:val="000000"/>
          <w:spacing w:val="17"/>
        </w:rPr>
        <w:t>具体评价指标体系详情见附件1）。</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bidi w:val="0"/>
        <w:adjustRightInd/>
        <w:snapToGrid/>
        <w:spacing w:before="0" w:after="0" w:line="560" w:lineRule="exact"/>
        <w:ind w:firstLine="641"/>
        <w:jc w:val="both"/>
        <w:outlineLvl w:val="9"/>
        <w:rPr>
          <w:rFonts w:hint="eastAsia" w:ascii="仿宋_GB2312" w:hAnsi="仿宋_GB2312" w:eastAsia="仿宋_GB2312" w:cs="仿宋_GB2312"/>
          <w:b/>
          <w:bCs/>
          <w:i w:val="0"/>
          <w:iCs w:val="0"/>
        </w:rPr>
      </w:pPr>
      <w:r>
        <w:rPr>
          <w:rFonts w:hint="eastAsia" w:ascii="仿宋_GB2312" w:hAnsi="仿宋_GB2312" w:eastAsia="仿宋_GB2312" w:cs="仿宋_GB2312"/>
          <w:b/>
          <w:bCs/>
          <w:i w:val="0"/>
          <w:iCs w:val="0"/>
        </w:rPr>
        <w:t>4、评价标准</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pageBreakBefore w:val="0"/>
        <w:numPr>
          <w:ilvl w:val="0"/>
          <w:numId w:val="0"/>
        </w:numPr>
        <w:kinsoku/>
        <w:wordWrap/>
        <w:overflowPunct/>
        <w:topLinePunct w:val="0"/>
        <w:autoSpaceDE/>
        <w:bidi w:val="0"/>
        <w:adjustRightInd/>
        <w:snapToGrid/>
        <w:spacing w:before="0" w:after="0" w:line="560" w:lineRule="exact"/>
        <w:ind w:firstLine="711" w:firstLineChars="200"/>
        <w:jc w:val="both"/>
        <w:rPr>
          <w:rFonts w:hint="eastAsia" w:ascii="楷体_GB2312" w:hAnsi="楷体_GB2312" w:eastAsia="楷体_GB2312" w:cs="楷体_GB2312"/>
          <w:color w:val="000000"/>
          <w:spacing w:val="17"/>
        </w:rPr>
      </w:pPr>
      <w:r>
        <w:rPr>
          <w:rFonts w:hint="eastAsia" w:ascii="楷体_GB2312" w:hAnsi="楷体_GB2312" w:eastAsia="楷体_GB2312" w:cs="楷体_GB2312"/>
          <w:color w:val="000000"/>
          <w:spacing w:val="17"/>
          <w:lang w:val="en-US" w:eastAsia="zh-CN"/>
        </w:rPr>
        <w:t>(三)</w:t>
      </w:r>
      <w:r>
        <w:rPr>
          <w:rFonts w:hint="eastAsia" w:ascii="楷体_GB2312" w:hAnsi="楷体_GB2312" w:eastAsia="楷体_GB2312" w:cs="楷体_GB2312"/>
          <w:color w:val="000000"/>
          <w:spacing w:val="17"/>
        </w:rPr>
        <w:t>绩效评价工作过程</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rPr>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pPr>
        <w:pageBreakBefore w:val="0"/>
        <w:kinsoku/>
        <w:wordWrap/>
        <w:overflowPunct/>
        <w:topLinePunct w:val="0"/>
        <w:autoSpaceDE/>
        <w:bidi w:val="0"/>
        <w:adjustRightInd/>
        <w:snapToGrid/>
        <w:spacing w:line="560" w:lineRule="exact"/>
        <w:ind w:firstLine="641"/>
        <w:rPr>
          <w:rFonts w:hint="eastAsia" w:ascii="仿宋_GB2312" w:hAnsi="仿宋_GB2312" w:eastAsia="仿宋_GB2312" w:cs="仿宋_GB2312"/>
          <w:color w:val="000000"/>
          <w:spacing w:val="17"/>
          <w:sz w:val="32"/>
          <w:szCs w:val="32"/>
          <w:u w:val="single"/>
        </w:rPr>
      </w:pPr>
      <w:r>
        <w:rPr>
          <w:rFonts w:hint="eastAsia" w:ascii="仿宋_GB2312" w:hAnsi="仿宋_GB2312" w:eastAsia="仿宋_GB2312" w:cs="仿宋_GB2312"/>
          <w:color w:val="000000"/>
          <w:spacing w:val="17"/>
          <w:sz w:val="32"/>
          <w:szCs w:val="32"/>
        </w:rPr>
        <w:t>我单位能专款专项使用资金，使年初的预算能合理规范的用于专项业务上，达到了年初预算时的效益指标。通过自评工作，确保专项工作检查经费支付使用规范、资金使用成效显著。根据定量分析及定性分析，分数为9</w:t>
      </w:r>
      <w:r>
        <w:rPr>
          <w:rFonts w:hint="eastAsia" w:ascii="仿宋_GB2312" w:hAnsi="仿宋_GB2312" w:eastAsia="仿宋_GB2312" w:cs="仿宋_GB2312"/>
          <w:color w:val="000000"/>
          <w:spacing w:val="17"/>
          <w:sz w:val="32"/>
          <w:szCs w:val="32"/>
          <w:lang w:val="en-US" w:eastAsia="zh-CN"/>
        </w:rPr>
        <w:t>5.83</w:t>
      </w:r>
      <w:r>
        <w:rPr>
          <w:rFonts w:hint="eastAsia" w:ascii="仿宋_GB2312" w:hAnsi="仿宋_GB2312" w:eastAsia="仿宋_GB2312" w:cs="仿宋_GB2312"/>
          <w:color w:val="000000"/>
          <w:spacing w:val="17"/>
          <w:sz w:val="32"/>
          <w:szCs w:val="32"/>
        </w:rPr>
        <w:t>分，综合考评为优。</w:t>
      </w:r>
      <w:r>
        <w:rPr>
          <w:rFonts w:hint="eastAsia" w:ascii="仿宋_GB2312" w:hAnsi="仿宋_GB2312" w:eastAsia="仿宋_GB2312" w:cs="仿宋_GB2312"/>
          <w:color w:val="000000"/>
          <w:spacing w:val="17"/>
          <w:sz w:val="32"/>
          <w:szCs w:val="32"/>
          <w:u w:val="none"/>
        </w:rPr>
        <w:t>其中，项目决策类指标权重为5分，得分为 5分，得分率为 100%。项目过程类指标权重为5分，得分为</w:t>
      </w:r>
      <w:r>
        <w:rPr>
          <w:rFonts w:hint="eastAsia" w:ascii="仿宋_GB2312" w:hAnsi="仿宋_GB2312" w:eastAsia="仿宋_GB2312" w:cs="仿宋_GB2312"/>
          <w:color w:val="000000"/>
          <w:spacing w:val="17"/>
          <w:sz w:val="32"/>
          <w:szCs w:val="32"/>
          <w:u w:val="none"/>
          <w:lang w:val="en-US" w:eastAsia="zh-CN"/>
        </w:rPr>
        <w:t>5</w:t>
      </w:r>
      <w:r>
        <w:rPr>
          <w:rFonts w:hint="eastAsia" w:ascii="仿宋_GB2312" w:hAnsi="仿宋_GB2312" w:eastAsia="仿宋_GB2312" w:cs="仿宋_GB2312"/>
          <w:color w:val="000000"/>
          <w:spacing w:val="17"/>
          <w:sz w:val="32"/>
          <w:szCs w:val="32"/>
          <w:u w:val="none"/>
        </w:rPr>
        <w:t>分，得分率为</w:t>
      </w:r>
      <w:r>
        <w:rPr>
          <w:rFonts w:hint="eastAsia" w:ascii="仿宋_GB2312" w:hAnsi="仿宋_GB2312" w:eastAsia="仿宋_GB2312" w:cs="仿宋_GB2312"/>
          <w:color w:val="000000"/>
          <w:spacing w:val="17"/>
          <w:sz w:val="32"/>
          <w:szCs w:val="32"/>
          <w:u w:val="none"/>
          <w:lang w:val="en-US" w:eastAsia="zh-CN"/>
        </w:rPr>
        <w:t>100</w:t>
      </w:r>
      <w:r>
        <w:rPr>
          <w:rFonts w:hint="eastAsia" w:ascii="仿宋_GB2312" w:hAnsi="仿宋_GB2312" w:eastAsia="仿宋_GB2312" w:cs="仿宋_GB2312"/>
          <w:color w:val="000000"/>
          <w:spacing w:val="17"/>
          <w:sz w:val="32"/>
          <w:szCs w:val="32"/>
          <w:u w:val="none"/>
        </w:rPr>
        <w:t>%。项目产出类指标权重为50分，得分为</w:t>
      </w:r>
      <w:r>
        <w:rPr>
          <w:rFonts w:hint="eastAsia" w:ascii="仿宋_GB2312" w:hAnsi="仿宋_GB2312" w:eastAsia="仿宋_GB2312" w:cs="仿宋_GB2312"/>
          <w:color w:val="000000"/>
          <w:spacing w:val="17"/>
          <w:sz w:val="32"/>
          <w:szCs w:val="32"/>
          <w:u w:val="none"/>
          <w:lang w:val="en-US" w:eastAsia="zh-CN"/>
        </w:rPr>
        <w:t>50</w:t>
      </w:r>
      <w:r>
        <w:rPr>
          <w:rFonts w:hint="eastAsia" w:ascii="仿宋_GB2312" w:hAnsi="仿宋_GB2312" w:eastAsia="仿宋_GB2312" w:cs="仿宋_GB2312"/>
          <w:color w:val="000000"/>
          <w:spacing w:val="17"/>
          <w:sz w:val="32"/>
          <w:szCs w:val="32"/>
          <w:u w:val="none"/>
        </w:rPr>
        <w:t>分，得分率为</w:t>
      </w:r>
      <w:r>
        <w:rPr>
          <w:rFonts w:hint="eastAsia" w:ascii="仿宋_GB2312" w:hAnsi="仿宋_GB2312" w:eastAsia="仿宋_GB2312" w:cs="仿宋_GB2312"/>
          <w:color w:val="000000"/>
          <w:spacing w:val="17"/>
          <w:sz w:val="32"/>
          <w:szCs w:val="32"/>
          <w:u w:val="none"/>
          <w:lang w:val="en-US" w:eastAsia="zh-CN"/>
        </w:rPr>
        <w:t>100</w:t>
      </w:r>
      <w:r>
        <w:rPr>
          <w:rFonts w:hint="eastAsia" w:ascii="仿宋_GB2312" w:hAnsi="仿宋_GB2312" w:eastAsia="仿宋_GB2312" w:cs="仿宋_GB2312"/>
          <w:color w:val="000000"/>
          <w:spacing w:val="17"/>
          <w:sz w:val="32"/>
          <w:szCs w:val="32"/>
          <w:u w:val="none"/>
        </w:rPr>
        <w:t>%。项目效益类指标权重为40分，得分为</w:t>
      </w:r>
      <w:r>
        <w:rPr>
          <w:rFonts w:hint="eastAsia" w:ascii="仿宋_GB2312" w:hAnsi="仿宋_GB2312" w:eastAsia="仿宋_GB2312" w:cs="仿宋_GB2312"/>
          <w:color w:val="000000"/>
          <w:spacing w:val="17"/>
          <w:sz w:val="32"/>
          <w:szCs w:val="32"/>
          <w:u w:val="none"/>
          <w:lang w:val="en-US" w:eastAsia="zh-CN"/>
        </w:rPr>
        <w:t>35.83</w:t>
      </w:r>
      <w:r>
        <w:rPr>
          <w:rFonts w:hint="eastAsia" w:ascii="仿宋_GB2312" w:hAnsi="仿宋_GB2312" w:eastAsia="仿宋_GB2312" w:cs="仿宋_GB2312"/>
          <w:color w:val="000000"/>
          <w:spacing w:val="17"/>
          <w:sz w:val="32"/>
          <w:szCs w:val="32"/>
          <w:u w:val="none"/>
        </w:rPr>
        <w:t>分，得分率为</w:t>
      </w:r>
      <w:r>
        <w:rPr>
          <w:rFonts w:hint="eastAsia" w:ascii="仿宋_GB2312" w:hAnsi="仿宋_GB2312" w:eastAsia="仿宋_GB2312" w:cs="仿宋_GB2312"/>
          <w:color w:val="000000"/>
          <w:spacing w:val="17"/>
          <w:sz w:val="32"/>
          <w:szCs w:val="32"/>
          <w:u w:val="none"/>
          <w:lang w:val="en-US" w:eastAsia="zh-CN"/>
        </w:rPr>
        <w:t>89.6</w:t>
      </w:r>
      <w:r>
        <w:rPr>
          <w:rFonts w:hint="eastAsia" w:ascii="仿宋_GB2312" w:hAnsi="仿宋_GB2312" w:eastAsia="仿宋_GB2312" w:cs="仿宋_GB2312"/>
          <w:color w:val="000000"/>
          <w:spacing w:val="17"/>
          <w:sz w:val="32"/>
          <w:szCs w:val="32"/>
          <w:u w:val="none"/>
        </w:rPr>
        <w:t>%。</w:t>
      </w:r>
    </w:p>
    <w:p>
      <w:pPr>
        <w:pStyle w:val="2"/>
        <w:pageBreakBefore w:val="0"/>
        <w:kinsoku/>
        <w:wordWrap/>
        <w:overflowPunct/>
        <w:topLinePunct w:val="0"/>
        <w:autoSpaceDE/>
        <w:autoSpaceDN/>
        <w:bidi w:val="0"/>
        <w:adjustRightInd/>
        <w:snapToGrid/>
        <w:spacing w:before="0" w:after="0" w:line="56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pStyle w:val="2"/>
        <w:rPr>
          <w:rFonts w:hint="eastAsia" w:ascii="仿宋_GB2312" w:hAnsi="仿宋_GB2312" w:eastAsia="仿宋_GB2312" w:cs="仿宋_GB2312"/>
        </w:rPr>
      </w:pPr>
    </w:p>
    <w:tbl>
      <w:tblPr>
        <w:tblStyle w:val="15"/>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340"/>
        <w:gridCol w:w="83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业绩值</w:t>
            </w:r>
          </w:p>
        </w:tc>
        <w:tc>
          <w:tcPr>
            <w:tcW w:w="1340" w:type="dxa"/>
            <w:shd w:val="clear" w:color="auto" w:fill="BFBFBF"/>
            <w:vAlign w:val="center"/>
          </w:tcPr>
          <w:p>
            <w:pPr>
              <w:pageBreakBefore w:val="0"/>
              <w:widowControl/>
              <w:tabs>
                <w:tab w:val="left" w:pos="1333"/>
                <w:tab w:val="center" w:pos="3623"/>
              </w:tabs>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得分率</w:t>
            </w:r>
          </w:p>
        </w:tc>
        <w:tc>
          <w:tcPr>
            <w:tcW w:w="835" w:type="dxa"/>
            <w:shd w:val="clear" w:color="auto" w:fill="BFBFBF"/>
            <w:vAlign w:val="center"/>
          </w:tcPr>
          <w:p>
            <w:pPr>
              <w:pageBreakBefore w:val="0"/>
              <w:widowControl/>
              <w:tabs>
                <w:tab w:val="left" w:pos="1333"/>
                <w:tab w:val="center" w:pos="3623"/>
              </w:tabs>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决策　</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c>
          <w:tcPr>
            <w:tcW w:w="99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5分</w:t>
            </w:r>
          </w:p>
        </w:tc>
        <w:tc>
          <w:tcPr>
            <w:tcW w:w="1283"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项目立项　</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立项依据</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充分性</w:t>
            </w:r>
          </w:p>
        </w:tc>
        <w:tc>
          <w:tcPr>
            <w:tcW w:w="72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0.5</w:t>
            </w:r>
          </w:p>
        </w:tc>
        <w:tc>
          <w:tcPr>
            <w:tcW w:w="104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立项程序</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规范性</w:t>
            </w:r>
          </w:p>
        </w:tc>
        <w:tc>
          <w:tcPr>
            <w:tcW w:w="72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0.5</w:t>
            </w:r>
          </w:p>
        </w:tc>
        <w:tc>
          <w:tcPr>
            <w:tcW w:w="104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绩效目标　</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绩效目标</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合理性</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绩效指标</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明确性</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资金投入</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预算编制</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科学性</w:t>
            </w:r>
          </w:p>
        </w:tc>
        <w:tc>
          <w:tcPr>
            <w:tcW w:w="72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资金分配</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合理性</w:t>
            </w:r>
          </w:p>
        </w:tc>
        <w:tc>
          <w:tcPr>
            <w:tcW w:w="72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过程</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c>
          <w:tcPr>
            <w:tcW w:w="99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5分</w:t>
            </w:r>
          </w:p>
        </w:tc>
        <w:tc>
          <w:tcPr>
            <w:tcW w:w="1283"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资金管理</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资金到位率</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预算执行率</w:t>
            </w:r>
          </w:p>
        </w:tc>
        <w:tc>
          <w:tcPr>
            <w:tcW w:w="72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资金管理</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资金使用</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合规性</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组织实施</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管理制度</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健全性</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制度执行</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有效性</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产出</w:t>
            </w:r>
          </w:p>
        </w:tc>
        <w:tc>
          <w:tcPr>
            <w:tcW w:w="99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50分</w:t>
            </w:r>
          </w:p>
        </w:tc>
        <w:tc>
          <w:tcPr>
            <w:tcW w:w="1283"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产出数量</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实际完成率</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产出质量</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质量达标率</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产出时效</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完成及时性</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产出成本</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成本节约率</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　</w:t>
            </w:r>
          </w:p>
        </w:tc>
        <w:tc>
          <w:tcPr>
            <w:tcW w:w="99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40分</w:t>
            </w:r>
          </w:p>
        </w:tc>
        <w:tc>
          <w:tcPr>
            <w:tcW w:w="1283"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项目效益　</w:t>
            </w: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实施效益</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（社会效益、经济效益、可持续效益）</w:t>
            </w:r>
          </w:p>
        </w:tc>
        <w:tc>
          <w:tcPr>
            <w:tcW w:w="72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30</w:t>
            </w:r>
          </w:p>
        </w:tc>
        <w:tc>
          <w:tcPr>
            <w:tcW w:w="104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100%</w:t>
            </w:r>
          </w:p>
        </w:tc>
        <w:tc>
          <w:tcPr>
            <w:tcW w:w="92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86.1%</w:t>
            </w:r>
            <w:r>
              <w:rPr>
                <w:rFonts w:hint="eastAsia" w:ascii="仿宋_GB2312" w:hAnsi="仿宋_GB2312" w:eastAsia="仿宋_GB2312" w:cs="仿宋_GB2312"/>
                <w:color w:val="auto"/>
                <w:kern w:val="0"/>
                <w:sz w:val="28"/>
                <w:szCs w:val="28"/>
                <w:highlight w:val="none"/>
              </w:rPr>
              <w:t>%</w:t>
            </w:r>
          </w:p>
        </w:tc>
        <w:tc>
          <w:tcPr>
            <w:tcW w:w="134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86.1%</w:t>
            </w:r>
          </w:p>
        </w:tc>
        <w:tc>
          <w:tcPr>
            <w:tcW w:w="835"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25.83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283"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p>
        </w:tc>
        <w:tc>
          <w:tcPr>
            <w:tcW w:w="1707"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满意度</w:t>
            </w:r>
          </w:p>
        </w:tc>
        <w:tc>
          <w:tcPr>
            <w:tcW w:w="727"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w:t>
            </w:r>
          </w:p>
        </w:tc>
        <w:tc>
          <w:tcPr>
            <w:tcW w:w="104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98%</w:t>
            </w:r>
          </w:p>
        </w:tc>
        <w:tc>
          <w:tcPr>
            <w:tcW w:w="924"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98%</w:t>
            </w:r>
          </w:p>
        </w:tc>
        <w:tc>
          <w:tcPr>
            <w:tcW w:w="1340"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835" w:type="dxa"/>
            <w:shd w:val="clear" w:color="000000"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w:t>
            </w:r>
          </w:p>
        </w:tc>
      </w:tr>
    </w:tbl>
    <w:p>
      <w:pPr>
        <w:pageBreakBefore w:val="0"/>
        <w:kinsoku/>
        <w:wordWrap/>
        <w:overflowPunct/>
        <w:topLinePunct w:val="0"/>
        <w:autoSpaceDE/>
        <w:bidi w:val="0"/>
        <w:adjustRightInd/>
        <w:snapToGrid/>
        <w:spacing w:line="560" w:lineRule="exact"/>
        <w:rPr>
          <w:rFonts w:hint="eastAsia" w:ascii="黑体" w:hAnsi="黑体" w:eastAsia="黑体" w:cs="黑体"/>
          <w:sz w:val="32"/>
          <w:szCs w:val="32"/>
        </w:rPr>
      </w:pPr>
      <w:r>
        <w:rPr>
          <w:rFonts w:hint="eastAsia" w:ascii="仿宋_GB2312" w:hAnsi="仿宋_GB2312" w:eastAsia="仿宋_GB2312" w:cs="仿宋_GB2312"/>
        </w:rPr>
        <w:t xml:space="preserve">      </w:t>
      </w:r>
      <w:r>
        <w:rPr>
          <w:rFonts w:hint="eastAsia" w:ascii="黑体" w:hAnsi="黑体" w:eastAsia="黑体" w:cs="黑体"/>
          <w:sz w:val="32"/>
          <w:szCs w:val="32"/>
        </w:rPr>
        <w:t>四、绩效评价指标分析</w:t>
      </w:r>
    </w:p>
    <w:p>
      <w:pPr>
        <w:pageBreakBefore w:val="0"/>
        <w:kinsoku/>
        <w:wordWrap/>
        <w:overflowPunct/>
        <w:topLinePunct w:val="0"/>
        <w:autoSpaceDE/>
        <w:bidi w:val="0"/>
        <w:adjustRightInd/>
        <w:snapToGrid/>
        <w:spacing w:line="560" w:lineRule="exact"/>
        <w:ind w:firstLine="640" w:firstLineChars="200"/>
        <w:contextualSpacing/>
        <w:rPr>
          <w:rFonts w:hint="eastAsia" w:ascii="仿宋_GB2312" w:hAnsi="仿宋_GB2312" w:eastAsia="仿宋_GB2312" w:cs="仿宋_GB2312"/>
          <w:bCs/>
          <w:kern w:val="44"/>
          <w:sz w:val="32"/>
          <w:szCs w:val="32"/>
        </w:rPr>
      </w:pPr>
      <w:r>
        <w:rPr>
          <w:rFonts w:hint="eastAsia" w:ascii="仿宋_GB2312" w:hAnsi="仿宋_GB2312" w:eastAsia="仿宋_GB2312" w:cs="仿宋_GB2312"/>
          <w:sz w:val="32"/>
          <w:szCs w:val="32"/>
        </w:rPr>
        <w:t>按照产出指标、效益指标、满意度指标的要求分别对举办培训班、示范表演、举办活动、邀请媒体等情况进行指标量化，通过活动开展各项工作均按年初的指标任务完成。</w:t>
      </w:r>
    </w:p>
    <w:p>
      <w:pPr>
        <w:pStyle w:val="4"/>
        <w:pageBreakBefore w:val="0"/>
        <w:kinsoku/>
        <w:wordWrap/>
        <w:overflowPunct/>
        <w:topLinePunct w:val="0"/>
        <w:autoSpaceDE/>
        <w:bidi w:val="0"/>
        <w:adjustRightInd/>
        <w:snapToGrid/>
        <w:spacing w:before="0" w:after="0" w:line="560" w:lineRule="exact"/>
        <w:ind w:firstLine="643" w:firstLineChars="200"/>
        <w:rPr>
          <w:rFonts w:hint="eastAsia" w:ascii="仿宋_GB2312" w:hAnsi="仿宋_GB2312" w:eastAsia="仿宋_GB2312" w:cs="仿宋_GB2312"/>
        </w:rPr>
      </w:pPr>
      <w:bookmarkStart w:id="1" w:name="_Toc30152853"/>
      <w:r>
        <w:rPr>
          <w:rFonts w:hint="eastAsia" w:ascii="仿宋_GB2312" w:hAnsi="仿宋_GB2312" w:eastAsia="仿宋_GB2312" w:cs="仿宋_GB2312"/>
        </w:rPr>
        <w:t>（一）项目决策</w:t>
      </w:r>
      <w:bookmarkEnd w:id="1"/>
      <w:r>
        <w:rPr>
          <w:rFonts w:hint="eastAsia" w:ascii="仿宋_GB2312" w:hAnsi="仿宋_GB2312" w:eastAsia="仿宋_GB2312" w:cs="仿宋_GB2312"/>
        </w:rPr>
        <w:t>情况</w:t>
      </w:r>
    </w:p>
    <w:tbl>
      <w:tblPr>
        <w:tblStyle w:val="15"/>
        <w:tblW w:w="9060" w:type="dxa"/>
        <w:tblInd w:w="0" w:type="dxa"/>
        <w:tblLayout w:type="fixed"/>
        <w:tblCellMar>
          <w:top w:w="0" w:type="dxa"/>
          <w:left w:w="108" w:type="dxa"/>
          <w:bottom w:w="0" w:type="dxa"/>
          <w:right w:w="108" w:type="dxa"/>
        </w:tblCellMar>
      </w:tblPr>
      <w:tblGrid>
        <w:gridCol w:w="2674"/>
        <w:gridCol w:w="2412"/>
        <w:gridCol w:w="2111"/>
        <w:gridCol w:w="1863"/>
      </w:tblGrid>
      <w:tr>
        <w:tblPrEx>
          <w:tblCellMar>
            <w:top w:w="0" w:type="dxa"/>
            <w:left w:w="108" w:type="dxa"/>
            <w:bottom w:w="0" w:type="dxa"/>
            <w:right w:w="108" w:type="dxa"/>
          </w:tblCellMar>
        </w:tblPrEx>
        <w:trPr>
          <w:trHeight w:val="353" w:hRule="atLeast"/>
        </w:trPr>
        <w:tc>
          <w:tcPr>
            <w:tcW w:w="9060"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sz w:val="28"/>
                <w:szCs w:val="28"/>
              </w:rPr>
            </w:pPr>
            <w:bookmarkStart w:id="2" w:name="_Toc30152854"/>
            <w:r>
              <w:rPr>
                <w:rFonts w:hint="eastAsia" w:ascii="仿宋_GB2312" w:hAnsi="仿宋_GB2312" w:eastAsia="仿宋_GB2312" w:cs="仿宋_GB2312"/>
                <w:b/>
                <w:sz w:val="32"/>
                <w:szCs w:val="32"/>
              </w:rPr>
              <w:t>项目决策指标得分情况</w:t>
            </w:r>
          </w:p>
        </w:tc>
      </w:tr>
      <w:tr>
        <w:tblPrEx>
          <w:tblCellMar>
            <w:top w:w="0" w:type="dxa"/>
            <w:left w:w="108" w:type="dxa"/>
            <w:bottom w:w="0" w:type="dxa"/>
            <w:right w:w="108" w:type="dxa"/>
          </w:tblCellMar>
        </w:tblPrEx>
        <w:trPr>
          <w:trHeight w:val="611"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二级指标</w:t>
            </w:r>
          </w:p>
        </w:tc>
        <w:tc>
          <w:tcPr>
            <w:tcW w:w="241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权重</w:t>
            </w:r>
          </w:p>
        </w:tc>
        <w:tc>
          <w:tcPr>
            <w:tcW w:w="2111"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得分率</w:t>
            </w:r>
          </w:p>
        </w:tc>
        <w:tc>
          <w:tcPr>
            <w:tcW w:w="1863"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实际得分</w:t>
            </w:r>
          </w:p>
        </w:tc>
      </w:tr>
      <w:tr>
        <w:tblPrEx>
          <w:tblCellMar>
            <w:top w:w="0" w:type="dxa"/>
            <w:left w:w="108" w:type="dxa"/>
            <w:bottom w:w="0" w:type="dxa"/>
            <w:right w:w="108" w:type="dxa"/>
          </w:tblCellMar>
        </w:tblPrEx>
        <w:trPr>
          <w:trHeight w:val="548" w:hRule="exact"/>
        </w:trPr>
        <w:tc>
          <w:tcPr>
            <w:tcW w:w="2674"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w:t>
            </w:r>
          </w:p>
        </w:tc>
        <w:tc>
          <w:tcPr>
            <w:tcW w:w="241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1863"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CellMar>
            <w:top w:w="0" w:type="dxa"/>
            <w:left w:w="108" w:type="dxa"/>
            <w:bottom w:w="0" w:type="dxa"/>
            <w:right w:w="108" w:type="dxa"/>
          </w:tblCellMar>
        </w:tblPrEx>
        <w:trPr>
          <w:trHeight w:val="561" w:hRule="exact"/>
        </w:trPr>
        <w:tc>
          <w:tcPr>
            <w:tcW w:w="2674"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w:t>
            </w:r>
          </w:p>
        </w:tc>
        <w:tc>
          <w:tcPr>
            <w:tcW w:w="241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1863"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r>
      <w:tr>
        <w:tblPrEx>
          <w:tblCellMar>
            <w:top w:w="0" w:type="dxa"/>
            <w:left w:w="108" w:type="dxa"/>
            <w:bottom w:w="0" w:type="dxa"/>
            <w:right w:w="108" w:type="dxa"/>
          </w:tblCellMar>
        </w:tblPrEx>
        <w:trPr>
          <w:trHeight w:val="596" w:hRule="exact"/>
        </w:trPr>
        <w:tc>
          <w:tcPr>
            <w:tcW w:w="2674"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w:t>
            </w:r>
          </w:p>
        </w:tc>
        <w:tc>
          <w:tcPr>
            <w:tcW w:w="241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1863"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r>
      <w:tr>
        <w:tblPrEx>
          <w:tblCellMar>
            <w:top w:w="0" w:type="dxa"/>
            <w:left w:w="108" w:type="dxa"/>
            <w:bottom w:w="0" w:type="dxa"/>
            <w:right w:w="108" w:type="dxa"/>
          </w:tblCellMar>
        </w:tblPrEx>
        <w:trPr>
          <w:trHeight w:val="591" w:hRule="exact"/>
        </w:trPr>
        <w:tc>
          <w:tcPr>
            <w:tcW w:w="2674" w:type="dxa"/>
            <w:tcBorders>
              <w:top w:val="single" w:color="auto" w:sz="8" w:space="0"/>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  计</w:t>
            </w:r>
          </w:p>
        </w:tc>
        <w:tc>
          <w:tcPr>
            <w:tcW w:w="2412"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2111"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1863"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p>
        </w:tc>
      </w:tr>
    </w:tbl>
    <w:p>
      <w:pPr>
        <w:pageBreakBefore w:val="0"/>
        <w:kinsoku/>
        <w:wordWrap/>
        <w:overflowPunct/>
        <w:topLinePunct w:val="0"/>
        <w:autoSpaceDE/>
        <w:bidi w:val="0"/>
        <w:adjustRightInd/>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塔城地区文化馆国家公共文化服务体系示范区项目是塔城地委、行署投资兴建的一项惠民工程，如果塔城文化中心小剧场的建设、数字文化馆建设和群众文化培育基地建设及安装建设项目顺利完成则可进一步提高塔城文化中心（文博书苑）的使用率和知名度，并且随着塔城文化中心（文博书苑）的使用不断的提高将会培养更多的塔城文化、文艺和民间文化能人，为打造塔城文化影响力和促进塔城文旅融合奠定坚实的基础。</w:t>
      </w:r>
    </w:p>
    <w:p>
      <w:pPr>
        <w:pageBreakBefore w:val="0"/>
        <w:kinsoku/>
        <w:wordWrap/>
        <w:overflowPunct/>
        <w:topLinePunct w:val="0"/>
        <w:autoSpaceDE/>
        <w:bidi w:val="0"/>
        <w:adjustRightInd/>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与我单位部门职责范围相符，属于部门履职所需；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75万元，实际拨付75万元，年终支出75万元。</w:t>
      </w:r>
    </w:p>
    <w:p>
      <w:pPr>
        <w:pageBreakBefore w:val="0"/>
        <w:kinsoku/>
        <w:wordWrap/>
        <w:overflowPunct/>
        <w:topLinePunct w:val="0"/>
        <w:autoSpaceDE/>
        <w:bidi w:val="0"/>
        <w:adjustRightInd/>
        <w:snapToGrid/>
        <w:spacing w:line="560" w:lineRule="exact"/>
        <w:ind w:firstLine="640" w:firstLineChars="200"/>
        <w:jc w:val="left"/>
        <w:rPr>
          <w:rFonts w:hint="eastAsia" w:ascii="仿宋_GB2312" w:hAnsi="仿宋_GB2312" w:eastAsia="仿宋_GB2312" w:cs="仿宋_GB2312"/>
          <w:color w:val="333333"/>
          <w:sz w:val="32"/>
          <w:szCs w:val="32"/>
          <w:lang w:bidi="ar"/>
        </w:rPr>
      </w:pPr>
      <w:r>
        <w:rPr>
          <w:rFonts w:hint="eastAsia" w:ascii="仿宋_GB2312" w:hAnsi="仿宋_GB2312" w:eastAsia="仿宋_GB2312" w:cs="仿宋_GB2312"/>
          <w:sz w:val="32"/>
          <w:szCs w:val="32"/>
        </w:rPr>
        <w:t>示范区项目</w:t>
      </w:r>
      <w:r>
        <w:rPr>
          <w:rFonts w:hint="eastAsia" w:ascii="仿宋_GB2312" w:hAnsi="仿宋_GB2312" w:eastAsia="仿宋_GB2312" w:cs="仿宋_GB2312"/>
          <w:color w:val="333333"/>
          <w:sz w:val="32"/>
          <w:szCs w:val="32"/>
          <w:lang w:bidi="ar"/>
        </w:rPr>
        <w:t>是为</w:t>
      </w:r>
      <w:r>
        <w:rPr>
          <w:rFonts w:hint="eastAsia" w:ascii="仿宋_GB2312" w:hAnsi="仿宋_GB2312" w:eastAsia="仿宋_GB2312" w:cs="仿宋_GB2312"/>
          <w:sz w:val="32"/>
          <w:szCs w:val="32"/>
        </w:rPr>
        <w:t>进一步提高塔城文化中心（文博书苑）的使用率和知名度，并且随着塔城文化中心（文博书苑）的使用</w:t>
      </w:r>
      <w:r>
        <w:rPr>
          <w:rFonts w:hint="eastAsia" w:ascii="仿宋_GB2312" w:hAnsi="仿宋_GB2312" w:eastAsia="仿宋_GB2312" w:cs="仿宋_GB2312"/>
          <w:color w:val="auto"/>
          <w:sz w:val="32"/>
          <w:szCs w:val="32"/>
        </w:rPr>
        <w:t>不断的提高将会培养更多的塔城文化、文艺和民间文化能人，为打造塔城文化影响力和促进塔城文旅融合奠定坚实的基础，</w:t>
      </w:r>
      <w:r>
        <w:rPr>
          <w:rFonts w:hint="eastAsia" w:ascii="仿宋_GB2312" w:hAnsi="仿宋_GB2312" w:eastAsia="仿宋_GB2312" w:cs="仿宋_GB2312"/>
          <w:color w:val="auto"/>
          <w:sz w:val="32"/>
          <w:szCs w:val="32"/>
          <w:lang w:bidi="ar"/>
        </w:rPr>
        <w:t>从而提高地区对外形象。项目的立项符合规划，根据评分标准，实际得分率为100%。</w:t>
      </w:r>
    </w:p>
    <w:p>
      <w:pPr>
        <w:pageBreakBefore w:val="0"/>
        <w:kinsoku/>
        <w:wordWrap/>
        <w:overflowPunct/>
        <w:topLinePunct w:val="0"/>
        <w:autoSpaceDE/>
        <w:bidi w:val="0"/>
        <w:adjustRightInd/>
        <w:snapToGrid/>
        <w:spacing w:line="560" w:lineRule="exact"/>
        <w:ind w:firstLine="640" w:firstLineChars="200"/>
        <w:jc w:val="left"/>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对于“绩效目标”，</w:t>
      </w:r>
      <w:r>
        <w:rPr>
          <w:rFonts w:hint="eastAsia" w:ascii="仿宋_GB2312" w:hAnsi="仿宋_GB2312" w:eastAsia="仿宋_GB2312" w:cs="仿宋_GB2312"/>
          <w:color w:val="auto"/>
          <w:sz w:val="30"/>
          <w:szCs w:val="30"/>
        </w:rPr>
        <w:t>塔城地区文化馆国家公共文化服务体系示范区项目</w:t>
      </w:r>
      <w:r>
        <w:rPr>
          <w:rFonts w:hint="eastAsia" w:ascii="仿宋_GB2312" w:hAnsi="仿宋_GB2312" w:eastAsia="仿宋_GB2312" w:cs="仿宋_GB2312"/>
          <w:color w:val="auto"/>
          <w:sz w:val="32"/>
          <w:szCs w:val="32"/>
          <w:lang w:bidi="ar"/>
        </w:rPr>
        <w:t>绩效目标设置合理，绩效指标明确。根据评分标准，该指标不扣分。</w:t>
      </w:r>
    </w:p>
    <w:p>
      <w:pPr>
        <w:pageBreakBefore w:val="0"/>
        <w:kinsoku/>
        <w:wordWrap/>
        <w:overflowPunct/>
        <w:topLinePunct w:val="0"/>
        <w:autoSpaceDE/>
        <w:bidi w:val="0"/>
        <w:adjustRightInd/>
        <w:snapToGrid/>
        <w:spacing w:line="560" w:lineRule="exact"/>
        <w:ind w:firstLine="640" w:firstLineChars="200"/>
        <w:jc w:val="left"/>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对于“资金投入”，</w:t>
      </w:r>
      <w:r>
        <w:rPr>
          <w:rFonts w:hint="eastAsia" w:ascii="仿宋_GB2312" w:hAnsi="仿宋_GB2312" w:eastAsia="仿宋_GB2312" w:cs="仿宋_GB2312"/>
          <w:color w:val="auto"/>
          <w:sz w:val="30"/>
          <w:szCs w:val="30"/>
        </w:rPr>
        <w:t>塔城地区文化馆国家公共文化服务体系示范区项目</w:t>
      </w:r>
      <w:r>
        <w:rPr>
          <w:rFonts w:hint="eastAsia" w:ascii="仿宋_GB2312" w:hAnsi="仿宋_GB2312" w:eastAsia="仿宋_GB2312" w:cs="仿宋_GB2312"/>
          <w:color w:val="auto"/>
          <w:sz w:val="32"/>
          <w:szCs w:val="32"/>
          <w:lang w:bidi="ar"/>
        </w:rPr>
        <w:t>预算编制科学，资金分配合理。根据评分标准，该指标不扣分。</w:t>
      </w:r>
    </w:p>
    <w:p>
      <w:pPr>
        <w:pStyle w:val="4"/>
        <w:keepNext w:val="0"/>
        <w:keepLines w:val="0"/>
        <w:pageBreakBefore w:val="0"/>
        <w:kinsoku/>
        <w:wordWrap/>
        <w:overflowPunct/>
        <w:topLinePunct w:val="0"/>
        <w:autoSpaceDE/>
        <w:bidi w:val="0"/>
        <w:adjustRightInd/>
        <w:snapToGrid/>
        <w:spacing w:before="0" w:after="0" w:line="560" w:lineRule="exact"/>
        <w:ind w:firstLine="643" w:firstLineChars="200"/>
        <w:rPr>
          <w:rFonts w:hint="eastAsia" w:ascii="仿宋_GB2312" w:hAnsi="仿宋_GB2312" w:eastAsia="仿宋_GB2312" w:cs="仿宋_GB2312"/>
        </w:rPr>
      </w:pPr>
      <w:r>
        <w:rPr>
          <w:rFonts w:hint="eastAsia" w:ascii="仿宋_GB2312" w:hAnsi="仿宋_GB2312" w:eastAsia="仿宋_GB2312" w:cs="仿宋_GB2312"/>
        </w:rPr>
        <w:t>（二）项目</w:t>
      </w:r>
      <w:bookmarkEnd w:id="2"/>
      <w:r>
        <w:rPr>
          <w:rFonts w:hint="eastAsia" w:ascii="仿宋_GB2312" w:hAnsi="仿宋_GB2312" w:eastAsia="仿宋_GB2312" w:cs="仿宋_GB2312"/>
        </w:rPr>
        <w:t>过程情况</w:t>
      </w:r>
    </w:p>
    <w:p>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0" w:firstLineChars="0"/>
        <w:jc w:val="center"/>
        <w:textAlignment w:val="auto"/>
        <w:rPr>
          <w:rStyle w:val="22"/>
          <w:rFonts w:hint="eastAsia" w:ascii="仿宋_GB2312" w:hAnsi="仿宋_GB2312" w:eastAsia="仿宋_GB2312" w:cs="仿宋_GB2312"/>
          <w:b/>
          <w:bCs/>
          <w:color w:val="auto"/>
          <w:highlight w:val="none"/>
        </w:rPr>
      </w:pPr>
      <w:r>
        <w:rPr>
          <w:rStyle w:val="22"/>
          <w:rFonts w:hint="eastAsia" w:ascii="仿宋_GB2312" w:hAnsi="仿宋_GB2312" w:eastAsia="仿宋_GB2312" w:cs="仿宋_GB2312"/>
          <w:b/>
          <w:bCs/>
          <w:color w:val="auto"/>
          <w:highlight w:val="none"/>
        </w:rPr>
        <w:t>项目</w:t>
      </w:r>
      <w:r>
        <w:rPr>
          <w:rStyle w:val="22"/>
          <w:rFonts w:hint="eastAsia" w:ascii="仿宋_GB2312" w:hAnsi="仿宋_GB2312" w:eastAsia="仿宋_GB2312" w:cs="仿宋_GB2312"/>
          <w:b/>
          <w:bCs/>
          <w:color w:val="auto"/>
          <w:highlight w:val="none"/>
          <w:lang w:eastAsia="zh-CN"/>
        </w:rPr>
        <w:t>过程</w:t>
      </w:r>
      <w:r>
        <w:rPr>
          <w:rStyle w:val="22"/>
          <w:rFonts w:hint="eastAsia" w:ascii="仿宋_GB2312" w:hAnsi="仿宋_GB2312" w:eastAsia="仿宋_GB2312" w:cs="仿宋_GB2312"/>
          <w:b/>
          <w:bCs/>
          <w:color w:val="auto"/>
          <w:highlight w:val="none"/>
        </w:rPr>
        <w:t>指标得分情况</w:t>
      </w:r>
    </w:p>
    <w:tbl>
      <w:tblPr>
        <w:tblStyle w:val="15"/>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lang w:eastAsia="zh-CN"/>
              </w:rPr>
              <w:t>二</w:t>
            </w:r>
            <w:r>
              <w:rPr>
                <w:rFonts w:hint="eastAsia" w:ascii="仿宋_GB2312" w:hAnsi="仿宋_GB2312" w:eastAsia="仿宋_GB2312" w:cs="仿宋_GB2312"/>
                <w:b/>
                <w:bCs/>
                <w:color w:val="000000"/>
                <w:kern w:val="0"/>
                <w:sz w:val="32"/>
                <w:szCs w:val="32"/>
                <w:highlight w:val="none"/>
              </w:rPr>
              <w:t>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资金管理</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3</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3</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组织实施</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2</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5</w:t>
            </w:r>
          </w:p>
        </w:tc>
      </w:tr>
    </w:tbl>
    <w:p>
      <w:pPr>
        <w:pageBreakBefore w:val="0"/>
        <w:kinsoku/>
        <w:wordWrap/>
        <w:overflowPunct/>
        <w:topLinePunct w:val="0"/>
        <w:autoSpaceDE/>
        <w:bidi w:val="0"/>
        <w:adjustRightInd/>
        <w:snapToGrid/>
        <w:spacing w:line="560" w:lineRule="exact"/>
        <w:ind w:firstLine="640" w:firstLineChars="200"/>
        <w:contextualSpacing/>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工作要求，对各项活动情况由塔城地区文化馆各科室提交活动方案和经费预算，通过科室酝酿集体研究讨论，形成《塔城地区文化馆国家公共文化服务体系示范区项目经费预算方案》，报请塔城地区文化体育广播电视和旅游局和塔城地区财政局审批同意，经费使用做到科室提交意见，集体研究讨论，严格按照活动要求使用经费</w:t>
      </w:r>
      <w:r>
        <w:rPr>
          <w:rFonts w:hint="eastAsia" w:ascii="仿宋_GB2312" w:hAnsi="仿宋_GB2312" w:eastAsia="仿宋_GB2312" w:cs="仿宋_GB2312"/>
          <w:sz w:val="32"/>
          <w:szCs w:val="32"/>
          <w:lang w:eastAsia="zh-CN"/>
        </w:rPr>
        <w:t>。</w:t>
      </w:r>
    </w:p>
    <w:p>
      <w:pPr>
        <w:pageBreakBefore w:val="0"/>
        <w:kinsoku/>
        <w:wordWrap/>
        <w:overflowPunct/>
        <w:topLinePunct w:val="0"/>
        <w:autoSpaceDE/>
        <w:bidi w:val="0"/>
        <w:adjustRightInd/>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对于“资金管理”，塔城地区文化馆国家公共文化服务体系示范区项目2020年列入预算，资金到位及时，到位率为100%，</w:t>
      </w:r>
      <w:r>
        <w:rPr>
          <w:rFonts w:hint="eastAsia" w:ascii="仿宋_GB2312" w:hAnsi="仿宋_GB2312" w:eastAsia="仿宋_GB2312" w:cs="仿宋_GB2312"/>
          <w:sz w:val="32"/>
          <w:szCs w:val="32"/>
          <w:lang w:eastAsia="zh-CN"/>
        </w:rPr>
        <w:t>预算执行</w:t>
      </w:r>
      <w:r>
        <w:rPr>
          <w:rFonts w:hint="eastAsia" w:ascii="仿宋_GB2312" w:hAnsi="仿宋_GB2312" w:eastAsia="仿宋_GB2312" w:cs="仿宋_GB2312"/>
          <w:sz w:val="32"/>
          <w:szCs w:val="32"/>
        </w:rPr>
        <w:t>率100%，资金管理规范。根据评分标准，该指标不扣分。</w:t>
      </w:r>
    </w:p>
    <w:p>
      <w:pPr>
        <w:pageBreakBefore w:val="0"/>
        <w:kinsoku/>
        <w:wordWrap/>
        <w:overflowPunct/>
        <w:topLinePunct w:val="0"/>
        <w:autoSpaceDE/>
        <w:bidi w:val="0"/>
        <w:adjustRightInd/>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对于“组织实施”，塔城地区文化馆国家公共文化服务体系示范区项目组织机构健全，制度执行有效，根据评分标准，该指标不扣分。</w:t>
      </w:r>
    </w:p>
    <w:p>
      <w:pPr>
        <w:pStyle w:val="4"/>
        <w:pageBreakBefore w:val="0"/>
        <w:numPr>
          <w:ilvl w:val="0"/>
          <w:numId w:val="4"/>
        </w:numPr>
        <w:kinsoku/>
        <w:wordWrap/>
        <w:overflowPunct/>
        <w:topLinePunct w:val="0"/>
        <w:autoSpaceDE/>
        <w:bidi w:val="0"/>
        <w:adjustRightInd/>
        <w:snapToGrid/>
        <w:spacing w:before="0" w:after="0" w:line="560" w:lineRule="exact"/>
        <w:ind w:firstLine="643" w:firstLineChars="200"/>
        <w:rPr>
          <w:rFonts w:hint="eastAsia"/>
        </w:rPr>
      </w:pPr>
      <w:r>
        <w:rPr>
          <w:rFonts w:hint="eastAsia" w:ascii="仿宋_GB2312" w:hAnsi="仿宋_GB2312" w:eastAsia="仿宋_GB2312" w:cs="仿宋_GB2312"/>
        </w:rPr>
        <w:t>项目产出情况</w:t>
      </w:r>
    </w:p>
    <w:tbl>
      <w:tblPr>
        <w:tblStyle w:val="15"/>
        <w:tblW w:w="8740" w:type="dxa"/>
        <w:tblInd w:w="0" w:type="dxa"/>
        <w:tblLayout w:type="fixed"/>
        <w:tblCellMar>
          <w:top w:w="0" w:type="dxa"/>
          <w:left w:w="108" w:type="dxa"/>
          <w:bottom w:w="0" w:type="dxa"/>
          <w:right w:w="108" w:type="dxa"/>
        </w:tblCellMar>
      </w:tblPr>
      <w:tblGrid>
        <w:gridCol w:w="1876"/>
        <w:gridCol w:w="2051"/>
        <w:gridCol w:w="2172"/>
        <w:gridCol w:w="2641"/>
      </w:tblGrid>
      <w:tr>
        <w:tblPrEx>
          <w:tblCellMar>
            <w:top w:w="0" w:type="dxa"/>
            <w:left w:w="108" w:type="dxa"/>
            <w:bottom w:w="0" w:type="dxa"/>
            <w:right w:w="108" w:type="dxa"/>
          </w:tblCellMar>
        </w:tblPrEx>
        <w:trPr>
          <w:trHeight w:val="551" w:hRule="exact"/>
          <w:tblHeader/>
        </w:trPr>
        <w:tc>
          <w:tcPr>
            <w:tcW w:w="1876"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highlight w:val="none"/>
                <w:lang w:eastAsia="zh-CN"/>
              </w:rPr>
              <w:t>二</w:t>
            </w:r>
            <w:r>
              <w:rPr>
                <w:rFonts w:hint="eastAsia" w:ascii="仿宋_GB2312" w:hAnsi="仿宋_GB2312" w:eastAsia="仿宋_GB2312" w:cs="仿宋_GB2312"/>
                <w:b/>
                <w:bCs/>
                <w:color w:val="000000"/>
                <w:kern w:val="0"/>
                <w:sz w:val="32"/>
                <w:szCs w:val="32"/>
                <w:highlight w:val="none"/>
              </w:rPr>
              <w:t>级指标</w:t>
            </w:r>
          </w:p>
        </w:tc>
        <w:tc>
          <w:tcPr>
            <w:tcW w:w="2051"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highlight w:val="none"/>
              </w:rPr>
              <w:t>权重</w:t>
            </w:r>
          </w:p>
        </w:tc>
        <w:tc>
          <w:tcPr>
            <w:tcW w:w="2172"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highlight w:val="none"/>
              </w:rPr>
              <w:t>得分率</w:t>
            </w:r>
          </w:p>
        </w:tc>
        <w:tc>
          <w:tcPr>
            <w:tcW w:w="2641"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highlight w:val="none"/>
              </w:rPr>
              <w:t>实际得分</w:t>
            </w:r>
          </w:p>
        </w:tc>
      </w:tr>
      <w:tr>
        <w:tblPrEx>
          <w:tblCellMar>
            <w:top w:w="0" w:type="dxa"/>
            <w:left w:w="108" w:type="dxa"/>
            <w:bottom w:w="0" w:type="dxa"/>
            <w:right w:w="108" w:type="dxa"/>
          </w:tblCellMar>
        </w:tblPrEx>
        <w:trPr>
          <w:trHeight w:val="616" w:hRule="atLeast"/>
        </w:trPr>
        <w:tc>
          <w:tcPr>
            <w:tcW w:w="1876" w:type="dxa"/>
            <w:tcBorders>
              <w:top w:val="single" w:color="auto" w:sz="4" w:space="0"/>
              <w:left w:val="single" w:color="auto" w:sz="4" w:space="0"/>
              <w:right w:val="single" w:color="auto" w:sz="4" w:space="0"/>
            </w:tcBorders>
            <w:shd w:val="clear" w:color="auto" w:fill="auto"/>
            <w:noWrap/>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产出数量</w:t>
            </w:r>
          </w:p>
        </w:tc>
        <w:tc>
          <w:tcPr>
            <w:tcW w:w="2051"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p>
        </w:tc>
        <w:tc>
          <w:tcPr>
            <w:tcW w:w="2172"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100%</w:t>
            </w:r>
          </w:p>
        </w:tc>
        <w:tc>
          <w:tcPr>
            <w:tcW w:w="264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15</w:t>
            </w:r>
          </w:p>
        </w:tc>
      </w:tr>
      <w:tr>
        <w:tblPrEx>
          <w:tblCellMar>
            <w:top w:w="0" w:type="dxa"/>
            <w:left w:w="108" w:type="dxa"/>
            <w:bottom w:w="0" w:type="dxa"/>
            <w:right w:w="108" w:type="dxa"/>
          </w:tblCellMar>
        </w:tblPrEx>
        <w:trPr>
          <w:trHeight w:val="551" w:hRule="exact"/>
        </w:trPr>
        <w:tc>
          <w:tcPr>
            <w:tcW w:w="187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产出质量</w:t>
            </w:r>
          </w:p>
        </w:tc>
        <w:tc>
          <w:tcPr>
            <w:tcW w:w="205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10</w:t>
            </w:r>
          </w:p>
        </w:tc>
        <w:tc>
          <w:tcPr>
            <w:tcW w:w="2172"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264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rPr>
            </w:pPr>
            <w:r>
              <w:rPr>
                <w:rFonts w:hint="eastAsia" w:ascii="仿宋_GB2312" w:hAnsi="仿宋_GB2312" w:eastAsia="仿宋_GB2312" w:cs="仿宋_GB2312"/>
                <w:sz w:val="32"/>
                <w:szCs w:val="32"/>
                <w:lang w:val="en-US" w:eastAsia="zh-CN"/>
              </w:rPr>
              <w:t>10</w:t>
            </w:r>
          </w:p>
        </w:tc>
      </w:tr>
      <w:tr>
        <w:tblPrEx>
          <w:tblCellMar>
            <w:top w:w="0" w:type="dxa"/>
            <w:left w:w="108" w:type="dxa"/>
            <w:bottom w:w="0" w:type="dxa"/>
            <w:right w:w="108" w:type="dxa"/>
          </w:tblCellMar>
        </w:tblPrEx>
        <w:trPr>
          <w:trHeight w:val="551" w:hRule="exact"/>
        </w:trPr>
        <w:tc>
          <w:tcPr>
            <w:tcW w:w="187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产出时效</w:t>
            </w:r>
          </w:p>
        </w:tc>
        <w:tc>
          <w:tcPr>
            <w:tcW w:w="205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15</w:t>
            </w:r>
          </w:p>
        </w:tc>
        <w:tc>
          <w:tcPr>
            <w:tcW w:w="2172"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264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15</w:t>
            </w:r>
          </w:p>
        </w:tc>
      </w:tr>
      <w:tr>
        <w:tblPrEx>
          <w:tblCellMar>
            <w:top w:w="0" w:type="dxa"/>
            <w:left w:w="108" w:type="dxa"/>
            <w:bottom w:w="0" w:type="dxa"/>
            <w:right w:w="108" w:type="dxa"/>
          </w:tblCellMar>
        </w:tblPrEx>
        <w:trPr>
          <w:trHeight w:val="551" w:hRule="exact"/>
        </w:trPr>
        <w:tc>
          <w:tcPr>
            <w:tcW w:w="187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产出成本</w:t>
            </w:r>
          </w:p>
        </w:tc>
        <w:tc>
          <w:tcPr>
            <w:tcW w:w="205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c>
          <w:tcPr>
            <w:tcW w:w="2172"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100%</w:t>
            </w:r>
          </w:p>
        </w:tc>
        <w:tc>
          <w:tcPr>
            <w:tcW w:w="264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r>
      <w:tr>
        <w:tblPrEx>
          <w:tblCellMar>
            <w:top w:w="0" w:type="dxa"/>
            <w:left w:w="108" w:type="dxa"/>
            <w:bottom w:w="0" w:type="dxa"/>
            <w:right w:w="108" w:type="dxa"/>
          </w:tblCellMar>
        </w:tblPrEx>
        <w:trPr>
          <w:trHeight w:val="562" w:hRule="exact"/>
        </w:trPr>
        <w:tc>
          <w:tcPr>
            <w:tcW w:w="1876"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合  计</w:t>
            </w:r>
          </w:p>
        </w:tc>
        <w:tc>
          <w:tcPr>
            <w:tcW w:w="205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w:t>
            </w:r>
          </w:p>
        </w:tc>
        <w:tc>
          <w:tcPr>
            <w:tcW w:w="2172"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2641"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rPr>
            </w:pPr>
            <w:r>
              <w:rPr>
                <w:rFonts w:hint="eastAsia" w:ascii="仿宋_GB2312" w:hAnsi="仿宋_GB2312" w:eastAsia="仿宋_GB2312" w:cs="仿宋_GB2312"/>
                <w:sz w:val="32"/>
                <w:szCs w:val="32"/>
                <w:lang w:val="en-US" w:eastAsia="zh-CN"/>
              </w:rPr>
              <w:t>50</w:t>
            </w:r>
          </w:p>
        </w:tc>
      </w:tr>
    </w:tbl>
    <w:p>
      <w:pPr>
        <w:numPr>
          <w:ilvl w:val="0"/>
          <w:numId w:val="0"/>
        </w:numPr>
        <w:rPr>
          <w:rFonts w:hint="eastAsia" w:ascii="仿宋_GB2312" w:hAnsi="仿宋_GB2312" w:eastAsia="仿宋_GB2312" w:cs="仿宋_GB2312"/>
        </w:rPr>
      </w:pPr>
    </w:p>
    <w:p>
      <w:pPr>
        <w:pStyle w:val="2"/>
        <w:pageBreakBefore w:val="0"/>
        <w:kinsoku/>
        <w:wordWrap/>
        <w:overflowPunct/>
        <w:topLinePunct w:val="0"/>
        <w:autoSpaceDE/>
        <w:bidi w:val="0"/>
        <w:adjustRightInd/>
        <w:snapToGrid/>
        <w:spacing w:before="0" w:after="0" w:line="560" w:lineRule="exact"/>
        <w:ind w:firstLine="643" w:firstLineChars="200"/>
        <w:jc w:val="both"/>
        <w:rPr>
          <w:rFonts w:hint="eastAsia" w:ascii="仿宋_GB2312" w:hAnsi="仿宋_GB2312" w:eastAsia="仿宋_GB2312" w:cs="仿宋_GB2312"/>
          <w:kern w:val="2"/>
        </w:rPr>
      </w:pPr>
      <w:r>
        <w:rPr>
          <w:rFonts w:hint="eastAsia" w:ascii="仿宋_GB2312" w:hAnsi="仿宋_GB2312" w:eastAsia="仿宋_GB2312" w:cs="仿宋_GB2312"/>
          <w:kern w:val="2"/>
        </w:rPr>
        <w:t>1、数量指标：</w:t>
      </w:r>
    </w:p>
    <w:p>
      <w:pPr>
        <w:pageBreakBefore w:val="0"/>
        <w:kinsoku/>
        <w:wordWrap/>
        <w:overflowPunct/>
        <w:topLinePunct w:val="0"/>
        <w:autoSpaceDE/>
        <w:bidi w:val="0"/>
        <w:adjustRightInd/>
        <w:snapToGrid/>
        <w:spacing w:line="560" w:lineRule="exact"/>
        <w:ind w:firstLine="64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数量指标方面：</w:t>
      </w:r>
    </w:p>
    <w:p>
      <w:pPr>
        <w:pageBreakBefore w:val="0"/>
        <w:kinsoku/>
        <w:wordWrap/>
        <w:overflowPunct/>
        <w:topLinePunct w:val="0"/>
        <w:autoSpaceDE/>
        <w:bidi w:val="0"/>
        <w:adjustRightInd/>
        <w:snapToGrid/>
        <w:spacing w:line="560" w:lineRule="exact"/>
        <w:ind w:firstLine="640"/>
        <w:rPr>
          <w:rStyle w:val="17"/>
          <w:rFonts w:hint="eastAsia" w:ascii="仿宋_GB2312" w:hAnsi="仿宋_GB2312" w:eastAsia="仿宋_GB2312" w:cs="仿宋_GB2312"/>
          <w:b w:val="0"/>
          <w:bCs/>
          <w:spacing w:val="-4"/>
          <w:sz w:val="32"/>
          <w:szCs w:val="32"/>
          <w:lang w:val="en-US" w:eastAsia="zh-CN"/>
        </w:rPr>
      </w:pPr>
      <w:r>
        <w:rPr>
          <w:rStyle w:val="17"/>
          <w:rFonts w:hint="eastAsia" w:ascii="仿宋_GB2312" w:hAnsi="仿宋_GB2312" w:eastAsia="仿宋_GB2312" w:cs="仿宋_GB2312"/>
          <w:b w:val="0"/>
          <w:bCs/>
          <w:spacing w:val="-4"/>
          <w:sz w:val="32"/>
          <w:szCs w:val="32"/>
        </w:rPr>
        <w:t>新建市民文化活动中心</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1个，</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1个</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rPr>
      </w:pPr>
      <w:r>
        <w:rPr>
          <w:rStyle w:val="22"/>
          <w:rFonts w:hint="eastAsia" w:ascii="仿宋_GB2312" w:hAnsi="仿宋_GB2312" w:eastAsia="仿宋_GB2312" w:cs="仿宋_GB2312"/>
          <w:color w:val="auto"/>
        </w:rPr>
        <w:t>质量指标方面：</w:t>
      </w:r>
    </w:p>
    <w:p>
      <w:pPr>
        <w:pageBreakBefore w:val="0"/>
        <w:kinsoku/>
        <w:wordWrap/>
        <w:overflowPunct/>
        <w:topLinePunct w:val="0"/>
        <w:autoSpaceDE/>
        <w:bidi w:val="0"/>
        <w:adjustRightInd/>
        <w:snapToGrid/>
        <w:spacing w:line="560" w:lineRule="exact"/>
        <w:ind w:firstLine="640"/>
        <w:rPr>
          <w:rStyle w:val="17"/>
          <w:rFonts w:hint="eastAsia" w:ascii="仿宋_GB2312" w:hAnsi="仿宋_GB2312" w:eastAsia="仿宋_GB2312" w:cs="仿宋_GB2312"/>
          <w:b w:val="0"/>
          <w:bCs/>
          <w:spacing w:val="-4"/>
          <w:sz w:val="32"/>
          <w:szCs w:val="32"/>
          <w:lang w:eastAsia="zh-CN"/>
        </w:rPr>
      </w:pPr>
      <w:r>
        <w:rPr>
          <w:rStyle w:val="22"/>
          <w:rFonts w:hint="eastAsia" w:ascii="仿宋_GB2312" w:hAnsi="仿宋_GB2312" w:eastAsia="仿宋_GB2312" w:cs="仿宋_GB2312"/>
          <w:color w:val="auto"/>
        </w:rPr>
        <w:t>工程质量合格率</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≥98%，</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：≥98%</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rPr>
      </w:pPr>
      <w:r>
        <w:rPr>
          <w:rStyle w:val="22"/>
          <w:rFonts w:hint="eastAsia" w:ascii="仿宋_GB2312" w:hAnsi="仿宋_GB2312" w:eastAsia="仿宋_GB2312" w:cs="仿宋_GB2312"/>
          <w:color w:val="auto"/>
        </w:rPr>
        <w:t>成本指标方面：</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lang w:eastAsia="zh-CN"/>
        </w:rPr>
      </w:pPr>
      <w:r>
        <w:rPr>
          <w:rStyle w:val="22"/>
          <w:rFonts w:hint="eastAsia" w:ascii="仿宋_GB2312" w:hAnsi="仿宋_GB2312" w:eastAsia="仿宋_GB2312" w:cs="仿宋_GB2312"/>
          <w:color w:val="auto"/>
        </w:rPr>
        <w:t>项目共需投入总成本资金</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=75万元，</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：75万元</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lang w:eastAsia="zh-CN"/>
        </w:rPr>
      </w:pPr>
      <w:r>
        <w:rPr>
          <w:rStyle w:val="22"/>
          <w:rFonts w:hint="eastAsia" w:ascii="仿宋_GB2312" w:hAnsi="仿宋_GB2312" w:eastAsia="仿宋_GB2312" w:cs="仿宋_GB2312"/>
          <w:color w:val="auto"/>
        </w:rPr>
        <w:t>时效指标方面：项目执行期限：</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≥2年，</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2年</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Style w:val="4"/>
        <w:pageBreakBefore w:val="0"/>
        <w:numPr>
          <w:ilvl w:val="0"/>
          <w:numId w:val="4"/>
        </w:numPr>
        <w:kinsoku/>
        <w:wordWrap/>
        <w:overflowPunct/>
        <w:topLinePunct w:val="0"/>
        <w:autoSpaceDE/>
        <w:bidi w:val="0"/>
        <w:adjustRightInd/>
        <w:snapToGrid/>
        <w:spacing w:before="0" w:after="0" w:line="560" w:lineRule="exact"/>
        <w:ind w:left="0" w:leftChars="0" w:firstLine="643" w:firstLineChars="200"/>
        <w:rPr>
          <w:rFonts w:hint="eastAsia" w:ascii="仿宋_GB2312" w:hAnsi="仿宋_GB2312" w:eastAsia="仿宋_GB2312" w:cs="仿宋_GB2312"/>
        </w:rPr>
      </w:pPr>
      <w:r>
        <w:rPr>
          <w:rFonts w:hint="eastAsia" w:ascii="仿宋_GB2312" w:hAnsi="仿宋_GB2312" w:eastAsia="仿宋_GB2312" w:cs="仿宋_GB2312"/>
        </w:rPr>
        <w:t>项目效益情况</w:t>
      </w:r>
    </w:p>
    <w:p>
      <w:pPr>
        <w:numPr>
          <w:ilvl w:val="0"/>
          <w:numId w:val="0"/>
        </w:numPr>
        <w:ind w:leftChars="200"/>
        <w:jc w:val="center"/>
        <w:rPr>
          <w:rFonts w:hint="eastAsia" w:ascii="仿宋_GB2312" w:hAnsi="仿宋_GB2312" w:eastAsia="仿宋_GB2312" w:cs="仿宋_GB2312"/>
        </w:rPr>
      </w:pPr>
      <w:r>
        <w:rPr>
          <w:rFonts w:hint="eastAsia" w:ascii="仿宋_GB2312" w:hAnsi="仿宋_GB2312" w:eastAsia="仿宋_GB2312" w:cs="仿宋_GB2312"/>
          <w:b/>
          <w:sz w:val="32"/>
          <w:szCs w:val="32"/>
        </w:rPr>
        <w:t>项目绩效指标得分情况</w:t>
      </w:r>
    </w:p>
    <w:tbl>
      <w:tblPr>
        <w:tblStyle w:val="15"/>
        <w:tblW w:w="8160" w:type="dxa"/>
        <w:tblInd w:w="0" w:type="dxa"/>
        <w:tblLayout w:type="fixed"/>
        <w:tblCellMar>
          <w:top w:w="0" w:type="dxa"/>
          <w:left w:w="108" w:type="dxa"/>
          <w:bottom w:w="0" w:type="dxa"/>
          <w:right w:w="108" w:type="dxa"/>
        </w:tblCellMar>
      </w:tblPr>
      <w:tblGrid>
        <w:gridCol w:w="2508"/>
        <w:gridCol w:w="1678"/>
        <w:gridCol w:w="1775"/>
        <w:gridCol w:w="2199"/>
      </w:tblGrid>
      <w:tr>
        <w:tblPrEx>
          <w:tblCellMar>
            <w:top w:w="0" w:type="dxa"/>
            <w:left w:w="108" w:type="dxa"/>
            <w:bottom w:w="0" w:type="dxa"/>
            <w:right w:w="108" w:type="dxa"/>
          </w:tblCellMar>
        </w:tblPrEx>
        <w:trPr>
          <w:trHeight w:val="515" w:hRule="exact"/>
          <w:tblHeader/>
        </w:trPr>
        <w:tc>
          <w:tcPr>
            <w:tcW w:w="2508" w:type="dxa"/>
            <w:tcBorders>
              <w:top w:val="nil"/>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三级指标</w:t>
            </w:r>
          </w:p>
        </w:tc>
        <w:tc>
          <w:tcPr>
            <w:tcW w:w="1678"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77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2199"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30" w:hRule="exact"/>
        </w:trPr>
        <w:tc>
          <w:tcPr>
            <w:tcW w:w="2508"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w:t>
            </w:r>
          </w:p>
        </w:tc>
        <w:tc>
          <w:tcPr>
            <w:tcW w:w="1678"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p>
        </w:tc>
        <w:tc>
          <w:tcPr>
            <w:tcW w:w="1775"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16.6</w:t>
            </w:r>
            <w:r>
              <w:rPr>
                <w:rFonts w:hint="eastAsia" w:ascii="仿宋_GB2312" w:hAnsi="仿宋_GB2312" w:eastAsia="仿宋_GB2312" w:cs="仿宋_GB2312"/>
                <w:sz w:val="32"/>
                <w:szCs w:val="32"/>
              </w:rPr>
              <w:t>%</w:t>
            </w:r>
          </w:p>
        </w:tc>
        <w:tc>
          <w:tcPr>
            <w:tcW w:w="2199"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0.83</w:t>
            </w:r>
          </w:p>
        </w:tc>
      </w:tr>
      <w:tr>
        <w:tblPrEx>
          <w:tblCellMar>
            <w:top w:w="0" w:type="dxa"/>
            <w:left w:w="108" w:type="dxa"/>
            <w:bottom w:w="0" w:type="dxa"/>
            <w:right w:w="108" w:type="dxa"/>
          </w:tblCellMar>
        </w:tblPrEx>
        <w:trPr>
          <w:trHeight w:val="547" w:hRule="exact"/>
        </w:trPr>
        <w:tc>
          <w:tcPr>
            <w:tcW w:w="2508"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社会效益</w:t>
            </w:r>
          </w:p>
        </w:tc>
        <w:tc>
          <w:tcPr>
            <w:tcW w:w="1678"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c>
          <w:tcPr>
            <w:tcW w:w="177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100%</w:t>
            </w:r>
          </w:p>
        </w:tc>
        <w:tc>
          <w:tcPr>
            <w:tcW w:w="2199"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r>
      <w:tr>
        <w:tblPrEx>
          <w:tblCellMar>
            <w:top w:w="0" w:type="dxa"/>
            <w:left w:w="108" w:type="dxa"/>
            <w:bottom w:w="0" w:type="dxa"/>
            <w:right w:w="108" w:type="dxa"/>
          </w:tblCellMar>
        </w:tblPrEx>
        <w:trPr>
          <w:trHeight w:val="547" w:hRule="exact"/>
        </w:trPr>
        <w:tc>
          <w:tcPr>
            <w:tcW w:w="2508"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生态效益</w:t>
            </w:r>
          </w:p>
        </w:tc>
        <w:tc>
          <w:tcPr>
            <w:tcW w:w="1678"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c>
          <w:tcPr>
            <w:tcW w:w="177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2199"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r>
      <w:tr>
        <w:tblPrEx>
          <w:tblCellMar>
            <w:top w:w="0" w:type="dxa"/>
            <w:left w:w="108" w:type="dxa"/>
            <w:bottom w:w="0" w:type="dxa"/>
            <w:right w:w="108" w:type="dxa"/>
          </w:tblCellMar>
        </w:tblPrEx>
        <w:trPr>
          <w:trHeight w:val="519" w:hRule="exact"/>
        </w:trPr>
        <w:tc>
          <w:tcPr>
            <w:tcW w:w="2508"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可持续影响</w:t>
            </w:r>
          </w:p>
        </w:tc>
        <w:tc>
          <w:tcPr>
            <w:tcW w:w="1678"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p>
        </w:tc>
        <w:tc>
          <w:tcPr>
            <w:tcW w:w="177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100%</w:t>
            </w:r>
          </w:p>
        </w:tc>
        <w:tc>
          <w:tcPr>
            <w:tcW w:w="2199"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p>
        </w:tc>
      </w:tr>
      <w:tr>
        <w:tblPrEx>
          <w:tblCellMar>
            <w:top w:w="0" w:type="dxa"/>
            <w:left w:w="108" w:type="dxa"/>
            <w:bottom w:w="0" w:type="dxa"/>
            <w:right w:w="108" w:type="dxa"/>
          </w:tblCellMar>
        </w:tblPrEx>
        <w:trPr>
          <w:trHeight w:val="619" w:hRule="exact"/>
        </w:trPr>
        <w:tc>
          <w:tcPr>
            <w:tcW w:w="2508"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服务对象满意度</w:t>
            </w:r>
          </w:p>
        </w:tc>
        <w:tc>
          <w:tcPr>
            <w:tcW w:w="1678"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c>
          <w:tcPr>
            <w:tcW w:w="177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2199"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r>
      <w:tr>
        <w:tblPrEx>
          <w:tblCellMar>
            <w:top w:w="0" w:type="dxa"/>
            <w:left w:w="108" w:type="dxa"/>
            <w:bottom w:w="0" w:type="dxa"/>
            <w:right w:w="108" w:type="dxa"/>
          </w:tblCellMar>
        </w:tblPrEx>
        <w:trPr>
          <w:trHeight w:val="571" w:hRule="exact"/>
        </w:trPr>
        <w:tc>
          <w:tcPr>
            <w:tcW w:w="2508"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  计</w:t>
            </w:r>
          </w:p>
        </w:tc>
        <w:tc>
          <w:tcPr>
            <w:tcW w:w="1678"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w:t>
            </w:r>
          </w:p>
        </w:tc>
        <w:tc>
          <w:tcPr>
            <w:tcW w:w="177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89.6%</w:t>
            </w:r>
          </w:p>
        </w:tc>
        <w:tc>
          <w:tcPr>
            <w:tcW w:w="2199"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35.83</w:t>
            </w:r>
          </w:p>
        </w:tc>
      </w:tr>
    </w:tbl>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rPr>
      </w:pPr>
      <w:r>
        <w:rPr>
          <w:rStyle w:val="22"/>
          <w:rFonts w:hint="eastAsia" w:ascii="仿宋_GB2312" w:hAnsi="仿宋_GB2312" w:eastAsia="仿宋_GB2312" w:cs="仿宋_GB2312"/>
          <w:color w:val="auto"/>
        </w:rPr>
        <w:t>经济效益指标方面：</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lang w:eastAsia="zh-CN"/>
        </w:rPr>
      </w:pPr>
      <w:r>
        <w:rPr>
          <w:rStyle w:val="17"/>
          <w:rFonts w:hint="eastAsia" w:ascii="仿宋_GB2312" w:hAnsi="仿宋_GB2312" w:eastAsia="仿宋_GB2312" w:cs="仿宋_GB2312"/>
          <w:b w:val="0"/>
          <w:bCs/>
          <w:spacing w:val="-4"/>
          <w:sz w:val="32"/>
          <w:szCs w:val="32"/>
        </w:rPr>
        <w:t>提供就业岗位</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=6个，</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lang w:val="en-US" w:eastAsia="zh-CN"/>
        </w:rPr>
        <w:t>1</w:t>
      </w:r>
      <w:r>
        <w:rPr>
          <w:rStyle w:val="17"/>
          <w:rFonts w:hint="eastAsia" w:ascii="仿宋_GB2312" w:hAnsi="仿宋_GB2312" w:eastAsia="仿宋_GB2312" w:cs="仿宋_GB2312"/>
          <w:b w:val="0"/>
          <w:bCs/>
          <w:spacing w:val="-4"/>
          <w:sz w:val="32"/>
          <w:szCs w:val="32"/>
        </w:rPr>
        <w:t>个</w:t>
      </w:r>
      <w:r>
        <w:rPr>
          <w:rStyle w:val="22"/>
          <w:rFonts w:hint="eastAsia" w:ascii="仿宋_GB2312" w:hAnsi="仿宋_GB2312" w:eastAsia="仿宋_GB2312" w:cs="仿宋_GB2312"/>
          <w:color w:val="auto"/>
          <w:lang w:eastAsia="zh-CN"/>
        </w:rPr>
        <w:t>。</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16.6%。</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rPr>
      </w:pPr>
      <w:r>
        <w:rPr>
          <w:rStyle w:val="22"/>
          <w:rFonts w:hint="eastAsia" w:ascii="仿宋_GB2312" w:hAnsi="仿宋_GB2312" w:eastAsia="仿宋_GB2312" w:cs="仿宋_GB2312"/>
          <w:color w:val="auto"/>
        </w:rPr>
        <w:t>社会效益指标方面：</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lang w:eastAsia="zh-CN"/>
        </w:rPr>
      </w:pPr>
      <w:r>
        <w:rPr>
          <w:rStyle w:val="17"/>
          <w:rFonts w:hint="eastAsia" w:ascii="仿宋_GB2312" w:hAnsi="仿宋_GB2312" w:eastAsia="仿宋_GB2312" w:cs="仿宋_GB2312"/>
          <w:b w:val="0"/>
          <w:bCs/>
          <w:spacing w:val="-4"/>
          <w:sz w:val="32"/>
          <w:szCs w:val="32"/>
        </w:rPr>
        <w:t>贯彻落实公共文化服务保障法，加强塔城地区的公共文化服务体系建设</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丰富各族人民群众精神文化生活，实施文旅融合战略，牢牢掌握意识形态工作的领导权和主动权，进一步推进塔城地区群众文化人才发挥先进文化的引领作用。</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w:t>
      </w:r>
      <w:r>
        <w:rPr>
          <w:rStyle w:val="17"/>
          <w:rFonts w:hint="eastAsia" w:ascii="仿宋_GB2312" w:hAnsi="仿宋_GB2312" w:eastAsia="仿宋_GB2312" w:cs="仿宋_GB2312"/>
          <w:b w:val="0"/>
          <w:bCs/>
          <w:spacing w:val="-4"/>
          <w:sz w:val="32"/>
          <w:szCs w:val="32"/>
          <w:lang w:eastAsia="zh-CN"/>
        </w:rPr>
        <w:t>通过项目的实施，进一步</w:t>
      </w:r>
      <w:r>
        <w:rPr>
          <w:rStyle w:val="17"/>
          <w:rFonts w:hint="eastAsia" w:ascii="仿宋_GB2312" w:hAnsi="仿宋_GB2312" w:eastAsia="仿宋_GB2312" w:cs="仿宋_GB2312"/>
          <w:b w:val="0"/>
          <w:bCs/>
          <w:spacing w:val="-4"/>
          <w:sz w:val="32"/>
          <w:szCs w:val="32"/>
        </w:rPr>
        <w:t>丰富各族人民群众精神文化生活，进一步推进塔城地区群众文化人才发挥先进文化的引领作用。</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生态效益指标方面：</w:t>
      </w:r>
    </w:p>
    <w:p>
      <w:pPr>
        <w:pageBreakBefore w:val="0"/>
        <w:kinsoku/>
        <w:wordWrap/>
        <w:overflowPunct/>
        <w:topLinePunct w:val="0"/>
        <w:autoSpaceDE/>
        <w:bidi w:val="0"/>
        <w:adjustRightInd/>
        <w:snapToGrid/>
        <w:spacing w:line="560" w:lineRule="exact"/>
        <w:ind w:firstLine="640"/>
        <w:rPr>
          <w:rFonts w:hint="eastAsia" w:ascii="仿宋_GB2312" w:hAnsi="仿宋_GB2312" w:eastAsia="仿宋_GB2312" w:cs="仿宋_GB2312"/>
          <w:lang w:eastAsia="zh-CN"/>
        </w:rPr>
      </w:pPr>
      <w:r>
        <w:rPr>
          <w:rStyle w:val="17"/>
          <w:rFonts w:hint="eastAsia" w:ascii="仿宋_GB2312" w:hAnsi="仿宋_GB2312" w:eastAsia="仿宋_GB2312" w:cs="仿宋_GB2312"/>
          <w:b w:val="0"/>
          <w:bCs/>
          <w:spacing w:val="-4"/>
          <w:sz w:val="32"/>
          <w:szCs w:val="32"/>
        </w:rPr>
        <w:t>建设工程必须在大楼内实施，不得对大楼的主题墙面有损坏和对环境造成污染</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≤0.5%，</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0.4%</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rPr>
      </w:pPr>
      <w:r>
        <w:rPr>
          <w:rStyle w:val="22"/>
          <w:rFonts w:hint="eastAsia" w:ascii="仿宋_GB2312" w:hAnsi="仿宋_GB2312" w:eastAsia="仿宋_GB2312" w:cs="仿宋_GB2312"/>
          <w:color w:val="auto"/>
        </w:rPr>
        <w:t>可持续影响指标方面：</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lang w:eastAsia="zh-CN"/>
        </w:rPr>
      </w:pPr>
      <w:r>
        <w:rPr>
          <w:rStyle w:val="17"/>
          <w:rFonts w:hint="eastAsia" w:ascii="仿宋_GB2312" w:hAnsi="仿宋_GB2312" w:eastAsia="仿宋_GB2312" w:cs="仿宋_GB2312"/>
          <w:b w:val="0"/>
          <w:bCs/>
          <w:spacing w:val="-4"/>
          <w:sz w:val="32"/>
          <w:szCs w:val="32"/>
        </w:rPr>
        <w:t xml:space="preserve"> 该项目是塔城地委、行署投资兴建的一项惠民工程，可进一步提高塔城文化中心（文博书苑）的使用率和知名度</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长期，</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长期</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40" w:firstLineChars="200"/>
        <w:rPr>
          <w:rStyle w:val="22"/>
          <w:rFonts w:hint="eastAsia" w:ascii="仿宋_GB2312" w:hAnsi="仿宋_GB2312" w:eastAsia="仿宋_GB2312" w:cs="仿宋_GB2312"/>
          <w:color w:val="auto"/>
        </w:rPr>
      </w:pPr>
      <w:r>
        <w:rPr>
          <w:rStyle w:val="22"/>
          <w:rFonts w:hint="eastAsia" w:ascii="仿宋_GB2312" w:hAnsi="仿宋_GB2312" w:eastAsia="仿宋_GB2312" w:cs="仿宋_GB2312"/>
          <w:color w:val="auto"/>
        </w:rPr>
        <w:t>满意度指标方面：</w:t>
      </w:r>
    </w:p>
    <w:p>
      <w:pPr>
        <w:pageBreakBefore w:val="0"/>
        <w:kinsoku/>
        <w:wordWrap/>
        <w:overflowPunct/>
        <w:topLinePunct w:val="0"/>
        <w:autoSpaceDE/>
        <w:bidi w:val="0"/>
        <w:adjustRightInd/>
        <w:snapToGrid/>
        <w:spacing w:line="560" w:lineRule="exact"/>
        <w:ind w:firstLine="640"/>
        <w:rPr>
          <w:rStyle w:val="22"/>
          <w:rFonts w:hint="eastAsia" w:ascii="仿宋_GB2312" w:hAnsi="仿宋_GB2312" w:eastAsia="仿宋_GB2312" w:cs="仿宋_GB2312"/>
          <w:color w:val="auto"/>
          <w:lang w:eastAsia="zh-CN"/>
        </w:rPr>
      </w:pPr>
      <w:r>
        <w:rPr>
          <w:rStyle w:val="22"/>
          <w:rFonts w:hint="eastAsia" w:ascii="仿宋_GB2312" w:hAnsi="仿宋_GB2312" w:eastAsia="仿宋_GB2312" w:cs="仿宋_GB2312"/>
          <w:color w:val="auto"/>
        </w:rPr>
        <w:t>市民对文化活动中心建设满意度</w:t>
      </w:r>
      <w:r>
        <w:rPr>
          <w:rStyle w:val="17"/>
          <w:rFonts w:hint="eastAsia" w:ascii="仿宋_GB2312" w:hAnsi="仿宋_GB2312" w:eastAsia="仿宋_GB2312" w:cs="仿宋_GB2312"/>
          <w:b w:val="0"/>
          <w:bCs/>
          <w:spacing w:val="-4"/>
          <w:sz w:val="32"/>
          <w:szCs w:val="32"/>
          <w:lang w:eastAsia="zh-CN"/>
        </w:rPr>
        <w:t>，年初目标值</w:t>
      </w:r>
      <w:r>
        <w:rPr>
          <w:rStyle w:val="17"/>
          <w:rFonts w:hint="eastAsia" w:ascii="仿宋_GB2312" w:hAnsi="仿宋_GB2312" w:eastAsia="仿宋_GB2312" w:cs="仿宋_GB2312"/>
          <w:b w:val="0"/>
          <w:bCs/>
          <w:spacing w:val="-4"/>
          <w:sz w:val="32"/>
          <w:szCs w:val="32"/>
        </w:rPr>
        <w:t>≥98%，</w:t>
      </w:r>
      <w:r>
        <w:rPr>
          <w:rStyle w:val="17"/>
          <w:rFonts w:hint="eastAsia" w:ascii="仿宋_GB2312" w:hAnsi="仿宋_GB2312" w:eastAsia="仿宋_GB2312" w:cs="仿宋_GB2312"/>
          <w:b w:val="0"/>
          <w:bCs/>
          <w:spacing w:val="-4"/>
          <w:sz w:val="32"/>
          <w:szCs w:val="32"/>
          <w:lang w:eastAsia="zh-CN"/>
        </w:rPr>
        <w:t>实际完成值</w:t>
      </w:r>
      <w:r>
        <w:rPr>
          <w:rStyle w:val="17"/>
          <w:rFonts w:hint="eastAsia" w:ascii="仿宋_GB2312" w:hAnsi="仿宋_GB2312" w:eastAsia="仿宋_GB2312" w:cs="仿宋_GB2312"/>
          <w:b w:val="0"/>
          <w:bCs/>
          <w:spacing w:val="-4"/>
          <w:sz w:val="32"/>
          <w:szCs w:val="32"/>
        </w:rPr>
        <w:t>98%</w:t>
      </w:r>
      <w:r>
        <w:rPr>
          <w:rStyle w:val="17"/>
          <w:rFonts w:hint="eastAsia" w:ascii="仿宋_GB2312" w:hAnsi="仿宋_GB2312" w:eastAsia="仿宋_GB2312" w:cs="仿宋_GB2312"/>
          <w:b w:val="0"/>
          <w:bCs/>
          <w:spacing w:val="-4"/>
          <w:sz w:val="32"/>
          <w:szCs w:val="32"/>
          <w:lang w:eastAsia="zh-CN"/>
        </w:rPr>
        <w:t>，指标完成率</w:t>
      </w:r>
      <w:r>
        <w:rPr>
          <w:rStyle w:val="17"/>
          <w:rFonts w:hint="eastAsia" w:ascii="仿宋_GB2312" w:hAnsi="仿宋_GB2312" w:eastAsia="仿宋_GB2312" w:cs="仿宋_GB2312"/>
          <w:b w:val="0"/>
          <w:bCs/>
          <w:spacing w:val="-4"/>
          <w:sz w:val="32"/>
          <w:szCs w:val="32"/>
          <w:lang w:val="en-US" w:eastAsia="zh-CN"/>
        </w:rPr>
        <w:t>100%。</w:t>
      </w:r>
    </w:p>
    <w:p>
      <w:pPr>
        <w:pageBreakBefore w:val="0"/>
        <w:kinsoku/>
        <w:wordWrap/>
        <w:overflowPunct/>
        <w:topLinePunct w:val="0"/>
        <w:autoSpaceDE/>
        <w:bidi w:val="0"/>
        <w:adjustRightInd/>
        <w:snapToGrid/>
        <w:spacing w:line="560" w:lineRule="exact"/>
        <w:ind w:firstLine="641"/>
        <w:rPr>
          <w:rStyle w:val="22"/>
          <w:rFonts w:hint="eastAsia" w:ascii="黑体" w:hAnsi="黑体" w:eastAsia="黑体" w:cs="黑体"/>
          <w:color w:val="auto"/>
        </w:rPr>
      </w:pPr>
      <w:r>
        <w:rPr>
          <w:rFonts w:hint="eastAsia" w:ascii="黑体" w:hAnsi="黑体" w:eastAsia="黑体" w:cs="黑体"/>
          <w:sz w:val="32"/>
          <w:szCs w:val="32"/>
        </w:rPr>
        <w:t>五、主要经验及做法、存在的问题及原因分析</w:t>
      </w:r>
    </w:p>
    <w:p>
      <w:pPr>
        <w:pageBreakBefore w:val="0"/>
        <w:kinsoku/>
        <w:wordWrap/>
        <w:overflowPunct/>
        <w:topLinePunct w:val="0"/>
        <w:autoSpaceDE/>
        <w:bidi w:val="0"/>
        <w:adjustRightInd/>
        <w:snapToGrid/>
        <w:spacing w:line="560" w:lineRule="exact"/>
        <w:ind w:firstLine="627" w:firstLineChars="200"/>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（一）主要经验及做法</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bidi w:val="0"/>
        <w:adjustRightInd/>
        <w:snapToGrid/>
        <w:spacing w:before="0" w:after="0" w:line="56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存在的问题及原因分析</w:t>
      </w:r>
    </w:p>
    <w:p>
      <w:pPr>
        <w:pageBreakBefore w:val="0"/>
        <w:numPr>
          <w:ilvl w:val="0"/>
          <w:numId w:val="6"/>
        </w:numPr>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存在的问题</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用于资金有限，只能完成基础设施建设，达不到专业舞台演出效果。</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2、原因分析</w:t>
      </w:r>
    </w:p>
    <w:p>
      <w:pPr>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highlight w:val="none"/>
        </w:rPr>
      </w:pPr>
      <w:r>
        <w:rPr>
          <w:rFonts w:hint="eastAsia" w:ascii="仿宋_GB2312" w:hAnsi="仿宋_GB2312" w:eastAsia="仿宋_GB2312" w:cs="仿宋_GB2312"/>
          <w:sz w:val="32"/>
          <w:szCs w:val="32"/>
          <w:highlight w:val="none"/>
        </w:rPr>
        <w:t>项目资金下达时间比较晚，导致项目实施</w:t>
      </w:r>
      <w:r>
        <w:rPr>
          <w:rFonts w:hint="eastAsia" w:ascii="仿宋_GB2312" w:hAnsi="仿宋_GB2312" w:eastAsia="仿宋_GB2312" w:cs="仿宋_GB2312"/>
          <w:sz w:val="32"/>
          <w:szCs w:val="32"/>
          <w:highlight w:val="none"/>
          <w:lang w:eastAsia="zh-CN"/>
        </w:rPr>
        <w:t>延迟</w:t>
      </w:r>
      <w:r>
        <w:rPr>
          <w:rFonts w:hint="eastAsia" w:ascii="仿宋_GB2312" w:hAnsi="仿宋_GB2312" w:eastAsia="仿宋_GB2312" w:cs="仿宋_GB2312"/>
          <w:sz w:val="32"/>
          <w:szCs w:val="32"/>
          <w:highlight w:val="none"/>
        </w:rPr>
        <w:t>开展。</w:t>
      </w:r>
    </w:p>
    <w:p>
      <w:pPr>
        <w:pageBreakBefore w:val="0"/>
        <w:numPr>
          <w:ilvl w:val="0"/>
          <w:numId w:val="7"/>
        </w:numPr>
        <w:kinsoku/>
        <w:wordWrap/>
        <w:overflowPunct/>
        <w:topLinePunct w:val="0"/>
        <w:autoSpaceDE/>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有关建议</w:t>
      </w:r>
    </w:p>
    <w:p>
      <w:pPr>
        <w:pageBreakBefore w:val="0"/>
        <w:numPr>
          <w:ilvl w:val="0"/>
          <w:numId w:val="0"/>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专账，从而确保专项资金专款专用，有效地防止了截留、挤占和挪用。</w:t>
      </w:r>
    </w:p>
    <w:p>
      <w:pPr>
        <w:pageBreakBefore w:val="0"/>
        <w:numPr>
          <w:ilvl w:val="0"/>
          <w:numId w:val="7"/>
        </w:numPr>
        <w:kinsoku/>
        <w:wordWrap/>
        <w:overflowPunct/>
        <w:topLinePunct w:val="0"/>
        <w:autoSpaceDE/>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其他需要说</w:t>
      </w:r>
      <w:bookmarkStart w:id="3" w:name="page8"/>
      <w:bookmarkEnd w:id="3"/>
      <w:r>
        <w:rPr>
          <w:rFonts w:hint="eastAsia" w:ascii="黑体" w:hAnsi="黑体" w:eastAsia="黑体" w:cs="黑体"/>
          <w:sz w:val="32"/>
          <w:szCs w:val="32"/>
        </w:rPr>
        <w:t>明的问题</w:t>
      </w:r>
    </w:p>
    <w:p>
      <w:pPr>
        <w:pageBreakBefore w:val="0"/>
        <w:kinsoku/>
        <w:wordWrap/>
        <w:overflowPunct/>
        <w:topLinePunct w:val="0"/>
        <w:autoSpaceDE/>
        <w:bidi w:val="0"/>
        <w:adjustRightInd/>
        <w:snapToGrid/>
        <w:spacing w:line="560" w:lineRule="exac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pStyle w:val="2"/>
        <w:pageBreakBefore w:val="0"/>
        <w:kinsoku/>
        <w:wordWrap/>
        <w:overflowPunct/>
        <w:topLinePunct w:val="0"/>
        <w:autoSpaceDE/>
        <w:bidi w:val="0"/>
        <w:adjustRightInd/>
        <w:snapToGrid/>
        <w:spacing w:before="0" w:after="0" w:line="560" w:lineRule="exact"/>
        <w:jc w:val="both"/>
        <w:rPr>
          <w:rFonts w:hint="eastAsia" w:ascii="仿宋_GB2312" w:hAnsi="仿宋_GB2312" w:eastAsia="仿宋_GB2312" w:cs="仿宋_GB231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rPr>
      </w:pPr>
    </w:p>
    <w:p>
      <w:pPr>
        <w:rPr>
          <w:rFonts w:hint="eastAsia" w:ascii="仿宋_GB2312" w:hAnsi="仿宋_GB2312" w:eastAsia="仿宋_GB2312" w:cs="仿宋_GB2312"/>
        </w:rPr>
      </w:pPr>
    </w:p>
    <w:p>
      <w:pPr>
        <w:pStyle w:val="2"/>
        <w:rPr>
          <w:rFonts w:hint="eastAsia" w:ascii="仿宋_GB2312" w:hAnsi="仿宋_GB2312" w:eastAsia="仿宋_GB2312" w:cs="仿宋_GB2312"/>
        </w:rPr>
      </w:pPr>
    </w:p>
    <w:p>
      <w:pPr>
        <w:rPr>
          <w:rFonts w:hint="eastAsia" w:ascii="仿宋_GB2312" w:hAnsi="仿宋_GB2312" w:eastAsia="仿宋_GB2312" w:cs="仿宋_GB2312"/>
        </w:rPr>
      </w:pPr>
    </w:p>
    <w:p>
      <w:pPr>
        <w:pStyle w:val="2"/>
        <w:rPr>
          <w:rFonts w:hint="eastAsia" w:ascii="仿宋_GB2312" w:hAnsi="仿宋_GB2312" w:eastAsia="仿宋_GB2312" w:cs="仿宋_GB2312"/>
        </w:rPr>
      </w:pPr>
    </w:p>
    <w:p>
      <w:pPr>
        <w:rPr>
          <w:rFonts w:hint="eastAsia" w:ascii="仿宋_GB2312" w:hAnsi="仿宋_GB2312" w:eastAsia="仿宋_GB2312" w:cs="仿宋_GB2312"/>
        </w:rPr>
      </w:pPr>
    </w:p>
    <w:p>
      <w:pPr>
        <w:pStyle w:val="2"/>
        <w:rPr>
          <w:rFonts w:hint="eastAsia" w:ascii="仿宋_GB2312" w:hAnsi="仿宋_GB2312" w:eastAsia="仿宋_GB2312" w:cs="仿宋_GB2312"/>
        </w:rPr>
      </w:pPr>
    </w:p>
    <w:p>
      <w:pPr>
        <w:rPr>
          <w:rFonts w:hint="eastAsia" w:ascii="仿宋_GB2312" w:hAnsi="仿宋_GB2312" w:eastAsia="仿宋_GB2312" w:cs="仿宋_GB2312"/>
        </w:rPr>
      </w:pPr>
    </w:p>
    <w:p>
      <w:pPr>
        <w:pStyle w:val="2"/>
        <w:rPr>
          <w:rFonts w:hint="eastAsia" w:ascii="仿宋_GB2312" w:hAnsi="仿宋_GB2312" w:eastAsia="仿宋_GB2312" w:cs="仿宋_GB2312"/>
        </w:rPr>
      </w:pPr>
    </w:p>
    <w:p>
      <w:pPr>
        <w:rPr>
          <w:rFonts w:hint="eastAsia" w:ascii="仿宋_GB2312" w:hAnsi="仿宋_GB2312" w:eastAsia="仿宋_GB2312" w:cs="仿宋_GB2312"/>
        </w:rPr>
      </w:pPr>
    </w:p>
    <w:p>
      <w:pPr>
        <w:pStyle w:val="2"/>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p>
      <w:pPr>
        <w:pStyle w:val="2"/>
        <w:rPr>
          <w:rFonts w:hint="eastAsia"/>
        </w:rPr>
      </w:pPr>
    </w:p>
    <w:tbl>
      <w:tblPr>
        <w:tblStyle w:val="15"/>
        <w:tblW w:w="8800" w:type="dxa"/>
        <w:tblInd w:w="0" w:type="dxa"/>
        <w:shd w:val="clear" w:color="auto" w:fill="auto"/>
        <w:tblLayout w:type="fixed"/>
        <w:tblCellMar>
          <w:top w:w="0" w:type="dxa"/>
          <w:left w:w="0" w:type="dxa"/>
          <w:bottom w:w="0" w:type="dxa"/>
          <w:right w:w="0" w:type="dxa"/>
        </w:tblCellMar>
      </w:tblPr>
      <w:tblGrid>
        <w:gridCol w:w="704"/>
        <w:gridCol w:w="704"/>
        <w:gridCol w:w="704"/>
        <w:gridCol w:w="704"/>
        <w:gridCol w:w="704"/>
        <w:gridCol w:w="704"/>
        <w:gridCol w:w="981"/>
        <w:gridCol w:w="1722"/>
        <w:gridCol w:w="704"/>
        <w:gridCol w:w="1169"/>
      </w:tblGrid>
      <w:tr>
        <w:tblPrEx>
          <w:shd w:val="clear" w:color="auto" w:fill="auto"/>
          <w:tblCellMar>
            <w:top w:w="0" w:type="dxa"/>
            <w:left w:w="0" w:type="dxa"/>
            <w:bottom w:w="0" w:type="dxa"/>
            <w:right w:w="0" w:type="dxa"/>
          </w:tblCellMar>
        </w:tblPrEx>
        <w:trPr>
          <w:trHeight w:val="606" w:hRule="atLeast"/>
        </w:trPr>
        <w:tc>
          <w:tcPr>
            <w:tcW w:w="880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32"/>
                <w:szCs w:val="32"/>
                <w:u w:val="none"/>
              </w:rPr>
            </w:pPr>
            <w:r>
              <w:rPr>
                <w:rFonts w:hint="eastAsia" w:ascii="方正小标宋_GBK" w:hAnsi="方正小标宋_GBK" w:eastAsia="方正小标宋_GBK" w:cs="方正小标宋_GBK"/>
                <w:b w:val="0"/>
                <w:bCs/>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606" w:hRule="atLeast"/>
        </w:trPr>
        <w:tc>
          <w:tcPr>
            <w:tcW w:w="880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310" w:hRule="atLeast"/>
        </w:trPr>
        <w:tc>
          <w:tcPr>
            <w:tcW w:w="8800"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2"/>
                <w:szCs w:val="22"/>
                <w:u w:val="none"/>
              </w:rPr>
            </w:pPr>
          </w:p>
        </w:tc>
      </w:tr>
      <w:tr>
        <w:tblPrEx>
          <w:shd w:val="clear" w:color="auto" w:fill="auto"/>
          <w:tblCellMar>
            <w:top w:w="0" w:type="dxa"/>
            <w:left w:w="0" w:type="dxa"/>
            <w:bottom w:w="0" w:type="dxa"/>
            <w:right w:w="0" w:type="dxa"/>
          </w:tblCellMar>
        </w:tblPrEx>
        <w:trPr>
          <w:trHeight w:val="320" w:hRule="atLeast"/>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项目名称</w:t>
            </w:r>
          </w:p>
        </w:tc>
        <w:tc>
          <w:tcPr>
            <w:tcW w:w="739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国家公共文化服务体系示范区项目</w:t>
            </w:r>
          </w:p>
        </w:tc>
      </w:tr>
      <w:tr>
        <w:tblPrEx>
          <w:shd w:val="clear" w:color="auto" w:fill="auto"/>
          <w:tblCellMar>
            <w:top w:w="0" w:type="dxa"/>
            <w:left w:w="0" w:type="dxa"/>
            <w:bottom w:w="0" w:type="dxa"/>
            <w:right w:w="0" w:type="dxa"/>
          </w:tblCellMar>
        </w:tblPrEx>
        <w:trPr>
          <w:trHeight w:val="320" w:hRule="atLeast"/>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主管部门</w:t>
            </w:r>
          </w:p>
        </w:tc>
        <w:tc>
          <w:tcPr>
            <w:tcW w:w="379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实施单位</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塔城地区文化馆</w:t>
            </w:r>
          </w:p>
        </w:tc>
      </w:tr>
      <w:tr>
        <w:tblPrEx>
          <w:shd w:val="clear" w:color="auto" w:fill="auto"/>
          <w:tblCellMar>
            <w:top w:w="0" w:type="dxa"/>
            <w:left w:w="0" w:type="dxa"/>
            <w:bottom w:w="0" w:type="dxa"/>
            <w:right w:w="0" w:type="dxa"/>
          </w:tblCellMar>
        </w:tblPrEx>
        <w:trPr>
          <w:trHeight w:val="616" w:hRule="atLeast"/>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项目资金</w:t>
            </w: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ajorEastAsia" w:hAnsiTheme="majorEastAsia" w:eastAsiaTheme="majorEastAsia" w:cstheme="majorEastAsia"/>
                <w:i w:val="0"/>
                <w:color w:val="000000"/>
                <w:sz w:val="20"/>
                <w:szCs w:val="20"/>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ajorEastAsia" w:hAnsiTheme="majorEastAsia" w:eastAsiaTheme="majorEastAsia" w:cstheme="majorEastAsia"/>
                <w:i w:val="0"/>
                <w:color w:val="000000"/>
                <w:sz w:val="20"/>
                <w:szCs w:val="20"/>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年初预算数</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全年预算数</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全年执行数</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320" w:hRule="atLeast"/>
        </w:trPr>
        <w:tc>
          <w:tcPr>
            <w:tcW w:w="14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（万元）</w:t>
            </w:r>
          </w:p>
        </w:tc>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年度资金总额</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96" w:hRule="atLeast"/>
        </w:trPr>
        <w:tc>
          <w:tcPr>
            <w:tcW w:w="1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其中：当年财政拨款</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75.00</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75.00</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75.00</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5" w:hRule="atLeast"/>
        </w:trPr>
        <w:tc>
          <w:tcPr>
            <w:tcW w:w="1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 xml:space="preserve">      上年结转资金</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20" w:hRule="atLeast"/>
        </w:trPr>
        <w:tc>
          <w:tcPr>
            <w:tcW w:w="1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 xml:space="preserve">  其他资金</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5" w:hRule="atLeast"/>
        </w:trPr>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年度总体目标</w:t>
            </w:r>
          </w:p>
        </w:tc>
        <w:tc>
          <w:tcPr>
            <w:tcW w:w="450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预期目标</w:t>
            </w:r>
          </w:p>
        </w:tc>
        <w:tc>
          <w:tcPr>
            <w:tcW w:w="35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522"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450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计划使用示范项目75万元中的45万元用于文化中心的市民文化活动中心的建设，塔城文化中心（文博书苑）在文化馆中建有一个市民文化活动中心.计划使用示范项目75万元中的30万元投入群众文化培育基地建设。</w:t>
            </w:r>
          </w:p>
        </w:tc>
        <w:tc>
          <w:tcPr>
            <w:tcW w:w="35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使用示范项目75万元中的45万元用于文化中心的市民文化活动中心的建设，塔城文化中心（文博书苑）在文化馆中建有一个市民文化活动中心.计划使用示范项目75万元中的30万元投入群众文化培育基地建设。</w:t>
            </w:r>
          </w:p>
        </w:tc>
      </w:tr>
      <w:tr>
        <w:tblPrEx>
          <w:shd w:val="clear" w:color="auto" w:fill="auto"/>
          <w:tblCellMar>
            <w:top w:w="0" w:type="dxa"/>
            <w:left w:w="0" w:type="dxa"/>
            <w:bottom w:w="0" w:type="dxa"/>
            <w:right w:w="0" w:type="dxa"/>
          </w:tblCellMar>
        </w:tblPrEx>
        <w:trPr>
          <w:trHeight w:val="1470"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一级指标</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二级指标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三级指标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年度指标值</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实际完成值</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1128" w:hRule="atLeast"/>
        </w:trPr>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年度绩效指标完成情况</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产出指标</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数量指标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新建市民文化活动中心</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=1个</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1个</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820"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质量指标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工程质量合格率</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≥98%</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98%</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820"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时效指标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项目执行期限</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≥2年</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2年</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1282"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成本指标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塔城文化中心小剧场的建设、数字文化馆建设和群众文化培育基地建设项目共需投入总成本资金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=75万元</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75万元</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1503"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效益指标</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经济效益指标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提供就业岗位</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=6个</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1个</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由</w:t>
            </w:r>
            <w:bookmarkStart w:id="4" w:name="_GoBack"/>
            <w:r>
              <w:rPr>
                <w:rFonts w:hint="eastAsia" w:asciiTheme="majorEastAsia" w:hAnsiTheme="majorEastAsia" w:eastAsiaTheme="majorEastAsia" w:cstheme="majorEastAsia"/>
                <w:i w:val="0"/>
                <w:color w:val="000000"/>
                <w:kern w:val="0"/>
                <w:sz w:val="18"/>
                <w:szCs w:val="18"/>
                <w:u w:val="none"/>
                <w:lang w:val="en-US" w:eastAsia="zh-CN" w:bidi="ar"/>
              </w:rPr>
              <w:t>于传染病防控</w:t>
            </w:r>
            <w:r>
              <w:rPr>
                <w:rFonts w:hint="eastAsia" w:asciiTheme="majorEastAsia" w:hAnsiTheme="majorEastAsia" w:eastAsiaTheme="majorEastAsia" w:cstheme="majorEastAsia"/>
                <w:i w:val="0"/>
                <w:color w:val="000000"/>
                <w:kern w:val="0"/>
                <w:sz w:val="18"/>
                <w:szCs w:val="18"/>
                <w:u w:val="none"/>
                <w:lang w:val="en-US" w:eastAsia="zh-CN" w:bidi="ar"/>
              </w:rPr>
              <w:t>，群众文化无法</w:t>
            </w:r>
            <w:bookmarkEnd w:id="4"/>
            <w:r>
              <w:rPr>
                <w:rFonts w:hint="eastAsia" w:asciiTheme="majorEastAsia" w:hAnsiTheme="majorEastAsia" w:eastAsiaTheme="majorEastAsia" w:cstheme="majorEastAsia"/>
                <w:i w:val="0"/>
                <w:color w:val="000000"/>
                <w:kern w:val="0"/>
                <w:sz w:val="18"/>
                <w:szCs w:val="18"/>
                <w:u w:val="none"/>
                <w:lang w:val="en-US" w:eastAsia="zh-CN" w:bidi="ar"/>
              </w:rPr>
              <w:t>正常开展，只留用一名辅导老师，坚守文化阵地。</w:t>
            </w:r>
          </w:p>
        </w:tc>
      </w:tr>
      <w:tr>
        <w:tblPrEx>
          <w:shd w:val="clear" w:color="auto" w:fill="auto"/>
          <w:tblCellMar>
            <w:top w:w="0" w:type="dxa"/>
            <w:left w:w="0" w:type="dxa"/>
            <w:bottom w:w="0" w:type="dxa"/>
            <w:right w:w="0" w:type="dxa"/>
          </w:tblCellMar>
        </w:tblPrEx>
        <w:trPr>
          <w:trHeight w:val="3573"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社会效益指标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贯彻落实公共文化服务保障法，加强塔城地区的公共文化服务体系建设。</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丰富各族人民群众精神文化生活，实施文旅融合战略，牢牢掌握意识形态工作的领导权和主动权，进一步推进塔城地区群众文化人才发挥先进文化的引领作用。</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丰富各族人民群众精神文化生活，实施文旅融合战略，牢牢掌握意识形态工作的领导权和主动权，进一步推进塔城地区群众文化人才发挥先进文化的引领作用。</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1192"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生态效益指标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建设工程必须在大楼内实施，不得对大楼的主题墙面有损坏和对环境造成污染。</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≤0.5%</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0.4%</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tblCellMar>
            <w:top w:w="0" w:type="dxa"/>
            <w:left w:w="0" w:type="dxa"/>
            <w:bottom w:w="0" w:type="dxa"/>
            <w:right w:w="0" w:type="dxa"/>
          </w:tblCellMar>
        </w:tblPrEx>
        <w:trPr>
          <w:trHeight w:val="1397"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可持续影响指标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 xml:space="preserve"> 该项目是塔城地委、行署投资兴建的一项惠民工程，可进一步提高塔城文化中心（文博书苑）的使用率和知名度。</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长期</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长期</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tblCellMar>
            <w:top w:w="0" w:type="dxa"/>
            <w:left w:w="0" w:type="dxa"/>
            <w:bottom w:w="0" w:type="dxa"/>
            <w:right w:w="0" w:type="dxa"/>
          </w:tblCellMar>
        </w:tblPrEx>
        <w:trPr>
          <w:trHeight w:val="109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满意度指标</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服务对象满意度指标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市民对文化活动中心建设满意度</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≥98%</w:t>
            </w:r>
          </w:p>
        </w:tc>
        <w:tc>
          <w:tcPr>
            <w:tcW w:w="24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98%</w:t>
            </w:r>
          </w:p>
        </w:tc>
        <w:tc>
          <w:tcPr>
            <w:tcW w:w="11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bl>
    <w:p>
      <w:pPr>
        <w:pStyle w:val="2"/>
        <w:jc w:val="both"/>
        <w:rPr>
          <w:rFonts w:hint="eastAsia" w:asciiTheme="majorEastAsia" w:hAnsiTheme="majorEastAsia" w:eastAsiaTheme="majorEastAsia" w:cstheme="majorEastAsia"/>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r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rPr>
      </w:pPr>
    </w:p>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rPr>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bidi w:val="0"/>
        <w:adjustRightInd/>
        <w:snapToGrid/>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附件1</w:t>
      </w:r>
    </w:p>
    <w:tbl>
      <w:tblPr>
        <w:tblStyle w:val="15"/>
        <w:tblW w:w="800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30"/>
        <w:gridCol w:w="484"/>
        <w:gridCol w:w="551"/>
        <w:gridCol w:w="1486"/>
        <w:gridCol w:w="3274"/>
        <w:gridCol w:w="820"/>
        <w:gridCol w:w="8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3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一级指标</w:t>
            </w: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二级指标</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三级指标</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指标解释</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指标说明</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权重</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53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决策　</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48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项目立项　</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立项依据</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充分性</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项目立项是否符合法律法规、相关政策、发展规划以及部门职责，用以反映和考核项目立项依据情况。</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①项目立项是否符合国家法律法规、国民经济发展规划和相关政策；</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②项目立项是否符合行业发展规划和政策要求；</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③项目立项是否与部门职责范围相符，属于部门履职所需；</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④项目是否属于公共财政支持范围，是否符合中央、地方事权支出责任划分原则；</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⑤项目是否与相关部门同类项目或部门内部相关项目重复。</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3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立项程序</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规范性</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项目申请、设立过程是否符合相关要求，用以反映和考核项目立项的规范情况。</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①项目是否按照规定的程序申请设立；</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②审批文件、材料是否符合相关要求；</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③事前是否已经过必要的可行性研究、专家论证、风险评估、绩效评估、集体决策。</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3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　</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合理性</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项目所设定的绩效目标是否依据充分，是否符合客观实际，用以反映和考核项目绩效目标与项目实施的相符情况。</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（如未设定预算绩效目标，也可考核其他工作任务目标）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①项目是否有绩效目标；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②项目绩效目标与实际工作内容是否具有相关性；</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③项目预期产出效益和效果是否符合正常的业绩水平；</w:t>
            </w:r>
          </w:p>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3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决策　</w:t>
            </w: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绩效指标</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明确性</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依据绩效目标设定的绩效指标是否清晰、细化、可衡量等，用以反映和考核项目绩效目标的明细化情况。</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③是否与项目目标任务数或计划数相对应。</w:t>
            </w:r>
            <w:r>
              <w:rPr>
                <w:rFonts w:hint="eastAsia" w:ascii="仿宋_GB2312" w:hAnsi="仿宋_GB2312" w:eastAsia="仿宋_GB2312" w:cs="仿宋_GB2312"/>
                <w:color w:val="000000"/>
                <w:kern w:val="0"/>
                <w:sz w:val="22"/>
                <w:szCs w:val="22"/>
              </w:rPr>
              <w:br w:type="textWrapping"/>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53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资金投入</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预算编制</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科学性</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项目预算编制是否经过科学论证、有明确标准，资金额度与年度目标是否相适应，用以反映和考核项目预算编制的科学性、合理性情况。</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①预算编制是否经过科学论证；</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②预算内容与项目内容是否匹配；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③预算额度测算依据是否充分，是否按照标准编制；</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④预算确定的项目投资额或资金量是否与工作任务相匹配。</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3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资金分配</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合理性</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项目预算资金分配是否有测算依据，与补助单位或地方实际是否相适应，用以反映和考核项目预算资金分配的科学性、合理性情况。</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①预算资金分配依据是否充分；</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②资金分配额度是否合理，与项目单位或地方实际是否相适应。</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30" w:type="dxa"/>
            <w:vMerge w:val="restart"/>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过程</w:t>
            </w:r>
          </w:p>
        </w:tc>
        <w:tc>
          <w:tcPr>
            <w:tcW w:w="48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资金管理</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资金到位率</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实际到位资金与预算资金的比率，用以反映和考核资金落实情况对项目实施的总体保障程度。</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资金到位率=（实际到位资金/预算资金）×100%。</w:t>
            </w:r>
          </w:p>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实际到位资金：一定时期（本年度或项目期）内落实到具体项目的资金。</w:t>
            </w:r>
          </w:p>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预算资金：一定时期（本年度或项目期）内预算安排到具体项目的资金。</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3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预算执行率</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项目预算资金是否按照计划执行，用以反映或考核项目预算执行情况。</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预算执行率=（实际支出资金/实际到位资金）×100%。</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实际支出资金：一定时期（本年度或项目期）内项目实际拨付的资金。</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3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过程　</w:t>
            </w: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资金管理</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资金使用</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合规性</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项目资金使用是否符合相关的财务管理制度规定，用以反映和考核项目资金的规范运行情况。</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①是否符合国家财经法规和财务管理制度以及有关专项资金管理办法的规定；</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②资金的拨付是否有完整的审批程序和手续；</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③是否符合项目预算批复或合同规定的用途；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④是否存在截留、挤占、挪用、虚列支出等情况。</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3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组织实施</w:t>
            </w:r>
          </w:p>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管理制度</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健全性</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项目实施单位的财务和业务管理制度是否健全，用以反映和考核财务和业务管理制度对项目顺利实施的保障情况。</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①是否已制定或具有相应的财务和业务管理制度；</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②财务和业务管理制度是否合法、合规、完整。</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3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制度执行</w:t>
            </w:r>
          </w:p>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有效性</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项目实施是否符合相关管理规定，用以反映和考核相关管理制度的有效执行情况。</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①是否遵守相关法律法规和相关管理规定；</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②项目调整及支出调整手续是否完备；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③项目合同书、验收报告、技术鉴定等资料是否齐全并及时归档；</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④项目实施的人员条件、场地设备、信息支撑等是否落实到位。</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30"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w:t>
            </w: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产出数量</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实际完成率</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项目实施的实际产出数与计划产出数的比率，用以反映和考核项目产出数量目标的实现程度。</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实际完成率=（实际产出数/计划产出数）×100%。</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实际产出数：一定时期（本年度或项目期）内项目实际产出的产品或提供的服务数量。</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计划产出数：项目绩效目标确定的在一定时期（本年度或项目期）内计划产出的产品或提供的服务数量。</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8" w:hRule="atLeast"/>
          <w:jc w:val="center"/>
        </w:trPr>
        <w:tc>
          <w:tcPr>
            <w:tcW w:w="53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w:t>
            </w: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产出质量</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质量达标率</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项目完成的质量达标产出数与实际产出数的比率，用以反映和考核项目产出质量目标的实现程度。</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质量达标率=（质量达标产出数/实际产出数）×100%。</w:t>
            </w:r>
          </w:p>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530" w:type="dxa"/>
            <w:vMerge w:val="continue"/>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shd w:val="clear" w:color="auto" w:fill="FFFFFF"/>
            <w:vAlign w:val="center"/>
          </w:tcPr>
          <w:p>
            <w:pPr>
              <w:pageBreakBefore w:val="0"/>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产出时效</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完成及时性</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项目实际完成时间与计划完成时间的比较，用以反映和考核项目产出时效目标的实现程度。</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实际完成时间：项目实施单位完成该项目实际所耗用的时间。</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计划完成时间：按照项目实施计划或相关规定完成该项目所需的时间。</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3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产出成本</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成本节约率</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完成项目计划工作目标的实际节约成本与计划成本的比率，用以反映和考核项目的成本节约程度。</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成本节约率=[（计划成本-实际成本）/计划成本]×100%。</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实际成本：项目实施单位如期、保质、保量完成既定工作目标实际所耗费的支出。</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计划成本：项目实施单位为完成工作目标计划安排的支出，一般以项目预算为参考。</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30"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效益　</w:t>
            </w:r>
          </w:p>
        </w:tc>
        <w:tc>
          <w:tcPr>
            <w:tcW w:w="484" w:type="dxa"/>
            <w:vMerge w:val="restart"/>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项目效益　</w:t>
            </w: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实施效益</w:t>
            </w:r>
          </w:p>
        </w:tc>
        <w:tc>
          <w:tcPr>
            <w:tcW w:w="1486" w:type="dxa"/>
            <w:shd w:val="clear" w:color="auto" w:fill="FFFFFF"/>
            <w:vAlign w:val="center"/>
          </w:tcPr>
          <w:p>
            <w:pPr>
              <w:pageBreakBefore w:val="0"/>
              <w:widowControl/>
              <w:kinsoku/>
              <w:wordWrap/>
              <w:overflowPunct/>
              <w:topLinePunct w:val="0"/>
              <w:autoSpaceDE/>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项目实施所产生的效益。</w:t>
            </w:r>
          </w:p>
        </w:tc>
        <w:tc>
          <w:tcPr>
            <w:tcW w:w="3274"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项目实施所产生的社会效益、经济效益、生态效益、可持续影响等。可根据项目实际情况有选择地设置和细化。</w:t>
            </w:r>
          </w:p>
        </w:tc>
        <w:tc>
          <w:tcPr>
            <w:tcW w:w="82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w:t>
            </w:r>
          </w:p>
        </w:tc>
        <w:tc>
          <w:tcPr>
            <w:tcW w:w="860" w:type="dxa"/>
            <w:shd w:val="clear" w:color="auto"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25.83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530"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484" w:type="dxa"/>
            <w:vMerge w:val="continue"/>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551" w:type="dxa"/>
            <w:shd w:val="clear" w:color="auto" w:fill="FFFFFF"/>
            <w:vAlign w:val="center"/>
          </w:tcPr>
          <w:p>
            <w:pPr>
              <w:pageBreakBefore w:val="0"/>
              <w:widowControl/>
              <w:kinsoku/>
              <w:wordWrap/>
              <w:overflowPunct/>
              <w:topLinePunct w:val="0"/>
              <w:autoSpaceDE/>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满意度</w:t>
            </w:r>
          </w:p>
        </w:tc>
        <w:tc>
          <w:tcPr>
            <w:tcW w:w="1486"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社会公众或服务对象对项目实施效果的满意程度。</w:t>
            </w:r>
          </w:p>
        </w:tc>
        <w:tc>
          <w:tcPr>
            <w:tcW w:w="3274"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社会公众或服务对象是指因该项目实施而受到影响的部门（单位）、群体或个人。一般采取社会调查的方式。</w:t>
            </w:r>
          </w:p>
        </w:tc>
        <w:tc>
          <w:tcPr>
            <w:tcW w:w="82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860" w:type="dxa"/>
            <w:shd w:val="clear" w:color="000000" w:fill="FFFFFF"/>
            <w:vAlign w:val="center"/>
          </w:tcPr>
          <w:p>
            <w:pPr>
              <w:pageBreakBefore w:val="0"/>
              <w:widowControl/>
              <w:kinsoku/>
              <w:wordWrap/>
              <w:overflowPunct/>
              <w:topLinePunct w:val="0"/>
              <w:autoSpaceDE/>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bl>
    <w:p>
      <w:pPr>
        <w:pStyle w:val="2"/>
        <w:pageBreakBefore w:val="0"/>
        <w:kinsoku/>
        <w:wordWrap/>
        <w:overflowPunct/>
        <w:topLinePunct w:val="0"/>
        <w:autoSpaceDE/>
        <w:bidi w:val="0"/>
        <w:adjustRightInd/>
        <w:snapToGrid/>
        <w:spacing w:before="0" w:after="0" w:line="560" w:lineRule="exact"/>
        <w:rPr>
          <w:rFonts w:hint="eastAsia" w:ascii="仿宋_GB2312" w:hAnsi="仿宋_GB2312" w:eastAsia="仿宋_GB2312" w:cs="仿宋_GB2312"/>
        </w:rPr>
      </w:pPr>
    </w:p>
    <w:p>
      <w:pPr>
        <w:pStyle w:val="2"/>
        <w:pageBreakBefore w:val="0"/>
        <w:kinsoku/>
        <w:wordWrap/>
        <w:overflowPunct/>
        <w:topLinePunct w:val="0"/>
        <w:autoSpaceDE/>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rPr>
      </w:pPr>
    </w:p>
    <w:sectPr>
      <w:headerReference r:id="rId4" w:type="default"/>
      <w:headerReference r:id="rId5" w:type="even"/>
      <w:pgSz w:w="11906" w:h="16838"/>
      <w:pgMar w:top="1418" w:right="1588" w:bottom="141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3C4CCBE"/>
    <w:multiLevelType w:val="singleLevel"/>
    <w:tmpl w:val="23C4CCBE"/>
    <w:lvl w:ilvl="0" w:tentative="0">
      <w:start w:val="2"/>
      <w:numFmt w:val="decimal"/>
      <w:suff w:val="nothing"/>
      <w:lvlText w:val="%1、"/>
      <w:lvlJc w:val="left"/>
    </w:lvl>
  </w:abstractNum>
  <w:abstractNum w:abstractNumId="6">
    <w:nsid w:val="5169F2EC"/>
    <w:multiLevelType w:val="singleLevel"/>
    <w:tmpl w:val="5169F2EC"/>
    <w:lvl w:ilvl="0" w:tentative="0">
      <w:start w:val="3"/>
      <w:numFmt w:val="chineseCounting"/>
      <w:suff w:val="nothing"/>
      <w:lvlText w:val="（%1）"/>
      <w:lvlJc w:val="left"/>
      <w:rPr>
        <w:rFonts w:hint="eastAsia"/>
      </w:rPr>
    </w:lvl>
  </w:abstractNum>
  <w:num w:numId="1">
    <w:abstractNumId w:val="5"/>
  </w:num>
  <w:num w:numId="2">
    <w:abstractNumId w:val="1"/>
  </w:num>
  <w:num w:numId="3">
    <w:abstractNumId w:val="4"/>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B0A"/>
    <w:rsid w:val="003179FD"/>
    <w:rsid w:val="00905B0A"/>
    <w:rsid w:val="00C064C8"/>
    <w:rsid w:val="00EE69FA"/>
    <w:rsid w:val="00F62BE8"/>
    <w:rsid w:val="00F866BE"/>
    <w:rsid w:val="012C4639"/>
    <w:rsid w:val="01B54DAC"/>
    <w:rsid w:val="01C54208"/>
    <w:rsid w:val="01F74EEB"/>
    <w:rsid w:val="0461423E"/>
    <w:rsid w:val="04AB4B75"/>
    <w:rsid w:val="060A4E3B"/>
    <w:rsid w:val="06316366"/>
    <w:rsid w:val="06387141"/>
    <w:rsid w:val="072C4594"/>
    <w:rsid w:val="09021BAB"/>
    <w:rsid w:val="096B58A9"/>
    <w:rsid w:val="09762228"/>
    <w:rsid w:val="0AD146E3"/>
    <w:rsid w:val="0D1D50AC"/>
    <w:rsid w:val="0DB2780C"/>
    <w:rsid w:val="0DB56F97"/>
    <w:rsid w:val="0DC17A76"/>
    <w:rsid w:val="0E7452F0"/>
    <w:rsid w:val="0F233012"/>
    <w:rsid w:val="0F3F1B1E"/>
    <w:rsid w:val="0F4B2CBD"/>
    <w:rsid w:val="10683447"/>
    <w:rsid w:val="11892B11"/>
    <w:rsid w:val="11B4069B"/>
    <w:rsid w:val="12122D47"/>
    <w:rsid w:val="122A03AA"/>
    <w:rsid w:val="12B22913"/>
    <w:rsid w:val="133F201A"/>
    <w:rsid w:val="137F7593"/>
    <w:rsid w:val="150E74F4"/>
    <w:rsid w:val="15931713"/>
    <w:rsid w:val="15DF0EFF"/>
    <w:rsid w:val="16F9440F"/>
    <w:rsid w:val="17A14DC2"/>
    <w:rsid w:val="18A60B16"/>
    <w:rsid w:val="18F62F65"/>
    <w:rsid w:val="198027FD"/>
    <w:rsid w:val="1A547957"/>
    <w:rsid w:val="1B7A2C35"/>
    <w:rsid w:val="1C6D7A84"/>
    <w:rsid w:val="1C9B504D"/>
    <w:rsid w:val="1D7B1665"/>
    <w:rsid w:val="1EC738D5"/>
    <w:rsid w:val="20216994"/>
    <w:rsid w:val="202F0FFF"/>
    <w:rsid w:val="2089519D"/>
    <w:rsid w:val="21B54133"/>
    <w:rsid w:val="23663198"/>
    <w:rsid w:val="23AF2F28"/>
    <w:rsid w:val="23BA7189"/>
    <w:rsid w:val="23F31A4D"/>
    <w:rsid w:val="247B3DEE"/>
    <w:rsid w:val="24BD0842"/>
    <w:rsid w:val="261C04C4"/>
    <w:rsid w:val="261D7924"/>
    <w:rsid w:val="26E60CC3"/>
    <w:rsid w:val="26F42739"/>
    <w:rsid w:val="26FC270A"/>
    <w:rsid w:val="275B429B"/>
    <w:rsid w:val="276E6F89"/>
    <w:rsid w:val="27F378D1"/>
    <w:rsid w:val="280F261E"/>
    <w:rsid w:val="28D1023A"/>
    <w:rsid w:val="28FF3B30"/>
    <w:rsid w:val="29940E43"/>
    <w:rsid w:val="2BEA1B17"/>
    <w:rsid w:val="2C054A27"/>
    <w:rsid w:val="2D7202DB"/>
    <w:rsid w:val="2D8472B1"/>
    <w:rsid w:val="2DF442B3"/>
    <w:rsid w:val="2F22707A"/>
    <w:rsid w:val="2F4F7BE0"/>
    <w:rsid w:val="2FAA489F"/>
    <w:rsid w:val="2FB77A4F"/>
    <w:rsid w:val="2FDB516B"/>
    <w:rsid w:val="2FE90937"/>
    <w:rsid w:val="300C038C"/>
    <w:rsid w:val="3063239C"/>
    <w:rsid w:val="322A00CB"/>
    <w:rsid w:val="32A82993"/>
    <w:rsid w:val="33FB454C"/>
    <w:rsid w:val="347120C2"/>
    <w:rsid w:val="35395984"/>
    <w:rsid w:val="363E09C4"/>
    <w:rsid w:val="36A77B52"/>
    <w:rsid w:val="3809280E"/>
    <w:rsid w:val="383C759B"/>
    <w:rsid w:val="39522C9F"/>
    <w:rsid w:val="39B864B7"/>
    <w:rsid w:val="3C031A3C"/>
    <w:rsid w:val="3C6B625A"/>
    <w:rsid w:val="3DC37E5D"/>
    <w:rsid w:val="3DCD0C35"/>
    <w:rsid w:val="3FD073C3"/>
    <w:rsid w:val="3FE4269A"/>
    <w:rsid w:val="413E182A"/>
    <w:rsid w:val="41456CF2"/>
    <w:rsid w:val="415223CD"/>
    <w:rsid w:val="41BF7F62"/>
    <w:rsid w:val="4312155C"/>
    <w:rsid w:val="4317037D"/>
    <w:rsid w:val="4359358E"/>
    <w:rsid w:val="43A437F4"/>
    <w:rsid w:val="43A96E16"/>
    <w:rsid w:val="43E500D6"/>
    <w:rsid w:val="44171F78"/>
    <w:rsid w:val="44D83915"/>
    <w:rsid w:val="45D17EF8"/>
    <w:rsid w:val="461632A6"/>
    <w:rsid w:val="469A2ED3"/>
    <w:rsid w:val="47AF69C1"/>
    <w:rsid w:val="47B25EAB"/>
    <w:rsid w:val="49055893"/>
    <w:rsid w:val="49E70D17"/>
    <w:rsid w:val="49F3511D"/>
    <w:rsid w:val="4ACC7B5D"/>
    <w:rsid w:val="4B333545"/>
    <w:rsid w:val="4B367ED9"/>
    <w:rsid w:val="4B91476D"/>
    <w:rsid w:val="4BF309E1"/>
    <w:rsid w:val="4C372BCB"/>
    <w:rsid w:val="4CD3114A"/>
    <w:rsid w:val="4CD76BF6"/>
    <w:rsid w:val="4D1B7A17"/>
    <w:rsid w:val="4D955EB7"/>
    <w:rsid w:val="4E1D2BB9"/>
    <w:rsid w:val="4EE53F15"/>
    <w:rsid w:val="508D522A"/>
    <w:rsid w:val="519134ED"/>
    <w:rsid w:val="51AB0DE7"/>
    <w:rsid w:val="522A6559"/>
    <w:rsid w:val="527B2AA6"/>
    <w:rsid w:val="531C6CF5"/>
    <w:rsid w:val="53D838E1"/>
    <w:rsid w:val="54125BF2"/>
    <w:rsid w:val="546932F8"/>
    <w:rsid w:val="550F2E11"/>
    <w:rsid w:val="55B0208F"/>
    <w:rsid w:val="55C14535"/>
    <w:rsid w:val="55C57D6E"/>
    <w:rsid w:val="57497D76"/>
    <w:rsid w:val="582364B8"/>
    <w:rsid w:val="58300F70"/>
    <w:rsid w:val="59651C84"/>
    <w:rsid w:val="5A2167EB"/>
    <w:rsid w:val="5A9C7E1F"/>
    <w:rsid w:val="5B483949"/>
    <w:rsid w:val="5B540083"/>
    <w:rsid w:val="5C8B530A"/>
    <w:rsid w:val="5CBA1FFB"/>
    <w:rsid w:val="5DBC65A6"/>
    <w:rsid w:val="5F101D2F"/>
    <w:rsid w:val="5F586E9C"/>
    <w:rsid w:val="5FAD6C9B"/>
    <w:rsid w:val="5FCB1B11"/>
    <w:rsid w:val="609A5DE2"/>
    <w:rsid w:val="609E18AD"/>
    <w:rsid w:val="61243CC5"/>
    <w:rsid w:val="62E14ED0"/>
    <w:rsid w:val="62FB3598"/>
    <w:rsid w:val="635E6A08"/>
    <w:rsid w:val="64EB42AD"/>
    <w:rsid w:val="65CF571F"/>
    <w:rsid w:val="66EE3B40"/>
    <w:rsid w:val="66F75912"/>
    <w:rsid w:val="686A1ACF"/>
    <w:rsid w:val="68A51882"/>
    <w:rsid w:val="68AD6BEA"/>
    <w:rsid w:val="69677A99"/>
    <w:rsid w:val="69DA7F54"/>
    <w:rsid w:val="69F8759F"/>
    <w:rsid w:val="6A404507"/>
    <w:rsid w:val="6A763BAE"/>
    <w:rsid w:val="6AF5478A"/>
    <w:rsid w:val="6AFE54DB"/>
    <w:rsid w:val="6B1A3B09"/>
    <w:rsid w:val="6BD83E77"/>
    <w:rsid w:val="6C3311F5"/>
    <w:rsid w:val="6D0F7BFD"/>
    <w:rsid w:val="6DD86FDD"/>
    <w:rsid w:val="6DDB6DB5"/>
    <w:rsid w:val="6F5C03DB"/>
    <w:rsid w:val="702C3B82"/>
    <w:rsid w:val="70380109"/>
    <w:rsid w:val="71694F60"/>
    <w:rsid w:val="719328EB"/>
    <w:rsid w:val="727B5145"/>
    <w:rsid w:val="729D7349"/>
    <w:rsid w:val="733E681E"/>
    <w:rsid w:val="734475A7"/>
    <w:rsid w:val="750903AA"/>
    <w:rsid w:val="75357AD9"/>
    <w:rsid w:val="76524F8D"/>
    <w:rsid w:val="76A9260F"/>
    <w:rsid w:val="775765B6"/>
    <w:rsid w:val="77627285"/>
    <w:rsid w:val="77B87A2A"/>
    <w:rsid w:val="7AAA759B"/>
    <w:rsid w:val="7CBC5661"/>
    <w:rsid w:val="7CCE7113"/>
    <w:rsid w:val="7EBF4713"/>
    <w:rsid w:val="7EDD53C4"/>
    <w:rsid w:val="7EEA66F9"/>
    <w:rsid w:val="7FB348DA"/>
    <w:rsid w:val="7FBC390A"/>
    <w:rsid w:val="7FED2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line="460" w:lineRule="exact"/>
      <w:jc w:val="left"/>
      <w:textAlignment w:val="baseline"/>
      <w:outlineLvl w:val="0"/>
    </w:pPr>
    <w:rPr>
      <w:b/>
      <w:kern w:val="44"/>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link w:val="23"/>
    <w:qFormat/>
    <w:uiPriority w:val="0"/>
    <w:pPr>
      <w:jc w:val="left"/>
    </w:pPr>
  </w:style>
  <w:style w:type="paragraph" w:styleId="6">
    <w:name w:val="Body Text"/>
    <w:basedOn w:val="1"/>
    <w:qFormat/>
    <w:uiPriority w:val="1"/>
    <w:rPr>
      <w:rFonts w:ascii="仿宋" w:hAnsi="仿宋" w:eastAsia="仿宋" w:cs="仿宋"/>
      <w:sz w:val="32"/>
      <w:szCs w:val="32"/>
      <w:lang w:val="zh-CN" w:bidi="zh-CN"/>
    </w:rPr>
  </w:style>
  <w:style w:type="paragraph" w:styleId="7">
    <w:name w:val="Balloon Text"/>
    <w:basedOn w:val="1"/>
    <w:link w:val="25"/>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spacing w:before="120" w:after="120"/>
      <w:jc w:val="left"/>
    </w:pPr>
    <w:rPr>
      <w:rFonts w:ascii="Calibri" w:hAnsi="Calibri" w:cs="Calibri"/>
      <w:b/>
      <w:bCs/>
      <w:caps/>
      <w:sz w:val="20"/>
      <w:szCs w:val="20"/>
    </w:rPr>
  </w:style>
  <w:style w:type="paragraph" w:styleId="11">
    <w:name w:val="footnote text"/>
    <w:basedOn w:val="1"/>
    <w:qFormat/>
    <w:uiPriority w:val="0"/>
    <w:pPr>
      <w:snapToGrid w:val="0"/>
      <w:jc w:val="left"/>
    </w:pPr>
    <w:rPr>
      <w:sz w:val="18"/>
      <w:szCs w:val="18"/>
    </w:rPr>
  </w:style>
  <w:style w:type="paragraph" w:styleId="12">
    <w:name w:val="toc 2"/>
    <w:basedOn w:val="1"/>
    <w:next w:val="1"/>
    <w:unhideWhenUsed/>
    <w:qFormat/>
    <w:uiPriority w:val="39"/>
    <w:pPr>
      <w:ind w:left="280"/>
      <w:jc w:val="left"/>
    </w:pPr>
    <w:rPr>
      <w:rFonts w:ascii="Calibri" w:hAnsi="Calibri" w:cs="Calibri"/>
      <w:smallCaps/>
      <w:sz w:val="20"/>
      <w:szCs w:val="20"/>
    </w:rPr>
  </w:style>
  <w:style w:type="paragraph" w:styleId="13">
    <w:name w:val="Normal (Web)"/>
    <w:basedOn w:val="1"/>
    <w:unhideWhenUsed/>
    <w:qFormat/>
    <w:uiPriority w:val="99"/>
    <w:pPr>
      <w:spacing w:before="100" w:beforeAutospacing="1" w:after="100" w:afterAutospacing="1"/>
    </w:pPr>
    <w:rPr>
      <w:rFonts w:ascii="宋体" w:hAnsi="宋体" w:cs="宋体"/>
      <w:sz w:val="24"/>
    </w:rPr>
  </w:style>
  <w:style w:type="paragraph" w:styleId="14">
    <w:name w:val="annotation subject"/>
    <w:basedOn w:val="5"/>
    <w:next w:val="5"/>
    <w:link w:val="24"/>
    <w:qFormat/>
    <w:uiPriority w:val="0"/>
    <w:rPr>
      <w:b/>
      <w:bCs/>
    </w:rPr>
  </w:style>
  <w:style w:type="character" w:styleId="17">
    <w:name w:val="Strong"/>
    <w:basedOn w:val="16"/>
    <w:qFormat/>
    <w:uiPriority w:val="0"/>
    <w:rPr>
      <w:b/>
    </w:rPr>
  </w:style>
  <w:style w:type="character" w:styleId="18">
    <w:name w:val="annotation reference"/>
    <w:basedOn w:val="16"/>
    <w:qFormat/>
    <w:uiPriority w:val="0"/>
    <w:rPr>
      <w:sz w:val="21"/>
      <w:szCs w:val="21"/>
    </w:rPr>
  </w:style>
  <w:style w:type="character" w:customStyle="1" w:styleId="19">
    <w:name w:val="页眉 Char"/>
    <w:basedOn w:val="16"/>
    <w:qFormat/>
    <w:uiPriority w:val="0"/>
    <w:rPr>
      <w:kern w:val="2"/>
      <w:sz w:val="18"/>
      <w:szCs w:val="18"/>
    </w:rPr>
  </w:style>
  <w:style w:type="character" w:customStyle="1" w:styleId="20">
    <w:name w:val="页眉 字符"/>
    <w:basedOn w:val="16"/>
    <w:link w:val="9"/>
    <w:qFormat/>
    <w:uiPriority w:val="0"/>
    <w:rPr>
      <w:kern w:val="2"/>
      <w:sz w:val="18"/>
      <w:szCs w:val="18"/>
    </w:rPr>
  </w:style>
  <w:style w:type="paragraph" w:customStyle="1" w:styleId="21">
    <w:name w:val="一级标题"/>
    <w:basedOn w:val="3"/>
    <w:next w:val="1"/>
    <w:qFormat/>
    <w:uiPriority w:val="0"/>
    <w:pPr>
      <w:adjustRightInd/>
      <w:spacing w:before="120" w:after="120" w:line="240" w:lineRule="auto"/>
      <w:jc w:val="center"/>
      <w:textAlignment w:val="auto"/>
    </w:pPr>
    <w:rPr>
      <w:rFonts w:ascii="楷体_GB2312" w:hAnsi="楷体_GB2312"/>
      <w:bCs/>
      <w:szCs w:val="44"/>
    </w:rPr>
  </w:style>
  <w:style w:type="character" w:customStyle="1" w:styleId="22">
    <w:name w:val="fontstyle01"/>
    <w:qFormat/>
    <w:uiPriority w:val="0"/>
    <w:rPr>
      <w:rFonts w:ascii="仿宋_GB2312" w:hAnsi="仿宋_GB2312" w:eastAsia="仿宋_GB2312" w:cs="仿宋_GB2312"/>
      <w:color w:val="000000"/>
      <w:sz w:val="32"/>
      <w:szCs w:val="32"/>
    </w:rPr>
  </w:style>
  <w:style w:type="character" w:customStyle="1" w:styleId="23">
    <w:name w:val="批注文字 字符"/>
    <w:basedOn w:val="16"/>
    <w:link w:val="5"/>
    <w:qFormat/>
    <w:uiPriority w:val="0"/>
    <w:rPr>
      <w:kern w:val="2"/>
      <w:sz w:val="21"/>
      <w:szCs w:val="24"/>
    </w:rPr>
  </w:style>
  <w:style w:type="character" w:customStyle="1" w:styleId="24">
    <w:name w:val="批注主题 字符"/>
    <w:basedOn w:val="23"/>
    <w:link w:val="14"/>
    <w:qFormat/>
    <w:uiPriority w:val="0"/>
    <w:rPr>
      <w:b/>
      <w:bCs/>
      <w:kern w:val="2"/>
      <w:sz w:val="21"/>
      <w:szCs w:val="24"/>
    </w:rPr>
  </w:style>
  <w:style w:type="character" w:customStyle="1" w:styleId="25">
    <w:name w:val="批注框文本 字符"/>
    <w:basedOn w:val="16"/>
    <w:link w:val="7"/>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1813</Words>
  <Characters>10338</Characters>
  <Lines>86</Lines>
  <Paragraphs>24</Paragraphs>
  <TotalTime>0</TotalTime>
  <ScaleCrop>false</ScaleCrop>
  <LinksUpToDate>false</LinksUpToDate>
  <CharactersWithSpaces>12127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2019-04-04T04:44:00Z</dcterms:created>
  <dc:creator>User</dc:creator>
  <cp:lastModifiedBy>Administrator</cp:lastModifiedBy>
  <cp:lastPrinted>2019-08-29T09:21:00Z</cp:lastPrinted>
  <dcterms:modified xsi:type="dcterms:W3CDTF">2025-09-10T08:13:36Z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9A2B18DA98AA4A6B947F445F95B50DAF</vt:lpwstr>
  </property>
</Properties>
</file>