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jc w:val="both"/>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jc w:val="center"/>
        <w:rPr>
          <w:rFonts w:hint="eastAsia" w:ascii="方正小标宋_GBK" w:hAnsi="华文中宋" w:eastAsia="方正小标宋_GBK" w:cs="宋体"/>
          <w:kern w:val="0"/>
          <w:sz w:val="44"/>
          <w:szCs w:val="44"/>
        </w:rPr>
      </w:pPr>
      <w:r>
        <w:rPr>
          <w:rFonts w:hint="eastAsia" w:ascii="方正小标宋_GBK" w:hAnsi="华文中宋" w:eastAsia="方正小标宋_GBK" w:cs="宋体"/>
          <w:kern w:val="0"/>
          <w:sz w:val="44"/>
          <w:szCs w:val="44"/>
          <w:lang w:val="en-US" w:eastAsia="zh-CN"/>
        </w:rPr>
        <w:t>2020年塔城地区政协工作经费</w:t>
      </w:r>
      <w:r>
        <w:rPr>
          <w:rFonts w:hint="eastAsia" w:ascii="方正小标宋_GBK" w:hAnsi="华文中宋" w:eastAsia="方正小标宋_GBK" w:cs="宋体"/>
          <w:kern w:val="0"/>
          <w:sz w:val="44"/>
          <w:szCs w:val="44"/>
        </w:rPr>
        <w:t>项目支出</w:t>
      </w:r>
    </w:p>
    <w:p>
      <w:pPr>
        <w:pageBreakBefore w:val="0"/>
        <w:kinsoku/>
        <w:wordWrap/>
        <w:overflowPunct/>
        <w:topLinePunct w:val="0"/>
        <w:autoSpaceDE/>
        <w:autoSpaceDN/>
        <w:bidi w:val="0"/>
        <w:adjustRightInd/>
        <w:spacing w:line="560" w:lineRule="exact"/>
        <w:jc w:val="center"/>
        <w:rPr>
          <w:rFonts w:ascii="方正小标宋_GBK" w:hAnsi="华文中宋" w:eastAsia="方正小标宋_GBK" w:cs="宋体"/>
          <w:kern w:val="0"/>
          <w:sz w:val="44"/>
          <w:szCs w:val="44"/>
        </w:rPr>
      </w:pPr>
      <w:r>
        <w:rPr>
          <w:rFonts w:hint="eastAsia" w:ascii="方正小标宋_GBK" w:hAnsi="华文中宋" w:eastAsia="方正小标宋_GBK" w:cs="宋体"/>
          <w:kern w:val="0"/>
          <w:sz w:val="44"/>
          <w:szCs w:val="44"/>
        </w:rPr>
        <w:t>绩效评价报告</w:t>
      </w:r>
    </w:p>
    <w:p>
      <w:pPr>
        <w:pageBreakBefore w:val="0"/>
        <w:kinsoku/>
        <w:wordWrap/>
        <w:overflowPunct/>
        <w:topLinePunct w:val="0"/>
        <w:autoSpaceDE/>
        <w:autoSpaceDN/>
        <w:bidi w:val="0"/>
        <w:adjustRightIn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jc w:val="center"/>
        <w:rPr>
          <w:rFonts w:hAnsi="宋体" w:eastAsia="仿宋_GB2312" w:cs="宋体"/>
          <w:kern w:val="0"/>
          <w:sz w:val="36"/>
          <w:szCs w:val="36"/>
        </w:rPr>
      </w:pPr>
      <w:r>
        <w:rPr>
          <w:rFonts w:hint="eastAsia" w:hAnsi="宋体" w:eastAsia="仿宋_GB2312" w:cs="宋体"/>
          <w:kern w:val="0"/>
          <w:sz w:val="36"/>
          <w:szCs w:val="36"/>
        </w:rPr>
        <w:t>（20</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年度）</w:t>
      </w:r>
    </w:p>
    <w:p>
      <w:pPr>
        <w:pageBreakBefore w:val="0"/>
        <w:kinsoku/>
        <w:wordWrap/>
        <w:overflowPunct/>
        <w:topLinePunct w:val="0"/>
        <w:autoSpaceDE/>
        <w:autoSpaceDN/>
        <w:bidi w:val="0"/>
        <w:adjustRightIn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exact"/>
        <w:rPr>
          <w:rFonts w:hAnsi="宋体" w:eastAsia="仿宋_GB2312" w:cs="宋体"/>
          <w:kern w:val="0"/>
          <w:sz w:val="30"/>
          <w:szCs w:val="30"/>
        </w:rPr>
      </w:pPr>
    </w:p>
    <w:p>
      <w:pPr>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kern w:val="1"/>
          <w:sz w:val="32"/>
          <w:szCs w:val="32"/>
          <w:lang w:val="en-US" w:eastAsia="zh-CN"/>
        </w:rPr>
      </w:pPr>
      <w:r>
        <w:rPr>
          <w:rFonts w:hint="eastAsia" w:hAnsi="宋体" w:eastAsia="仿宋_GB2312" w:cs="宋体"/>
          <w:kern w:val="0"/>
          <w:sz w:val="32"/>
          <w:szCs w:val="32"/>
        </w:rPr>
        <w:t>项目名称：</w:t>
      </w:r>
      <w:r>
        <w:rPr>
          <w:rFonts w:hint="eastAsia" w:ascii="仿宋_GB2312" w:hAnsi="仿宋_GB2312" w:eastAsia="仿宋_GB2312" w:cs="仿宋_GB2312"/>
          <w:kern w:val="1"/>
          <w:sz w:val="32"/>
          <w:szCs w:val="32"/>
          <w:lang w:val="en-US" w:eastAsia="zh-CN"/>
        </w:rPr>
        <w:t>塔城地区政协工作经费</w:t>
      </w:r>
    </w:p>
    <w:p>
      <w:pPr>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kern w:val="1"/>
          <w:sz w:val="32"/>
          <w:szCs w:val="32"/>
          <w:lang w:val="en-US" w:eastAsia="zh-CN"/>
        </w:rPr>
      </w:pPr>
      <w:r>
        <w:rPr>
          <w:rFonts w:hint="eastAsia" w:hAnsi="宋体" w:eastAsia="仿宋_GB2312" w:cs="宋体"/>
          <w:kern w:val="0"/>
          <w:sz w:val="32"/>
          <w:szCs w:val="32"/>
        </w:rPr>
        <w:t>实施单位（公章）：</w:t>
      </w:r>
      <w:r>
        <w:rPr>
          <w:rFonts w:hint="eastAsia" w:ascii="仿宋_GB2312" w:hAnsi="仿宋_GB2312" w:eastAsia="仿宋_GB2312" w:cs="仿宋_GB2312"/>
          <w:kern w:val="1"/>
          <w:sz w:val="32"/>
          <w:szCs w:val="32"/>
          <w:lang w:val="en-US" w:eastAsia="zh-CN"/>
        </w:rPr>
        <w:t>塔城地区政协工作委员会</w:t>
      </w:r>
    </w:p>
    <w:p>
      <w:pPr>
        <w:pageBreakBefore w:val="0"/>
        <w:kinsoku/>
        <w:wordWrap/>
        <w:overflowPunct/>
        <w:topLinePunct w:val="0"/>
        <w:autoSpaceDE/>
        <w:autoSpaceDN/>
        <w:bidi w:val="0"/>
        <w:adjustRightInd/>
        <w:spacing w:line="560" w:lineRule="exact"/>
        <w:ind w:firstLine="640" w:firstLineChars="200"/>
        <w:jc w:val="left"/>
        <w:rPr>
          <w:rFonts w:hint="default" w:hAnsi="宋体" w:eastAsia="仿宋_GB2312" w:cs="宋体"/>
          <w:kern w:val="0"/>
          <w:sz w:val="32"/>
          <w:szCs w:val="32"/>
          <w:lang w:val="en-US" w:eastAsia="zh-CN"/>
        </w:rPr>
      </w:pPr>
      <w:r>
        <w:rPr>
          <w:rFonts w:hint="eastAsia" w:hAnsi="宋体" w:eastAsia="仿宋_GB2312" w:cs="宋体"/>
          <w:kern w:val="0"/>
          <w:sz w:val="32"/>
          <w:szCs w:val="32"/>
        </w:rPr>
        <w:t>主管部门（公章）：</w:t>
      </w:r>
      <w:r>
        <w:rPr>
          <w:rFonts w:hint="eastAsia" w:ascii="仿宋_GB2312" w:hAnsi="仿宋_GB2312" w:eastAsia="仿宋_GB2312" w:cs="仿宋_GB2312"/>
          <w:kern w:val="1"/>
          <w:sz w:val="32"/>
          <w:szCs w:val="32"/>
          <w:lang w:val="en-US" w:eastAsia="zh-CN"/>
        </w:rPr>
        <w:t>塔城地区政协工作委员会办公室</w:t>
      </w:r>
    </w:p>
    <w:p>
      <w:pPr>
        <w:pageBreakBefore w:val="0"/>
        <w:kinsoku/>
        <w:wordWrap/>
        <w:overflowPunct/>
        <w:topLinePunct w:val="0"/>
        <w:autoSpaceDE/>
        <w:autoSpaceDN/>
        <w:bidi w:val="0"/>
        <w:adjustRightInd/>
        <w:spacing w:line="560" w:lineRule="exact"/>
        <w:ind w:firstLine="640" w:firstLineChars="200"/>
        <w:jc w:val="left"/>
        <w:rPr>
          <w:rFonts w:hint="default" w:hAnsi="宋体" w:eastAsia="仿宋_GB2312" w:cs="宋体"/>
          <w:kern w:val="0"/>
          <w:sz w:val="32"/>
          <w:szCs w:val="32"/>
          <w:lang w:val="en-US" w:eastAsia="zh-CN"/>
        </w:rPr>
      </w:pPr>
      <w:r>
        <w:rPr>
          <w:rFonts w:hint="eastAsia" w:hAnsi="宋体" w:eastAsia="仿宋_GB2312" w:cs="宋体"/>
          <w:kern w:val="0"/>
          <w:sz w:val="32"/>
          <w:szCs w:val="32"/>
        </w:rPr>
        <w:t>项目负责人（签章）：</w:t>
      </w:r>
      <w:r>
        <w:rPr>
          <w:rFonts w:hint="eastAsia" w:hAnsi="宋体" w:eastAsia="仿宋_GB2312" w:cs="宋体"/>
          <w:kern w:val="0"/>
          <w:sz w:val="32"/>
          <w:szCs w:val="32"/>
          <w:lang w:val="en-US" w:eastAsia="zh-CN"/>
        </w:rPr>
        <w:t>高永建</w:t>
      </w:r>
    </w:p>
    <w:p>
      <w:pPr>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kern w:val="0"/>
          <w:sz w:val="32"/>
          <w:szCs w:val="32"/>
        </w:rPr>
      </w:pPr>
      <w:r>
        <w:rPr>
          <w:rFonts w:hint="eastAsia" w:hAnsi="宋体" w:eastAsia="仿宋_GB2312" w:cs="宋体"/>
          <w:kern w:val="0"/>
          <w:sz w:val="32"/>
          <w:szCs w:val="32"/>
        </w:rPr>
        <w:t>填报时间：</w:t>
      </w:r>
      <w:r>
        <w:rPr>
          <w:rFonts w:hint="eastAsia" w:ascii="仿宋_GB2312" w:hAnsi="仿宋_GB2312" w:eastAsia="仿宋_GB2312" w:cs="仿宋_GB2312"/>
          <w:kern w:val="0"/>
          <w:sz w:val="32"/>
          <w:szCs w:val="32"/>
          <w:lang w:val="en-US" w:eastAsia="zh-CN"/>
        </w:rPr>
        <w:t>2021</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日</w:t>
      </w:r>
    </w:p>
    <w:p>
      <w:pPr>
        <w:pageBreakBefore w:val="0"/>
        <w:kinsoku/>
        <w:wordWrap/>
        <w:overflowPunct/>
        <w:topLinePunct w:val="0"/>
        <w:autoSpaceDE/>
        <w:autoSpaceDN/>
        <w:bidi w:val="0"/>
        <w:adjustRightIn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exact"/>
        <w:rPr>
          <w:rStyle w:val="23"/>
          <w:rFonts w:ascii="黑体" w:hAnsi="黑体" w:eastAsia="黑体"/>
          <w:b w:val="0"/>
          <w:spacing w:val="-4"/>
          <w:sz w:val="32"/>
          <w:szCs w:val="32"/>
        </w:rPr>
      </w:pPr>
    </w:p>
    <w:p>
      <w:pPr>
        <w:pageBreakBefore w:val="0"/>
        <w:kinsoku/>
        <w:wordWrap/>
        <w:overflowPunct/>
        <w:topLinePunct w:val="0"/>
        <w:autoSpaceDE/>
        <w:autoSpaceDN/>
        <w:bidi w:val="0"/>
        <w:adjustRightInd/>
        <w:spacing w:line="560" w:lineRule="exact"/>
        <w:rPr>
          <w:rStyle w:val="23"/>
          <w:rFonts w:ascii="黑体" w:hAnsi="黑体" w:eastAsia="黑体"/>
          <w:b w:val="0"/>
          <w:spacing w:val="-4"/>
          <w:sz w:val="32"/>
          <w:szCs w:val="32"/>
        </w:rPr>
      </w:pPr>
    </w:p>
    <w:p>
      <w:pPr>
        <w:pageBreakBefore w:val="0"/>
        <w:kinsoku/>
        <w:wordWrap/>
        <w:overflowPunct/>
        <w:topLinePunct w:val="0"/>
        <w:autoSpaceDE/>
        <w:autoSpaceDN/>
        <w:bidi w:val="0"/>
        <w:adjustRightInd/>
        <w:spacing w:line="560" w:lineRule="exact"/>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br w:type="page"/>
      </w:r>
    </w:p>
    <w:p>
      <w:pPr>
        <w:pageBreakBefore w:val="0"/>
        <w:kinsoku/>
        <w:wordWrap/>
        <w:overflowPunct/>
        <w:topLinePunct w:val="0"/>
        <w:autoSpaceDE/>
        <w:autoSpaceDN/>
        <w:bidi w:val="0"/>
        <w:adjustRightInd/>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eastAsia="仿宋_GB2312"/>
          <w:sz w:val="32"/>
          <w:szCs w:val="32"/>
        </w:rPr>
        <w:t>为进一步加强</w:t>
      </w:r>
      <w:r>
        <w:rPr>
          <w:rFonts w:hint="eastAsia" w:ascii="仿宋_GB2312" w:eastAsia="仿宋_GB2312"/>
          <w:sz w:val="32"/>
          <w:szCs w:val="32"/>
          <w:lang w:eastAsia="zh-CN"/>
        </w:rPr>
        <w:t>政协工委</w:t>
      </w:r>
      <w:r>
        <w:rPr>
          <w:rFonts w:hint="eastAsia" w:ascii="仿宋_GB2312" w:eastAsia="仿宋_GB2312"/>
          <w:sz w:val="32"/>
          <w:szCs w:val="32"/>
        </w:rPr>
        <w:t>认真履行</w:t>
      </w:r>
      <w:r>
        <w:rPr>
          <w:rFonts w:hint="eastAsia" w:ascii="仿宋_GB2312" w:eastAsia="仿宋_GB2312"/>
          <w:sz w:val="32"/>
          <w:szCs w:val="32"/>
          <w:lang w:eastAsia="zh-CN"/>
        </w:rPr>
        <w:t>政治协商、</w:t>
      </w:r>
      <w:r>
        <w:rPr>
          <w:rFonts w:hint="eastAsia" w:ascii="仿宋_GB2312" w:eastAsia="仿宋_GB2312"/>
          <w:sz w:val="32"/>
          <w:szCs w:val="32"/>
        </w:rPr>
        <w:t>民主监督、参政议政</w:t>
      </w:r>
      <w:r>
        <w:rPr>
          <w:rFonts w:hint="eastAsia" w:ascii="仿宋_GB2312" w:eastAsia="仿宋_GB2312"/>
          <w:sz w:val="32"/>
          <w:szCs w:val="32"/>
          <w:lang w:eastAsia="zh-CN"/>
        </w:rPr>
        <w:t>三大</w:t>
      </w:r>
      <w:r>
        <w:rPr>
          <w:rFonts w:hint="eastAsia" w:ascii="仿宋_GB2312" w:eastAsia="仿宋_GB2312"/>
          <w:sz w:val="32"/>
          <w:szCs w:val="32"/>
        </w:rPr>
        <w:t>职能</w:t>
      </w:r>
      <w:r>
        <w:rPr>
          <w:rFonts w:hint="eastAsia" w:ascii="仿宋_GB2312" w:eastAsia="仿宋_GB2312"/>
          <w:sz w:val="32"/>
          <w:szCs w:val="32"/>
          <w:lang w:eastAsia="zh-CN"/>
        </w:rPr>
        <w:t>，</w:t>
      </w:r>
      <w:r>
        <w:rPr>
          <w:rFonts w:hint="eastAsia" w:ascii="仿宋_GB2312" w:eastAsia="仿宋_GB2312"/>
          <w:sz w:val="32"/>
          <w:szCs w:val="32"/>
        </w:rPr>
        <w:t>保障塔城地区各级政协委员开展</w:t>
      </w:r>
      <w:r>
        <w:rPr>
          <w:rFonts w:hint="eastAsia" w:ascii="仿宋_GB2312" w:eastAsia="仿宋_GB2312"/>
          <w:sz w:val="32"/>
          <w:szCs w:val="32"/>
          <w:lang w:eastAsia="zh-CN"/>
        </w:rPr>
        <w:t>工作，开展铁路建设工作，为离休和退休厅级老干部提供服务保障工作，以及聘用保安和保洁人员工资等，根据</w:t>
      </w:r>
      <w:r>
        <w:rPr>
          <w:rFonts w:hint="eastAsia" w:ascii="仿宋_GB2312" w:hAnsi="仿宋_GB2312" w:eastAsia="仿宋_GB2312" w:cs="仿宋_GB2312"/>
          <w:kern w:val="1"/>
          <w:sz w:val="32"/>
          <w:szCs w:val="32"/>
          <w:lang w:val="en-US" w:eastAsia="zh-CN"/>
        </w:rPr>
        <w:t>塔地财预（2020）0509号文件精神地区</w:t>
      </w:r>
      <w:r>
        <w:rPr>
          <w:rFonts w:hint="eastAsia" w:ascii="仿宋_GB2312" w:hAnsi="仿宋_GB2312" w:eastAsia="仿宋_GB2312" w:cs="仿宋_GB2312"/>
          <w:color w:val="auto"/>
          <w:sz w:val="32"/>
          <w:szCs w:val="32"/>
          <w:lang w:val="en-US" w:eastAsia="zh-CN"/>
        </w:rPr>
        <w:t>本级财政补助政协工委</w:t>
      </w:r>
      <w:r>
        <w:rPr>
          <w:rFonts w:hint="eastAsia" w:ascii="仿宋_GB2312" w:hAnsi="仿宋_GB2312" w:eastAsia="仿宋_GB2312" w:cs="仿宋_GB2312"/>
          <w:color w:val="auto"/>
          <w:sz w:val="32"/>
          <w:szCs w:val="32"/>
        </w:rPr>
        <w:t>经费</w:t>
      </w:r>
      <w:r>
        <w:rPr>
          <w:rFonts w:hint="eastAsia" w:ascii="仿宋_GB2312" w:hAnsi="仿宋_GB2312" w:eastAsia="仿宋_GB2312" w:cs="仿宋_GB2312"/>
          <w:color w:val="auto"/>
          <w:sz w:val="32"/>
          <w:szCs w:val="32"/>
          <w:lang w:val="en-US" w:eastAsia="zh-CN"/>
        </w:rPr>
        <w:t>37万元。</w:t>
      </w:r>
    </w:p>
    <w:p>
      <w:pPr>
        <w:pageBreakBefore w:val="0"/>
        <w:kinsoku/>
        <w:wordWrap/>
        <w:overflowPunct/>
        <w:topLinePunct w:val="0"/>
        <w:autoSpaceDE/>
        <w:autoSpaceDN/>
        <w:bidi w:val="0"/>
        <w:adjustRightInd/>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sz w:val="32"/>
          <w:szCs w:val="32"/>
        </w:rPr>
        <w:t>项目主要内容及实施情况</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项目主要内容：</w:t>
      </w:r>
      <w:r>
        <w:rPr>
          <w:rFonts w:hint="eastAsia" w:ascii="仿宋_GB2312" w:eastAsia="仿宋_GB2312"/>
          <w:sz w:val="32"/>
          <w:szCs w:val="32"/>
          <w:lang w:eastAsia="zh-CN"/>
        </w:rPr>
        <w:t>主要用于弥补办公费、差旅费、公务车辆运行费、聘用保安和保洁人员工资等公用经费不足，保障政协日常工作正常运转。</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本项目总投资</w:t>
      </w:r>
      <w:r>
        <w:rPr>
          <w:rFonts w:hint="eastAsia" w:ascii="仿宋_GB2312" w:eastAsia="仿宋_GB2312"/>
          <w:sz w:val="32"/>
          <w:szCs w:val="32"/>
          <w:lang w:val="en-US" w:eastAsia="zh-CN"/>
        </w:rPr>
        <w:t>37</w:t>
      </w:r>
      <w:r>
        <w:rPr>
          <w:rFonts w:hint="eastAsia" w:ascii="仿宋_GB2312" w:eastAsia="仿宋_GB2312"/>
          <w:sz w:val="32"/>
          <w:szCs w:val="32"/>
        </w:rPr>
        <w:t>万元，其中：财政本级资金</w:t>
      </w:r>
      <w:r>
        <w:rPr>
          <w:rFonts w:hint="eastAsia" w:ascii="仿宋_GB2312" w:eastAsia="仿宋_GB2312"/>
          <w:sz w:val="32"/>
          <w:szCs w:val="32"/>
          <w:lang w:val="en-US" w:eastAsia="zh-CN"/>
        </w:rPr>
        <w:t>37</w:t>
      </w:r>
      <w:r>
        <w:rPr>
          <w:rFonts w:hint="eastAsia" w:ascii="仿宋_GB2312" w:eastAsia="仿宋_GB2312"/>
          <w:sz w:val="32"/>
          <w:szCs w:val="32"/>
        </w:rPr>
        <w:t>万元。项目实际支出</w:t>
      </w:r>
      <w:r>
        <w:rPr>
          <w:rFonts w:hint="eastAsia" w:ascii="仿宋_GB2312" w:eastAsia="仿宋_GB2312"/>
          <w:sz w:val="32"/>
          <w:szCs w:val="32"/>
          <w:lang w:val="en-US" w:eastAsia="zh-CN"/>
        </w:rPr>
        <w:t>37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支出率为100%。</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项目总投资</w:t>
      </w:r>
      <w:r>
        <w:rPr>
          <w:rFonts w:hint="eastAsia" w:ascii="仿宋_GB2312" w:eastAsia="仿宋_GB2312"/>
          <w:sz w:val="32"/>
          <w:szCs w:val="32"/>
          <w:lang w:val="en-US" w:eastAsia="zh-CN"/>
        </w:rPr>
        <w:t>37</w:t>
      </w:r>
      <w:r>
        <w:rPr>
          <w:rFonts w:hint="eastAsia" w:ascii="仿宋_GB2312" w:eastAsia="仿宋_GB2312"/>
          <w:sz w:val="32"/>
          <w:szCs w:val="32"/>
        </w:rPr>
        <w:t>万元，按照</w:t>
      </w:r>
      <w:r>
        <w:rPr>
          <w:rFonts w:hint="eastAsia" w:ascii="仿宋_GB2312" w:eastAsia="仿宋_GB2312"/>
          <w:sz w:val="32"/>
          <w:szCs w:val="32"/>
          <w:lang w:eastAsia="zh-CN"/>
        </w:rPr>
        <w:t>《</w:t>
      </w:r>
      <w:r>
        <w:rPr>
          <w:rFonts w:hint="eastAsia" w:ascii="仿宋_GB2312" w:eastAsia="仿宋_GB2312"/>
          <w:sz w:val="32"/>
          <w:szCs w:val="32"/>
        </w:rPr>
        <w:t>关于印发&lt;塔城地区部门预算绩效目标管理暂行办法&gt;的通知》</w:t>
      </w:r>
      <w:r>
        <w:rPr>
          <w:rFonts w:hint="eastAsia" w:ascii="仿宋_GB2312" w:eastAsia="仿宋_GB2312"/>
          <w:sz w:val="32"/>
          <w:szCs w:val="32"/>
          <w:lang w:eastAsia="zh-CN"/>
        </w:rPr>
        <w:t>和</w:t>
      </w:r>
      <w:r>
        <w:rPr>
          <w:rFonts w:hint="eastAsia" w:ascii="仿宋_GB2312" w:eastAsia="仿宋_GB2312"/>
          <w:sz w:val="32"/>
          <w:szCs w:val="32"/>
        </w:rPr>
        <w:t>单位财务制度等相关规定，资金支出符合</w:t>
      </w:r>
      <w:r>
        <w:rPr>
          <w:rFonts w:hint="eastAsia" w:ascii="仿宋_GB2312" w:eastAsia="仿宋_GB2312"/>
          <w:sz w:val="32"/>
          <w:szCs w:val="32"/>
          <w:lang w:val="en-US" w:eastAsia="zh-CN"/>
        </w:rPr>
        <w:t>政协工作经费</w:t>
      </w:r>
      <w:r>
        <w:rPr>
          <w:rFonts w:hint="eastAsia" w:ascii="仿宋_GB2312" w:eastAsia="仿宋_GB2312"/>
          <w:sz w:val="32"/>
          <w:szCs w:val="32"/>
        </w:rPr>
        <w:t>专项资金费用范围，做到了专款专用。在项目资金拨付和使用过程中，为确保项目资金的安全性，提高项目资金使用效率，严格遵循</w:t>
      </w:r>
      <w:r>
        <w:rPr>
          <w:rFonts w:hint="eastAsia" w:ascii="仿宋_GB2312" w:eastAsia="仿宋_GB2312"/>
          <w:sz w:val="32"/>
          <w:szCs w:val="32"/>
          <w:lang w:val="en-US" w:eastAsia="zh-CN"/>
        </w:rPr>
        <w:t>项目</w:t>
      </w:r>
      <w:r>
        <w:rPr>
          <w:rFonts w:hint="eastAsia" w:ascii="仿宋_GB2312" w:eastAsia="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项目预算资金来源于</w:t>
      </w:r>
      <w:r>
        <w:rPr>
          <w:rFonts w:hint="eastAsia" w:ascii="仿宋_GB2312" w:eastAsia="仿宋_GB2312"/>
          <w:sz w:val="32"/>
          <w:szCs w:val="32"/>
          <w:lang w:val="en-US" w:eastAsia="zh-CN"/>
        </w:rPr>
        <w:t>塔地财预（2020）0509号</w:t>
      </w:r>
      <w:r>
        <w:rPr>
          <w:rFonts w:hint="eastAsia" w:ascii="仿宋_GB2312" w:eastAsia="仿宋_GB2312"/>
          <w:sz w:val="32"/>
          <w:szCs w:val="32"/>
        </w:rPr>
        <w:t>文件中批复的资金，项目资金到位</w:t>
      </w:r>
      <w:r>
        <w:rPr>
          <w:rFonts w:hint="eastAsia" w:ascii="仿宋_GB2312" w:eastAsia="仿宋_GB2312"/>
          <w:sz w:val="32"/>
          <w:szCs w:val="32"/>
          <w:lang w:val="en-US" w:eastAsia="zh-CN"/>
        </w:rPr>
        <w:t>37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实际支出37万元，</w:t>
      </w:r>
      <w:r>
        <w:rPr>
          <w:rFonts w:hint="eastAsia" w:ascii="仿宋_GB2312" w:eastAsia="仿宋_GB2312"/>
          <w:sz w:val="32"/>
          <w:szCs w:val="32"/>
        </w:rPr>
        <w:t>用于支付项目实施进程中的各项费用。</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主要用于弥补办公费、差旅费、公务车辆运行费、聘用保安和保洁人员工资等公用经费不足，保障政协日常工作正常运转。</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根据资金到位时间，进度安排为：5月至12月底逐步完成。主要用于开展委员参加协商会议、调研、视察等。</w:t>
      </w:r>
    </w:p>
    <w:p>
      <w:pPr>
        <w:pageBreakBefore w:val="0"/>
        <w:kinsoku/>
        <w:wordWrap/>
        <w:overflowPunct/>
        <w:topLinePunct w:val="0"/>
        <w:autoSpaceDE/>
        <w:autoSpaceDN/>
        <w:bidi w:val="0"/>
        <w:adjustRightInd/>
        <w:spacing w:line="560" w:lineRule="exact"/>
        <w:ind w:firstLine="641"/>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（2）项目绩效管理财政支出运行提供及时、有效的信息。</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综合来看，通过开展有效的财政支出绩效评价管理，达到改进预算管理、控制节约成本，提高预算资金使用效益的目的。</w:t>
      </w:r>
    </w:p>
    <w:p>
      <w:pPr>
        <w:pageBreakBefore w:val="0"/>
        <w:kinsoku/>
        <w:wordWrap/>
        <w:overflowPunct/>
        <w:topLinePunct w:val="0"/>
        <w:autoSpaceDE/>
        <w:autoSpaceDN/>
        <w:bidi w:val="0"/>
        <w:adjustRightInd/>
        <w:spacing w:line="560" w:lineRule="exact"/>
        <w:ind w:firstLine="643" w:firstLineChars="200"/>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2、绩效评价的对象</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评价对象为塔城地区政协工作经费。</w:t>
      </w:r>
    </w:p>
    <w:p>
      <w:pPr>
        <w:pageBreakBefore w:val="0"/>
        <w:kinsoku/>
        <w:wordWrap/>
        <w:overflowPunct/>
        <w:topLinePunct w:val="0"/>
        <w:autoSpaceDE/>
        <w:autoSpaceDN/>
        <w:bidi w:val="0"/>
        <w:adjustRightInd/>
        <w:spacing w:line="560" w:lineRule="exact"/>
        <w:ind w:firstLine="643" w:firstLineChars="200"/>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3、绩效评价的范围</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lang w:val="en-US" w:eastAsia="zh-CN"/>
        </w:rPr>
        <w:t>从塔城地区政协工作经费</w:t>
      </w:r>
      <w:r>
        <w:rPr>
          <w:rFonts w:hint="eastAsia" w:ascii="仿宋_GB2312" w:hAnsi="仿宋_GB2312" w:eastAsia="仿宋_GB2312" w:cs="仿宋_GB2312"/>
          <w:sz w:val="32"/>
          <w:szCs w:val="32"/>
        </w:rPr>
        <w:t>资金使用的合理性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投入使用后产生的效益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为政协委员及干部职工服务能力服务水平改善程度</w:t>
      </w:r>
      <w:r>
        <w:rPr>
          <w:rFonts w:hint="eastAsia" w:ascii="仿宋_GB2312" w:hAnsi="仿宋_GB2312" w:eastAsia="仿宋_GB2312" w:cs="仿宋_GB2312"/>
          <w:sz w:val="32"/>
          <w:szCs w:val="32"/>
          <w:lang w:eastAsia="zh-CN"/>
        </w:rPr>
        <w:t>等方面，综合评价</w:t>
      </w:r>
      <w:r>
        <w:rPr>
          <w:rFonts w:hint="eastAsia" w:ascii="仿宋_GB2312" w:hAnsi="仿宋_GB2312" w:eastAsia="仿宋_GB2312" w:cs="仿宋_GB2312"/>
          <w:sz w:val="32"/>
          <w:szCs w:val="32"/>
        </w:rPr>
        <w:t>专项资金的支出完成情况和效果。</w:t>
      </w:r>
    </w:p>
    <w:p>
      <w:pPr>
        <w:pageBreakBefore w:val="0"/>
        <w:kinsoku/>
        <w:wordWrap/>
        <w:overflowPunct/>
        <w:topLinePunct w:val="0"/>
        <w:autoSpaceDE/>
        <w:autoSpaceDN/>
        <w:bidi w:val="0"/>
        <w:adjustRightInd/>
        <w:spacing w:line="560" w:lineRule="exac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ageBreakBefore w:val="0"/>
        <w:kinsoku/>
        <w:wordWrap/>
        <w:overflowPunct/>
        <w:topLinePunct w:val="0"/>
        <w:autoSpaceDE/>
        <w:autoSpaceDN/>
        <w:bidi w:val="0"/>
        <w:adjustRightInd/>
        <w:spacing w:line="560" w:lineRule="exact"/>
        <w:ind w:firstLine="643" w:firstLineChars="200"/>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1、绩效评价原则</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本次项目绩效评价遵循以下基本原则：</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（1）科学公正。绩效评价应当运用科学合理的方法，按照规范的程序，对项目绩效进行客观、公正的反映。</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（2）统筹兼顾。单位自评、部门评价和财政评价应职责明确，各有侧重，相互衔接。单位自评应由项目单位自主实施，即“谁支出、谁自评”。部门评价和财政评价应在单位自评的基础上开展。</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（4）公开透明。绩效评价结果应依法依规公开，并自觉接受社会监督。</w:t>
      </w:r>
    </w:p>
    <w:p>
      <w:pPr>
        <w:pageBreakBefore w:val="0"/>
        <w:kinsoku/>
        <w:wordWrap/>
        <w:overflowPunct/>
        <w:topLinePunct w:val="0"/>
        <w:autoSpaceDE/>
        <w:autoSpaceDN/>
        <w:bidi w:val="0"/>
        <w:adjustRightInd/>
        <w:spacing w:line="560" w:lineRule="exact"/>
        <w:ind w:firstLine="643" w:firstLineChars="200"/>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2、评价指标体系</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（1）确定评价指标</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（2）确定权重</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确定各个指标相对于项目总体绩效的权重分值。在绩效评价指标体系中，项目决策权重为20，项目过程权重占20，项目产出权重值占40，项目效益权重值占20。</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（3）确定指标标准值</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指标标准值是绩效评价指标的尺度，既要反映同类项目的先进水平，又要符合项目的实际绩效水平。具体采用计划标准等确定此次绩效评价指标标准值。</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具体评价指标体系详情见附件1</w:t>
      </w:r>
    </w:p>
    <w:p>
      <w:pPr>
        <w:pageBreakBefore w:val="0"/>
        <w:kinsoku/>
        <w:wordWrap/>
        <w:overflowPunct/>
        <w:topLinePunct w:val="0"/>
        <w:autoSpaceDE/>
        <w:autoSpaceDN/>
        <w:bidi w:val="0"/>
        <w:adjustRightInd/>
        <w:spacing w:line="560" w:lineRule="exact"/>
        <w:ind w:firstLine="643" w:firstLineChars="200"/>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3、绩效评价方法</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（1）比较法</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通过对绩效目标与实施效果、历史与当期情况，综合分析绩效目标实现程度。对项目最终验收情况与年度绩效目标对比、预算资金执行情况等相关因素进行比较。</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（2）因素分析法</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4、绩效评价标准</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绩效评价标准通常包括计划标准、行业标准、历史标准等，用于对绩效指标完成情况进行比较。本次评价主要采用了计划标准。</w:t>
      </w:r>
    </w:p>
    <w:p>
      <w:pPr>
        <w:pageBreakBefore w:val="0"/>
        <w:kinsoku/>
        <w:wordWrap/>
        <w:overflowPunct/>
        <w:topLinePunct w:val="0"/>
        <w:autoSpaceDE/>
        <w:autoSpaceDN/>
        <w:bidi w:val="0"/>
        <w:adjustRightInd/>
        <w:spacing w:line="560" w:lineRule="exact"/>
        <w:ind w:firstLine="64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1"/>
        </w:numPr>
        <w:kinsoku/>
        <w:wordWrap/>
        <w:overflowPunct/>
        <w:topLinePunct w:val="0"/>
        <w:autoSpaceDE/>
        <w:autoSpaceDN/>
        <w:bidi w:val="0"/>
        <w:adjustRightInd/>
        <w:spacing w:line="560" w:lineRule="exac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对塔城地区政协工委工作经费项目进行客观评价，最终评分结果：总得分为100分，属于“优”。其中，项目决策类指标权重为20分，得分为 20分，得分率为 100%。项目过程类指标权重为20分，得分为20 分，得分率为 100%。项目产出类指标权重为40分，得分为40分，得分率为 100%。项目效益类指标权重为20分，得分为100分，得分率为 100%。</w:t>
      </w:r>
    </w:p>
    <w:p>
      <w:pPr>
        <w:pStyle w:val="2"/>
        <w:pageBreakBefore w:val="0"/>
        <w:kinsoku/>
        <w:wordWrap/>
        <w:overflowPunct/>
        <w:topLinePunct w:val="0"/>
        <w:autoSpaceDE/>
        <w:autoSpaceDN/>
        <w:bidi w:val="0"/>
        <w:adjustRightInd/>
        <w:spacing w:before="0" w:after="0"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综合评分表</w:t>
      </w:r>
    </w:p>
    <w:tbl>
      <w:tblPr>
        <w:tblStyle w:val="21"/>
        <w:tblpPr w:leftFromText="180" w:rightFromText="180" w:vertAnchor="text" w:horzAnchor="page" w:tblpX="1949" w:tblpY="235"/>
        <w:tblOverlap w:val="never"/>
        <w:tblW w:w="8642" w:type="dxa"/>
        <w:tblInd w:w="0" w:type="dxa"/>
        <w:tblLayout w:type="fixed"/>
        <w:tblCellMar>
          <w:top w:w="0" w:type="dxa"/>
          <w:left w:w="108" w:type="dxa"/>
          <w:bottom w:w="0" w:type="dxa"/>
          <w:right w:w="108" w:type="dxa"/>
        </w:tblCellMar>
      </w:tblPr>
      <w:tblGrid>
        <w:gridCol w:w="2829"/>
        <w:gridCol w:w="2127"/>
        <w:gridCol w:w="1986"/>
        <w:gridCol w:w="1700"/>
      </w:tblGrid>
      <w:tr>
        <w:tblPrEx>
          <w:tblCellMar>
            <w:top w:w="0" w:type="dxa"/>
            <w:left w:w="108" w:type="dxa"/>
            <w:bottom w:w="0" w:type="dxa"/>
            <w:right w:w="108" w:type="dxa"/>
          </w:tblCellMar>
        </w:tblPrEx>
        <w:trPr>
          <w:trHeight w:val="510" w:hRule="exact"/>
          <w:tblHeader/>
        </w:trPr>
        <w:tc>
          <w:tcPr>
            <w:tcW w:w="2829" w:type="dxa"/>
            <w:tcBorders>
              <w:top w:val="single" w:color="auto" w:sz="8" w:space="0"/>
              <w:left w:val="single" w:color="auto" w:sz="8" w:space="0"/>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一级指标</w:t>
            </w:r>
          </w:p>
        </w:tc>
        <w:tc>
          <w:tcPr>
            <w:tcW w:w="2127" w:type="dxa"/>
            <w:tcBorders>
              <w:top w:val="single" w:color="auto" w:sz="8" w:space="0"/>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1986" w:type="dxa"/>
            <w:tcBorders>
              <w:top w:val="single" w:color="auto" w:sz="8" w:space="0"/>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1700" w:type="dxa"/>
            <w:tcBorders>
              <w:top w:val="single" w:color="auto" w:sz="8" w:space="0"/>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108" w:type="dxa"/>
            <w:bottom w:w="0" w:type="dxa"/>
            <w:right w:w="108" w:type="dxa"/>
          </w:tblCellMar>
        </w:tblPrEx>
        <w:trPr>
          <w:trHeight w:val="510" w:hRule="exact"/>
          <w:tblHeader/>
        </w:trPr>
        <w:tc>
          <w:tcPr>
            <w:tcW w:w="2829" w:type="dxa"/>
            <w:tcBorders>
              <w:top w:val="single" w:color="auto" w:sz="8" w:space="0"/>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决策</w:t>
            </w:r>
          </w:p>
        </w:tc>
        <w:tc>
          <w:tcPr>
            <w:tcW w:w="2127"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c>
          <w:tcPr>
            <w:tcW w:w="1986" w:type="dxa"/>
            <w:tcBorders>
              <w:top w:val="single" w:color="auto" w:sz="8" w:space="0"/>
              <w:left w:val="nil"/>
              <w:bottom w:val="single" w:color="auto" w:sz="8" w:space="0"/>
              <w:right w:val="single" w:color="auto" w:sz="8" w:space="0"/>
            </w:tcBorders>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100%</w:t>
            </w:r>
          </w:p>
        </w:tc>
        <w:tc>
          <w:tcPr>
            <w:tcW w:w="1700"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r>
      <w:tr>
        <w:tblPrEx>
          <w:tblCellMar>
            <w:top w:w="0" w:type="dxa"/>
            <w:left w:w="108" w:type="dxa"/>
            <w:bottom w:w="0" w:type="dxa"/>
            <w:right w:w="108" w:type="dxa"/>
          </w:tblCellMar>
        </w:tblPrEx>
        <w:trPr>
          <w:trHeight w:val="510" w:hRule="exact"/>
          <w:tblHeader/>
        </w:trPr>
        <w:tc>
          <w:tcPr>
            <w:tcW w:w="2829"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过程</w:t>
            </w:r>
          </w:p>
        </w:tc>
        <w:tc>
          <w:tcPr>
            <w:tcW w:w="212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c>
          <w:tcPr>
            <w:tcW w:w="1986" w:type="dxa"/>
            <w:tcBorders>
              <w:top w:val="nil"/>
              <w:left w:val="nil"/>
              <w:bottom w:val="single" w:color="auto" w:sz="8" w:space="0"/>
              <w:right w:val="single" w:color="auto" w:sz="8" w:space="0"/>
            </w:tcBorders>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100%</w:t>
            </w:r>
          </w:p>
        </w:tc>
        <w:tc>
          <w:tcPr>
            <w:tcW w:w="1700"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r>
      <w:tr>
        <w:tblPrEx>
          <w:tblCellMar>
            <w:top w:w="0" w:type="dxa"/>
            <w:left w:w="108" w:type="dxa"/>
            <w:bottom w:w="0" w:type="dxa"/>
            <w:right w:w="108" w:type="dxa"/>
          </w:tblCellMar>
        </w:tblPrEx>
        <w:trPr>
          <w:trHeight w:val="510" w:hRule="exact"/>
          <w:tblHeader/>
        </w:trPr>
        <w:tc>
          <w:tcPr>
            <w:tcW w:w="2829"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w:t>
            </w:r>
          </w:p>
        </w:tc>
        <w:tc>
          <w:tcPr>
            <w:tcW w:w="212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40</w:t>
            </w:r>
          </w:p>
        </w:tc>
        <w:tc>
          <w:tcPr>
            <w:tcW w:w="1986" w:type="dxa"/>
            <w:tcBorders>
              <w:top w:val="nil"/>
              <w:left w:val="nil"/>
              <w:bottom w:val="single" w:color="auto" w:sz="8" w:space="0"/>
              <w:right w:val="single" w:color="auto" w:sz="8" w:space="0"/>
            </w:tcBorders>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100%</w:t>
            </w:r>
          </w:p>
        </w:tc>
        <w:tc>
          <w:tcPr>
            <w:tcW w:w="1700"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40</w:t>
            </w:r>
          </w:p>
        </w:tc>
      </w:tr>
      <w:tr>
        <w:tblPrEx>
          <w:tblCellMar>
            <w:top w:w="0" w:type="dxa"/>
            <w:left w:w="108" w:type="dxa"/>
            <w:bottom w:w="0" w:type="dxa"/>
            <w:right w:w="108" w:type="dxa"/>
          </w:tblCellMar>
        </w:tblPrEx>
        <w:trPr>
          <w:trHeight w:val="510" w:hRule="exact"/>
          <w:tblHeader/>
        </w:trPr>
        <w:tc>
          <w:tcPr>
            <w:tcW w:w="2829"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效益</w:t>
            </w:r>
          </w:p>
        </w:tc>
        <w:tc>
          <w:tcPr>
            <w:tcW w:w="212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c>
          <w:tcPr>
            <w:tcW w:w="1986" w:type="dxa"/>
            <w:tcBorders>
              <w:top w:val="nil"/>
              <w:left w:val="nil"/>
              <w:bottom w:val="single" w:color="auto" w:sz="8" w:space="0"/>
              <w:right w:val="single" w:color="auto" w:sz="8" w:space="0"/>
            </w:tcBorders>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100%</w:t>
            </w:r>
          </w:p>
        </w:tc>
        <w:tc>
          <w:tcPr>
            <w:tcW w:w="1700"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r>
      <w:tr>
        <w:tblPrEx>
          <w:tblCellMar>
            <w:top w:w="0" w:type="dxa"/>
            <w:left w:w="108" w:type="dxa"/>
            <w:bottom w:w="0" w:type="dxa"/>
            <w:right w:w="108" w:type="dxa"/>
          </w:tblCellMar>
        </w:tblPrEx>
        <w:trPr>
          <w:trHeight w:val="510" w:hRule="exact"/>
          <w:tblHeader/>
        </w:trPr>
        <w:tc>
          <w:tcPr>
            <w:tcW w:w="2829"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合  计</w:t>
            </w:r>
          </w:p>
        </w:tc>
        <w:tc>
          <w:tcPr>
            <w:tcW w:w="212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986" w:type="dxa"/>
            <w:tcBorders>
              <w:top w:val="nil"/>
              <w:left w:val="nil"/>
              <w:bottom w:val="single" w:color="auto" w:sz="8" w:space="0"/>
              <w:right w:val="single" w:color="auto" w:sz="8" w:space="0"/>
            </w:tcBorders>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100%</w:t>
            </w:r>
          </w:p>
        </w:tc>
        <w:tc>
          <w:tcPr>
            <w:tcW w:w="1700"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r>
    </w:tbl>
    <w:p>
      <w:pPr>
        <w:pageBreakBefore w:val="0"/>
        <w:kinsoku/>
        <w:wordWrap/>
        <w:overflowPunct/>
        <w:topLinePunct w:val="0"/>
        <w:autoSpaceDE/>
        <w:autoSpaceDN/>
        <w:bidi w:val="0"/>
        <w:adjustRightInd/>
        <w:spacing w:line="560" w:lineRule="exact"/>
        <w:ind w:firstLine="320" w:firstLineChars="100"/>
        <w:rPr>
          <w:rFonts w:ascii="黑体" w:hAnsi="黑体" w:eastAsia="黑体"/>
          <w:sz w:val="32"/>
          <w:szCs w:val="32"/>
        </w:rPr>
      </w:pPr>
      <w:r>
        <w:rPr>
          <w:rFonts w:hint="eastAsia" w:ascii="黑体" w:hAnsi="黑体" w:eastAsia="黑体"/>
          <w:sz w:val="32"/>
          <w:szCs w:val="32"/>
        </w:rPr>
        <w:t>四、绩效评价指标分析</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（一）项目决策情况</w:t>
      </w:r>
    </w:p>
    <w:p>
      <w:pPr>
        <w:pageBreakBefore w:val="0"/>
        <w:kinsoku/>
        <w:wordWrap/>
        <w:overflowPunct/>
        <w:topLinePunct w:val="0"/>
        <w:autoSpaceDE/>
        <w:autoSpaceDN/>
        <w:bidi w:val="0"/>
        <w:adjustRightInd/>
        <w:spacing w:line="560" w:lineRule="exact"/>
        <w:ind w:firstLine="640" w:firstLineChars="200"/>
      </w:pPr>
      <w:r>
        <w:rPr>
          <w:rFonts w:hint="eastAsia" w:ascii="仿宋_GB2312" w:eastAsia="仿宋_GB2312"/>
          <w:sz w:val="32"/>
          <w:szCs w:val="32"/>
          <w:lang w:val="en-US" w:eastAsia="zh-CN"/>
        </w:rPr>
        <w:t>项目决策指标从项目立项、绩效目标、资金投入3个方面对项目的决策进行考察，项目决策类指标分值20分，实际得分20分，得分率100%。项目决策指标得分情况如表所示。</w:t>
      </w:r>
    </w:p>
    <w:tbl>
      <w:tblPr>
        <w:tblStyle w:val="21"/>
        <w:tblW w:w="8522" w:type="dxa"/>
        <w:tblInd w:w="0" w:type="dxa"/>
        <w:tblLayout w:type="fixed"/>
        <w:tblCellMar>
          <w:top w:w="0" w:type="dxa"/>
          <w:left w:w="108" w:type="dxa"/>
          <w:bottom w:w="0" w:type="dxa"/>
          <w:right w:w="108" w:type="dxa"/>
        </w:tblCellMar>
      </w:tblPr>
      <w:tblGrid>
        <w:gridCol w:w="2515"/>
        <w:gridCol w:w="2269"/>
        <w:gridCol w:w="1986"/>
        <w:gridCol w:w="1752"/>
      </w:tblGrid>
      <w:tr>
        <w:tblPrEx>
          <w:tblCellMar>
            <w:top w:w="0" w:type="dxa"/>
            <w:left w:w="108" w:type="dxa"/>
            <w:bottom w:w="0" w:type="dxa"/>
            <w:right w:w="108" w:type="dxa"/>
          </w:tblCellMar>
        </w:tblPrEx>
        <w:trPr>
          <w:trHeight w:val="600" w:hRule="atLeast"/>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项目决策指标得分情况</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二级指标</w:t>
            </w:r>
          </w:p>
        </w:tc>
        <w:tc>
          <w:tcPr>
            <w:tcW w:w="2269"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1986"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175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108" w:type="dxa"/>
            <w:bottom w:w="0" w:type="dxa"/>
            <w:right w:w="108" w:type="dxa"/>
          </w:tblCellMar>
        </w:tblPrEx>
        <w:trPr>
          <w:trHeight w:val="506"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项目</w:t>
            </w:r>
            <w:r>
              <w:rPr>
                <w:rFonts w:hint="eastAsia" w:ascii="仿宋_GB2312" w:hAnsi="仿宋_GB2312" w:eastAsia="仿宋_GB2312" w:cs="仿宋_GB2312"/>
                <w:color w:val="000000"/>
                <w:kern w:val="0"/>
                <w:sz w:val="32"/>
                <w:szCs w:val="32"/>
                <w:lang w:eastAsia="zh-CN"/>
              </w:rPr>
              <w:t>立项</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绩效目标</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资金投入</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p>
        </w:tc>
      </w:tr>
      <w:tr>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合  计</w:t>
            </w:r>
          </w:p>
        </w:tc>
        <w:tc>
          <w:tcPr>
            <w:tcW w:w="2269"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c>
          <w:tcPr>
            <w:tcW w:w="1986"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95%</w:t>
            </w:r>
          </w:p>
        </w:tc>
        <w:tc>
          <w:tcPr>
            <w:tcW w:w="1752"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r>
    </w:tbl>
    <w:p>
      <w:pPr>
        <w:spacing w:line="600" w:lineRule="exact"/>
        <w:ind w:firstLine="641"/>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w:t>
      </w:r>
      <w:r>
        <w:rPr>
          <w:rFonts w:hint="default" w:ascii="仿宋_GB2312" w:hAnsi="仿宋_GB2312" w:eastAsia="仿宋_GB2312" w:cs="仿宋_GB2312"/>
          <w:color w:val="000000"/>
          <w:spacing w:val="17"/>
          <w:sz w:val="32"/>
          <w:szCs w:val="32"/>
          <w:lang w:val="en-US" w:eastAsia="zh-CN"/>
        </w:rPr>
        <w:t>“项目立项”，地区</w:t>
      </w:r>
      <w:r>
        <w:rPr>
          <w:rFonts w:hint="eastAsia" w:ascii="仿宋_GB2312" w:hAnsi="仿宋_GB2312" w:eastAsia="仿宋_GB2312" w:cs="仿宋_GB2312"/>
          <w:color w:val="000000"/>
          <w:spacing w:val="17"/>
          <w:sz w:val="32"/>
          <w:szCs w:val="32"/>
          <w:lang w:val="en-US" w:eastAsia="zh-CN"/>
        </w:rPr>
        <w:t>政协</w:t>
      </w:r>
      <w:r>
        <w:rPr>
          <w:rFonts w:hint="default" w:ascii="仿宋_GB2312" w:hAnsi="仿宋_GB2312" w:eastAsia="仿宋_GB2312" w:cs="仿宋_GB2312"/>
          <w:color w:val="000000"/>
          <w:spacing w:val="17"/>
          <w:sz w:val="32"/>
          <w:szCs w:val="32"/>
          <w:lang w:val="en-US" w:eastAsia="zh-CN"/>
        </w:rPr>
        <w:t>工委根据年初设定的2020年度工作要点，逐一梳理，合理安排资金的分配，做到保障工委机关各项职能正常履行，各项工作开展成效显著</w:t>
      </w:r>
      <w:r>
        <w:rPr>
          <w:rFonts w:hint="eastAsia" w:ascii="仿宋_GB2312" w:hAnsi="仿宋_GB2312" w:eastAsia="仿宋_GB2312" w:cs="仿宋_GB2312"/>
          <w:color w:val="000000"/>
          <w:spacing w:val="17"/>
          <w:sz w:val="32"/>
          <w:szCs w:val="32"/>
          <w:lang w:val="en-US" w:eastAsia="zh-CN"/>
        </w:rPr>
        <w:t>，</w:t>
      </w:r>
      <w:r>
        <w:rPr>
          <w:rFonts w:hint="default" w:ascii="仿宋_GB2312" w:hAnsi="仿宋_GB2312" w:eastAsia="仿宋_GB2312" w:cs="仿宋_GB2312"/>
          <w:color w:val="000000"/>
          <w:spacing w:val="17"/>
          <w:sz w:val="32"/>
          <w:szCs w:val="32"/>
          <w:lang w:val="en-US" w:eastAsia="zh-CN"/>
        </w:rPr>
        <w:t>“项目立项”实际得分</w:t>
      </w:r>
      <w:r>
        <w:rPr>
          <w:rFonts w:hint="eastAsia" w:ascii="仿宋_GB2312" w:hAnsi="仿宋_GB2312" w:eastAsia="仿宋_GB2312" w:cs="仿宋_GB2312"/>
          <w:color w:val="000000"/>
          <w:spacing w:val="17"/>
          <w:sz w:val="32"/>
          <w:szCs w:val="32"/>
          <w:lang w:val="en-US" w:eastAsia="zh-CN"/>
        </w:rPr>
        <w:t>10</w:t>
      </w:r>
      <w:r>
        <w:rPr>
          <w:rFonts w:hint="default" w:ascii="仿宋_GB2312" w:hAnsi="仿宋_GB2312" w:eastAsia="仿宋_GB2312" w:cs="仿宋_GB2312"/>
          <w:color w:val="000000"/>
          <w:spacing w:val="17"/>
          <w:sz w:val="32"/>
          <w:szCs w:val="32"/>
          <w:lang w:val="en-US" w:eastAsia="zh-CN"/>
        </w:rPr>
        <w:t>分。</w:t>
      </w:r>
    </w:p>
    <w:p>
      <w:pPr>
        <w:spacing w:line="600" w:lineRule="exact"/>
        <w:ind w:firstLine="641"/>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w:t>
      </w:r>
      <w:r>
        <w:rPr>
          <w:rFonts w:hint="default" w:ascii="仿宋_GB2312" w:hAnsi="仿宋_GB2312" w:eastAsia="仿宋_GB2312" w:cs="仿宋_GB2312"/>
          <w:color w:val="000000"/>
          <w:spacing w:val="17"/>
          <w:sz w:val="32"/>
          <w:szCs w:val="32"/>
          <w:lang w:val="en-US" w:eastAsia="zh-CN"/>
        </w:rPr>
        <w:t>“绩效目标”，塔城地区</w:t>
      </w:r>
      <w:r>
        <w:rPr>
          <w:rFonts w:hint="eastAsia" w:ascii="仿宋_GB2312" w:hAnsi="仿宋_GB2312" w:eastAsia="仿宋_GB2312" w:cs="仿宋_GB2312"/>
          <w:color w:val="000000"/>
          <w:spacing w:val="17"/>
          <w:sz w:val="32"/>
          <w:szCs w:val="32"/>
          <w:lang w:val="en-US" w:eastAsia="zh-CN"/>
        </w:rPr>
        <w:t>政协</w:t>
      </w:r>
      <w:r>
        <w:rPr>
          <w:rFonts w:hint="default" w:ascii="仿宋_GB2312" w:hAnsi="仿宋_GB2312" w:eastAsia="仿宋_GB2312" w:cs="仿宋_GB2312"/>
          <w:color w:val="000000"/>
          <w:spacing w:val="17"/>
          <w:sz w:val="32"/>
          <w:szCs w:val="32"/>
          <w:lang w:val="en-US" w:eastAsia="zh-CN"/>
        </w:rPr>
        <w:t>结合2020年工作要点安排，设置了较为详细的项目支出绩效目标，项目绩效目标的设置，基本满足合理性和明确性的要求</w:t>
      </w:r>
      <w:r>
        <w:rPr>
          <w:rFonts w:hint="eastAsia" w:ascii="仿宋_GB2312" w:hAnsi="仿宋_GB2312" w:eastAsia="仿宋_GB2312" w:cs="仿宋_GB2312"/>
          <w:color w:val="000000"/>
          <w:spacing w:val="17"/>
          <w:sz w:val="32"/>
          <w:szCs w:val="32"/>
          <w:lang w:val="en-US" w:eastAsia="zh-CN"/>
        </w:rPr>
        <w:t>，</w:t>
      </w:r>
      <w:r>
        <w:rPr>
          <w:rFonts w:hint="default" w:ascii="仿宋_GB2312" w:hAnsi="仿宋_GB2312" w:eastAsia="仿宋_GB2312" w:cs="仿宋_GB2312"/>
          <w:color w:val="000000"/>
          <w:spacing w:val="17"/>
          <w:sz w:val="32"/>
          <w:szCs w:val="32"/>
          <w:lang w:val="en-US" w:eastAsia="zh-CN"/>
        </w:rPr>
        <w:t>“绩效目标”实际得分</w:t>
      </w:r>
      <w:r>
        <w:rPr>
          <w:rFonts w:hint="eastAsia" w:ascii="仿宋_GB2312" w:hAnsi="仿宋_GB2312" w:eastAsia="仿宋_GB2312" w:cs="仿宋_GB2312"/>
          <w:color w:val="000000"/>
          <w:spacing w:val="17"/>
          <w:sz w:val="32"/>
          <w:szCs w:val="32"/>
          <w:lang w:val="en-US" w:eastAsia="zh-CN"/>
        </w:rPr>
        <w:t>5</w:t>
      </w:r>
      <w:r>
        <w:rPr>
          <w:rFonts w:hint="default" w:ascii="仿宋_GB2312" w:hAnsi="仿宋_GB2312" w:eastAsia="仿宋_GB2312" w:cs="仿宋_GB2312"/>
          <w:color w:val="000000"/>
          <w:spacing w:val="17"/>
          <w:sz w:val="32"/>
          <w:szCs w:val="32"/>
          <w:lang w:val="en-US" w:eastAsia="zh-CN"/>
        </w:rPr>
        <w:t>分。</w:t>
      </w:r>
    </w:p>
    <w:p>
      <w:pPr>
        <w:spacing w:line="600" w:lineRule="exact"/>
        <w:ind w:firstLine="641"/>
        <w:rPr>
          <w:rFonts w:hint="eastAsia"/>
          <w:lang w:val="en-US" w:eastAsia="zh-CN"/>
        </w:rPr>
      </w:pPr>
      <w:r>
        <w:rPr>
          <w:rFonts w:hint="default" w:ascii="仿宋_GB2312" w:hAnsi="仿宋_GB2312" w:eastAsia="仿宋_GB2312" w:cs="仿宋_GB2312"/>
          <w:color w:val="000000"/>
          <w:spacing w:val="17"/>
          <w:sz w:val="32"/>
          <w:szCs w:val="32"/>
          <w:lang w:val="en-US" w:eastAsia="zh-CN"/>
        </w:rPr>
        <w:t>对于“资金投入”，地区</w:t>
      </w:r>
      <w:r>
        <w:rPr>
          <w:rFonts w:hint="eastAsia" w:ascii="仿宋_GB2312" w:hAnsi="仿宋_GB2312" w:eastAsia="仿宋_GB2312" w:cs="仿宋_GB2312"/>
          <w:color w:val="000000"/>
          <w:spacing w:val="17"/>
          <w:sz w:val="32"/>
          <w:szCs w:val="32"/>
          <w:lang w:val="en-US" w:eastAsia="zh-CN"/>
        </w:rPr>
        <w:t>政协</w:t>
      </w:r>
      <w:r>
        <w:rPr>
          <w:rFonts w:hint="default" w:ascii="仿宋_GB2312" w:hAnsi="仿宋_GB2312" w:eastAsia="仿宋_GB2312" w:cs="仿宋_GB2312"/>
          <w:color w:val="000000"/>
          <w:spacing w:val="17"/>
          <w:sz w:val="32"/>
          <w:szCs w:val="32"/>
          <w:lang w:val="en-US" w:eastAsia="zh-CN"/>
        </w:rPr>
        <w:t>工委补助工作经费共计投入资金</w:t>
      </w:r>
      <w:r>
        <w:rPr>
          <w:rFonts w:hint="eastAsia" w:ascii="仿宋_GB2312" w:hAnsi="仿宋_GB2312" w:eastAsia="仿宋_GB2312" w:cs="仿宋_GB2312"/>
          <w:color w:val="000000"/>
          <w:spacing w:val="17"/>
          <w:sz w:val="32"/>
          <w:szCs w:val="32"/>
          <w:lang w:val="en-US" w:eastAsia="zh-CN"/>
        </w:rPr>
        <w:t>37</w:t>
      </w:r>
      <w:r>
        <w:rPr>
          <w:rFonts w:hint="default" w:ascii="仿宋_GB2312" w:hAnsi="仿宋_GB2312" w:eastAsia="仿宋_GB2312" w:cs="仿宋_GB2312"/>
          <w:color w:val="000000"/>
          <w:spacing w:val="17"/>
          <w:sz w:val="32"/>
          <w:szCs w:val="32"/>
          <w:lang w:val="en-US" w:eastAsia="zh-CN"/>
        </w:rPr>
        <w:t>万元，有效的保障工委机关各项职能正常履行，各项会议安排有条不紊，充分保障各项调研</w:t>
      </w:r>
      <w:r>
        <w:rPr>
          <w:rFonts w:hint="eastAsia" w:ascii="仿宋_GB2312" w:hAnsi="仿宋_GB2312" w:eastAsia="仿宋_GB2312" w:cs="仿宋_GB2312"/>
          <w:color w:val="000000"/>
          <w:spacing w:val="17"/>
          <w:sz w:val="32"/>
          <w:szCs w:val="32"/>
          <w:lang w:val="en-US" w:eastAsia="zh-CN"/>
        </w:rPr>
        <w:t>视察</w:t>
      </w:r>
      <w:r>
        <w:rPr>
          <w:rFonts w:hint="default" w:ascii="仿宋_GB2312" w:hAnsi="仿宋_GB2312" w:eastAsia="仿宋_GB2312" w:cs="仿宋_GB2312"/>
          <w:color w:val="000000"/>
          <w:spacing w:val="17"/>
          <w:sz w:val="32"/>
          <w:szCs w:val="32"/>
          <w:lang w:val="en-US" w:eastAsia="zh-CN"/>
        </w:rPr>
        <w:t>工作，确保工作要点任务完成率100%</w:t>
      </w:r>
      <w:r>
        <w:rPr>
          <w:rFonts w:hint="eastAsia" w:ascii="仿宋_GB2312" w:hAnsi="仿宋_GB2312" w:eastAsia="仿宋_GB2312" w:cs="仿宋_GB2312"/>
          <w:color w:val="000000"/>
          <w:spacing w:val="17"/>
          <w:sz w:val="32"/>
          <w:szCs w:val="32"/>
          <w:lang w:val="en-US" w:eastAsia="zh-CN"/>
        </w:rPr>
        <w:t>，</w:t>
      </w:r>
      <w:r>
        <w:rPr>
          <w:rFonts w:hint="default" w:ascii="仿宋_GB2312" w:hAnsi="仿宋_GB2312" w:eastAsia="仿宋_GB2312" w:cs="仿宋_GB2312"/>
          <w:color w:val="000000"/>
          <w:spacing w:val="17"/>
          <w:sz w:val="32"/>
          <w:szCs w:val="32"/>
          <w:lang w:val="en-US" w:eastAsia="zh-CN"/>
        </w:rPr>
        <w:t>“资金投入”实际得分</w:t>
      </w:r>
      <w:r>
        <w:rPr>
          <w:rFonts w:hint="eastAsia" w:ascii="仿宋_GB2312" w:hAnsi="仿宋_GB2312" w:eastAsia="仿宋_GB2312" w:cs="仿宋_GB2312"/>
          <w:color w:val="000000"/>
          <w:spacing w:val="17"/>
          <w:sz w:val="32"/>
          <w:szCs w:val="32"/>
          <w:lang w:val="en-US" w:eastAsia="zh-CN"/>
        </w:rPr>
        <w:t>5</w:t>
      </w:r>
      <w:r>
        <w:rPr>
          <w:rFonts w:hint="default" w:ascii="仿宋_GB2312" w:hAnsi="仿宋_GB2312" w:eastAsia="仿宋_GB2312" w:cs="仿宋_GB2312"/>
          <w:color w:val="000000"/>
          <w:spacing w:val="17"/>
          <w:sz w:val="32"/>
          <w:szCs w:val="32"/>
          <w:lang w:val="en-US" w:eastAsia="zh-CN"/>
        </w:rPr>
        <w:t>分。</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）项目过程情况</w:t>
      </w:r>
    </w:p>
    <w:p>
      <w:pPr>
        <w:pageBreakBefore w:val="0"/>
        <w:kinsoku/>
        <w:wordWrap/>
        <w:overflowPunct/>
        <w:topLinePunct w:val="0"/>
        <w:autoSpaceDE/>
        <w:autoSpaceDN/>
        <w:bidi w:val="0"/>
        <w:adjustRightInd/>
        <w:spacing w:line="560" w:lineRule="exact"/>
        <w:ind w:firstLine="640" w:firstLineChars="200"/>
      </w:pPr>
      <w:r>
        <w:rPr>
          <w:rFonts w:hint="eastAsia" w:ascii="仿宋_GB2312" w:eastAsia="仿宋_GB2312"/>
          <w:sz w:val="32"/>
          <w:szCs w:val="32"/>
          <w:lang w:val="en-US" w:eastAsia="zh-CN"/>
        </w:rPr>
        <w:t>项目过程指标从资金到位率、资金使用合规性、管理制度健全性、制度执行有效性4个方面对项目的管理情况进行考察。项目管理类指标分值20分，实际得分20分，得分率为100%。项目管理指标得分情况如表所示。</w:t>
      </w:r>
    </w:p>
    <w:tbl>
      <w:tblPr>
        <w:tblStyle w:val="21"/>
        <w:tblW w:w="8522" w:type="dxa"/>
        <w:tblInd w:w="0" w:type="dxa"/>
        <w:tblLayout w:type="fixed"/>
        <w:tblCellMar>
          <w:top w:w="0" w:type="dxa"/>
          <w:left w:w="108" w:type="dxa"/>
          <w:bottom w:w="0" w:type="dxa"/>
          <w:right w:w="108" w:type="dxa"/>
        </w:tblCellMar>
      </w:tblPr>
      <w:tblGrid>
        <w:gridCol w:w="2190"/>
        <w:gridCol w:w="2367"/>
        <w:gridCol w:w="1946"/>
        <w:gridCol w:w="2019"/>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bCs w:val="0"/>
                <w:sz w:val="32"/>
                <w:szCs w:val="32"/>
              </w:rPr>
              <w:t>项目</w:t>
            </w:r>
            <w:r>
              <w:rPr>
                <w:rFonts w:hint="eastAsia" w:ascii="仿宋_GB2312" w:hAnsi="仿宋_GB2312" w:eastAsia="仿宋_GB2312" w:cs="仿宋_GB2312"/>
                <w:b/>
                <w:bCs w:val="0"/>
                <w:sz w:val="32"/>
                <w:szCs w:val="32"/>
                <w:lang w:eastAsia="zh-CN"/>
              </w:rPr>
              <w:t>过程</w:t>
            </w:r>
            <w:r>
              <w:rPr>
                <w:rFonts w:hint="eastAsia" w:ascii="仿宋_GB2312" w:hAnsi="仿宋_GB2312" w:eastAsia="仿宋_GB2312" w:cs="仿宋_GB2312"/>
                <w:b/>
                <w:bCs w:val="0"/>
                <w:sz w:val="32"/>
                <w:szCs w:val="32"/>
              </w:rPr>
              <w:t>指标得分情况</w:t>
            </w:r>
          </w:p>
        </w:tc>
      </w:tr>
      <w:tr>
        <w:tblPrEx>
          <w:tblCellMar>
            <w:top w:w="0" w:type="dxa"/>
            <w:left w:w="108" w:type="dxa"/>
            <w:bottom w:w="0" w:type="dxa"/>
            <w:right w:w="108" w:type="dxa"/>
          </w:tblCellMar>
        </w:tblPrEx>
        <w:trPr>
          <w:trHeight w:val="510" w:hRule="exact"/>
          <w:tblHeader/>
        </w:trPr>
        <w:tc>
          <w:tcPr>
            <w:tcW w:w="2190"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三级指标</w:t>
            </w:r>
          </w:p>
        </w:tc>
        <w:tc>
          <w:tcPr>
            <w:tcW w:w="236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1946"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2019"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资金到位率</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2.5</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2.5</w:t>
            </w:r>
          </w:p>
        </w:tc>
      </w:tr>
      <w:tr>
        <w:tblPrEx>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预算执行率</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2.5</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2.5</w:t>
            </w:r>
          </w:p>
        </w:tc>
      </w:tr>
      <w:tr>
        <w:tblPrEx>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资金使用合规性</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5</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5</w:t>
            </w:r>
          </w:p>
        </w:tc>
      </w:tr>
      <w:tr>
        <w:tblPrEx>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管理制度健全性</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10</w:t>
            </w:r>
            <w:r>
              <w:rPr>
                <w:rFonts w:hint="eastAsia" w:ascii="仿宋_GB2312" w:hAnsi="仿宋_GB2312" w:eastAsia="仿宋_GB2312" w:cs="仿宋_GB2312"/>
                <w:color w:val="000000"/>
                <w:kern w:val="0"/>
                <w:sz w:val="32"/>
                <w:szCs w:val="32"/>
              </w:rPr>
              <w:t>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5</w:t>
            </w:r>
          </w:p>
        </w:tc>
      </w:tr>
      <w:tr>
        <w:tblPrEx>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制度执行有效性</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80%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5</w:t>
            </w:r>
          </w:p>
        </w:tc>
      </w:tr>
      <w:tr>
        <w:tblPrEx>
          <w:tblCellMar>
            <w:top w:w="0" w:type="dxa"/>
            <w:left w:w="108" w:type="dxa"/>
            <w:bottom w:w="0" w:type="dxa"/>
            <w:right w:w="108" w:type="dxa"/>
          </w:tblCellMar>
        </w:tblPrEx>
        <w:trPr>
          <w:trHeight w:val="510" w:hRule="exact"/>
        </w:trPr>
        <w:tc>
          <w:tcPr>
            <w:tcW w:w="2190"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合  计</w:t>
            </w:r>
          </w:p>
        </w:tc>
        <w:tc>
          <w:tcPr>
            <w:tcW w:w="236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c>
          <w:tcPr>
            <w:tcW w:w="194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90%</w:t>
            </w:r>
          </w:p>
        </w:tc>
        <w:tc>
          <w:tcPr>
            <w:tcW w:w="2019"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20</w:t>
            </w:r>
          </w:p>
        </w:tc>
      </w:tr>
    </w:tbl>
    <w:p>
      <w:pPr>
        <w:spacing w:line="600" w:lineRule="exact"/>
        <w:ind w:firstLine="641"/>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资金管理”，项目资金到位及时率，到位率为100%，项目资金全年执行情况良好，执行率100%，支出范围合规，资金支出能按财务制度执行，并能按国库集中支付制度规定执行，不存在资金违纪违规使用情况。</w:t>
      </w:r>
      <w:r>
        <w:rPr>
          <w:rFonts w:hint="default" w:ascii="仿宋_GB2312" w:hAnsi="仿宋_GB2312" w:eastAsia="仿宋_GB2312" w:cs="仿宋_GB2312"/>
          <w:color w:val="000000"/>
          <w:spacing w:val="17"/>
          <w:sz w:val="32"/>
          <w:szCs w:val="32"/>
          <w:lang w:val="en-US" w:eastAsia="zh-CN"/>
        </w:rPr>
        <w:t>根据评分标准，资金到位率</w:t>
      </w:r>
      <w:r>
        <w:rPr>
          <w:rFonts w:hint="eastAsia" w:ascii="仿宋_GB2312" w:hAnsi="仿宋_GB2312" w:eastAsia="仿宋_GB2312" w:cs="仿宋_GB2312"/>
          <w:color w:val="000000"/>
          <w:spacing w:val="17"/>
          <w:sz w:val="32"/>
          <w:szCs w:val="32"/>
          <w:lang w:val="en-US" w:eastAsia="zh-CN"/>
        </w:rPr>
        <w:t>得分2.5分，预算执行率得分2.5分，资金使用合规性得分5分，管理制度健全得分5分，制度执行有效5分。</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项目产出的产出数量、产出质量、产出时效、成本情况4个方面对项目的绩效情况进行评价。项目绩效类指标分值40分，实际得分40分，得分率为100%。项目绩效指标得分情况如表所示：</w:t>
      </w:r>
    </w:p>
    <w:p>
      <w:pPr>
        <w:pStyle w:val="18"/>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项目</w:t>
      </w:r>
      <w:r>
        <w:rPr>
          <w:rFonts w:hint="eastAsia" w:ascii="仿宋_GB2312" w:hAnsi="仿宋_GB2312" w:eastAsia="仿宋_GB2312" w:cs="仿宋_GB2312"/>
          <w:b/>
          <w:bCs w:val="0"/>
          <w:sz w:val="32"/>
          <w:szCs w:val="32"/>
          <w:lang w:eastAsia="zh-CN"/>
        </w:rPr>
        <w:t>产出</w:t>
      </w:r>
      <w:r>
        <w:rPr>
          <w:rFonts w:hint="eastAsia" w:ascii="仿宋_GB2312" w:hAnsi="仿宋_GB2312" w:eastAsia="仿宋_GB2312" w:cs="仿宋_GB2312"/>
          <w:b/>
          <w:bCs w:val="0"/>
          <w:sz w:val="32"/>
          <w:szCs w:val="32"/>
        </w:rPr>
        <w:t>指标得分情况</w:t>
      </w:r>
    </w:p>
    <w:tbl>
      <w:tblPr>
        <w:tblStyle w:val="21"/>
        <w:tblW w:w="8473" w:type="dxa"/>
        <w:tblInd w:w="0" w:type="dxa"/>
        <w:tblLayout w:type="fixed"/>
        <w:tblCellMar>
          <w:top w:w="0" w:type="dxa"/>
          <w:left w:w="108" w:type="dxa"/>
          <w:bottom w:w="0" w:type="dxa"/>
          <w:right w:w="108" w:type="dxa"/>
        </w:tblCellMar>
      </w:tblPr>
      <w:tblGrid>
        <w:gridCol w:w="2517"/>
        <w:gridCol w:w="1986"/>
        <w:gridCol w:w="1984"/>
        <w:gridCol w:w="1986"/>
      </w:tblGrid>
      <w:tr>
        <w:tblPrEx>
          <w:tblCellMar>
            <w:top w:w="0" w:type="dxa"/>
            <w:left w:w="108" w:type="dxa"/>
            <w:bottom w:w="0" w:type="dxa"/>
            <w:right w:w="108" w:type="dxa"/>
          </w:tblCellMar>
        </w:tblPrEx>
        <w:trPr>
          <w:trHeight w:val="510" w:hRule="exact"/>
          <w:tblHead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5E988C"/>
                <w:kern w:val="0"/>
                <w:sz w:val="32"/>
                <w:szCs w:val="32"/>
              </w:rPr>
            </w:pPr>
            <w:r>
              <w:rPr>
                <w:rFonts w:hint="eastAsia" w:ascii="仿宋_GB2312" w:hAnsi="仿宋_GB2312" w:eastAsia="仿宋_GB2312" w:cs="仿宋_GB2312"/>
                <w:b/>
                <w:bCs/>
                <w:color w:val="000000"/>
                <w:kern w:val="0"/>
                <w:sz w:val="32"/>
                <w:szCs w:val="32"/>
              </w:rPr>
              <w:t>二级指标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产出数量</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产出质量</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产出时效</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产出成本</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100</w:t>
            </w:r>
            <w:r>
              <w:rPr>
                <w:rFonts w:hint="eastAsia" w:ascii="仿宋_GB2312" w:hAnsi="仿宋_GB2312" w:eastAsia="仿宋_GB2312" w:cs="仿宋_GB2312"/>
                <w:color w:val="000000"/>
                <w:kern w:val="0"/>
                <w:sz w:val="32"/>
                <w:szCs w:val="32"/>
              </w:rPr>
              <w:t>%</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合  计</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100</w:t>
            </w:r>
            <w:r>
              <w:rPr>
                <w:rFonts w:hint="eastAsia" w:ascii="仿宋_GB2312" w:hAnsi="仿宋_GB2312" w:eastAsia="仿宋_GB2312" w:cs="仿宋_GB2312"/>
                <w:color w:val="000000"/>
                <w:kern w:val="0"/>
                <w:sz w:val="32"/>
                <w:szCs w:val="32"/>
              </w:rPr>
              <w:t>%</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40</w:t>
            </w:r>
          </w:p>
        </w:tc>
      </w:tr>
    </w:tbl>
    <w:p>
      <w:pPr>
        <w:pStyle w:val="19"/>
        <w:pageBreakBefore w:val="0"/>
        <w:widowControl/>
        <w:kinsoku/>
        <w:wordWrap/>
        <w:overflowPunct/>
        <w:topLinePunct w:val="0"/>
        <w:autoSpaceDE/>
        <w:autoSpaceDN/>
        <w:bidi w:val="0"/>
        <w:adjustRightInd/>
        <w:spacing w:before="0" w:beforeAutospacing="0" w:after="0" w:afterAutospacing="0" w:line="560" w:lineRule="exact"/>
        <w:ind w:firstLine="643"/>
        <w:jc w:val="both"/>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rPr>
        <w:t>产出数量</w:t>
      </w:r>
      <w:r>
        <w:rPr>
          <w:rFonts w:hint="eastAsia" w:ascii="仿宋_GB2312" w:hAnsi="仿宋_GB2312" w:eastAsia="仿宋_GB2312" w:cs="仿宋_GB2312"/>
          <w:b/>
          <w:bCs/>
          <w:color w:val="000000"/>
          <w:kern w:val="0"/>
          <w:sz w:val="32"/>
          <w:szCs w:val="32"/>
          <w:lang w:eastAsia="zh-CN"/>
        </w:rPr>
        <w:t>三级指标：</w:t>
      </w:r>
      <w:r>
        <w:rPr>
          <w:rFonts w:hint="eastAsia" w:ascii="仿宋_GB2312" w:hAnsi="仿宋_GB2312" w:eastAsia="仿宋_GB2312" w:cs="仿宋_GB2312"/>
          <w:i w:val="0"/>
          <w:color w:val="000000"/>
          <w:kern w:val="0"/>
          <w:sz w:val="32"/>
          <w:szCs w:val="32"/>
          <w:u w:val="none"/>
          <w:lang w:val="en-US" w:eastAsia="zh-CN" w:bidi="ar"/>
        </w:rPr>
        <w:t>组织委员参加各级政协会议次数</w:t>
      </w:r>
      <w:r>
        <w:rPr>
          <w:rFonts w:hint="eastAsia" w:ascii="仿宋_GB2312" w:hAnsi="仿宋_GB2312" w:eastAsia="仿宋_GB2312" w:cs="仿宋_GB2312"/>
          <w:sz w:val="32"/>
          <w:szCs w:val="32"/>
        </w:rPr>
        <w:t>，预期指标值≥10次，指标完成值</w:t>
      </w:r>
      <w:r>
        <w:rPr>
          <w:rFonts w:hint="eastAsia" w:ascii="仿宋_GB2312" w:hAnsi="仿宋_GB2312" w:eastAsia="仿宋_GB2312" w:cs="仿宋_GB2312"/>
          <w:sz w:val="32"/>
          <w:szCs w:val="32"/>
          <w:lang w:val="en-US" w:eastAsia="zh-CN"/>
        </w:rPr>
        <w:t>11次</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i w:val="0"/>
          <w:color w:val="000000"/>
          <w:kern w:val="0"/>
          <w:sz w:val="32"/>
          <w:szCs w:val="32"/>
          <w:u w:val="none"/>
          <w:lang w:val="en-US" w:eastAsia="zh-CN" w:bidi="ar"/>
        </w:rPr>
        <w:t>组织委员开展视察调研次数</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次，指标完成值</w:t>
      </w:r>
      <w:r>
        <w:rPr>
          <w:rFonts w:hint="eastAsia" w:ascii="仿宋_GB2312" w:hAnsi="仿宋_GB2312" w:eastAsia="仿宋_GB2312" w:cs="仿宋_GB2312"/>
          <w:sz w:val="32"/>
          <w:szCs w:val="32"/>
          <w:lang w:val="en-US" w:eastAsia="zh-CN"/>
        </w:rPr>
        <w:t>5次</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i w:val="0"/>
          <w:color w:val="000000"/>
          <w:kern w:val="0"/>
          <w:sz w:val="32"/>
          <w:szCs w:val="32"/>
          <w:u w:val="none"/>
          <w:lang w:val="en-US" w:eastAsia="zh-CN" w:bidi="ar"/>
        </w:rPr>
        <w:t>组织委员考察学习培训</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次</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3次</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i w:val="0"/>
          <w:color w:val="000000"/>
          <w:kern w:val="0"/>
          <w:sz w:val="32"/>
          <w:szCs w:val="32"/>
          <w:u w:val="none"/>
          <w:lang w:val="en-US" w:eastAsia="zh-CN" w:bidi="ar"/>
        </w:rPr>
        <w:t>严格按照地委要求,落实厅级领导常态化指导调研工作,以及地委安排的专项工作</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6项</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6项</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9"/>
        <w:pageBreakBefore w:val="0"/>
        <w:widowControl/>
        <w:kinsoku/>
        <w:wordWrap/>
        <w:overflowPunct/>
        <w:topLinePunct w:val="0"/>
        <w:autoSpaceDE/>
        <w:autoSpaceDN/>
        <w:bidi w:val="0"/>
        <w:adjustRightInd/>
        <w:spacing w:before="0" w:beforeAutospacing="0" w:after="0" w:afterAutospacing="0" w:line="560" w:lineRule="exac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000000"/>
          <w:kern w:val="0"/>
          <w:sz w:val="32"/>
          <w:szCs w:val="32"/>
        </w:rPr>
        <w:t>产出</w:t>
      </w:r>
      <w:r>
        <w:rPr>
          <w:rFonts w:hint="eastAsia" w:ascii="仿宋_GB2312" w:hAnsi="仿宋_GB2312" w:eastAsia="仿宋_GB2312" w:cs="仿宋_GB2312"/>
          <w:b/>
          <w:bCs/>
          <w:color w:val="000000"/>
          <w:kern w:val="0"/>
          <w:sz w:val="32"/>
          <w:szCs w:val="32"/>
          <w:lang w:eastAsia="zh-CN"/>
        </w:rPr>
        <w:t>质</w:t>
      </w:r>
      <w:r>
        <w:rPr>
          <w:rFonts w:hint="eastAsia" w:ascii="仿宋_GB2312" w:hAnsi="仿宋_GB2312" w:eastAsia="仿宋_GB2312" w:cs="仿宋_GB2312"/>
          <w:b/>
          <w:bCs/>
          <w:color w:val="000000"/>
          <w:kern w:val="0"/>
          <w:sz w:val="32"/>
          <w:szCs w:val="32"/>
        </w:rPr>
        <w:t>量</w:t>
      </w:r>
      <w:r>
        <w:rPr>
          <w:rFonts w:hint="eastAsia" w:ascii="仿宋_GB2312" w:hAnsi="仿宋_GB2312" w:eastAsia="仿宋_GB2312" w:cs="仿宋_GB2312"/>
          <w:b/>
          <w:bCs/>
          <w:color w:val="000000"/>
          <w:kern w:val="0"/>
          <w:sz w:val="32"/>
          <w:szCs w:val="32"/>
          <w:lang w:eastAsia="zh-CN"/>
        </w:rPr>
        <w:t>三级指标：</w:t>
      </w:r>
      <w:r>
        <w:rPr>
          <w:rFonts w:hint="eastAsia" w:ascii="仿宋_GB2312" w:hAnsi="仿宋_GB2312" w:eastAsia="仿宋_GB2312" w:cs="仿宋_GB2312"/>
          <w:i w:val="0"/>
          <w:color w:val="000000"/>
          <w:kern w:val="0"/>
          <w:sz w:val="32"/>
          <w:szCs w:val="32"/>
          <w:u w:val="none"/>
          <w:lang w:val="en-US" w:eastAsia="zh-CN" w:bidi="ar"/>
        </w:rPr>
        <w:t>撰写调研报告</w:t>
      </w:r>
      <w:r>
        <w:rPr>
          <w:rFonts w:hint="eastAsia" w:ascii="仿宋_GB2312" w:hAnsi="仿宋_GB2312" w:eastAsia="仿宋_GB2312" w:cs="仿宋_GB2312"/>
          <w:sz w:val="32"/>
          <w:szCs w:val="32"/>
        </w:rPr>
        <w:t>，预期指标值≥5篇，指标完成值</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篇</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；提交提案件数，预期指标值≥60件，指标完成值</w:t>
      </w:r>
      <w:r>
        <w:rPr>
          <w:rFonts w:hint="eastAsia" w:ascii="仿宋_GB2312" w:hAnsi="仿宋_GB2312" w:eastAsia="仿宋_GB2312" w:cs="仿宋_GB2312"/>
          <w:sz w:val="32"/>
          <w:szCs w:val="32"/>
          <w:highlight w:val="none"/>
          <w:lang w:val="en-US" w:eastAsia="zh-CN"/>
        </w:rPr>
        <w:t>66</w:t>
      </w:r>
      <w:r>
        <w:rPr>
          <w:rFonts w:hint="eastAsia" w:ascii="仿宋_GB2312" w:hAnsi="仿宋_GB2312" w:eastAsia="仿宋_GB2312" w:cs="仿宋_GB2312"/>
          <w:sz w:val="32"/>
          <w:szCs w:val="32"/>
          <w:highlight w:val="none"/>
        </w:rPr>
        <w:t>件</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；委员提交社情民意份数，预期指标值≥</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lang w:eastAsia="zh-CN"/>
        </w:rPr>
        <w:t>份</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highlight w:val="none"/>
          <w:lang w:val="en-US" w:eastAsia="zh-CN"/>
        </w:rPr>
        <w:t>50</w:t>
      </w:r>
      <w:r>
        <w:rPr>
          <w:rFonts w:hint="eastAsia" w:ascii="仿宋_GB2312" w:hAnsi="仿宋_GB2312" w:eastAsia="仿宋_GB2312" w:cs="仿宋_GB2312"/>
          <w:sz w:val="32"/>
          <w:szCs w:val="32"/>
          <w:highlight w:val="none"/>
          <w:lang w:eastAsia="zh-CN"/>
        </w:rPr>
        <w:t>份</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落实地委安排专项工作，预期指标值≥</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项，指标完成值</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项</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pPr>
        <w:pStyle w:val="19"/>
        <w:pageBreakBefore w:val="0"/>
        <w:widowControl/>
        <w:kinsoku/>
        <w:wordWrap/>
        <w:overflowPunct/>
        <w:topLinePunct w:val="0"/>
        <w:autoSpaceDE/>
        <w:autoSpaceDN/>
        <w:bidi w:val="0"/>
        <w:adjustRightInd/>
        <w:spacing w:before="0" w:beforeAutospacing="0" w:after="0" w:afterAutospacing="0"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rPr>
        <w:t>产出时效</w:t>
      </w:r>
      <w:r>
        <w:rPr>
          <w:rFonts w:hint="eastAsia" w:ascii="仿宋_GB2312" w:hAnsi="仿宋_GB2312" w:eastAsia="仿宋_GB2312" w:cs="仿宋_GB2312"/>
          <w:b/>
          <w:bCs/>
          <w:color w:val="000000"/>
          <w:kern w:val="0"/>
          <w:sz w:val="32"/>
          <w:szCs w:val="32"/>
          <w:lang w:eastAsia="zh-CN"/>
        </w:rPr>
        <w:t>三级指标：</w:t>
      </w:r>
      <w:r>
        <w:rPr>
          <w:rFonts w:hint="eastAsia" w:ascii="仿宋_GB2312" w:hAnsi="仿宋_GB2312" w:eastAsia="仿宋_GB2312" w:cs="仿宋_GB2312"/>
          <w:sz w:val="32"/>
          <w:szCs w:val="32"/>
        </w:rPr>
        <w:t>视察调研报告完成时限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预期指标值≤5天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指标完成值5</w:t>
      </w:r>
      <w:r>
        <w:rPr>
          <w:rFonts w:hint="eastAsia" w:ascii="仿宋_GB2312" w:hAnsi="仿宋_GB2312" w:eastAsia="仿宋_GB2312" w:cs="仿宋_GB2312"/>
          <w:sz w:val="32"/>
          <w:szCs w:val="32"/>
          <w:lang w:eastAsia="zh-CN"/>
        </w:rPr>
        <w:t>天，</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完成地委安排专项工作执行情况，预期指标值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9"/>
        <w:pageBreakBefore w:val="0"/>
        <w:widowControl/>
        <w:kinsoku/>
        <w:wordWrap/>
        <w:overflowPunct/>
        <w:topLinePunct w:val="0"/>
        <w:autoSpaceDE/>
        <w:autoSpaceDN/>
        <w:bidi w:val="0"/>
        <w:adjustRightInd/>
        <w:spacing w:before="0" w:beforeAutospacing="0" w:after="0" w:afterAutospacing="0" w:line="560" w:lineRule="exact"/>
        <w:ind w:firstLine="64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产出成本</w:t>
      </w:r>
      <w:r>
        <w:rPr>
          <w:rFonts w:hint="eastAsia" w:ascii="仿宋_GB2312" w:hAnsi="仿宋_GB2312" w:eastAsia="仿宋_GB2312" w:cs="仿宋_GB2312"/>
          <w:b/>
          <w:bCs/>
          <w:color w:val="000000"/>
          <w:kern w:val="0"/>
          <w:sz w:val="32"/>
          <w:szCs w:val="32"/>
          <w:lang w:eastAsia="zh-CN"/>
        </w:rPr>
        <w:t>三级指标：</w:t>
      </w:r>
      <w:r>
        <w:rPr>
          <w:rFonts w:hint="eastAsia" w:ascii="仿宋_GB2312" w:hAnsi="仿宋_GB2312" w:eastAsia="仿宋_GB2312" w:cs="仿宋_GB2312"/>
          <w:sz w:val="32"/>
          <w:szCs w:val="32"/>
          <w:lang w:val="en-US" w:eastAsia="zh-CN"/>
        </w:rPr>
        <w:t>开展工作产生差旅费</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≥15万元</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15万元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；开展工作产生公务车辆运行费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≥20万元</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20万元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w:t>
      </w:r>
      <w:r>
        <w:rPr>
          <w:rFonts w:hint="eastAsia" w:ascii="楷体_GB2312" w:hAnsi="楷体_GB2312" w:eastAsia="楷体_GB2312" w:cs="楷体_GB2312"/>
        </w:rPr>
        <w:t>效益情况</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项目绩效主要从项目的经济效益、社会效益、可持续影响指标、服务对象满意度4个方面对项目的绩效情况进行评价。项目绩效类指标分值20分，实际得分20分，得分率为100%。项目绩效指标得分情况如表所示：</w:t>
      </w:r>
    </w:p>
    <w:p>
      <w:pPr>
        <w:pStyle w:val="18"/>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项目</w:t>
      </w:r>
      <w:r>
        <w:rPr>
          <w:rFonts w:hint="eastAsia" w:ascii="仿宋_GB2312" w:hAnsi="仿宋_GB2312" w:eastAsia="仿宋_GB2312" w:cs="仿宋_GB2312"/>
          <w:b/>
          <w:bCs w:val="0"/>
          <w:sz w:val="32"/>
          <w:szCs w:val="32"/>
          <w:lang w:eastAsia="zh-CN"/>
        </w:rPr>
        <w:t>效益</w:t>
      </w:r>
      <w:r>
        <w:rPr>
          <w:rFonts w:hint="eastAsia" w:ascii="仿宋_GB2312" w:hAnsi="仿宋_GB2312" w:eastAsia="仿宋_GB2312" w:cs="仿宋_GB2312"/>
          <w:b/>
          <w:bCs w:val="0"/>
          <w:sz w:val="32"/>
          <w:szCs w:val="32"/>
        </w:rPr>
        <w:t>指标得分情况</w:t>
      </w:r>
    </w:p>
    <w:tbl>
      <w:tblPr>
        <w:tblStyle w:val="21"/>
        <w:tblW w:w="832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74"/>
        <w:gridCol w:w="2981"/>
        <w:gridCol w:w="1323"/>
        <w:gridCol w:w="1323"/>
        <w:gridCol w:w="132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5" w:hRule="atLeast"/>
        </w:trPr>
        <w:tc>
          <w:tcPr>
            <w:tcW w:w="4355" w:type="dxa"/>
            <w:gridSpan w:val="2"/>
            <w:tcBorders>
              <w:tl2br w:val="nil"/>
              <w:tr2bl w:val="nil"/>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pacing w:line="560" w:lineRule="exact"/>
              <w:jc w:val="center"/>
              <w:rPr>
                <w:rFonts w:hint="eastAsia" w:ascii="方正仿宋_GBK" w:hAnsi="方正仿宋_GBK" w:eastAsia="方正仿宋_GBK" w:cs="方正仿宋_GBK"/>
                <w:b/>
                <w:bCs/>
                <w:color w:val="000000"/>
                <w:sz w:val="22"/>
                <w:szCs w:val="22"/>
              </w:rPr>
            </w:pPr>
            <w:r>
              <w:rPr>
                <w:rFonts w:hint="eastAsia" w:ascii="方正仿宋_GBK" w:hAnsi="方正仿宋_GBK" w:eastAsia="方正仿宋_GBK" w:cs="方正仿宋_GBK"/>
                <w:b/>
                <w:bCs/>
                <w:color w:val="000000"/>
                <w:kern w:val="0"/>
                <w:sz w:val="22"/>
                <w:szCs w:val="22"/>
              </w:rPr>
              <w:t>三级指标</w:t>
            </w:r>
          </w:p>
        </w:tc>
        <w:tc>
          <w:tcPr>
            <w:tcW w:w="1323" w:type="dxa"/>
            <w:tcBorders>
              <w:tl2br w:val="nil"/>
              <w:tr2bl w:val="nil"/>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pacing w:line="560" w:lineRule="exact"/>
              <w:jc w:val="center"/>
              <w:rPr>
                <w:rFonts w:hint="eastAsia" w:ascii="方正仿宋_GBK" w:hAnsi="方正仿宋_GBK" w:eastAsia="方正仿宋_GBK" w:cs="方正仿宋_GBK"/>
                <w:b/>
                <w:bCs/>
                <w:color w:val="000000"/>
                <w:sz w:val="22"/>
                <w:szCs w:val="22"/>
              </w:rPr>
            </w:pPr>
            <w:r>
              <w:rPr>
                <w:rFonts w:hint="eastAsia" w:ascii="方正仿宋_GBK" w:hAnsi="方正仿宋_GBK" w:eastAsia="方正仿宋_GBK" w:cs="方正仿宋_GBK"/>
                <w:b/>
                <w:bCs/>
                <w:color w:val="000000"/>
                <w:kern w:val="0"/>
                <w:sz w:val="22"/>
                <w:szCs w:val="22"/>
              </w:rPr>
              <w:t>权重</w:t>
            </w:r>
          </w:p>
        </w:tc>
        <w:tc>
          <w:tcPr>
            <w:tcW w:w="1323" w:type="dxa"/>
            <w:tcBorders>
              <w:tl2br w:val="nil"/>
              <w:tr2bl w:val="nil"/>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pacing w:line="560" w:lineRule="exact"/>
              <w:jc w:val="center"/>
              <w:rPr>
                <w:rFonts w:hint="eastAsia" w:ascii="方正仿宋_GBK" w:hAnsi="方正仿宋_GBK" w:eastAsia="方正仿宋_GBK" w:cs="方正仿宋_GBK"/>
                <w:b/>
                <w:bCs/>
                <w:color w:val="000000"/>
                <w:sz w:val="22"/>
                <w:szCs w:val="22"/>
              </w:rPr>
            </w:pPr>
            <w:r>
              <w:rPr>
                <w:rFonts w:hint="eastAsia" w:ascii="方正仿宋_GBK" w:hAnsi="方正仿宋_GBK" w:eastAsia="方正仿宋_GBK" w:cs="方正仿宋_GBK"/>
                <w:b/>
                <w:bCs/>
                <w:color w:val="000000"/>
                <w:kern w:val="0"/>
                <w:sz w:val="22"/>
                <w:szCs w:val="22"/>
              </w:rPr>
              <w:t>得分率</w:t>
            </w:r>
          </w:p>
        </w:tc>
        <w:tc>
          <w:tcPr>
            <w:tcW w:w="1322" w:type="dxa"/>
            <w:tcBorders>
              <w:tl2br w:val="nil"/>
              <w:tr2bl w:val="nil"/>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pacing w:line="560" w:lineRule="exact"/>
              <w:jc w:val="center"/>
              <w:rPr>
                <w:rFonts w:hint="eastAsia" w:ascii="方正仿宋_GBK" w:hAnsi="方正仿宋_GBK" w:eastAsia="方正仿宋_GBK" w:cs="方正仿宋_GBK"/>
                <w:b/>
                <w:bCs/>
                <w:color w:val="000000"/>
                <w:sz w:val="22"/>
                <w:szCs w:val="22"/>
              </w:rPr>
            </w:pPr>
            <w:r>
              <w:rPr>
                <w:rFonts w:hint="eastAsia" w:ascii="方正仿宋_GBK" w:hAnsi="方正仿宋_GBK" w:eastAsia="方正仿宋_GBK" w:cs="方正仿宋_GBK"/>
                <w:b/>
                <w:bCs/>
                <w:color w:val="000000"/>
                <w:kern w:val="0"/>
                <w:sz w:val="22"/>
                <w:szCs w:val="22"/>
              </w:rPr>
              <w:t>实际得分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vMerge w:val="restart"/>
            <w:tcBorders>
              <w:tl2br w:val="nil"/>
              <w:tr2bl w:val="nil"/>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实施效益</w:t>
            </w:r>
          </w:p>
        </w:tc>
        <w:tc>
          <w:tcPr>
            <w:tcW w:w="2981"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社会效益</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5</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1322"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vMerge w:val="continue"/>
            <w:tcBorders>
              <w:tl2br w:val="nil"/>
              <w:tr2bl w:val="nil"/>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sz w:val="32"/>
                <w:szCs w:val="32"/>
              </w:rPr>
            </w:pPr>
          </w:p>
        </w:tc>
        <w:tc>
          <w:tcPr>
            <w:tcW w:w="2981"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生态效益</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5</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1322"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vMerge w:val="continue"/>
            <w:tcBorders>
              <w:tl2br w:val="nil"/>
              <w:tr2bl w:val="nil"/>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sz w:val="32"/>
                <w:szCs w:val="32"/>
              </w:rPr>
            </w:pPr>
          </w:p>
        </w:tc>
        <w:tc>
          <w:tcPr>
            <w:tcW w:w="2981"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b/>
                <w:bCs/>
                <w:color w:val="000000"/>
                <w:sz w:val="32"/>
                <w:szCs w:val="32"/>
              </w:rPr>
            </w:pPr>
            <w:r>
              <w:rPr>
                <w:rFonts w:hint="eastAsia" w:ascii="仿宋_GB2312" w:hAnsi="仿宋_GB2312" w:eastAsia="仿宋_GB2312" w:cs="仿宋_GB2312"/>
                <w:color w:val="000000"/>
                <w:kern w:val="0"/>
                <w:sz w:val="32"/>
                <w:szCs w:val="32"/>
              </w:rPr>
              <w:t>可持续影响指标</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5</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1322"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tcBorders>
              <w:tl2br w:val="nil"/>
              <w:tr2bl w:val="nil"/>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满意度</w:t>
            </w:r>
          </w:p>
        </w:tc>
        <w:tc>
          <w:tcPr>
            <w:tcW w:w="2981"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eastAsia="zh-CN"/>
              </w:rPr>
              <w:t>政协委员、人民群众</w:t>
            </w:r>
            <w:r>
              <w:rPr>
                <w:rFonts w:hint="eastAsia" w:ascii="仿宋_GB2312" w:hAnsi="仿宋_GB2312" w:eastAsia="仿宋_GB2312" w:cs="仿宋_GB2312"/>
                <w:color w:val="000000"/>
                <w:kern w:val="0"/>
                <w:sz w:val="32"/>
                <w:szCs w:val="32"/>
              </w:rPr>
              <w:t>满意度</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5</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1322"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sz w:val="32"/>
                <w:szCs w:val="32"/>
              </w:rPr>
            </w:pPr>
          </w:p>
        </w:tc>
        <w:tc>
          <w:tcPr>
            <w:tcW w:w="2981"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合  计</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20</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1322"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20</w:t>
            </w:r>
          </w:p>
        </w:tc>
      </w:tr>
    </w:tbl>
    <w:p>
      <w:pPr>
        <w:pStyle w:val="19"/>
        <w:pageBreakBefore w:val="0"/>
        <w:widowControl/>
        <w:kinsoku/>
        <w:wordWrap/>
        <w:overflowPunct/>
        <w:topLinePunct w:val="0"/>
        <w:autoSpaceDE/>
        <w:autoSpaceDN/>
        <w:bidi w:val="0"/>
        <w:adjustRightInd/>
        <w:spacing w:before="0" w:beforeAutospacing="0" w:after="0" w:afterAutospacing="0" w:line="560" w:lineRule="exact"/>
        <w:ind w:firstLine="643"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经济效益指标：</w:t>
      </w:r>
      <w:r>
        <w:rPr>
          <w:rFonts w:hint="eastAsia" w:ascii="仿宋_GB2312" w:hAnsi="仿宋_GB2312" w:eastAsia="仿宋_GB2312" w:cs="仿宋_GB2312"/>
          <w:sz w:val="32"/>
          <w:szCs w:val="32"/>
        </w:rPr>
        <w:t>围绕地委中心履职尽责，预期指标值</w:t>
      </w:r>
      <w:r>
        <w:rPr>
          <w:rFonts w:hint="eastAsia" w:ascii="仿宋_GB2312" w:hAnsi="仿宋_GB2312" w:eastAsia="仿宋_GB2312" w:cs="仿宋_GB2312"/>
          <w:sz w:val="32"/>
          <w:szCs w:val="32"/>
          <w:lang w:val="en-US" w:eastAsia="zh-CN"/>
        </w:rPr>
        <w:t>效果明显</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效果明显</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9"/>
        <w:pageBreakBefore w:val="0"/>
        <w:widowControl/>
        <w:kinsoku/>
        <w:wordWrap/>
        <w:overflowPunct/>
        <w:topLinePunct w:val="0"/>
        <w:autoSpaceDE/>
        <w:autoSpaceDN/>
        <w:bidi w:val="0"/>
        <w:adjustRightInd/>
        <w:spacing w:before="0" w:beforeAutospacing="0" w:after="0" w:afterAutospacing="0" w:line="560" w:lineRule="exact"/>
        <w:ind w:firstLine="643"/>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社会效益指标：</w:t>
      </w:r>
      <w:r>
        <w:rPr>
          <w:rFonts w:hint="eastAsia" w:ascii="仿宋_GB2312" w:hAnsi="仿宋_GB2312" w:eastAsia="仿宋_GB2312" w:cs="仿宋_GB2312"/>
          <w:sz w:val="32"/>
          <w:szCs w:val="32"/>
        </w:rPr>
        <w:t>发挥委员积极建言献策，积极提交提案,完成地委交办的专项工作，预期指标值</w:t>
      </w:r>
      <w:r>
        <w:rPr>
          <w:rFonts w:hint="eastAsia" w:ascii="Calibri" w:hAnsi="Calibri" w:eastAsia="宋体" w:cs="Calibri"/>
          <w:color w:val="000000"/>
          <w:sz w:val="32"/>
          <w:szCs w:val="32"/>
          <w:lang w:val="en-US" w:eastAsia="zh-CN" w:bidi="ar-SA"/>
        </w:rPr>
        <w:t>成效明显</w:t>
      </w:r>
      <w:r>
        <w:rPr>
          <w:rFonts w:hint="eastAsia" w:ascii="仿宋_GB2312" w:hAnsi="仿宋_GB2312" w:eastAsia="仿宋_GB2312" w:cs="仿宋_GB2312"/>
          <w:sz w:val="32"/>
          <w:szCs w:val="32"/>
        </w:rPr>
        <w:t>，指标完成值</w:t>
      </w:r>
      <w:r>
        <w:rPr>
          <w:rFonts w:hint="eastAsia" w:ascii="Calibri" w:hAnsi="Calibri" w:eastAsia="宋体" w:cs="Calibri"/>
          <w:color w:val="000000"/>
          <w:sz w:val="32"/>
          <w:szCs w:val="32"/>
          <w:lang w:val="en-US" w:eastAsia="zh-CN" w:bidi="ar-SA"/>
        </w:rPr>
        <w:t>成效明显</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9"/>
        <w:pageBreakBefore w:val="0"/>
        <w:widowControl/>
        <w:kinsoku/>
        <w:wordWrap/>
        <w:overflowPunct/>
        <w:topLinePunct w:val="0"/>
        <w:autoSpaceDE/>
        <w:autoSpaceDN/>
        <w:bidi w:val="0"/>
        <w:adjustRightInd/>
        <w:spacing w:before="0" w:beforeAutospacing="0" w:after="0" w:afterAutospacing="0" w:line="560" w:lineRule="exact"/>
        <w:ind w:firstLine="643"/>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可持续影响指标：</w:t>
      </w:r>
      <w:r>
        <w:rPr>
          <w:rFonts w:hint="eastAsia" w:ascii="仿宋_GB2312" w:hAnsi="仿宋_GB2312" w:eastAsia="仿宋_GB2312" w:cs="仿宋_GB2312"/>
          <w:sz w:val="32"/>
          <w:szCs w:val="32"/>
        </w:rPr>
        <w:t>充分发挥专门协商机构的作用,深入调查研究,积极建言献策,有效协商议政，预期指标值</w:t>
      </w:r>
      <w:r>
        <w:rPr>
          <w:rFonts w:hint="eastAsia" w:ascii="仿宋_GB2312" w:hAnsi="仿宋_GB2312" w:eastAsia="仿宋_GB2312" w:cs="仿宋_GB2312"/>
          <w:sz w:val="32"/>
          <w:szCs w:val="32"/>
          <w:lang w:val="en-US" w:eastAsia="zh-CN"/>
        </w:rPr>
        <w:t>明显</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明显</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9"/>
        <w:pageBreakBefore w:val="0"/>
        <w:widowControl/>
        <w:kinsoku/>
        <w:wordWrap/>
        <w:overflowPunct/>
        <w:topLinePunct w:val="0"/>
        <w:autoSpaceDE/>
        <w:autoSpaceDN/>
        <w:bidi w:val="0"/>
        <w:adjustRightInd/>
        <w:spacing w:before="0" w:beforeAutospacing="0" w:after="0" w:afterAutospacing="0" w:line="560" w:lineRule="exact"/>
        <w:ind w:firstLine="643"/>
        <w:jc w:val="both"/>
        <w:rPr>
          <w:rFonts w:hint="eastAsia" w:ascii="黑体" w:hAnsi="黑体" w:eastAsia="黑体"/>
          <w:sz w:val="32"/>
          <w:szCs w:val="32"/>
        </w:rPr>
      </w:pPr>
      <w:r>
        <w:rPr>
          <w:rFonts w:hint="eastAsia" w:ascii="仿宋_GB2312" w:hAnsi="仿宋_GB2312" w:eastAsia="仿宋_GB2312" w:cs="仿宋_GB2312"/>
          <w:b/>
          <w:bCs/>
          <w:sz w:val="32"/>
          <w:szCs w:val="32"/>
        </w:rPr>
        <w:t>服务对象满意度指标：</w:t>
      </w:r>
      <w:r>
        <w:rPr>
          <w:rFonts w:hint="eastAsia" w:ascii="仿宋_GB2312" w:hAnsi="仿宋_GB2312" w:eastAsia="仿宋_GB2312" w:cs="仿宋_GB2312"/>
          <w:sz w:val="32"/>
          <w:szCs w:val="32"/>
        </w:rPr>
        <w:t>办理政协委员提案、建议满意度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预期指标值≥95%，指标完成值95%，指标完成率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人民群众满意度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预期指标值≥95%，指标完成值95%，指标完成率</w:t>
      </w:r>
      <w:r>
        <w:rPr>
          <w:rFonts w:hint="eastAsia" w:ascii="仿宋_GB2312" w:hAnsi="仿宋_GB2312" w:eastAsia="仿宋_GB2312" w:cs="仿宋_GB2312"/>
          <w:sz w:val="32"/>
          <w:szCs w:val="32"/>
          <w:lang w:val="en-US" w:eastAsia="zh-CN"/>
        </w:rPr>
        <w:t>100%；</w:t>
      </w:r>
    </w:p>
    <w:p>
      <w:pPr>
        <w:pageBreakBefore w:val="0"/>
        <w:kinsoku/>
        <w:wordWrap/>
        <w:overflowPunct/>
        <w:topLinePunct w:val="0"/>
        <w:autoSpaceDE/>
        <w:autoSpaceDN/>
        <w:bidi w:val="0"/>
        <w:adjustRightInd/>
        <w:spacing w:line="560" w:lineRule="exact"/>
        <w:ind w:firstLine="641"/>
        <w:rPr>
          <w:rStyle w:val="52"/>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pacing w:line="56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（一）主要经验及做法</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2"/>
        </w:numPr>
        <w:kinsoku/>
        <w:wordWrap/>
        <w:overflowPunct/>
        <w:topLinePunct w:val="0"/>
        <w:autoSpaceDE/>
        <w:autoSpaceDN/>
        <w:bidi w:val="0"/>
        <w:adjustRightIn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2020年受传染病防控</w:t>
      </w:r>
      <w:bookmarkStart w:id="2" w:name="_GoBack"/>
      <w:bookmarkEnd w:id="2"/>
      <w:r>
        <w:rPr>
          <w:rFonts w:hint="eastAsia" w:ascii="仿宋_GB2312" w:eastAsia="仿宋_GB2312"/>
          <w:sz w:val="32"/>
          <w:szCs w:val="32"/>
          <w:lang w:val="en-US" w:eastAsia="zh-CN"/>
        </w:rPr>
        <w:t>影响，工作进度也受到影响，通过后期的努力保证工作任务完成；通过对年初预算绩效目标体系的评定、年中支出绩效的监控、年末支出绩效的自评，进一步呈现出预算工作中存在不足与偏差，需在预算编制上贴近现实，加强改进，做到科学、合理编制。</w:t>
      </w:r>
    </w:p>
    <w:p>
      <w:pPr>
        <w:pageBreakBefore w:val="0"/>
        <w:numPr>
          <w:ilvl w:val="0"/>
          <w:numId w:val="3"/>
        </w:numPr>
        <w:kinsoku/>
        <w:wordWrap/>
        <w:overflowPunct/>
        <w:topLinePunct w:val="0"/>
        <w:autoSpaceDE/>
        <w:autoSpaceDN/>
        <w:bidi w:val="0"/>
        <w:adjustRightInd/>
        <w:spacing w:line="560" w:lineRule="exact"/>
        <w:ind w:firstLine="641"/>
        <w:rPr>
          <w:rFonts w:ascii="黑体" w:hAnsi="黑体" w:eastAsia="黑体"/>
          <w:sz w:val="32"/>
          <w:szCs w:val="32"/>
        </w:rPr>
      </w:pPr>
      <w:r>
        <w:rPr>
          <w:rFonts w:hint="eastAsia" w:ascii="黑体" w:hAnsi="黑体" w:eastAsia="黑体"/>
          <w:sz w:val="32"/>
          <w:szCs w:val="32"/>
        </w:rPr>
        <w:t>有关建议</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1、加强本部门预算编制的科学、合理性，严格执行预算。</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2、加强学习，提高工作工作能力。</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3、进一步贯彻执行中央八项规定和自治区党委十条规定，完善本部门“三公”经费等公务支出管理制度及厉行节约制度，继续加强经费审批和控制，规范支出标准与范围，并严格执行。</w:t>
      </w:r>
    </w:p>
    <w:p>
      <w:pPr>
        <w:pageBreakBefore w:val="0"/>
        <w:numPr>
          <w:ilvl w:val="0"/>
          <w:numId w:val="3"/>
        </w:numPr>
        <w:kinsoku/>
        <w:wordWrap/>
        <w:overflowPunct/>
        <w:topLinePunct w:val="0"/>
        <w:autoSpaceDE/>
        <w:autoSpaceDN/>
        <w:bidi w:val="0"/>
        <w:adjustRightInd/>
        <w:spacing w:line="560" w:lineRule="exact"/>
        <w:ind w:firstLine="641"/>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无其他需要说明的问题。</w:t>
      </w:r>
    </w:p>
    <w:p>
      <w:pPr>
        <w:pageBreakBefore w:val="0"/>
        <w:kinsoku/>
        <w:wordWrap/>
        <w:overflowPunct/>
        <w:topLinePunct w:val="0"/>
        <w:autoSpaceDE/>
        <w:autoSpaceDN/>
        <w:bidi w:val="0"/>
        <w:adjustRightInd/>
        <w:spacing w:line="560" w:lineRule="exact"/>
        <w:ind w:firstLine="640" w:firstLineChars="200"/>
        <w:rPr>
          <w:rFonts w:hint="eastAsia" w:ascii="仿宋_GB2312" w:eastAsia="仿宋_GB2312"/>
          <w:sz w:val="32"/>
          <w:szCs w:val="32"/>
          <w:lang w:val="en-US" w:eastAsia="zh-CN"/>
        </w:rPr>
        <w:sectPr>
          <w:footerReference r:id="rId3" w:type="default"/>
          <w:pgSz w:w="11906" w:h="16838"/>
          <w:pgMar w:top="1440" w:right="1558" w:bottom="1440" w:left="1800" w:header="851" w:footer="992" w:gutter="0"/>
          <w:cols w:space="425" w:num="1"/>
          <w:docGrid w:type="lines" w:linePitch="312" w:charSpace="0"/>
        </w:sectPr>
      </w:pPr>
    </w:p>
    <w:tbl>
      <w:tblPr>
        <w:tblStyle w:val="21"/>
        <w:tblW w:w="8895" w:type="dxa"/>
        <w:tblInd w:w="0" w:type="dxa"/>
        <w:shd w:val="clear" w:color="auto" w:fill="auto"/>
        <w:tblLayout w:type="fixed"/>
        <w:tblCellMar>
          <w:top w:w="0" w:type="dxa"/>
          <w:left w:w="0" w:type="dxa"/>
          <w:bottom w:w="0" w:type="dxa"/>
          <w:right w:w="0" w:type="dxa"/>
        </w:tblCellMar>
      </w:tblPr>
      <w:tblGrid>
        <w:gridCol w:w="840"/>
        <w:gridCol w:w="840"/>
        <w:gridCol w:w="840"/>
        <w:gridCol w:w="840"/>
        <w:gridCol w:w="840"/>
        <w:gridCol w:w="840"/>
        <w:gridCol w:w="840"/>
        <w:gridCol w:w="1680"/>
        <w:gridCol w:w="1335"/>
      </w:tblGrid>
      <w:tr>
        <w:tblPrEx>
          <w:shd w:val="clear" w:color="auto" w:fill="auto"/>
          <w:tblCellMar>
            <w:top w:w="0" w:type="dxa"/>
            <w:left w:w="0" w:type="dxa"/>
            <w:bottom w:w="0" w:type="dxa"/>
            <w:right w:w="0" w:type="dxa"/>
          </w:tblCellMar>
        </w:tblPrEx>
        <w:trPr>
          <w:trHeight w:val="409" w:hRule="atLeast"/>
        </w:trPr>
        <w:tc>
          <w:tcPr>
            <w:tcW w:w="8895"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方正小标宋_GBK" w:hAnsi="方正小标宋_GBK" w:eastAsia="方正小标宋_GBK" w:cs="方正小标宋_GBK"/>
                <w:b w:val="0"/>
                <w:bCs/>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8895"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8895" w:type="dxa"/>
            <w:gridSpan w:val="9"/>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21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政协工委工作补助经费</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塔城地区政协工作委员会</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392"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0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0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为履行职责，保障本单位正常运转、完成专项工作任务、开展业务工作支出的经费，包括办公费，差旅费，设备购置费，公务用车运行维护费等。</w:t>
            </w:r>
          </w:p>
        </w:tc>
        <w:tc>
          <w:tcPr>
            <w:tcW w:w="30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为履行职责，保障本单位正常运转、完成专项工作任务、开展业务工作支出的经费，包括办公费，差旅费，设备购置费，公务用车运行维护费等。</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组织委员参加各级政协会议次数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11次</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组织委员开展视察调研次数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5次</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组织委员考察学习培训</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3次</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24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严格按照地委要求,落实厅级领导常态化指导调研工作,以及地委安排的专项工作</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≥6项</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6项</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撰写调研报告</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≥5篇</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7篇</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提交提案件数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≥60件</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66件</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委员提交社情民意份数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≥30份</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50份</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落实地委安排专项工作</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≥6项</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6项</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视察调研报告完成时限</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≤5天</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5天</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完成地委安排专项工作执行情况</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开展工作产生差旅费</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开展工作产生公务车辆运行费</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围绕地委中心履职尽责</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51"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发挥委员积极建言献策，积极提交提案,完成地委交办的专项工作</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成效明显</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成效明显</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21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充分发挥专门协商机构的作用,深入调查研究,积极建言献策,有效协商议政</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明显</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明显</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人民群众满意度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4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办理政协委员提案、建议满意度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pStyle w:val="2"/>
        <w:pageBreakBefore w:val="0"/>
        <w:kinsoku/>
        <w:wordWrap/>
        <w:overflowPunct/>
        <w:topLinePunct w:val="0"/>
        <w:autoSpaceDE/>
        <w:autoSpaceDN/>
        <w:bidi w:val="0"/>
        <w:adjustRightInd/>
        <w:spacing w:before="0" w:after="0" w:line="560" w:lineRule="exact"/>
        <w:jc w:val="both"/>
        <w:rPr>
          <w:rFonts w:hint="eastAsia"/>
          <w:lang w:val="en-US" w:eastAsia="zh-CN"/>
        </w:rPr>
        <w:sectPr>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pacing w:line="56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1"/>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pageBreakBefore w:val="0"/>
              <w:widowControl/>
              <w:kinsoku/>
              <w:wordWrap/>
              <w:overflowPunct/>
              <w:topLinePunct w:val="0"/>
              <w:autoSpaceDE/>
              <w:autoSpaceDN/>
              <w:bidi w:val="0"/>
              <w:adjustRightIn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pageBreakBefore w:val="0"/>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产出</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767" w:type="dxa"/>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bl>
    <w:p>
      <w:pPr>
        <w:pStyle w:val="2"/>
        <w:pageBreakBefore w:val="0"/>
        <w:kinsoku/>
        <w:wordWrap/>
        <w:overflowPunct/>
        <w:topLinePunct w:val="0"/>
        <w:autoSpaceDE/>
        <w:autoSpaceDN/>
        <w:bidi w:val="0"/>
        <w:adjustRightInd/>
        <w:spacing w:before="0" w:after="0" w:line="560" w:lineRule="exact"/>
        <w:rPr>
          <w:rFonts w:hint="default"/>
          <w:lang w:val="en-US" w:eastAsia="zh-CN"/>
        </w:rPr>
      </w:pPr>
    </w:p>
    <w:p>
      <w:pPr>
        <w:pStyle w:val="18"/>
        <w:pageBreakBefore w:val="0"/>
        <w:kinsoku/>
        <w:wordWrap/>
        <w:overflowPunct/>
        <w:topLinePunct w:val="0"/>
        <w:autoSpaceDE/>
        <w:autoSpaceDN/>
        <w:bidi w:val="0"/>
        <w:adjustRightInd/>
        <w:spacing w:line="560" w:lineRule="exact"/>
        <w:rPr>
          <w:rStyle w:val="23"/>
          <w:rFonts w:ascii="黑体" w:hAnsi="黑体" w:eastAsia="黑体"/>
          <w:bCs w:val="0"/>
          <w:spacing w:val="-4"/>
          <w:sz w:val="32"/>
          <w:szCs w:val="32"/>
        </w:rPr>
      </w:pPr>
    </w:p>
    <w:p>
      <w:pPr>
        <w:pStyle w:val="18"/>
        <w:pageBreakBefore w:val="0"/>
        <w:kinsoku/>
        <w:wordWrap/>
        <w:overflowPunct/>
        <w:topLinePunct w:val="0"/>
        <w:autoSpaceDE/>
        <w:autoSpaceDN/>
        <w:bidi w:val="0"/>
        <w:adjustRightInd/>
        <w:spacing w:line="560" w:lineRule="exact"/>
        <w:rPr>
          <w:rStyle w:val="23"/>
          <w:rFonts w:ascii="黑体" w:hAnsi="黑体" w:eastAsia="黑体"/>
          <w:bCs w:val="0"/>
          <w:spacing w:val="-4"/>
          <w:sz w:val="32"/>
          <w:szCs w:val="32"/>
        </w:rPr>
      </w:pPr>
    </w:p>
    <w:p>
      <w:pPr>
        <w:pStyle w:val="18"/>
        <w:pageBreakBefore w:val="0"/>
        <w:kinsoku/>
        <w:wordWrap/>
        <w:overflowPunct/>
        <w:topLinePunct w:val="0"/>
        <w:autoSpaceDE/>
        <w:autoSpaceDN/>
        <w:bidi w:val="0"/>
        <w:adjustRightInd/>
        <w:spacing w:line="560" w:lineRule="exact"/>
        <w:rPr>
          <w:rStyle w:val="23"/>
          <w:rFonts w:ascii="黑体" w:hAnsi="黑体" w:eastAsia="黑体"/>
          <w:bCs w:val="0"/>
          <w:spacing w:val="-4"/>
          <w:sz w:val="32"/>
          <w:szCs w:val="32"/>
        </w:rPr>
      </w:pPr>
    </w:p>
    <w:p>
      <w:pPr>
        <w:pStyle w:val="18"/>
        <w:pageBreakBefore w:val="0"/>
        <w:kinsoku/>
        <w:wordWrap/>
        <w:overflowPunct/>
        <w:topLinePunct w:val="0"/>
        <w:autoSpaceDE/>
        <w:autoSpaceDN/>
        <w:bidi w:val="0"/>
        <w:adjustRightInd/>
        <w:spacing w:line="560" w:lineRule="exact"/>
        <w:rPr>
          <w:rStyle w:val="23"/>
          <w:rFonts w:ascii="黑体" w:hAnsi="黑体" w:eastAsia="黑体"/>
          <w:bCs w:val="0"/>
          <w:spacing w:val="-4"/>
          <w:sz w:val="32"/>
          <w:szCs w:val="32"/>
        </w:rPr>
      </w:pPr>
    </w:p>
    <w:p>
      <w:pPr>
        <w:pageBreakBefore w:val="0"/>
        <w:kinsoku/>
        <w:wordWrap/>
        <w:overflowPunct/>
        <w:topLinePunct w:val="0"/>
        <w:autoSpaceDE/>
        <w:autoSpaceDN/>
        <w:bidi w:val="0"/>
        <w:adjustRightInd/>
        <w:spacing w:line="560" w:lineRule="exact"/>
        <w:rPr>
          <w:rStyle w:val="23"/>
          <w:rFonts w:ascii="黑体" w:hAnsi="黑体" w:eastAsia="黑体"/>
          <w:bCs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v:textbox>
            </v:shape>
          </w:pict>
        </mc:Fallback>
      </mc:AlternateContent>
    </w:r>
  </w:p>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0233FF"/>
    <w:rsid w:val="02AC7129"/>
    <w:rsid w:val="02B65584"/>
    <w:rsid w:val="032D3D61"/>
    <w:rsid w:val="033216F5"/>
    <w:rsid w:val="042D096C"/>
    <w:rsid w:val="043326CE"/>
    <w:rsid w:val="0462382D"/>
    <w:rsid w:val="049D1A7A"/>
    <w:rsid w:val="051A56F5"/>
    <w:rsid w:val="052A646F"/>
    <w:rsid w:val="066D6EAA"/>
    <w:rsid w:val="06793EFB"/>
    <w:rsid w:val="08C662D4"/>
    <w:rsid w:val="09BD4D95"/>
    <w:rsid w:val="0CEB41FE"/>
    <w:rsid w:val="0D407D0D"/>
    <w:rsid w:val="0DA67F3D"/>
    <w:rsid w:val="0E2664B4"/>
    <w:rsid w:val="0F1B236C"/>
    <w:rsid w:val="0F8D41CB"/>
    <w:rsid w:val="10562845"/>
    <w:rsid w:val="11535C67"/>
    <w:rsid w:val="116A0192"/>
    <w:rsid w:val="11C75270"/>
    <w:rsid w:val="12637CC3"/>
    <w:rsid w:val="12BA4662"/>
    <w:rsid w:val="12E657C5"/>
    <w:rsid w:val="152B3E29"/>
    <w:rsid w:val="16225182"/>
    <w:rsid w:val="167C7687"/>
    <w:rsid w:val="168B3546"/>
    <w:rsid w:val="1A2374E0"/>
    <w:rsid w:val="1A4B7C9D"/>
    <w:rsid w:val="1BF134CE"/>
    <w:rsid w:val="1C317CE2"/>
    <w:rsid w:val="1C5303CC"/>
    <w:rsid w:val="1DD45808"/>
    <w:rsid w:val="1DED42AC"/>
    <w:rsid w:val="1F455C4F"/>
    <w:rsid w:val="1FE2384A"/>
    <w:rsid w:val="20005763"/>
    <w:rsid w:val="20FB313D"/>
    <w:rsid w:val="220B4804"/>
    <w:rsid w:val="26A72802"/>
    <w:rsid w:val="282475E3"/>
    <w:rsid w:val="284205D5"/>
    <w:rsid w:val="28B96361"/>
    <w:rsid w:val="2AAD2DED"/>
    <w:rsid w:val="2ADD7999"/>
    <w:rsid w:val="2BF216C6"/>
    <w:rsid w:val="2C6100C1"/>
    <w:rsid w:val="2C896AF9"/>
    <w:rsid w:val="2C9C17A5"/>
    <w:rsid w:val="2E071FCE"/>
    <w:rsid w:val="2E8E12B2"/>
    <w:rsid w:val="31CA345C"/>
    <w:rsid w:val="3264220D"/>
    <w:rsid w:val="32BD2A95"/>
    <w:rsid w:val="335C745F"/>
    <w:rsid w:val="36205544"/>
    <w:rsid w:val="3963178C"/>
    <w:rsid w:val="39A2205A"/>
    <w:rsid w:val="3A7E2EDE"/>
    <w:rsid w:val="3AC07C64"/>
    <w:rsid w:val="3E3D7A84"/>
    <w:rsid w:val="3F0612B8"/>
    <w:rsid w:val="409E22EB"/>
    <w:rsid w:val="40ED3AE9"/>
    <w:rsid w:val="41CC2676"/>
    <w:rsid w:val="43FE5758"/>
    <w:rsid w:val="44725533"/>
    <w:rsid w:val="44E54F46"/>
    <w:rsid w:val="468C174D"/>
    <w:rsid w:val="46B21672"/>
    <w:rsid w:val="47D37073"/>
    <w:rsid w:val="49AE3B6B"/>
    <w:rsid w:val="4B4C2C52"/>
    <w:rsid w:val="4BFC2B91"/>
    <w:rsid w:val="4C794AD4"/>
    <w:rsid w:val="4DBF3F83"/>
    <w:rsid w:val="4E8463F0"/>
    <w:rsid w:val="4EF9323A"/>
    <w:rsid w:val="4F552460"/>
    <w:rsid w:val="4FCC6863"/>
    <w:rsid w:val="4FCF2B9B"/>
    <w:rsid w:val="5002333A"/>
    <w:rsid w:val="500A214A"/>
    <w:rsid w:val="51B310CD"/>
    <w:rsid w:val="52277016"/>
    <w:rsid w:val="522D604D"/>
    <w:rsid w:val="5297585E"/>
    <w:rsid w:val="52AD7D6F"/>
    <w:rsid w:val="54AF1A2A"/>
    <w:rsid w:val="5549519D"/>
    <w:rsid w:val="555135EF"/>
    <w:rsid w:val="5557596B"/>
    <w:rsid w:val="55DC59DB"/>
    <w:rsid w:val="55E528E1"/>
    <w:rsid w:val="57A13692"/>
    <w:rsid w:val="5871079F"/>
    <w:rsid w:val="59CA1BEA"/>
    <w:rsid w:val="5B596DFC"/>
    <w:rsid w:val="5C0C7E1E"/>
    <w:rsid w:val="5DB336CB"/>
    <w:rsid w:val="5DF03945"/>
    <w:rsid w:val="5F6A57BF"/>
    <w:rsid w:val="628117BD"/>
    <w:rsid w:val="632C1839"/>
    <w:rsid w:val="637C2815"/>
    <w:rsid w:val="683C1D64"/>
    <w:rsid w:val="68507278"/>
    <w:rsid w:val="68AC7BD8"/>
    <w:rsid w:val="6A4E50F2"/>
    <w:rsid w:val="6ABF4C4B"/>
    <w:rsid w:val="6C5D15E7"/>
    <w:rsid w:val="6DDE6844"/>
    <w:rsid w:val="72F73C18"/>
    <w:rsid w:val="734520A2"/>
    <w:rsid w:val="73972D1C"/>
    <w:rsid w:val="73BA5708"/>
    <w:rsid w:val="74B84F3C"/>
    <w:rsid w:val="76C16626"/>
    <w:rsid w:val="774A0959"/>
    <w:rsid w:val="776C2F9B"/>
    <w:rsid w:val="78C33616"/>
    <w:rsid w:val="7A353D0B"/>
    <w:rsid w:val="7A411379"/>
    <w:rsid w:val="7C1B3B8B"/>
    <w:rsid w:val="7CB75AC0"/>
    <w:rsid w:val="7D09473D"/>
    <w:rsid w:val="7D3A5E2F"/>
    <w:rsid w:val="7DCD6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50"/>
    <w:semiHidden/>
    <w:unhideWhenUsed/>
    <w:qFormat/>
    <w:uiPriority w:val="99"/>
    <w:rPr>
      <w:sz w:val="18"/>
      <w:szCs w:val="18"/>
    </w:rPr>
  </w:style>
  <w:style w:type="paragraph" w:styleId="15">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8">
    <w:name w:val="footnote text"/>
    <w:basedOn w:val="1"/>
    <w:qFormat/>
    <w:uiPriority w:val="0"/>
    <w:pPr>
      <w:snapToGrid w:val="0"/>
      <w:jc w:val="left"/>
    </w:pPr>
    <w:rPr>
      <w:sz w:val="18"/>
      <w:szCs w:val="18"/>
    </w:rPr>
  </w:style>
  <w:style w:type="paragraph" w:styleId="19">
    <w:name w:val="Normal (Web)"/>
    <w:basedOn w:val="1"/>
    <w:qFormat/>
    <w:uiPriority w:val="99"/>
    <w:pPr>
      <w:spacing w:before="100" w:beforeAutospacing="1" w:after="100" w:afterAutospacing="1"/>
      <w:jc w:val="left"/>
    </w:pPr>
    <w:rPr>
      <w:sz w:val="24"/>
      <w:lang w:bidi="ar"/>
    </w:rPr>
  </w:style>
  <w:style w:type="paragraph" w:styleId="20">
    <w:name w:val="Body Text First Indent"/>
    <w:basedOn w:val="13"/>
    <w:qFormat/>
    <w:uiPriority w:val="0"/>
    <w:pPr>
      <w:spacing w:after="0"/>
      <w:ind w:firstLine="20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2"/>
    <w:qFormat/>
    <w:uiPriority w:val="10"/>
    <w:rPr>
      <w:rFonts w:asciiTheme="majorHAnsi" w:hAnsiTheme="majorHAnsi" w:eastAsiaTheme="majorEastAsia"/>
      <w:b/>
      <w:bCs/>
      <w:kern w:val="28"/>
      <w:sz w:val="32"/>
      <w:szCs w:val="32"/>
    </w:rPr>
  </w:style>
  <w:style w:type="character" w:customStyle="1" w:styleId="35">
    <w:name w:val="副标题 字符"/>
    <w:basedOn w:val="22"/>
    <w:link w:val="17"/>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6"/>
    <w:qFormat/>
    <w:uiPriority w:val="99"/>
    <w:rPr>
      <w:rFonts w:ascii="Calibri" w:hAnsi="Calibri" w:eastAsia="宋体"/>
      <w:kern w:val="2"/>
      <w:sz w:val="18"/>
      <w:szCs w:val="18"/>
    </w:rPr>
  </w:style>
  <w:style w:type="character" w:customStyle="1" w:styleId="49">
    <w:name w:val="页脚 字符"/>
    <w:basedOn w:val="22"/>
    <w:link w:val="15"/>
    <w:qFormat/>
    <w:uiPriority w:val="99"/>
    <w:rPr>
      <w:rFonts w:ascii="Calibri" w:hAnsi="Calibri" w:eastAsia="宋体"/>
      <w:kern w:val="2"/>
      <w:sz w:val="18"/>
      <w:szCs w:val="18"/>
    </w:rPr>
  </w:style>
  <w:style w:type="character" w:customStyle="1" w:styleId="50">
    <w:name w:val="批注框文本 字符"/>
    <w:basedOn w:val="22"/>
    <w:link w:val="14"/>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0</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2025-09-05T11:10:50Z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390855185_btnclosed</vt:lpwstr>
  </property>
  <property fmtid="{D5CDD505-2E9C-101B-9397-08002B2CF9AE}" pid="4" name="ICV">
    <vt:lpwstr>49CC46E4D85C45B8AAA6C633C9E1EE60</vt:lpwstr>
  </property>
</Properties>
</file>