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both"/>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pageBreakBefore w:val="0"/>
        <w:kinsoku/>
        <w:wordWrap/>
        <w:overflowPunct/>
        <w:topLinePunct w:val="0"/>
        <w:autoSpaceDE/>
        <w:autoSpaceDN/>
        <w:bidi w:val="0"/>
        <w:adjustRightInd/>
        <w:snapToGrid/>
        <w:spacing w:before="120" w:after="120" w:line="360" w:lineRule="auto"/>
        <w:ind w:right="210" w:rightChars="100"/>
        <w:contextualSpacing/>
        <w:jc w:val="both"/>
        <w:rPr>
          <w:rFonts w:hint="eastAsia" w:asciiTheme="minorEastAsia" w:hAnsiTheme="minorEastAsia" w:eastAsiaTheme="minorEastAsia" w:cstheme="minorEastAsia"/>
          <w:b/>
          <w:bCs/>
          <w:color w:val="000000" w:themeColor="text1"/>
          <w:sz w:val="30"/>
          <w:szCs w:val="30"/>
          <w:lang w:eastAsia="zh-CN"/>
          <w14:textFill>
            <w14:solidFill>
              <w14:schemeClr w14:val="tx1"/>
            </w14:solidFill>
          </w14:textFill>
        </w:rPr>
      </w:pPr>
    </w:p>
    <w:p>
      <w:pPr>
        <w:pageBreakBefore w:val="0"/>
        <w:kinsoku/>
        <w:wordWrap/>
        <w:overflowPunct/>
        <w:topLinePunct w:val="0"/>
        <w:autoSpaceDE/>
        <w:autoSpaceDN/>
        <w:bidi w:val="0"/>
        <w:adjustRightInd/>
        <w:snapToGrid/>
        <w:spacing w:before="120" w:after="120" w:line="360" w:lineRule="auto"/>
        <w:ind w:left="210" w:leftChars="100" w:right="210" w:rightChars="100"/>
        <w:contextualSpacing/>
        <w:jc w:val="center"/>
        <w:rPr>
          <w:rFonts w:hint="eastAsia" w:asciiTheme="minorEastAsia" w:hAnsiTheme="minorEastAsia" w:eastAsiaTheme="minorEastAsia" w:cstheme="minorEastAsia"/>
          <w:b/>
          <w:bCs/>
          <w:color w:val="000000" w:themeColor="text1"/>
          <w:sz w:val="30"/>
          <w:szCs w:val="30"/>
          <w:lang w:eastAsia="zh-CN"/>
          <w14:textFill>
            <w14:solidFill>
              <w14:schemeClr w14:val="tx1"/>
            </w14:solidFill>
          </w14:textFill>
        </w:rPr>
      </w:pPr>
    </w:p>
    <w:p>
      <w:pPr>
        <w:pageBreakBefore w:val="0"/>
        <w:kinsoku/>
        <w:wordWrap/>
        <w:overflowPunct/>
        <w:topLinePunct w:val="0"/>
        <w:autoSpaceDE/>
        <w:autoSpaceDN/>
        <w:bidi w:val="0"/>
        <w:adjustRightInd/>
        <w:snapToGrid/>
        <w:spacing w:before="120" w:after="120" w:line="360" w:lineRule="auto"/>
        <w:ind w:left="210" w:leftChars="100" w:right="210" w:rightChars="100"/>
        <w:contextualSpacing/>
        <w:jc w:val="center"/>
        <w:rPr>
          <w:rFonts w:hint="eastAsia" w:asciiTheme="minorEastAsia" w:hAnsiTheme="minorEastAsia" w:eastAsiaTheme="minorEastAsia" w:cstheme="minorEastAsia"/>
          <w:b/>
          <w:bCs/>
          <w:color w:val="000000" w:themeColor="text1"/>
          <w:sz w:val="30"/>
          <w:szCs w:val="30"/>
          <w:lang w:eastAsia="zh-CN"/>
          <w14:textFill>
            <w14:solidFill>
              <w14:schemeClr w14:val="tx1"/>
            </w14:solidFill>
          </w14:textFill>
        </w:rPr>
      </w:pPr>
    </w:p>
    <w:p>
      <w:pPr>
        <w:pageBreakBefore w:val="0"/>
        <w:kinsoku/>
        <w:wordWrap/>
        <w:overflowPunct/>
        <w:topLinePunct w:val="0"/>
        <w:autoSpaceDE/>
        <w:autoSpaceDN/>
        <w:bidi w:val="0"/>
        <w:adjustRightInd/>
        <w:snapToGrid/>
        <w:spacing w:line="360" w:lineRule="auto"/>
        <w:jc w:val="center"/>
        <w:rPr>
          <w:rFonts w:hint="eastAsia"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lang w:eastAsia="zh-CN"/>
        </w:rPr>
        <w:t>塔城地区应急指挥中心平台建设</w:t>
      </w:r>
      <w:r>
        <w:rPr>
          <w:rFonts w:hint="eastAsia" w:ascii="方正小标宋简体" w:hAnsi="方正小标宋简体" w:eastAsia="方正小标宋简体" w:cs="方正小标宋简体"/>
          <w:b/>
          <w:kern w:val="0"/>
          <w:sz w:val="44"/>
          <w:szCs w:val="44"/>
        </w:rPr>
        <w:t>项目支出绩效评价报告</w:t>
      </w:r>
    </w:p>
    <w:p>
      <w:pPr>
        <w:pageBreakBefore w:val="0"/>
        <w:kinsoku/>
        <w:wordWrap/>
        <w:overflowPunct/>
        <w:topLinePunct w:val="0"/>
        <w:autoSpaceDE/>
        <w:autoSpaceDN/>
        <w:bidi w:val="0"/>
        <w:adjustRightInd/>
        <w:snapToGrid/>
        <w:spacing w:before="120" w:after="120" w:line="360" w:lineRule="auto"/>
        <w:ind w:left="210" w:leftChars="100" w:right="210" w:rightChars="100"/>
        <w:contextualSpacing/>
        <w:jc w:val="center"/>
        <w:rPr>
          <w:rFonts w:hint="eastAsia" w:asciiTheme="minorEastAsia" w:hAnsiTheme="minorEastAsia" w:eastAsiaTheme="minorEastAsia" w:cstheme="minorEastAsia"/>
          <w:color w:val="000000" w:themeColor="text1"/>
          <w:sz w:val="30"/>
          <w:szCs w:val="30"/>
          <w14:textFill>
            <w14:solidFill>
              <w14:schemeClr w14:val="tx1"/>
            </w14:solidFill>
          </w14:textFill>
        </w:rPr>
      </w:pPr>
    </w:p>
    <w:p>
      <w:pPr>
        <w:pageBreakBefore w:val="0"/>
        <w:kinsoku/>
        <w:wordWrap/>
        <w:overflowPunct/>
        <w:topLinePunct w:val="0"/>
        <w:autoSpaceDE/>
        <w:autoSpaceDN/>
        <w:bidi w:val="0"/>
        <w:adjustRightInd/>
        <w:snapToGrid/>
        <w:spacing w:before="120" w:after="120" w:line="360" w:lineRule="auto"/>
        <w:ind w:left="210" w:leftChars="100" w:right="210" w:rightChars="100"/>
        <w:contextualSpacing/>
        <w:jc w:val="center"/>
        <w:rPr>
          <w:rFonts w:hint="eastAsia" w:asciiTheme="minorEastAsia" w:hAnsiTheme="minorEastAsia" w:eastAsiaTheme="minorEastAsia" w:cstheme="minorEastAsia"/>
          <w:color w:val="000000" w:themeColor="text1"/>
          <w:sz w:val="30"/>
          <w:szCs w:val="30"/>
          <w14:textFill>
            <w14:solidFill>
              <w14:schemeClr w14:val="tx1"/>
            </w14:solidFill>
          </w14:textFill>
        </w:rPr>
      </w:pPr>
    </w:p>
    <w:p>
      <w:pPr>
        <w:pageBreakBefore w:val="0"/>
        <w:kinsoku/>
        <w:wordWrap/>
        <w:overflowPunct/>
        <w:topLinePunct w:val="0"/>
        <w:autoSpaceDE/>
        <w:autoSpaceDN/>
        <w:bidi w:val="0"/>
        <w:adjustRightInd/>
        <w:snapToGrid/>
        <w:spacing w:before="120" w:after="120" w:line="360" w:lineRule="auto"/>
        <w:ind w:left="210" w:leftChars="100" w:right="210" w:rightChars="100"/>
        <w:contextualSpacing/>
        <w:jc w:val="center"/>
        <w:rPr>
          <w:rFonts w:hint="eastAsia" w:ascii="仿宋_GB2312" w:hAnsi="仿宋_GB2312" w:eastAsia="仿宋_GB2312" w:cs="仿宋_GB2312"/>
          <w:color w:val="000000" w:themeColor="text1"/>
          <w:sz w:val="36"/>
          <w:szCs w:val="36"/>
          <w14:textFill>
            <w14:solidFill>
              <w14:schemeClr w14:val="tx1"/>
            </w14:solidFill>
          </w14:textFill>
        </w:rPr>
      </w:pPr>
      <w:r>
        <w:rPr>
          <w:rFonts w:hint="eastAsia" w:ascii="仿宋_GB2312" w:hAnsi="仿宋_GB2312" w:eastAsia="仿宋_GB2312" w:cs="仿宋_GB2312"/>
          <w:color w:val="000000" w:themeColor="text1"/>
          <w:sz w:val="36"/>
          <w:szCs w:val="36"/>
          <w14:textFill>
            <w14:solidFill>
              <w14:schemeClr w14:val="tx1"/>
            </w14:solidFill>
          </w14:textFill>
        </w:rPr>
        <w:t>（20</w:t>
      </w:r>
      <w:r>
        <w:rPr>
          <w:rFonts w:hint="eastAsia" w:ascii="仿宋_GB2312" w:hAnsi="仿宋_GB2312" w:eastAsia="仿宋_GB2312" w:cs="仿宋_GB2312"/>
          <w:color w:val="000000" w:themeColor="text1"/>
          <w:sz w:val="36"/>
          <w:szCs w:val="36"/>
          <w:lang w:val="en-US" w:eastAsia="zh-CN"/>
          <w14:textFill>
            <w14:solidFill>
              <w14:schemeClr w14:val="tx1"/>
            </w14:solidFill>
          </w14:textFill>
        </w:rPr>
        <w:t>20</w:t>
      </w:r>
      <w:r>
        <w:rPr>
          <w:rFonts w:hint="eastAsia" w:ascii="仿宋_GB2312" w:hAnsi="仿宋_GB2312" w:eastAsia="仿宋_GB2312" w:cs="仿宋_GB2312"/>
          <w:color w:val="000000" w:themeColor="text1"/>
          <w:sz w:val="36"/>
          <w:szCs w:val="36"/>
          <w14:textFill>
            <w14:solidFill>
              <w14:schemeClr w14:val="tx1"/>
            </w14:solidFill>
          </w14:textFill>
        </w:rPr>
        <w:t>年度）</w:t>
      </w:r>
    </w:p>
    <w:p>
      <w:pPr>
        <w:pageBreakBefore w:val="0"/>
        <w:kinsoku/>
        <w:wordWrap/>
        <w:overflowPunct/>
        <w:topLinePunct w:val="0"/>
        <w:autoSpaceDE/>
        <w:autoSpaceDN/>
        <w:bidi w:val="0"/>
        <w:adjustRightInd/>
        <w:snapToGrid/>
        <w:spacing w:before="120" w:after="120" w:line="360" w:lineRule="auto"/>
        <w:ind w:left="210" w:leftChars="100" w:right="210" w:rightChars="100"/>
        <w:contextualSpacing/>
        <w:jc w:val="center"/>
        <w:rPr>
          <w:rFonts w:hint="eastAsia" w:asciiTheme="minorEastAsia" w:hAnsiTheme="minorEastAsia" w:eastAsiaTheme="minorEastAsia" w:cstheme="minorEastAsia"/>
          <w:color w:val="000000" w:themeColor="text1"/>
          <w:sz w:val="30"/>
          <w:szCs w:val="30"/>
          <w14:textFill>
            <w14:solidFill>
              <w14:schemeClr w14:val="tx1"/>
            </w14:solidFill>
          </w14:textFill>
        </w:rPr>
      </w:pPr>
    </w:p>
    <w:p>
      <w:pPr>
        <w:pStyle w:val="2"/>
        <w:jc w:val="both"/>
        <w:rPr>
          <w:rFonts w:hint="eastAsia"/>
        </w:rPr>
      </w:pPr>
    </w:p>
    <w:p>
      <w:pPr>
        <w:pStyle w:val="2"/>
        <w:jc w:val="both"/>
        <w:rPr>
          <w:rFonts w:hint="eastAsia"/>
        </w:rPr>
      </w:pPr>
    </w:p>
    <w:p>
      <w:pPr>
        <w:rPr>
          <w:rFonts w:hint="eastAsia"/>
        </w:rPr>
      </w:pPr>
    </w:p>
    <w:p>
      <w:pPr>
        <w:pStyle w:val="2"/>
        <w:rPr>
          <w:rFonts w:hint="eastAsia"/>
        </w:rPr>
      </w:pPr>
    </w:p>
    <w:p>
      <w:pPr>
        <w:pageBreakBefore w:val="0"/>
        <w:kinsoku/>
        <w:wordWrap/>
        <w:overflowPunct/>
        <w:topLinePunct w:val="0"/>
        <w:autoSpaceDE/>
        <w:autoSpaceDN/>
        <w:bidi w:val="0"/>
        <w:adjustRightInd/>
        <w:snapToGrid/>
        <w:spacing w:line="360" w:lineRule="auto"/>
        <w:ind w:firstLine="637" w:firstLineChars="181"/>
        <w:rPr>
          <w:rStyle w:val="23"/>
          <w:rFonts w:hint="eastAsia" w:ascii="仿宋_GB2312" w:hAnsi="楷体" w:eastAsia="仿宋_GB2312" w:cstheme="minorBidi"/>
          <w:b w:val="0"/>
          <w:spacing w:val="-4"/>
          <w:sz w:val="36"/>
          <w:szCs w:val="36"/>
          <w:lang w:val="en-US" w:eastAsia="zh-CN"/>
        </w:rPr>
      </w:pPr>
      <w:r>
        <w:rPr>
          <w:rStyle w:val="23"/>
          <w:rFonts w:hint="eastAsia" w:ascii="仿宋_GB2312" w:hAnsi="楷体" w:eastAsia="仿宋_GB2312" w:cstheme="minorBidi"/>
          <w:b w:val="0"/>
          <w:spacing w:val="-4"/>
          <w:sz w:val="36"/>
          <w:szCs w:val="36"/>
          <w:lang w:val="en-US" w:eastAsia="zh-CN"/>
        </w:rPr>
        <w:t>项目名称：塔城地区应急指挥中心平台建设项目</w:t>
      </w:r>
    </w:p>
    <w:p>
      <w:pPr>
        <w:pageBreakBefore w:val="0"/>
        <w:kinsoku/>
        <w:wordWrap/>
        <w:overflowPunct/>
        <w:topLinePunct w:val="0"/>
        <w:autoSpaceDE/>
        <w:autoSpaceDN/>
        <w:bidi w:val="0"/>
        <w:adjustRightInd/>
        <w:snapToGrid/>
        <w:spacing w:line="360" w:lineRule="auto"/>
        <w:ind w:firstLine="637" w:firstLineChars="181"/>
        <w:rPr>
          <w:rStyle w:val="23"/>
          <w:rFonts w:hint="eastAsia" w:ascii="仿宋_GB2312" w:hAnsi="楷体" w:eastAsia="仿宋_GB2312" w:cstheme="minorBidi"/>
          <w:b w:val="0"/>
          <w:spacing w:val="-4"/>
          <w:sz w:val="36"/>
          <w:szCs w:val="36"/>
          <w:lang w:val="en-US" w:eastAsia="zh-CN"/>
        </w:rPr>
      </w:pPr>
      <w:r>
        <w:rPr>
          <w:rStyle w:val="23"/>
          <w:rFonts w:hint="eastAsia" w:ascii="仿宋_GB2312" w:hAnsi="楷体" w:eastAsia="仿宋_GB2312" w:cstheme="minorBidi"/>
          <w:b w:val="0"/>
          <w:spacing w:val="-4"/>
          <w:sz w:val="36"/>
          <w:szCs w:val="36"/>
          <w:lang w:val="en-US" w:eastAsia="zh-CN"/>
        </w:rPr>
        <w:t>实施单位（公章）：塔城地区应急管理局</w:t>
      </w:r>
    </w:p>
    <w:p>
      <w:pPr>
        <w:pageBreakBefore w:val="0"/>
        <w:kinsoku/>
        <w:wordWrap/>
        <w:overflowPunct/>
        <w:topLinePunct w:val="0"/>
        <w:autoSpaceDE/>
        <w:autoSpaceDN/>
        <w:bidi w:val="0"/>
        <w:adjustRightInd/>
        <w:snapToGrid/>
        <w:spacing w:line="360" w:lineRule="auto"/>
        <w:ind w:firstLine="637" w:firstLineChars="181"/>
        <w:rPr>
          <w:rStyle w:val="23"/>
          <w:rFonts w:hint="eastAsia" w:ascii="仿宋_GB2312" w:hAnsi="楷体" w:eastAsia="仿宋_GB2312" w:cstheme="minorBidi"/>
          <w:b w:val="0"/>
          <w:spacing w:val="-4"/>
          <w:sz w:val="36"/>
          <w:szCs w:val="36"/>
          <w:lang w:val="en-US" w:eastAsia="zh-CN"/>
        </w:rPr>
      </w:pPr>
      <w:r>
        <w:rPr>
          <w:rStyle w:val="23"/>
          <w:rFonts w:hint="eastAsia" w:ascii="仿宋_GB2312" w:hAnsi="楷体" w:eastAsia="仿宋_GB2312" w:cstheme="minorBidi"/>
          <w:b w:val="0"/>
          <w:spacing w:val="-4"/>
          <w:sz w:val="36"/>
          <w:szCs w:val="36"/>
          <w:lang w:val="en-US" w:eastAsia="zh-CN"/>
        </w:rPr>
        <w:t>主管部门（公章）：塔城地区应急管理局</w:t>
      </w:r>
    </w:p>
    <w:p>
      <w:pPr>
        <w:pageBreakBefore w:val="0"/>
        <w:kinsoku/>
        <w:wordWrap/>
        <w:overflowPunct/>
        <w:topLinePunct w:val="0"/>
        <w:autoSpaceDE/>
        <w:autoSpaceDN/>
        <w:bidi w:val="0"/>
        <w:adjustRightInd/>
        <w:snapToGrid/>
        <w:spacing w:line="360" w:lineRule="auto"/>
        <w:ind w:firstLine="637" w:firstLineChars="181"/>
        <w:rPr>
          <w:rStyle w:val="23"/>
          <w:rFonts w:hint="eastAsia" w:ascii="仿宋_GB2312" w:hAnsi="楷体" w:eastAsia="仿宋_GB2312" w:cstheme="minorBidi"/>
          <w:b w:val="0"/>
          <w:spacing w:val="-4"/>
          <w:sz w:val="36"/>
          <w:szCs w:val="36"/>
          <w:lang w:val="en-US" w:eastAsia="zh-CN"/>
        </w:rPr>
      </w:pPr>
      <w:r>
        <w:rPr>
          <w:rStyle w:val="23"/>
          <w:rFonts w:hint="eastAsia" w:ascii="仿宋_GB2312" w:hAnsi="楷体" w:eastAsia="仿宋_GB2312" w:cstheme="minorBidi"/>
          <w:b w:val="0"/>
          <w:spacing w:val="-4"/>
          <w:sz w:val="36"/>
          <w:szCs w:val="36"/>
          <w:lang w:val="en-US" w:eastAsia="zh-CN"/>
        </w:rPr>
        <w:t>项目负责人（签章）：叶尔那克</w:t>
      </w:r>
    </w:p>
    <w:p>
      <w:pPr>
        <w:pageBreakBefore w:val="0"/>
        <w:kinsoku/>
        <w:wordWrap/>
        <w:overflowPunct/>
        <w:topLinePunct w:val="0"/>
        <w:autoSpaceDE/>
        <w:autoSpaceDN/>
        <w:bidi w:val="0"/>
        <w:adjustRightInd/>
        <w:snapToGrid/>
        <w:spacing w:line="360" w:lineRule="auto"/>
        <w:ind w:firstLine="637" w:firstLineChars="181"/>
        <w:rPr>
          <w:rStyle w:val="23"/>
          <w:rFonts w:hint="eastAsia" w:ascii="仿宋_GB2312" w:hAnsi="楷体" w:eastAsia="仿宋_GB2312" w:cstheme="minorBidi"/>
          <w:b w:val="0"/>
          <w:spacing w:val="-4"/>
          <w:sz w:val="36"/>
          <w:szCs w:val="36"/>
          <w:lang w:val="en-US" w:eastAsia="zh-CN"/>
        </w:rPr>
      </w:pPr>
      <w:r>
        <w:rPr>
          <w:rStyle w:val="23"/>
          <w:rFonts w:hint="eastAsia" w:ascii="仿宋_GB2312" w:hAnsi="楷体" w:eastAsia="仿宋_GB2312" w:cstheme="minorBidi"/>
          <w:b w:val="0"/>
          <w:spacing w:val="-4"/>
          <w:sz w:val="36"/>
          <w:szCs w:val="36"/>
          <w:lang w:val="en-US" w:eastAsia="zh-CN"/>
        </w:rPr>
        <w:t>填报时间：2021年4月6日</w:t>
      </w:r>
    </w:p>
    <w:p>
      <w:pPr>
        <w:spacing w:line="60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一、基本情况</w:t>
      </w:r>
    </w:p>
    <w:p>
      <w:pPr>
        <w:spacing w:line="600" w:lineRule="exact"/>
        <w:ind w:firstLine="641"/>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spacing w:line="60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（1）项目实施的政策背景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Fonts w:hint="eastAsia" w:ascii="仿宋_GB2312" w:hAnsi="仿宋_GB2312" w:eastAsia="仿宋_GB2312" w:cs="仿宋_GB2312"/>
          <w:sz w:val="32"/>
          <w:szCs w:val="32"/>
        </w:rPr>
      </w:pPr>
      <w:r>
        <w:rPr>
          <w:rStyle w:val="23"/>
          <w:rFonts w:hint="eastAsia" w:ascii="仿宋_GB2312" w:hAnsi="仿宋_GB2312" w:eastAsia="仿宋_GB2312" w:cs="仿宋_GB2312"/>
          <w:b w:val="0"/>
          <w:spacing w:val="-4"/>
          <w:sz w:val="32"/>
          <w:szCs w:val="32"/>
          <w:lang w:val="en-US" w:eastAsia="zh-CN"/>
        </w:rPr>
        <w:t>新疆维吾尔自治区应急管理办公室关于印发《新疆维吾尔自治区地（州、市）、县（市、区）应急平台指导建设方案》的通知（塔城地区行署办公室关于印发《塔城地区深入推进安全生产工作方案》的通知）文件。</w:t>
      </w:r>
      <w:r>
        <w:rPr>
          <w:rFonts w:hint="eastAsia" w:ascii="仿宋_GB2312" w:hAnsi="仿宋_GB2312" w:eastAsia="仿宋_GB2312" w:cs="仿宋_GB2312"/>
          <w:sz w:val="32"/>
          <w:szCs w:val="32"/>
        </w:rPr>
        <w:t xml:space="preserve"> </w:t>
      </w:r>
    </w:p>
    <w:p>
      <w:pPr>
        <w:spacing w:line="60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项目实施的历史概况</w:t>
      </w:r>
    </w:p>
    <w:p>
      <w:pPr>
        <w:spacing w:line="600" w:lineRule="exact"/>
        <w:ind w:firstLine="641"/>
        <w:rPr>
          <w:rFonts w:hint="eastAsia" w:ascii="仿宋_GB2312" w:hAnsi="仿宋_GB2312" w:eastAsia="仿宋_GB2312" w:cs="仿宋_GB2312"/>
          <w:b w:val="0"/>
          <w:bCs/>
          <w:sz w:val="32"/>
          <w:szCs w:val="32"/>
          <w:lang w:val="en-US" w:eastAsia="zh-CN"/>
        </w:rPr>
      </w:pPr>
      <w:r>
        <w:rPr>
          <w:rStyle w:val="23"/>
          <w:rFonts w:hint="eastAsia" w:ascii="仿宋_GB2312" w:hAnsi="仿宋_GB2312" w:eastAsia="仿宋_GB2312" w:cs="仿宋_GB2312"/>
          <w:b w:val="0"/>
          <w:bCs/>
          <w:spacing w:val="-4"/>
          <w:sz w:val="32"/>
          <w:szCs w:val="32"/>
          <w:lang w:val="en-US" w:eastAsia="zh-CN"/>
        </w:rPr>
        <w:t>为认真贯彻国家、自治区、地区安全生产电视电话会议精神，贯彻落实地委提出的“社会稳定不出事、安全生产不出事、其他工作不添乱”的工作要求，全力做好全地区安全生产、防灾减灾救灾和应急救援各项工作，最大程度地减少人员伤亡、财产损失，健全完善地区安全风险管控机制，及时发现并彻底消除地区安全风险隐患，有效遏制重特大事故、杜绝较大事故、减少一般事故的发生，维护人民群众的生命安全和社会稳定，提升安全生产应急管理能力和有效应对各类安全生产事故救援能力提供安全科技支撑。2020年塔城地区应急管理局聚焦总目标，突出抓好安全生产工作，做好防灾减</w:t>
      </w:r>
      <w:r>
        <w:rPr>
          <w:rFonts w:hint="eastAsia" w:ascii="仿宋_GB2312" w:hAnsi="仿宋_GB2312" w:eastAsia="仿宋_GB2312" w:cs="仿宋_GB2312"/>
          <w:b w:val="0"/>
          <w:bCs/>
          <w:sz w:val="32"/>
          <w:szCs w:val="32"/>
          <w:lang w:val="en-US" w:eastAsia="zh-CN"/>
        </w:rPr>
        <w:t>灾救灾准备工作，扎实做好突发事件应急管理工作。</w:t>
      </w:r>
    </w:p>
    <w:p>
      <w:pPr>
        <w:spacing w:line="600" w:lineRule="exact"/>
        <w:ind w:firstLine="641"/>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lang w:val="en-US" w:eastAsia="zh-CN"/>
        </w:rPr>
        <w:t>2.项目主要内容及实施情况</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lang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主要内容：按照自治区、地区安全生产工作部署，紧紧围绕社会稳定和长治久安总目标，始终坚持“安全第一、预防为主、综合治理”的方针，聚焦主责主业，加强监管、落实责任、强化宣传，切实做到社会稳定不出事，安全生产不添乱，区域安全形势持续稳定，开展安全生产教育、实施安全生产大检查的行政执法培训等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项目实施情况：项目目前已经完成实际设立的目标，项目在实施过程中严格按照目标设立的各阶段任务进行开展工作，在前期立项过程中严格把好质量关，建立安全防护机制，保证项目实施各阶段安全顺利进行。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本项目总投资542.85万元，其中：财政本级资金542.85万元。项目实际支出509.18万元，支出率为94%。</w:t>
      </w:r>
    </w:p>
    <w:p>
      <w:pPr>
        <w:spacing w:line="600" w:lineRule="exact"/>
        <w:ind w:firstLine="641"/>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3、资金投入和使用情况</w:t>
      </w:r>
    </w:p>
    <w:p>
      <w:pPr>
        <w:spacing w:line="600" w:lineRule="exact"/>
        <w:ind w:firstLine="64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（1）资金安排</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总投资542.85万元，按照《塔城地区应急管理指挥中心建设资金管理办法》及单位财务制度等相关规定，资金支出符合塔城地区应急管理指挥中心建设资金专项资金费用范围，做到了专款专用。在项目资金拨付和使用过程中，为确保项目资金的安全性，提高项目资金使用效率，严格遵循塔城地区应急管理指挥中心建设资金的拨付程序，认真审核项目实施各阶段的相关材料和手续，根据项目实施进展情况拨付资金。</w:t>
      </w:r>
    </w:p>
    <w:p>
      <w:pPr>
        <w:spacing w:line="600" w:lineRule="exact"/>
        <w:ind w:firstLine="641"/>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（2）预算资金来源及使用情况</w:t>
      </w:r>
      <w:bookmarkStart w:id="0" w:name="page10"/>
      <w:bookmarkEnd w:id="0"/>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项目预算资金来源于《关于同意建设地区应急指挥中心的通知》文件中批复的资金，项目资金到位509.18万元，用于支付项目实施进程中的各项费用。</w:t>
      </w:r>
    </w:p>
    <w:p>
      <w:p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（二）项目绩效目标</w:t>
      </w:r>
    </w:p>
    <w:p>
      <w:p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1、总体目标</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2020年度绩效总目标如下：加大检查力度，预防和减少事故的发生，确保为企业增效、增收提供安全保障。聚焦总目标，突出抓好安全生产工作。时刻做好防灾减灾救灾的准备工作。扎实做好突发事件应急管理工作。推进安全标准化达标创建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24" w:firstLineChars="200"/>
        <w:textAlignment w:val="auto"/>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阶段性目标：安全生产工作力度不断加大，组织开展生产经营单位执法检查企业数140家，高危技能培训人数达到2480人，高危培训次数达到40次。</w:t>
      </w:r>
    </w:p>
    <w:p>
      <w:pPr>
        <w:numPr>
          <w:ilvl w:val="0"/>
          <w:numId w:val="1"/>
        </w:num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阶段性目标</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安全生产工作力度不断加大，组织开展生产经营单位执法检查企业数140家，高危技能培训人数达到2500人，高危培训次数达到40次。</w:t>
      </w:r>
    </w:p>
    <w:p>
      <w:p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二、绩效评价工作开展情况</w:t>
      </w:r>
    </w:p>
    <w:p>
      <w:p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（一）绩效评价目的、对象和范围</w:t>
      </w:r>
    </w:p>
    <w:p>
      <w:pPr>
        <w:pStyle w:val="2"/>
        <w:widowControl w:val="0"/>
        <w:spacing w:line="60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1、绩效评价的目的</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（1）项目在实施前向项目负责人提供财政支出绩效方面的资金管理信息，促进项目支出严格按照资金管理规定进行。</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（2）项目绩效管理财政支出运行提供及时、有效的信息。</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综合来看，通过开展有效的财政支出绩效评价管理，达到改进预算管理、控制节约成本，提高预算资金使用效益的目的。</w:t>
      </w:r>
    </w:p>
    <w:p>
      <w:pPr>
        <w:pStyle w:val="2"/>
        <w:widowControl w:val="0"/>
        <w:spacing w:line="600" w:lineRule="exact"/>
        <w:ind w:firstLine="641"/>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2、绩效评价的对象</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评价对象为塔城地区应急指挥中心平台建设项目。</w:t>
      </w:r>
    </w:p>
    <w:p>
      <w:pPr>
        <w:pStyle w:val="2"/>
        <w:widowControl w:val="0"/>
        <w:spacing w:line="600" w:lineRule="exact"/>
        <w:ind w:firstLine="643" w:firstLineChars="200"/>
        <w:jc w:val="both"/>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3、绩效评价的范围</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评价范围为应急指挥中心平台建设项目的项目决策、项目过程、项目产出、项目效益等方面。</w:t>
      </w:r>
    </w:p>
    <w:p>
      <w:pPr>
        <w:spacing w:line="60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（二）绩效评价原则、评价指标体系（详情见表1）、评价方法、评价标准。</w:t>
      </w:r>
    </w:p>
    <w:p>
      <w:pPr>
        <w:spacing w:line="600" w:lineRule="exact"/>
        <w:ind w:firstLine="641"/>
        <w:rPr>
          <w:rStyle w:val="23"/>
          <w:rFonts w:hint="eastAsia" w:ascii="仿宋_GB2312" w:hAnsi="仿宋_GB2312" w:eastAsia="仿宋_GB2312" w:cs="仿宋_GB2312"/>
          <w:b/>
          <w:bCs w:val="0"/>
          <w:spacing w:val="-4"/>
          <w:sz w:val="32"/>
          <w:szCs w:val="32"/>
          <w:lang w:val="en-US" w:eastAsia="zh-CN"/>
        </w:rPr>
      </w:pPr>
      <w:r>
        <w:rPr>
          <w:rStyle w:val="23"/>
          <w:rFonts w:hint="eastAsia" w:ascii="仿宋_GB2312" w:hAnsi="仿宋_GB2312" w:eastAsia="仿宋_GB2312" w:cs="仿宋_GB2312"/>
          <w:b/>
          <w:bCs w:val="0"/>
          <w:spacing w:val="-4"/>
          <w:sz w:val="32"/>
          <w:szCs w:val="32"/>
          <w:lang w:val="en-US" w:eastAsia="zh-CN"/>
        </w:rPr>
        <w:t>1、绩效评价原则</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本次项目绩效评价遵循以下基本原则：</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（1）科学公正。绩效评价应当运用科学合理的方法，按照规范的程序，对项目绩效进行客观、公正的反映。</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（2）统筹兼顾。单位自评、部门评价和财政评价应职责明确，各有侧重，相互衔接。单位自评应由项目单位自主实施，即“谁支出、谁自评”。部门评价和财政评价应在单位自评的基础上开展。</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（3）激励约束。绩效评价结果应与预算安排、政策调整、改进管理实质性挂钩，体现奖优罚劣和激励相容导向，有效要安排、低效要压减、无效要问责。</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（4）公开透明。绩效评价结果应依法依规公开，并自觉接受社会监督。</w:t>
      </w:r>
    </w:p>
    <w:p>
      <w:pPr>
        <w:spacing w:line="600" w:lineRule="exact"/>
        <w:ind w:firstLine="641"/>
        <w:rPr>
          <w:rStyle w:val="23"/>
          <w:rFonts w:hint="eastAsia" w:ascii="仿宋_GB2312" w:hAnsi="仿宋_GB2312" w:eastAsia="仿宋_GB2312" w:cs="仿宋_GB2312"/>
          <w:b/>
          <w:bCs w:val="0"/>
          <w:spacing w:val="-4"/>
          <w:sz w:val="32"/>
          <w:szCs w:val="32"/>
          <w:lang w:val="en-US" w:eastAsia="zh-CN"/>
        </w:rPr>
      </w:pPr>
      <w:r>
        <w:rPr>
          <w:rStyle w:val="23"/>
          <w:rFonts w:hint="eastAsia" w:ascii="仿宋_GB2312" w:hAnsi="仿宋_GB2312" w:eastAsia="仿宋_GB2312" w:cs="仿宋_GB2312"/>
          <w:b/>
          <w:bCs w:val="0"/>
          <w:spacing w:val="-4"/>
          <w:sz w:val="32"/>
          <w:szCs w:val="32"/>
          <w:lang w:val="en-US" w:eastAsia="zh-CN"/>
        </w:rPr>
        <w:t>2、评价指标体系</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绩效评价框架是开展绩效评价的核心。绩效评价框架包括评价准则、关键评价问题、评价指标、数据来源、数据收集方法等。指标体系建立过程如下：</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（1）确定评价指标</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采用层次分析法，建立评价指标体系。绩效评价将指标分为项目决策、项目过程、项目产出指标、项目效益指标四个维度，最终形成一个由多个相互联系的指标组成的多层次指标体系。</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（2）确定权重</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确定各个指标相对于项目总体绩效的权重分值。在绩效评价指标体系中，项目决策权重为20，项目过程权重占20，项目产出权重值占40，项目效益权重值占20。</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（3）确定指标标准值</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指标标准值是绩效评价指标的尺度，既要反映同类项目的先进水平，又要符合项目的实际绩效水平。具体采用计划标准等确定此次绩效评价指标标准值。</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具体评价指标体系详情见附件1</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bCs w:val="0"/>
          <w:spacing w:val="-4"/>
          <w:sz w:val="32"/>
          <w:szCs w:val="32"/>
          <w:lang w:val="en-US" w:eastAsia="zh-CN"/>
        </w:rPr>
        <w:t>3、绩效评价方法</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绩效评价从项目决策、项目过程、项目产出、项目效益四个维度进行评价。评价对象为项目目标实施情况，评价核心为资金的支出完成情况和项目的产出效益。</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本次评价指标中，既有定性指标又有定量指标，各类指标因考核内容不同和客观标准不同存在较大差异，因此核定具体指标时采用了不同方法，具体评价方法如下：</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（1）比较法</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通过对绩效目标与实施效果、历史与当期情况，综合分析绩效目标实现程度。对项目最终验收情况与年度绩效目标对比、预算资金执行情况等相关因素进行比较。</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（2）因素分析法</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pPr>
        <w:spacing w:line="600" w:lineRule="exact"/>
        <w:ind w:firstLine="641"/>
        <w:rPr>
          <w:rStyle w:val="23"/>
          <w:rFonts w:hint="eastAsia" w:ascii="仿宋_GB2312" w:hAnsi="仿宋_GB2312" w:eastAsia="仿宋_GB2312" w:cs="仿宋_GB2312"/>
          <w:b/>
          <w:bCs w:val="0"/>
          <w:spacing w:val="-4"/>
          <w:sz w:val="32"/>
          <w:szCs w:val="32"/>
          <w:lang w:val="en-US" w:eastAsia="zh-CN"/>
        </w:rPr>
      </w:pPr>
      <w:r>
        <w:rPr>
          <w:rStyle w:val="23"/>
          <w:rFonts w:hint="eastAsia" w:ascii="仿宋_GB2312" w:hAnsi="仿宋_GB2312" w:eastAsia="仿宋_GB2312" w:cs="仿宋_GB2312"/>
          <w:b/>
          <w:bCs w:val="0"/>
          <w:spacing w:val="-4"/>
          <w:sz w:val="32"/>
          <w:szCs w:val="32"/>
          <w:lang w:val="en-US" w:eastAsia="zh-CN"/>
        </w:rPr>
        <w:t>4、绩效评价标准</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绩效评价标准通常包括计划标准、行业标准、历史标准等，用于对绩效指标完成情况进行比较。本次评价主要采用了计划标准。</w:t>
      </w:r>
    </w:p>
    <w:p>
      <w:pPr>
        <w:pStyle w:val="2"/>
        <w:numPr>
          <w:ilvl w:val="0"/>
          <w:numId w:val="2"/>
        </w:numPr>
        <w:jc w:val="both"/>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绩效评价工作过程</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numPr>
          <w:ilvl w:val="0"/>
          <w:numId w:val="3"/>
        </w:numPr>
        <w:spacing w:line="600" w:lineRule="exact"/>
        <w:ind w:firstLine="641"/>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综合评价情况及评价结论（附相关评分表）</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对塔城地区政协工委工作经费项目进行客观评价，最终评分结果：总得分为100分，属于“优”。其中，项目决策类指标权重为20分，得分为 20分，得分率为 100%。项目过程类指标权重为20分，得分为20 分，得分率为 100%。项目产出类指标权重为40分，得分为40分，得分率为 100%。项目效益类指标权重为20分，得分为100分，得分率为100%。</w:t>
      </w:r>
    </w:p>
    <w:p>
      <w:pPr>
        <w:pStyle w:val="2"/>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表</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综合评分表</w:t>
      </w:r>
    </w:p>
    <w:tbl>
      <w:tblPr>
        <w:tblStyle w:val="21"/>
        <w:tblpPr w:leftFromText="180" w:rightFromText="180" w:vertAnchor="text" w:horzAnchor="page" w:tblpX="2118" w:tblpY="235"/>
        <w:tblOverlap w:val="never"/>
        <w:tblW w:w="8473" w:type="dxa"/>
        <w:tblInd w:w="0" w:type="dxa"/>
        <w:tblLayout w:type="fixed"/>
        <w:tblCellMar>
          <w:top w:w="0" w:type="dxa"/>
          <w:left w:w="108" w:type="dxa"/>
          <w:bottom w:w="0" w:type="dxa"/>
          <w:right w:w="108" w:type="dxa"/>
        </w:tblCellMar>
      </w:tblPr>
      <w:tblGrid>
        <w:gridCol w:w="2660"/>
        <w:gridCol w:w="2127"/>
        <w:gridCol w:w="1986"/>
        <w:gridCol w:w="1700"/>
      </w:tblGrid>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shd w:val="clear" w:color="000000" w:fill="A6A6A6"/>
            <w:vAlign w:val="center"/>
          </w:tcPr>
          <w:p>
            <w:pPr>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一级指标</w:t>
            </w:r>
          </w:p>
        </w:tc>
        <w:tc>
          <w:tcPr>
            <w:tcW w:w="2127" w:type="dxa"/>
            <w:tcBorders>
              <w:top w:val="single" w:color="auto" w:sz="8" w:space="0"/>
              <w:left w:val="nil"/>
              <w:bottom w:val="single" w:color="auto" w:sz="8" w:space="0"/>
              <w:right w:val="single" w:color="auto" w:sz="8" w:space="0"/>
            </w:tcBorders>
            <w:shd w:val="clear" w:color="000000" w:fill="A6A6A6"/>
            <w:vAlign w:val="center"/>
          </w:tcPr>
          <w:p>
            <w:pPr>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6" w:type="dxa"/>
            <w:tcBorders>
              <w:top w:val="single" w:color="auto" w:sz="8" w:space="0"/>
              <w:left w:val="nil"/>
              <w:bottom w:val="single" w:color="auto" w:sz="8" w:space="0"/>
              <w:right w:val="single" w:color="auto" w:sz="8" w:space="0"/>
            </w:tcBorders>
            <w:shd w:val="clear" w:color="000000" w:fill="A6A6A6"/>
            <w:vAlign w:val="center"/>
          </w:tcPr>
          <w:p>
            <w:pPr>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700" w:type="dxa"/>
            <w:tcBorders>
              <w:top w:val="single" w:color="auto" w:sz="8" w:space="0"/>
              <w:left w:val="nil"/>
              <w:bottom w:val="single" w:color="auto" w:sz="8" w:space="0"/>
              <w:right w:val="single" w:color="auto" w:sz="8" w:space="0"/>
            </w:tcBorders>
            <w:shd w:val="clear" w:color="000000" w:fill="A6A6A6"/>
            <w:vAlign w:val="center"/>
          </w:tcPr>
          <w:p>
            <w:pPr>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10" w:hRule="exact"/>
          <w:tblHeader/>
        </w:trPr>
        <w:tc>
          <w:tcPr>
            <w:tcW w:w="2660" w:type="dxa"/>
            <w:tcBorders>
              <w:top w:val="single" w:color="auto" w:sz="8" w:space="0"/>
              <w:left w:val="single" w:color="auto" w:sz="8" w:space="0"/>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决策</w:t>
            </w:r>
          </w:p>
        </w:tc>
        <w:tc>
          <w:tcPr>
            <w:tcW w:w="2127" w:type="dxa"/>
            <w:tcBorders>
              <w:top w:val="single" w:color="auto" w:sz="8" w:space="0"/>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single" w:color="auto" w:sz="8" w:space="0"/>
              <w:left w:val="nil"/>
              <w:bottom w:val="single" w:color="auto" w:sz="8" w:space="0"/>
              <w:right w:val="single" w:color="auto" w:sz="8" w:space="0"/>
            </w:tcBorders>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single" w:color="auto" w:sz="8" w:space="0"/>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过程</w:t>
            </w:r>
          </w:p>
        </w:tc>
        <w:tc>
          <w:tcPr>
            <w:tcW w:w="2127"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nil"/>
              <w:left w:val="nil"/>
              <w:bottom w:val="single" w:color="auto" w:sz="8" w:space="0"/>
              <w:right w:val="single" w:color="auto" w:sz="8" w:space="0"/>
            </w:tcBorders>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w:t>
            </w:r>
          </w:p>
        </w:tc>
        <w:tc>
          <w:tcPr>
            <w:tcW w:w="2127"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40</w:t>
            </w:r>
          </w:p>
        </w:tc>
        <w:tc>
          <w:tcPr>
            <w:tcW w:w="1986" w:type="dxa"/>
            <w:tcBorders>
              <w:top w:val="nil"/>
              <w:left w:val="nil"/>
              <w:bottom w:val="single" w:color="auto" w:sz="8" w:space="0"/>
              <w:right w:val="single" w:color="auto" w:sz="8" w:space="0"/>
            </w:tcBorders>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效益</w:t>
            </w:r>
          </w:p>
        </w:tc>
        <w:tc>
          <w:tcPr>
            <w:tcW w:w="2127"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nil"/>
              <w:left w:val="nil"/>
              <w:bottom w:val="single" w:color="auto" w:sz="8" w:space="0"/>
              <w:right w:val="single" w:color="auto" w:sz="8" w:space="0"/>
            </w:tcBorders>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r>
        <w:tblPrEx>
          <w:tblCellMar>
            <w:top w:w="0" w:type="dxa"/>
            <w:left w:w="108" w:type="dxa"/>
            <w:bottom w:w="0" w:type="dxa"/>
            <w:right w:w="108" w:type="dxa"/>
          </w:tblCellMar>
        </w:tblPrEx>
        <w:trPr>
          <w:trHeight w:val="510" w:hRule="exact"/>
          <w:tblHeader/>
        </w:trPr>
        <w:tc>
          <w:tcPr>
            <w:tcW w:w="2660" w:type="dxa"/>
            <w:tcBorders>
              <w:top w:val="nil"/>
              <w:left w:val="single" w:color="auto" w:sz="8" w:space="0"/>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  计</w:t>
            </w:r>
          </w:p>
        </w:tc>
        <w:tc>
          <w:tcPr>
            <w:tcW w:w="2127"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nil"/>
              <w:left w:val="nil"/>
              <w:bottom w:val="single" w:color="auto" w:sz="8" w:space="0"/>
              <w:right w:val="single" w:color="auto" w:sz="8" w:space="0"/>
            </w:tcBorders>
          </w:tcPr>
          <w:p>
            <w:pPr>
              <w:jc w:val="center"/>
              <w:rPr>
                <w:rFonts w:hint="eastAsia"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100%</w:t>
            </w:r>
          </w:p>
        </w:tc>
        <w:tc>
          <w:tcPr>
            <w:tcW w:w="1700" w:type="dxa"/>
            <w:tcBorders>
              <w:top w:val="nil"/>
              <w:left w:val="nil"/>
              <w:bottom w:val="single" w:color="auto" w:sz="8" w:space="0"/>
              <w:right w:val="single" w:color="auto" w:sz="8" w:space="0"/>
            </w:tcBorders>
            <w:vAlign w:val="center"/>
          </w:tcPr>
          <w:p>
            <w:pPr>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r>
    </w:tbl>
    <w:p>
      <w:pPr>
        <w:spacing w:line="600" w:lineRule="exact"/>
        <w:ind w:firstLine="321" w:firstLineChars="1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四、绩效评价指标分析</w:t>
      </w:r>
    </w:p>
    <w:p>
      <w:pPr>
        <w:pStyle w:val="2"/>
        <w:ind w:firstLine="321" w:firstLineChars="1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（一）项目决策情况</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项目决策指标从项目立项、绩效目标、资金投入3个方面对项目的决策进行考察，项目决策类指标分值20分，实际得分20分，得分率100%。项目决策指标得分情况如表所示。</w:t>
      </w:r>
    </w:p>
    <w:tbl>
      <w:tblPr>
        <w:tblStyle w:val="21"/>
        <w:tblW w:w="8522" w:type="dxa"/>
        <w:tblInd w:w="0" w:type="dxa"/>
        <w:tblLayout w:type="fixed"/>
        <w:tblCellMar>
          <w:top w:w="0" w:type="dxa"/>
          <w:left w:w="108" w:type="dxa"/>
          <w:bottom w:w="0" w:type="dxa"/>
          <w:right w:w="108" w:type="dxa"/>
        </w:tblCellMar>
      </w:tblPr>
      <w:tblGrid>
        <w:gridCol w:w="2515"/>
        <w:gridCol w:w="2269"/>
        <w:gridCol w:w="1986"/>
        <w:gridCol w:w="1752"/>
      </w:tblGrid>
      <w:tr>
        <w:tblPrEx>
          <w:tblCellMar>
            <w:top w:w="0" w:type="dxa"/>
            <w:left w:w="108" w:type="dxa"/>
            <w:bottom w:w="0" w:type="dxa"/>
            <w:right w:w="108" w:type="dxa"/>
          </w:tblCellMar>
        </w:tblPrEx>
        <w:trPr>
          <w:trHeight w:val="480" w:hRule="atLeast"/>
        </w:trPr>
        <w:tc>
          <w:tcPr>
            <w:tcW w:w="8522" w:type="dxa"/>
            <w:gridSpan w:val="4"/>
            <w:tcBorders>
              <w:top w:val="nil"/>
              <w:left w:val="nil"/>
              <w:bottom w:val="single" w:color="auto" w:sz="8" w:space="0"/>
              <w:right w:val="nil"/>
            </w:tcBorders>
            <w:noWrap/>
            <w:vAlign w:val="center"/>
          </w:tcPr>
          <w:p>
            <w:pPr>
              <w:widowControl/>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项目决策指标得分情况</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二级指标</w:t>
            </w:r>
          </w:p>
        </w:tc>
        <w:tc>
          <w:tcPr>
            <w:tcW w:w="2269" w:type="dxa"/>
            <w:tcBorders>
              <w:top w:val="nil"/>
              <w:left w:val="nil"/>
              <w:bottom w:val="single" w:color="auto" w:sz="8"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6" w:type="dxa"/>
            <w:tcBorders>
              <w:top w:val="nil"/>
              <w:left w:val="nil"/>
              <w:bottom w:val="single" w:color="auto" w:sz="8"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752" w:type="dxa"/>
            <w:tcBorders>
              <w:top w:val="nil"/>
              <w:left w:val="nil"/>
              <w:bottom w:val="single" w:color="auto" w:sz="8"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506" w:hRule="exact"/>
        </w:trPr>
        <w:tc>
          <w:tcPr>
            <w:tcW w:w="2515" w:type="dxa"/>
            <w:tcBorders>
              <w:top w:val="nil"/>
              <w:left w:val="single" w:color="auto" w:sz="8" w:space="0"/>
              <w:bottom w:val="single" w:color="auto" w:sz="8" w:space="0"/>
              <w:right w:val="single" w:color="auto" w:sz="8" w:space="0"/>
            </w:tcBorders>
            <w:vAlign w:val="center"/>
          </w:tcPr>
          <w:p>
            <w:pPr>
              <w:widowControl/>
              <w:spacing w:line="4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绩效目标</w:t>
            </w:r>
          </w:p>
        </w:tc>
        <w:tc>
          <w:tcPr>
            <w:tcW w:w="2269"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c>
          <w:tcPr>
            <w:tcW w:w="1986"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752"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widowControl/>
              <w:spacing w:line="4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项目决策</w:t>
            </w:r>
          </w:p>
        </w:tc>
        <w:tc>
          <w:tcPr>
            <w:tcW w:w="2269"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c>
          <w:tcPr>
            <w:tcW w:w="1986"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752"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w:t>
            </w:r>
          </w:p>
        </w:tc>
      </w:tr>
      <w:tr>
        <w:tblPrEx>
          <w:tblCellMar>
            <w:top w:w="0" w:type="dxa"/>
            <w:left w:w="108" w:type="dxa"/>
            <w:bottom w:w="0" w:type="dxa"/>
            <w:right w:w="108" w:type="dxa"/>
          </w:tblCellMar>
        </w:tblPrEx>
        <w:trPr>
          <w:trHeight w:val="510" w:hRule="exact"/>
        </w:trPr>
        <w:tc>
          <w:tcPr>
            <w:tcW w:w="2515" w:type="dxa"/>
            <w:tcBorders>
              <w:top w:val="nil"/>
              <w:left w:val="single" w:color="auto" w:sz="8" w:space="0"/>
              <w:bottom w:val="single" w:color="auto" w:sz="8" w:space="0"/>
              <w:right w:val="single" w:color="auto" w:sz="8" w:space="0"/>
            </w:tcBorders>
            <w:vAlign w:val="center"/>
          </w:tcPr>
          <w:p>
            <w:pPr>
              <w:widowControl/>
              <w:spacing w:line="4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资金投入</w:t>
            </w:r>
          </w:p>
        </w:tc>
        <w:tc>
          <w:tcPr>
            <w:tcW w:w="2269"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c>
          <w:tcPr>
            <w:tcW w:w="1986"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752" w:type="dxa"/>
            <w:tcBorders>
              <w:top w:val="nil"/>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w:t>
            </w:r>
          </w:p>
        </w:tc>
      </w:tr>
      <w:tr>
        <w:tblPrEx>
          <w:tblCellMar>
            <w:top w:w="0" w:type="dxa"/>
            <w:left w:w="108" w:type="dxa"/>
            <w:bottom w:w="0" w:type="dxa"/>
            <w:right w:w="108" w:type="dxa"/>
          </w:tblCellMar>
        </w:tblPrEx>
        <w:trPr>
          <w:trHeight w:val="510" w:hRule="exact"/>
        </w:trPr>
        <w:tc>
          <w:tcPr>
            <w:tcW w:w="2515" w:type="dxa"/>
            <w:tcBorders>
              <w:top w:val="single" w:color="auto" w:sz="8" w:space="0"/>
              <w:left w:val="single" w:color="auto" w:sz="8" w:space="0"/>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  计</w:t>
            </w:r>
          </w:p>
        </w:tc>
        <w:tc>
          <w:tcPr>
            <w:tcW w:w="2269" w:type="dxa"/>
            <w:tcBorders>
              <w:top w:val="single" w:color="auto" w:sz="8" w:space="0"/>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c>
          <w:tcPr>
            <w:tcW w:w="1986" w:type="dxa"/>
            <w:tcBorders>
              <w:top w:val="single" w:color="auto" w:sz="8" w:space="0"/>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95%</w:t>
            </w:r>
          </w:p>
        </w:tc>
        <w:tc>
          <w:tcPr>
            <w:tcW w:w="1752" w:type="dxa"/>
            <w:tcBorders>
              <w:top w:val="single" w:color="auto" w:sz="8" w:space="0"/>
              <w:left w:val="nil"/>
              <w:bottom w:val="single" w:color="auto" w:sz="8" w:space="0"/>
              <w:right w:val="single" w:color="auto" w:sz="8" w:space="0"/>
            </w:tcBorders>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20</w:t>
            </w:r>
          </w:p>
        </w:tc>
      </w:tr>
    </w:tbl>
    <w:p>
      <w:pPr>
        <w:pStyle w:val="2"/>
        <w:ind w:firstLine="321" w:firstLineChars="1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项目过程情况</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项目过程指标从资金到位率、资金使用合规性、管理制度健全性、制度执行有效性4个方面对项目的管理情况进行考察。项目管理类指标分值20分，实际得分20分，得分率为100%。项目管理指标得分情况如表所示。</w:t>
      </w:r>
    </w:p>
    <w:tbl>
      <w:tblPr>
        <w:tblStyle w:val="21"/>
        <w:tblW w:w="8522" w:type="dxa"/>
        <w:tblInd w:w="0" w:type="dxa"/>
        <w:tblLayout w:type="fixed"/>
        <w:tblCellMar>
          <w:top w:w="0" w:type="dxa"/>
          <w:left w:w="108" w:type="dxa"/>
          <w:bottom w:w="0" w:type="dxa"/>
          <w:right w:w="108" w:type="dxa"/>
        </w:tblCellMar>
      </w:tblPr>
      <w:tblGrid>
        <w:gridCol w:w="2190"/>
        <w:gridCol w:w="2367"/>
        <w:gridCol w:w="1946"/>
        <w:gridCol w:w="2019"/>
      </w:tblGrid>
      <w:tr>
        <w:tblPrEx>
          <w:tblCellMar>
            <w:top w:w="0" w:type="dxa"/>
            <w:left w:w="108" w:type="dxa"/>
            <w:bottom w:w="0" w:type="dxa"/>
            <w:right w:w="108" w:type="dxa"/>
          </w:tblCellMar>
        </w:tblPrEx>
        <w:trPr>
          <w:trHeight w:val="495" w:hRule="atLeast"/>
          <w:tblHeader/>
        </w:trPr>
        <w:tc>
          <w:tcPr>
            <w:tcW w:w="8522" w:type="dxa"/>
            <w:gridSpan w:val="4"/>
            <w:tcBorders>
              <w:top w:val="nil"/>
              <w:left w:val="nil"/>
              <w:bottom w:val="single" w:color="auto" w:sz="8" w:space="0"/>
              <w:right w:val="nil"/>
            </w:tcBorders>
            <w:noWrap/>
            <w:vAlign w:val="center"/>
          </w:tcPr>
          <w:p>
            <w:pPr>
              <w:widowControl/>
              <w:jc w:val="center"/>
              <w:rPr>
                <w:rFonts w:hint="eastAsia" w:ascii="仿宋_GB2312" w:hAnsi="仿宋_GB2312" w:eastAsia="仿宋_GB2312" w:cs="仿宋_GB2312"/>
                <w:b/>
                <w:color w:val="000000" w:themeColor="text1"/>
                <w:kern w:val="0"/>
                <w:sz w:val="32"/>
                <w:szCs w:val="32"/>
                <w14:textFill>
                  <w14:solidFill>
                    <w14:schemeClr w14:val="tx1"/>
                  </w14:solidFill>
                </w14:textFill>
              </w:rPr>
            </w:pPr>
            <w:r>
              <w:rPr>
                <w:rFonts w:hint="eastAsia" w:ascii="仿宋_GB2312" w:hAnsi="仿宋_GB2312" w:eastAsia="仿宋_GB2312" w:cs="仿宋_GB2312"/>
                <w:b w:val="0"/>
                <w:bCs/>
                <w:color w:val="000000" w:themeColor="text1"/>
                <w:sz w:val="32"/>
                <w:szCs w:val="32"/>
                <w14:textFill>
                  <w14:solidFill>
                    <w14:schemeClr w14:val="tx1"/>
                  </w14:solidFill>
                </w14:textFill>
              </w:rPr>
              <w:t>项目</w:t>
            </w:r>
            <w:r>
              <w:rPr>
                <w:rFonts w:hint="eastAsia" w:ascii="仿宋_GB2312" w:hAnsi="仿宋_GB2312" w:eastAsia="仿宋_GB2312" w:cs="仿宋_GB2312"/>
                <w:b w:val="0"/>
                <w:bCs/>
                <w:color w:val="000000" w:themeColor="text1"/>
                <w:sz w:val="32"/>
                <w:szCs w:val="32"/>
                <w:lang w:eastAsia="zh-CN"/>
                <w14:textFill>
                  <w14:solidFill>
                    <w14:schemeClr w14:val="tx1"/>
                  </w14:solidFill>
                </w14:textFill>
              </w:rPr>
              <w:t>过程</w:t>
            </w:r>
            <w:r>
              <w:rPr>
                <w:rFonts w:hint="eastAsia" w:ascii="仿宋_GB2312" w:hAnsi="仿宋_GB2312" w:eastAsia="仿宋_GB2312" w:cs="仿宋_GB2312"/>
                <w:b w:val="0"/>
                <w:bCs/>
                <w:color w:val="000000" w:themeColor="text1"/>
                <w:sz w:val="32"/>
                <w:szCs w:val="32"/>
                <w14:textFill>
                  <w14:solidFill>
                    <w14:schemeClr w14:val="tx1"/>
                  </w14:solidFill>
                </w14:textFill>
              </w:rPr>
              <w:t>指标得分情况</w:t>
            </w:r>
          </w:p>
        </w:tc>
      </w:tr>
      <w:tr>
        <w:tblPrEx>
          <w:tblCellMar>
            <w:top w:w="0" w:type="dxa"/>
            <w:left w:w="108" w:type="dxa"/>
            <w:bottom w:w="0" w:type="dxa"/>
            <w:right w:w="108" w:type="dxa"/>
          </w:tblCellMar>
        </w:tblPrEx>
        <w:trPr>
          <w:trHeight w:val="510" w:hRule="exact"/>
          <w:tblHeader/>
        </w:trPr>
        <w:tc>
          <w:tcPr>
            <w:tcW w:w="2190" w:type="dxa"/>
            <w:tcBorders>
              <w:top w:val="nil"/>
              <w:left w:val="single" w:color="auto" w:sz="8" w:space="0"/>
              <w:bottom w:val="nil"/>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三级指标</w:t>
            </w:r>
          </w:p>
        </w:tc>
        <w:tc>
          <w:tcPr>
            <w:tcW w:w="2367" w:type="dxa"/>
            <w:tcBorders>
              <w:top w:val="nil"/>
              <w:left w:val="nil"/>
              <w:bottom w:val="nil"/>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权重</w:t>
            </w:r>
          </w:p>
        </w:tc>
        <w:tc>
          <w:tcPr>
            <w:tcW w:w="1946" w:type="dxa"/>
            <w:tcBorders>
              <w:top w:val="nil"/>
              <w:left w:val="nil"/>
              <w:bottom w:val="nil"/>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得分率</w:t>
            </w:r>
          </w:p>
        </w:tc>
        <w:tc>
          <w:tcPr>
            <w:tcW w:w="2019" w:type="dxa"/>
            <w:tcBorders>
              <w:top w:val="nil"/>
              <w:left w:val="nil"/>
              <w:bottom w:val="nil"/>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themeColor="text1"/>
                <w:kern w:val="0"/>
                <w:sz w:val="32"/>
                <w:szCs w:val="32"/>
                <w14:textFill>
                  <w14:solidFill>
                    <w14:schemeClr w14:val="tx1"/>
                  </w14:solidFill>
                </w14:textFill>
              </w:rPr>
            </w:pPr>
            <w:r>
              <w:rPr>
                <w:rFonts w:hint="eastAsia" w:ascii="仿宋_GB2312" w:hAnsi="仿宋_GB2312" w:eastAsia="仿宋_GB2312" w:cs="仿宋_GB2312"/>
                <w:b/>
                <w:bCs/>
                <w:color w:val="000000" w:themeColor="text1"/>
                <w:kern w:val="0"/>
                <w:sz w:val="32"/>
                <w:szCs w:val="32"/>
                <w14:textFill>
                  <w14:solidFill>
                    <w14:schemeClr w14:val="tx1"/>
                  </w14:solidFill>
                </w14:textFill>
              </w:rPr>
              <w:t>实际得分</w:t>
            </w:r>
          </w:p>
        </w:tc>
      </w:tr>
      <w:tr>
        <w:tblPrEx>
          <w:tblCellMar>
            <w:top w:w="0" w:type="dxa"/>
            <w:left w:w="108" w:type="dxa"/>
            <w:bottom w:w="0" w:type="dxa"/>
            <w:right w:w="108" w:type="dxa"/>
          </w:tblCellMar>
        </w:tblPrEx>
        <w:trPr>
          <w:trHeight w:val="360" w:hRule="exact"/>
        </w:trPr>
        <w:tc>
          <w:tcPr>
            <w:tcW w:w="2190" w:type="dxa"/>
            <w:tcBorders>
              <w:top w:val="nil"/>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资金到位率</w:t>
            </w:r>
          </w:p>
        </w:tc>
        <w:tc>
          <w:tcPr>
            <w:tcW w:w="2367"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2.5</w:t>
            </w:r>
          </w:p>
        </w:tc>
        <w:tc>
          <w:tcPr>
            <w:tcW w:w="1946" w:type="dxa"/>
            <w:tcBorders>
              <w:top w:val="nil"/>
              <w:left w:val="nil"/>
              <w:bottom w:val="single" w:color="auto" w:sz="4" w:space="0"/>
              <w:right w:val="single" w:color="auto" w:sz="4" w:space="0"/>
            </w:tcBorders>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100%</w:t>
            </w:r>
          </w:p>
        </w:tc>
        <w:tc>
          <w:tcPr>
            <w:tcW w:w="2019"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2.5</w:t>
            </w:r>
          </w:p>
        </w:tc>
      </w:tr>
      <w:tr>
        <w:tblPrEx>
          <w:tblCellMar>
            <w:top w:w="0" w:type="dxa"/>
            <w:left w:w="108" w:type="dxa"/>
            <w:bottom w:w="0" w:type="dxa"/>
            <w:right w:w="108" w:type="dxa"/>
          </w:tblCellMar>
        </w:tblPrEx>
        <w:trPr>
          <w:trHeight w:val="393" w:hRule="exact"/>
        </w:trPr>
        <w:tc>
          <w:tcPr>
            <w:tcW w:w="2190" w:type="dxa"/>
            <w:tcBorders>
              <w:top w:val="nil"/>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预算执行率</w:t>
            </w:r>
          </w:p>
        </w:tc>
        <w:tc>
          <w:tcPr>
            <w:tcW w:w="2367"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2.5</w:t>
            </w:r>
          </w:p>
        </w:tc>
        <w:tc>
          <w:tcPr>
            <w:tcW w:w="1946" w:type="dxa"/>
            <w:tcBorders>
              <w:top w:val="nil"/>
              <w:left w:val="nil"/>
              <w:bottom w:val="single" w:color="auto" w:sz="4" w:space="0"/>
              <w:right w:val="single" w:color="auto" w:sz="4" w:space="0"/>
            </w:tcBorders>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100%</w:t>
            </w:r>
          </w:p>
        </w:tc>
        <w:tc>
          <w:tcPr>
            <w:tcW w:w="2019"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2.5</w:t>
            </w:r>
          </w:p>
        </w:tc>
      </w:tr>
      <w:tr>
        <w:tblPrEx>
          <w:tblCellMar>
            <w:top w:w="0" w:type="dxa"/>
            <w:left w:w="108" w:type="dxa"/>
            <w:bottom w:w="0" w:type="dxa"/>
            <w:right w:w="108" w:type="dxa"/>
          </w:tblCellMar>
        </w:tblPrEx>
        <w:trPr>
          <w:trHeight w:val="397" w:hRule="exact"/>
        </w:trPr>
        <w:tc>
          <w:tcPr>
            <w:tcW w:w="2190" w:type="dxa"/>
            <w:tcBorders>
              <w:top w:val="nil"/>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资金使用合规性</w:t>
            </w:r>
          </w:p>
        </w:tc>
        <w:tc>
          <w:tcPr>
            <w:tcW w:w="2367"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w:t>
            </w:r>
          </w:p>
        </w:tc>
        <w:tc>
          <w:tcPr>
            <w:tcW w:w="1946" w:type="dxa"/>
            <w:tcBorders>
              <w:top w:val="nil"/>
              <w:left w:val="nil"/>
              <w:bottom w:val="single" w:color="auto" w:sz="4" w:space="0"/>
              <w:right w:val="single" w:color="auto" w:sz="4" w:space="0"/>
            </w:tcBorders>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100%</w:t>
            </w:r>
          </w:p>
        </w:tc>
        <w:tc>
          <w:tcPr>
            <w:tcW w:w="2019"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w:t>
            </w:r>
          </w:p>
        </w:tc>
      </w:tr>
      <w:tr>
        <w:tblPrEx>
          <w:tblCellMar>
            <w:top w:w="0" w:type="dxa"/>
            <w:left w:w="108" w:type="dxa"/>
            <w:bottom w:w="0" w:type="dxa"/>
            <w:right w:w="108" w:type="dxa"/>
          </w:tblCellMar>
        </w:tblPrEx>
        <w:trPr>
          <w:trHeight w:val="367" w:hRule="exact"/>
        </w:trPr>
        <w:tc>
          <w:tcPr>
            <w:tcW w:w="2190" w:type="dxa"/>
            <w:tcBorders>
              <w:top w:val="nil"/>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管理制度健全性</w:t>
            </w:r>
          </w:p>
        </w:tc>
        <w:tc>
          <w:tcPr>
            <w:tcW w:w="2367"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5</w:t>
            </w:r>
          </w:p>
        </w:tc>
        <w:tc>
          <w:tcPr>
            <w:tcW w:w="1946" w:type="dxa"/>
            <w:tcBorders>
              <w:top w:val="nil"/>
              <w:left w:val="nil"/>
              <w:bottom w:val="single" w:color="auto" w:sz="4" w:space="0"/>
              <w:right w:val="single" w:color="auto" w:sz="4" w:space="0"/>
            </w:tcBorders>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10</w:t>
            </w:r>
            <w:r>
              <w:rPr>
                <w:rFonts w:hint="eastAsia" w:ascii="仿宋_GB2312" w:hAnsi="仿宋_GB2312" w:eastAsia="仿宋_GB2312" w:cs="仿宋_GB2312"/>
                <w:color w:val="000000" w:themeColor="text1"/>
                <w:kern w:val="0"/>
                <w:sz w:val="32"/>
                <w:szCs w:val="32"/>
                <w14:textFill>
                  <w14:solidFill>
                    <w14:schemeClr w14:val="tx1"/>
                  </w14:solidFill>
                </w14:textFill>
              </w:rPr>
              <w:t>0%</w:t>
            </w:r>
          </w:p>
        </w:tc>
        <w:tc>
          <w:tcPr>
            <w:tcW w:w="2019"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lang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5</w:t>
            </w:r>
          </w:p>
        </w:tc>
      </w:tr>
      <w:tr>
        <w:tblPrEx>
          <w:tblCellMar>
            <w:top w:w="0" w:type="dxa"/>
            <w:left w:w="108" w:type="dxa"/>
            <w:bottom w:w="0" w:type="dxa"/>
            <w:right w:w="108" w:type="dxa"/>
          </w:tblCellMar>
        </w:tblPrEx>
        <w:trPr>
          <w:trHeight w:val="370" w:hRule="exact"/>
        </w:trPr>
        <w:tc>
          <w:tcPr>
            <w:tcW w:w="2190" w:type="dxa"/>
            <w:tcBorders>
              <w:top w:val="nil"/>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制度执行有效性</w:t>
            </w:r>
          </w:p>
        </w:tc>
        <w:tc>
          <w:tcPr>
            <w:tcW w:w="2367"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5</w:t>
            </w:r>
          </w:p>
        </w:tc>
        <w:tc>
          <w:tcPr>
            <w:tcW w:w="1946" w:type="dxa"/>
            <w:tcBorders>
              <w:top w:val="nil"/>
              <w:left w:val="nil"/>
              <w:bottom w:val="single" w:color="auto" w:sz="4" w:space="0"/>
              <w:right w:val="single" w:color="auto" w:sz="4" w:space="0"/>
            </w:tcBorders>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80%</w:t>
            </w:r>
          </w:p>
        </w:tc>
        <w:tc>
          <w:tcPr>
            <w:tcW w:w="2019"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4</w:t>
            </w:r>
          </w:p>
        </w:tc>
      </w:tr>
      <w:tr>
        <w:tblPrEx>
          <w:tblCellMar>
            <w:top w:w="0" w:type="dxa"/>
            <w:left w:w="108" w:type="dxa"/>
            <w:bottom w:w="0" w:type="dxa"/>
            <w:right w:w="108" w:type="dxa"/>
          </w:tblCellMar>
        </w:tblPrEx>
        <w:trPr>
          <w:trHeight w:val="353" w:hRule="exact"/>
        </w:trPr>
        <w:tc>
          <w:tcPr>
            <w:tcW w:w="2190" w:type="dxa"/>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合  计</w:t>
            </w:r>
          </w:p>
        </w:tc>
        <w:tc>
          <w:tcPr>
            <w:tcW w:w="2367"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20</w:t>
            </w:r>
          </w:p>
        </w:tc>
        <w:tc>
          <w:tcPr>
            <w:tcW w:w="1946" w:type="dxa"/>
            <w:tcBorders>
              <w:top w:val="single" w:color="auto" w:sz="4" w:space="0"/>
              <w:left w:val="nil"/>
              <w:bottom w:val="single" w:color="auto" w:sz="4" w:space="0"/>
              <w:right w:val="single" w:color="auto" w:sz="4" w:space="0"/>
            </w:tcBorders>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90%</w:t>
            </w:r>
          </w:p>
        </w:tc>
        <w:tc>
          <w:tcPr>
            <w:tcW w:w="2019"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themeColor="text1"/>
                <w:kern w:val="0"/>
                <w:sz w:val="32"/>
                <w:szCs w:val="32"/>
                <w14:textFill>
                  <w14:solidFill>
                    <w14:schemeClr w14:val="tx1"/>
                  </w14:solidFill>
                </w14:textFill>
              </w:rPr>
            </w:pPr>
            <w:r>
              <w:rPr>
                <w:rFonts w:hint="eastAsia" w:ascii="仿宋_GB2312" w:hAnsi="仿宋_GB2312" w:eastAsia="仿宋_GB2312" w:cs="仿宋_GB2312"/>
                <w:color w:val="000000" w:themeColor="text1"/>
                <w:kern w:val="0"/>
                <w:sz w:val="32"/>
                <w:szCs w:val="32"/>
                <w14:textFill>
                  <w14:solidFill>
                    <w14:schemeClr w14:val="tx1"/>
                  </w14:solidFill>
                </w14:textFill>
              </w:rPr>
              <w:t>18</w:t>
            </w:r>
          </w:p>
        </w:tc>
      </w:tr>
    </w:tbl>
    <w:p>
      <w:pPr>
        <w:pStyle w:val="2"/>
        <w:ind w:firstLine="321" w:firstLineChars="1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（三）项目产出</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项目产出的产出数量、产出质量、产出时效、成本情况4个方面对项目的绩效情况进行评价。项目绩效类指标分值40分，实际得分40分，得分率为100%。项目绩效指标得分情况如表所示：</w:t>
      </w:r>
    </w:p>
    <w:p>
      <w:pPr>
        <w:pStyle w:val="18"/>
        <w:jc w:val="center"/>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项目</w:t>
      </w:r>
      <w:r>
        <w:rPr>
          <w:rFonts w:hint="eastAsia" w:ascii="仿宋_GB2312" w:hAnsi="仿宋_GB2312" w:eastAsia="仿宋_GB2312" w:cs="仿宋_GB2312"/>
          <w:b w:val="0"/>
          <w:bCs/>
          <w:sz w:val="32"/>
          <w:szCs w:val="32"/>
          <w:lang w:eastAsia="zh-CN"/>
        </w:rPr>
        <w:t>产出</w:t>
      </w:r>
      <w:r>
        <w:rPr>
          <w:rFonts w:hint="eastAsia" w:ascii="仿宋_GB2312" w:hAnsi="仿宋_GB2312" w:eastAsia="仿宋_GB2312" w:cs="仿宋_GB2312"/>
          <w:b w:val="0"/>
          <w:bCs/>
          <w:sz w:val="32"/>
          <w:szCs w:val="32"/>
        </w:rPr>
        <w:t>指标得分情况</w:t>
      </w:r>
    </w:p>
    <w:tbl>
      <w:tblPr>
        <w:tblStyle w:val="21"/>
        <w:tblW w:w="8473" w:type="dxa"/>
        <w:tblInd w:w="0" w:type="dxa"/>
        <w:tblLayout w:type="fixed"/>
        <w:tblCellMar>
          <w:top w:w="0" w:type="dxa"/>
          <w:left w:w="108" w:type="dxa"/>
          <w:bottom w:w="0" w:type="dxa"/>
          <w:right w:w="108" w:type="dxa"/>
        </w:tblCellMar>
      </w:tblPr>
      <w:tblGrid>
        <w:gridCol w:w="2517"/>
        <w:gridCol w:w="1986"/>
        <w:gridCol w:w="1984"/>
        <w:gridCol w:w="1986"/>
      </w:tblGrid>
      <w:tr>
        <w:tblPrEx>
          <w:tblCellMar>
            <w:top w:w="0" w:type="dxa"/>
            <w:left w:w="108" w:type="dxa"/>
            <w:bottom w:w="0" w:type="dxa"/>
            <w:right w:w="108" w:type="dxa"/>
          </w:tblCellMar>
        </w:tblPrEx>
        <w:trPr>
          <w:trHeight w:val="510" w:hRule="exact"/>
          <w:tblHeader/>
        </w:trPr>
        <w:tc>
          <w:tcPr>
            <w:tcW w:w="2517" w:type="dxa"/>
            <w:tcBorders>
              <w:top w:val="single" w:color="auto" w:sz="4" w:space="0"/>
              <w:left w:val="single" w:color="auto" w:sz="8" w:space="0"/>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5E988C"/>
                <w:kern w:val="0"/>
                <w:sz w:val="32"/>
                <w:szCs w:val="32"/>
              </w:rPr>
            </w:pPr>
            <w:r>
              <w:rPr>
                <w:rFonts w:hint="eastAsia" w:ascii="仿宋_GB2312" w:hAnsi="仿宋_GB2312" w:eastAsia="仿宋_GB2312" w:cs="仿宋_GB2312"/>
                <w:b/>
                <w:bCs/>
                <w:color w:val="000000"/>
                <w:kern w:val="0"/>
                <w:sz w:val="32"/>
                <w:szCs w:val="32"/>
              </w:rPr>
              <w:t>二级指标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权重</w:t>
            </w:r>
          </w:p>
        </w:tc>
        <w:tc>
          <w:tcPr>
            <w:tcW w:w="1984" w:type="dxa"/>
            <w:tcBorders>
              <w:top w:val="single" w:color="auto" w:sz="4" w:space="0"/>
              <w:left w:val="nil"/>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得分率</w:t>
            </w:r>
          </w:p>
        </w:tc>
        <w:tc>
          <w:tcPr>
            <w:tcW w:w="1986" w:type="dxa"/>
            <w:tcBorders>
              <w:top w:val="single" w:color="auto" w:sz="4" w:space="0"/>
              <w:left w:val="nil"/>
              <w:bottom w:val="single" w:color="auto" w:sz="4" w:space="0"/>
              <w:right w:val="single" w:color="auto" w:sz="8" w:space="0"/>
            </w:tcBorders>
            <w:shd w:val="clear" w:color="000000" w:fill="A6A6A6"/>
            <w:vAlign w:val="center"/>
          </w:tcPr>
          <w:p>
            <w:pPr>
              <w:widowControl/>
              <w:spacing w:line="400" w:lineRule="exact"/>
              <w:jc w:val="center"/>
              <w:rPr>
                <w:rFonts w:hint="eastAsia" w:ascii="仿宋_GB2312" w:hAnsi="仿宋_GB2312" w:eastAsia="仿宋_GB2312" w:cs="仿宋_GB2312"/>
                <w:b/>
                <w:bCs/>
                <w:color w:val="000000"/>
                <w:kern w:val="0"/>
                <w:sz w:val="32"/>
                <w:szCs w:val="32"/>
              </w:rPr>
            </w:pPr>
            <w:r>
              <w:rPr>
                <w:rFonts w:hint="eastAsia" w:ascii="仿宋_GB2312" w:hAnsi="仿宋_GB2312" w:eastAsia="仿宋_GB2312" w:cs="仿宋_GB2312"/>
                <w:b/>
                <w:bCs/>
                <w:color w:val="000000"/>
                <w:kern w:val="0"/>
                <w:sz w:val="32"/>
                <w:szCs w:val="32"/>
              </w:rPr>
              <w:t>实际得分</w:t>
            </w:r>
          </w:p>
        </w:tc>
      </w:tr>
      <w:tr>
        <w:tblPrEx>
          <w:tblCellMar>
            <w:top w:w="0" w:type="dxa"/>
            <w:left w:w="108" w:type="dxa"/>
            <w:bottom w:w="0" w:type="dxa"/>
            <w:right w:w="108" w:type="dxa"/>
          </w:tblCellMar>
        </w:tblPrEx>
        <w:trPr>
          <w:trHeight w:val="356"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产出数量</w:t>
            </w:r>
          </w:p>
        </w:tc>
        <w:tc>
          <w:tcPr>
            <w:tcW w:w="1986"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12.5</w:t>
            </w:r>
          </w:p>
        </w:tc>
        <w:tc>
          <w:tcPr>
            <w:tcW w:w="1984"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12.5</w:t>
            </w:r>
          </w:p>
        </w:tc>
      </w:tr>
      <w:tr>
        <w:tblPrEx>
          <w:tblCellMar>
            <w:top w:w="0" w:type="dxa"/>
            <w:left w:w="108" w:type="dxa"/>
            <w:bottom w:w="0" w:type="dxa"/>
            <w:right w:w="108" w:type="dxa"/>
          </w:tblCellMar>
        </w:tblPrEx>
        <w:trPr>
          <w:trHeight w:val="370" w:hRule="exact"/>
        </w:trPr>
        <w:tc>
          <w:tcPr>
            <w:tcW w:w="2517" w:type="dxa"/>
            <w:tcBorders>
              <w:top w:val="single" w:color="auto" w:sz="4" w:space="0"/>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产出质量</w:t>
            </w:r>
          </w:p>
        </w:tc>
        <w:tc>
          <w:tcPr>
            <w:tcW w:w="1986"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12.5</w:t>
            </w:r>
          </w:p>
        </w:tc>
        <w:tc>
          <w:tcPr>
            <w:tcW w:w="1984"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single" w:color="auto" w:sz="4" w:space="0"/>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12.5</w:t>
            </w:r>
          </w:p>
        </w:tc>
      </w:tr>
      <w:tr>
        <w:tblPrEx>
          <w:tblCellMar>
            <w:top w:w="0" w:type="dxa"/>
            <w:left w:w="108" w:type="dxa"/>
            <w:bottom w:w="0" w:type="dxa"/>
            <w:right w:w="108" w:type="dxa"/>
          </w:tblCellMar>
        </w:tblPrEx>
        <w:trPr>
          <w:trHeight w:val="333" w:hRule="exact"/>
        </w:trPr>
        <w:tc>
          <w:tcPr>
            <w:tcW w:w="2517" w:type="dxa"/>
            <w:tcBorders>
              <w:top w:val="nil"/>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产出时效</w:t>
            </w:r>
          </w:p>
        </w:tc>
        <w:tc>
          <w:tcPr>
            <w:tcW w:w="1986"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12.5</w:t>
            </w:r>
          </w:p>
        </w:tc>
        <w:tc>
          <w:tcPr>
            <w:tcW w:w="1984"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100%</w:t>
            </w:r>
          </w:p>
        </w:tc>
        <w:tc>
          <w:tcPr>
            <w:tcW w:w="1986"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12.5</w:t>
            </w:r>
          </w:p>
        </w:tc>
      </w:tr>
      <w:tr>
        <w:tblPrEx>
          <w:tblCellMar>
            <w:top w:w="0" w:type="dxa"/>
            <w:left w:w="108" w:type="dxa"/>
            <w:bottom w:w="0" w:type="dxa"/>
            <w:right w:w="108" w:type="dxa"/>
          </w:tblCellMar>
        </w:tblPrEx>
        <w:trPr>
          <w:trHeight w:val="343" w:hRule="exact"/>
        </w:trPr>
        <w:tc>
          <w:tcPr>
            <w:tcW w:w="2517" w:type="dxa"/>
            <w:tcBorders>
              <w:top w:val="nil"/>
              <w:left w:val="single" w:color="auto" w:sz="4" w:space="0"/>
              <w:bottom w:val="single" w:color="auto" w:sz="4" w:space="0"/>
              <w:right w:val="single" w:color="auto" w:sz="4" w:space="0"/>
            </w:tcBorders>
            <w:noWrap/>
            <w:vAlign w:val="center"/>
          </w:tcPr>
          <w:p>
            <w:pPr>
              <w:widowControl/>
              <w:spacing w:line="400" w:lineRule="exact"/>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产出成本</w:t>
            </w:r>
          </w:p>
        </w:tc>
        <w:tc>
          <w:tcPr>
            <w:tcW w:w="1986"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12.5</w:t>
            </w:r>
          </w:p>
        </w:tc>
        <w:tc>
          <w:tcPr>
            <w:tcW w:w="1984"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94</w:t>
            </w:r>
            <w:r>
              <w:rPr>
                <w:rFonts w:hint="eastAsia" w:ascii="仿宋_GB2312" w:hAnsi="仿宋_GB2312" w:eastAsia="仿宋_GB2312" w:cs="仿宋_GB2312"/>
                <w:color w:val="000000"/>
                <w:kern w:val="0"/>
                <w:sz w:val="32"/>
                <w:szCs w:val="32"/>
              </w:rPr>
              <w:t>%</w:t>
            </w:r>
          </w:p>
        </w:tc>
        <w:tc>
          <w:tcPr>
            <w:tcW w:w="1986" w:type="dxa"/>
            <w:tcBorders>
              <w:top w:val="nil"/>
              <w:left w:val="nil"/>
              <w:bottom w:val="single" w:color="auto" w:sz="4" w:space="0"/>
              <w:right w:val="single" w:color="auto" w:sz="4" w:space="0"/>
            </w:tcBorders>
            <w:noWrap/>
            <w:vAlign w:val="center"/>
          </w:tcPr>
          <w:p>
            <w:pPr>
              <w:widowControl/>
              <w:spacing w:line="40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10.5</w:t>
            </w:r>
          </w:p>
        </w:tc>
      </w:tr>
      <w:tr>
        <w:tblPrEx>
          <w:tblCellMar>
            <w:top w:w="0" w:type="dxa"/>
            <w:left w:w="108" w:type="dxa"/>
            <w:bottom w:w="0" w:type="dxa"/>
            <w:right w:w="108" w:type="dxa"/>
          </w:tblCellMar>
        </w:tblPrEx>
        <w:trPr>
          <w:trHeight w:val="336" w:hRule="exact"/>
        </w:trPr>
        <w:tc>
          <w:tcPr>
            <w:tcW w:w="2517" w:type="dxa"/>
            <w:tcBorders>
              <w:top w:val="nil"/>
              <w:left w:val="single" w:color="auto" w:sz="4" w:space="0"/>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合  计</w:t>
            </w:r>
          </w:p>
        </w:tc>
        <w:tc>
          <w:tcPr>
            <w:tcW w:w="1986" w:type="dxa"/>
            <w:tcBorders>
              <w:top w:val="nil"/>
              <w:left w:val="nil"/>
              <w:bottom w:val="single" w:color="auto" w:sz="4" w:space="0"/>
              <w:right w:val="single" w:color="auto" w:sz="4" w:space="0"/>
            </w:tcBorders>
            <w:noWrap/>
            <w:vAlign w:val="center"/>
          </w:tcPr>
          <w:p>
            <w:pPr>
              <w:widowControl/>
              <w:spacing w:line="40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50</w:t>
            </w:r>
          </w:p>
        </w:tc>
        <w:tc>
          <w:tcPr>
            <w:tcW w:w="1984" w:type="dxa"/>
            <w:tcBorders>
              <w:top w:val="nil"/>
              <w:left w:val="nil"/>
              <w:bottom w:val="single" w:color="auto" w:sz="4" w:space="0"/>
              <w:right w:val="single" w:color="auto" w:sz="4" w:space="0"/>
            </w:tcBorders>
            <w:noWrap/>
            <w:vAlign w:val="center"/>
          </w:tcPr>
          <w:p>
            <w:pPr>
              <w:widowControl/>
              <w:spacing w:line="400" w:lineRule="exact"/>
              <w:jc w:val="center"/>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96</w:t>
            </w:r>
            <w:r>
              <w:rPr>
                <w:rFonts w:hint="eastAsia" w:ascii="仿宋_GB2312" w:hAnsi="仿宋_GB2312" w:eastAsia="仿宋_GB2312" w:cs="仿宋_GB2312"/>
                <w:color w:val="000000"/>
                <w:kern w:val="0"/>
                <w:sz w:val="32"/>
                <w:szCs w:val="32"/>
              </w:rPr>
              <w:t>%</w:t>
            </w:r>
          </w:p>
        </w:tc>
        <w:tc>
          <w:tcPr>
            <w:tcW w:w="1986" w:type="dxa"/>
            <w:tcBorders>
              <w:top w:val="nil"/>
              <w:left w:val="nil"/>
              <w:bottom w:val="single" w:color="auto" w:sz="4" w:space="0"/>
              <w:right w:val="single" w:color="auto" w:sz="4" w:space="0"/>
            </w:tcBorders>
            <w:noWrap/>
            <w:vAlign w:val="center"/>
          </w:tcPr>
          <w:p>
            <w:pPr>
              <w:widowControl/>
              <w:spacing w:line="400" w:lineRule="exact"/>
              <w:jc w:val="center"/>
              <w:rPr>
                <w:rFonts w:hint="default" w:ascii="仿宋_GB2312" w:hAnsi="仿宋_GB2312" w:eastAsia="仿宋_GB2312" w:cs="仿宋_GB2312"/>
                <w:color w:val="000000"/>
                <w:kern w:val="0"/>
                <w:sz w:val="32"/>
                <w:szCs w:val="32"/>
                <w:lang w:val="en-US" w:eastAsia="zh-CN"/>
              </w:rPr>
            </w:pPr>
            <w:r>
              <w:rPr>
                <w:rFonts w:hint="eastAsia" w:ascii="仿宋_GB2312" w:hAnsi="仿宋_GB2312" w:eastAsia="仿宋_GB2312" w:cs="仿宋_GB2312"/>
                <w:color w:val="000000"/>
                <w:kern w:val="0"/>
                <w:sz w:val="32"/>
                <w:szCs w:val="32"/>
                <w:lang w:val="en-US" w:eastAsia="zh-CN"/>
              </w:rPr>
              <w:t>48</w:t>
            </w:r>
          </w:p>
        </w:tc>
      </w:tr>
    </w:tbl>
    <w:p>
      <w:pPr>
        <w:pStyle w:val="19"/>
        <w:widowControl/>
        <w:spacing w:before="40" w:beforeAutospacing="0" w:after="0" w:afterAutospacing="0" w:line="520" w:lineRule="atLeast"/>
        <w:ind w:firstLine="643"/>
        <w:jc w:val="both"/>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产出数量</w:t>
      </w:r>
      <w:r>
        <w:rPr>
          <w:rFonts w:hint="eastAsia" w:ascii="仿宋_GB2312" w:hAnsi="仿宋_GB2312" w:eastAsia="仿宋_GB2312" w:cs="仿宋_GB2312"/>
          <w:b/>
          <w:bCs/>
          <w:color w:val="000000"/>
          <w:kern w:val="0"/>
          <w:sz w:val="32"/>
          <w:szCs w:val="32"/>
          <w:lang w:eastAsia="zh-CN"/>
        </w:rPr>
        <w:t>三级指标：</w:t>
      </w:r>
      <w:r>
        <w:rPr>
          <w:rFonts w:hint="eastAsia" w:ascii="仿宋_GB2312" w:hAnsi="仿宋_GB2312" w:eastAsia="仿宋_GB2312" w:cs="仿宋_GB2312"/>
          <w:sz w:val="32"/>
          <w:szCs w:val="32"/>
          <w:lang w:val="en-US" w:eastAsia="zh-CN"/>
        </w:rPr>
        <w:t>建设应急指挥平台数量，预</w:t>
      </w:r>
      <w:r>
        <w:rPr>
          <w:rFonts w:hint="eastAsia" w:ascii="仿宋_GB2312" w:hAnsi="仿宋_GB2312" w:eastAsia="仿宋_GB2312" w:cs="仿宋_GB2312"/>
          <w:sz w:val="32"/>
          <w:szCs w:val="32"/>
        </w:rPr>
        <w:t>期指标值</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1个</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widowControl/>
        <w:spacing w:before="40" w:beforeAutospacing="0" w:after="0" w:afterAutospacing="0" w:line="520" w:lineRule="atLeast"/>
        <w:ind w:firstLine="640"/>
        <w:jc w:val="both"/>
        <w:rPr>
          <w:rFonts w:hint="eastAsia" w:ascii="仿宋_GB2312" w:hAnsi="仿宋_GB2312" w:eastAsia="仿宋_GB2312" w:cs="仿宋_GB2312"/>
          <w:b/>
          <w:bCs/>
          <w:color w:val="000000"/>
          <w:kern w:val="0"/>
          <w:sz w:val="32"/>
          <w:szCs w:val="32"/>
          <w:lang w:eastAsia="zh-CN"/>
        </w:rPr>
      </w:pPr>
      <w:r>
        <w:rPr>
          <w:rFonts w:hint="eastAsia" w:ascii="仿宋_GB2312" w:hAnsi="仿宋_GB2312" w:eastAsia="仿宋_GB2312" w:cs="仿宋_GB2312"/>
          <w:b/>
          <w:bCs/>
          <w:color w:val="000000"/>
          <w:kern w:val="0"/>
          <w:sz w:val="32"/>
          <w:szCs w:val="32"/>
        </w:rPr>
        <w:t>产出</w:t>
      </w:r>
      <w:r>
        <w:rPr>
          <w:rFonts w:hint="eastAsia" w:ascii="仿宋_GB2312" w:hAnsi="仿宋_GB2312" w:eastAsia="仿宋_GB2312" w:cs="仿宋_GB2312"/>
          <w:b/>
          <w:bCs/>
          <w:color w:val="000000"/>
          <w:kern w:val="0"/>
          <w:sz w:val="32"/>
          <w:szCs w:val="32"/>
          <w:lang w:eastAsia="zh-CN"/>
        </w:rPr>
        <w:t>质</w:t>
      </w:r>
      <w:r>
        <w:rPr>
          <w:rFonts w:hint="eastAsia" w:ascii="仿宋_GB2312" w:hAnsi="仿宋_GB2312" w:eastAsia="仿宋_GB2312" w:cs="仿宋_GB2312"/>
          <w:b/>
          <w:bCs/>
          <w:color w:val="000000"/>
          <w:kern w:val="0"/>
          <w:sz w:val="32"/>
          <w:szCs w:val="32"/>
        </w:rPr>
        <w:t>量</w:t>
      </w:r>
      <w:r>
        <w:rPr>
          <w:rFonts w:hint="eastAsia" w:ascii="仿宋_GB2312" w:hAnsi="仿宋_GB2312" w:eastAsia="仿宋_GB2312" w:cs="仿宋_GB2312"/>
          <w:b/>
          <w:bCs/>
          <w:color w:val="000000"/>
          <w:kern w:val="0"/>
          <w:sz w:val="32"/>
          <w:szCs w:val="32"/>
          <w:lang w:eastAsia="zh-CN"/>
        </w:rPr>
        <w:t>三级指标：</w:t>
      </w:r>
      <w:r>
        <w:rPr>
          <w:rFonts w:hint="eastAsia" w:ascii="仿宋_GB2312" w:hAnsi="仿宋_GB2312" w:eastAsia="仿宋_GB2312" w:cs="仿宋_GB2312"/>
          <w:sz w:val="32"/>
          <w:szCs w:val="32"/>
          <w:lang w:eastAsia="zh-CN"/>
        </w:rPr>
        <w:t>工程验收合格率，</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pPr>
        <w:pStyle w:val="19"/>
        <w:widowControl/>
        <w:spacing w:before="40" w:beforeAutospacing="0" w:after="0" w:afterAutospacing="0" w:line="520" w:lineRule="atLeast"/>
        <w:ind w:firstLine="640"/>
        <w:jc w:val="both"/>
        <w:rPr>
          <w:rFonts w:hint="eastAsia" w:ascii="仿宋_GB2312" w:hAnsi="仿宋_GB2312" w:eastAsia="仿宋_GB2312" w:cs="仿宋_GB2312"/>
          <w:sz w:val="32"/>
          <w:szCs w:val="32"/>
        </w:rPr>
      </w:pPr>
      <w:r>
        <w:rPr>
          <w:rFonts w:hint="eastAsia" w:ascii="仿宋_GB2312" w:hAnsi="仿宋_GB2312" w:eastAsia="仿宋_GB2312" w:cs="仿宋_GB2312"/>
          <w:b/>
          <w:bCs/>
          <w:color w:val="000000"/>
          <w:kern w:val="0"/>
          <w:sz w:val="32"/>
          <w:szCs w:val="32"/>
        </w:rPr>
        <w:t>产出时效</w:t>
      </w:r>
      <w:r>
        <w:rPr>
          <w:rFonts w:hint="eastAsia" w:ascii="仿宋_GB2312" w:hAnsi="仿宋_GB2312" w:eastAsia="仿宋_GB2312" w:cs="仿宋_GB2312"/>
          <w:b/>
          <w:bCs/>
          <w:color w:val="000000"/>
          <w:kern w:val="0"/>
          <w:sz w:val="32"/>
          <w:szCs w:val="32"/>
          <w:lang w:eastAsia="zh-CN"/>
        </w:rPr>
        <w:t>三级指标：</w:t>
      </w:r>
      <w:r>
        <w:rPr>
          <w:rFonts w:hint="eastAsia" w:ascii="仿宋_GB2312" w:hAnsi="仿宋_GB2312" w:eastAsia="仿宋_GB2312" w:cs="仿宋_GB2312"/>
          <w:sz w:val="32"/>
          <w:szCs w:val="32"/>
          <w:lang w:eastAsia="zh-CN"/>
        </w:rPr>
        <w:t>工程按期完成率，</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pPr>
        <w:pStyle w:val="19"/>
        <w:widowControl/>
        <w:spacing w:before="40" w:beforeAutospacing="0" w:after="0" w:afterAutospacing="0" w:line="520" w:lineRule="atLeast"/>
        <w:ind w:firstLine="64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color w:val="000000"/>
          <w:kern w:val="0"/>
          <w:sz w:val="32"/>
          <w:szCs w:val="32"/>
        </w:rPr>
        <w:t>产出成本</w:t>
      </w:r>
      <w:r>
        <w:rPr>
          <w:rFonts w:hint="eastAsia" w:ascii="仿宋_GB2312" w:hAnsi="仿宋_GB2312" w:eastAsia="仿宋_GB2312" w:cs="仿宋_GB2312"/>
          <w:b/>
          <w:bCs/>
          <w:color w:val="000000"/>
          <w:kern w:val="0"/>
          <w:sz w:val="32"/>
          <w:szCs w:val="32"/>
          <w:lang w:eastAsia="zh-CN"/>
        </w:rPr>
        <w:t>三级指标：项目投资成本，</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542.85万元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509.18万元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94%；</w:t>
      </w:r>
    </w:p>
    <w:p>
      <w:pPr>
        <w:pStyle w:val="2"/>
        <w:ind w:firstLine="321" w:firstLineChars="100"/>
        <w:jc w:val="both"/>
        <w:rPr>
          <w:rFonts w:hint="eastAsia" w:ascii="仿宋_GB2312" w:hAnsi="仿宋_GB2312" w:eastAsia="仿宋_GB2312" w:cs="仿宋_GB2312"/>
          <w:sz w:val="32"/>
          <w:szCs w:val="32"/>
          <w:lang w:val="en-US" w:eastAsia="zh-CN"/>
        </w:rPr>
      </w:pPr>
    </w:p>
    <w:p>
      <w:pPr>
        <w:pStyle w:val="2"/>
        <w:ind w:firstLine="321" w:firstLineChars="1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（四）效益情况</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项目绩效主要从项目的经济效益、社会效益、可持续影响指标、服务对象满意度4个方面对项目的绩效情况进行评价。项目绩效类指标分值20分，实际得分20分，得分率为100%。项目绩效指标得分情况如表所示：</w:t>
      </w:r>
    </w:p>
    <w:p>
      <w:pPr>
        <w:pStyle w:val="18"/>
        <w:rPr>
          <w:rFonts w:hint="eastAsia" w:ascii="仿宋_GB2312" w:hAnsi="仿宋_GB2312" w:eastAsia="仿宋_GB2312" w:cs="仿宋_GB2312"/>
          <w:sz w:val="32"/>
          <w:szCs w:val="32"/>
        </w:rPr>
      </w:pPr>
    </w:p>
    <w:p>
      <w:pPr>
        <w:pStyle w:val="18"/>
        <w:jc w:val="center"/>
        <w:rPr>
          <w:rFonts w:hint="eastAsia" w:ascii="仿宋_GB2312" w:hAnsi="仿宋_GB2312" w:eastAsia="仿宋_GB2312" w:cs="仿宋_GB2312"/>
          <w:sz w:val="32"/>
          <w:szCs w:val="32"/>
        </w:rPr>
      </w:pPr>
      <w:r>
        <w:rPr>
          <w:rFonts w:hint="eastAsia" w:ascii="仿宋_GB2312" w:hAnsi="仿宋_GB2312" w:eastAsia="仿宋_GB2312" w:cs="仿宋_GB2312"/>
          <w:b w:val="0"/>
          <w:bCs/>
          <w:sz w:val="32"/>
          <w:szCs w:val="32"/>
        </w:rPr>
        <w:t>项目</w:t>
      </w:r>
      <w:r>
        <w:rPr>
          <w:rFonts w:hint="eastAsia" w:ascii="仿宋_GB2312" w:hAnsi="仿宋_GB2312" w:eastAsia="仿宋_GB2312" w:cs="仿宋_GB2312"/>
          <w:b w:val="0"/>
          <w:bCs/>
          <w:sz w:val="32"/>
          <w:szCs w:val="32"/>
          <w:lang w:eastAsia="zh-CN"/>
        </w:rPr>
        <w:t>效益</w:t>
      </w:r>
      <w:r>
        <w:rPr>
          <w:rFonts w:hint="eastAsia" w:ascii="仿宋_GB2312" w:hAnsi="仿宋_GB2312" w:eastAsia="仿宋_GB2312" w:cs="仿宋_GB2312"/>
          <w:b w:val="0"/>
          <w:bCs/>
          <w:sz w:val="32"/>
          <w:szCs w:val="32"/>
        </w:rPr>
        <w:t>指标得分情况</w:t>
      </w:r>
    </w:p>
    <w:tbl>
      <w:tblPr>
        <w:tblStyle w:val="21"/>
        <w:tblW w:w="8323"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374"/>
        <w:gridCol w:w="2981"/>
        <w:gridCol w:w="1323"/>
        <w:gridCol w:w="1323"/>
        <w:gridCol w:w="1322"/>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95" w:hRule="atLeast"/>
        </w:trPr>
        <w:tc>
          <w:tcPr>
            <w:tcW w:w="4355" w:type="dxa"/>
            <w:gridSpan w:val="2"/>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三级指标</w:t>
            </w:r>
          </w:p>
        </w:tc>
        <w:tc>
          <w:tcPr>
            <w:tcW w:w="1323" w:type="dxa"/>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权重</w:t>
            </w:r>
          </w:p>
        </w:tc>
        <w:tc>
          <w:tcPr>
            <w:tcW w:w="1323" w:type="dxa"/>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得分率</w:t>
            </w:r>
          </w:p>
        </w:tc>
        <w:tc>
          <w:tcPr>
            <w:tcW w:w="1322" w:type="dxa"/>
            <w:tcBorders>
              <w:tl2br w:val="nil"/>
              <w:tr2bl w:val="nil"/>
            </w:tcBorders>
            <w:shd w:val="clear" w:color="auto" w:fill="auto"/>
            <w:noWrap/>
            <w:tcMar>
              <w:top w:w="10" w:type="dxa"/>
              <w:left w:w="10" w:type="dxa"/>
              <w:right w:w="10" w:type="dxa"/>
            </w:tcMar>
            <w:vAlign w:val="center"/>
          </w:tcPr>
          <w:p>
            <w:pPr>
              <w:widowControl/>
              <w:spacing w:line="400" w:lineRule="exact"/>
              <w:jc w:val="center"/>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kern w:val="0"/>
                <w:sz w:val="32"/>
                <w:szCs w:val="32"/>
              </w:rPr>
              <w:t>实际得分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restart"/>
            <w:tcBorders>
              <w:tl2br w:val="nil"/>
              <w:tr2bl w:val="nil"/>
            </w:tcBorders>
            <w:shd w:val="clear" w:color="auto" w:fill="auto"/>
            <w:noWrap/>
            <w:tcMar>
              <w:top w:w="10" w:type="dxa"/>
              <w:left w:w="10" w:type="dxa"/>
              <w:right w:w="10" w:type="dxa"/>
            </w:tcMar>
            <w:vAlign w:val="center"/>
          </w:tcPr>
          <w:p>
            <w:pPr>
              <w:widowControl/>
              <w:spacing w:line="0" w:lineRule="atLeast"/>
              <w:jc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实施效益</w:t>
            </w:r>
          </w:p>
        </w:tc>
        <w:tc>
          <w:tcPr>
            <w:tcW w:w="2981" w:type="dxa"/>
            <w:tcBorders>
              <w:tl2br w:val="nil"/>
              <w:tr2bl w:val="nil"/>
            </w:tcBorders>
            <w:shd w:val="clear" w:color="auto" w:fill="auto"/>
            <w:noWrap/>
            <w:tcMar>
              <w:top w:w="10" w:type="dxa"/>
              <w:left w:w="10" w:type="dxa"/>
              <w:right w:w="10" w:type="dxa"/>
            </w:tcMar>
            <w:vAlign w:val="bottom"/>
          </w:tcPr>
          <w:p>
            <w:pPr>
              <w:widowControl/>
              <w:spacing w:line="0" w:lineRule="atLeast"/>
              <w:jc w:val="left"/>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社会效益</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kern w:val="0"/>
                <w:sz w:val="32"/>
                <w:szCs w:val="32"/>
                <w:lang w:val="en-US" w:eastAsia="zh-CN"/>
              </w:rPr>
              <w:t>10</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kern w:val="0"/>
                <w:sz w:val="32"/>
                <w:szCs w:val="3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continue"/>
            <w:tcBorders>
              <w:tl2br w:val="nil"/>
              <w:tr2bl w:val="nil"/>
            </w:tcBorders>
            <w:shd w:val="clear" w:color="auto" w:fill="auto"/>
            <w:noWrap/>
            <w:tcMar>
              <w:top w:w="10" w:type="dxa"/>
              <w:left w:w="10" w:type="dxa"/>
              <w:right w:w="10" w:type="dxa"/>
            </w:tcMar>
            <w:vAlign w:val="center"/>
          </w:tcPr>
          <w:p>
            <w:pPr>
              <w:widowControl/>
              <w:spacing w:line="0" w:lineRule="atLeast"/>
              <w:jc w:val="center"/>
              <w:rPr>
                <w:rFonts w:hint="eastAsia" w:ascii="仿宋_GB2312" w:hAnsi="仿宋_GB2312" w:eastAsia="仿宋_GB2312" w:cs="仿宋_GB2312"/>
                <w:color w:val="000000"/>
                <w:sz w:val="32"/>
                <w:szCs w:val="32"/>
              </w:rPr>
            </w:pPr>
          </w:p>
        </w:tc>
        <w:tc>
          <w:tcPr>
            <w:tcW w:w="2981" w:type="dxa"/>
            <w:tcBorders>
              <w:tl2br w:val="nil"/>
              <w:tr2bl w:val="nil"/>
            </w:tcBorders>
            <w:shd w:val="clear" w:color="auto" w:fill="auto"/>
            <w:noWrap/>
            <w:tcMar>
              <w:top w:w="10" w:type="dxa"/>
              <w:left w:w="10" w:type="dxa"/>
              <w:right w:w="10" w:type="dxa"/>
            </w:tcMar>
            <w:vAlign w:val="bottom"/>
          </w:tcPr>
          <w:p>
            <w:pPr>
              <w:widowControl/>
              <w:spacing w:line="0" w:lineRule="atLeast"/>
              <w:jc w:val="left"/>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生态效益</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rPr>
              <w:t>10</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kern w:val="0"/>
                <w:sz w:val="32"/>
                <w:szCs w:val="3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vMerge w:val="continue"/>
            <w:tcBorders>
              <w:tl2br w:val="nil"/>
              <w:tr2bl w:val="nil"/>
            </w:tcBorders>
            <w:shd w:val="clear" w:color="auto" w:fill="auto"/>
            <w:noWrap/>
            <w:tcMar>
              <w:top w:w="10" w:type="dxa"/>
              <w:left w:w="10" w:type="dxa"/>
              <w:right w:w="10" w:type="dxa"/>
            </w:tcMar>
            <w:vAlign w:val="center"/>
          </w:tcPr>
          <w:p>
            <w:pPr>
              <w:widowControl/>
              <w:spacing w:line="0" w:lineRule="atLeast"/>
              <w:jc w:val="center"/>
              <w:rPr>
                <w:rFonts w:hint="eastAsia" w:ascii="仿宋_GB2312" w:hAnsi="仿宋_GB2312" w:eastAsia="仿宋_GB2312" w:cs="仿宋_GB2312"/>
                <w:color w:val="000000"/>
                <w:sz w:val="32"/>
                <w:szCs w:val="32"/>
              </w:rPr>
            </w:pPr>
          </w:p>
        </w:tc>
        <w:tc>
          <w:tcPr>
            <w:tcW w:w="2981" w:type="dxa"/>
            <w:tcBorders>
              <w:tl2br w:val="nil"/>
              <w:tr2bl w:val="nil"/>
            </w:tcBorders>
            <w:shd w:val="clear" w:color="auto" w:fill="auto"/>
            <w:noWrap/>
            <w:tcMar>
              <w:top w:w="10" w:type="dxa"/>
              <w:left w:w="10" w:type="dxa"/>
              <w:right w:w="10" w:type="dxa"/>
            </w:tcMar>
            <w:vAlign w:val="bottom"/>
          </w:tcPr>
          <w:p>
            <w:pPr>
              <w:widowControl/>
              <w:spacing w:line="0" w:lineRule="atLeast"/>
              <w:jc w:val="left"/>
              <w:textAlignment w:val="bottom"/>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kern w:val="0"/>
                <w:sz w:val="32"/>
                <w:szCs w:val="32"/>
              </w:rPr>
              <w:t>可持续影响指标</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rPr>
              <w:t>10</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b/>
                <w:bCs/>
                <w:color w:val="000000"/>
                <w:sz w:val="32"/>
                <w:szCs w:val="32"/>
              </w:rPr>
            </w:pPr>
            <w:r>
              <w:rPr>
                <w:rFonts w:hint="eastAsia" w:ascii="仿宋_GB2312" w:hAnsi="仿宋_GB2312" w:eastAsia="仿宋_GB2312" w:cs="仿宋_GB2312"/>
                <w:color w:val="000000"/>
                <w:kern w:val="0"/>
                <w:sz w:val="32"/>
                <w:szCs w:val="3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1374" w:type="dxa"/>
            <w:tcBorders>
              <w:tl2br w:val="nil"/>
              <w:tr2bl w:val="nil"/>
            </w:tcBorders>
            <w:shd w:val="clear" w:color="auto" w:fill="auto"/>
            <w:noWrap/>
            <w:tcMar>
              <w:top w:w="10" w:type="dxa"/>
              <w:left w:w="10" w:type="dxa"/>
              <w:right w:w="10" w:type="dxa"/>
            </w:tcMar>
            <w:vAlign w:val="center"/>
          </w:tcPr>
          <w:p>
            <w:pPr>
              <w:widowControl/>
              <w:spacing w:line="0" w:lineRule="atLeast"/>
              <w:jc w:val="center"/>
              <w:textAlignment w:val="center"/>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满意度</w:t>
            </w:r>
          </w:p>
        </w:tc>
        <w:tc>
          <w:tcPr>
            <w:tcW w:w="2981" w:type="dxa"/>
            <w:tcBorders>
              <w:tl2br w:val="nil"/>
              <w:tr2bl w:val="nil"/>
            </w:tcBorders>
            <w:shd w:val="clear" w:color="auto" w:fill="auto"/>
            <w:noWrap/>
            <w:tcMar>
              <w:top w:w="10" w:type="dxa"/>
              <w:left w:w="10" w:type="dxa"/>
              <w:right w:w="10" w:type="dxa"/>
            </w:tcMar>
            <w:vAlign w:val="bottom"/>
          </w:tcPr>
          <w:p>
            <w:pPr>
              <w:widowControl/>
              <w:spacing w:line="0" w:lineRule="atLeast"/>
              <w:jc w:val="left"/>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eastAsia="zh-CN"/>
              </w:rPr>
              <w:t>政协委员、人民群众</w:t>
            </w:r>
            <w:r>
              <w:rPr>
                <w:rFonts w:hint="eastAsia" w:ascii="仿宋_GB2312" w:hAnsi="仿宋_GB2312" w:eastAsia="仿宋_GB2312" w:cs="仿宋_GB2312"/>
                <w:color w:val="000000"/>
                <w:kern w:val="0"/>
                <w:sz w:val="32"/>
                <w:szCs w:val="32"/>
              </w:rPr>
              <w:t>满意度</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kern w:val="0"/>
                <w:sz w:val="32"/>
                <w:szCs w:val="32"/>
                <w:lang w:val="en-US" w:eastAsia="zh-CN"/>
              </w:rPr>
              <w:t>10</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kern w:val="0"/>
                <w:sz w:val="32"/>
                <w:szCs w:val="3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25" w:hRule="atLeast"/>
        </w:trPr>
        <w:tc>
          <w:tcPr>
            <w:tcW w:w="1374" w:type="dxa"/>
            <w:tcBorders>
              <w:tl2br w:val="nil"/>
              <w:tr2bl w:val="nil"/>
            </w:tcBorders>
            <w:shd w:val="clear" w:color="auto" w:fill="auto"/>
            <w:noWrap/>
            <w:tcMar>
              <w:top w:w="10" w:type="dxa"/>
              <w:left w:w="10" w:type="dxa"/>
              <w:right w:w="10" w:type="dxa"/>
            </w:tcMar>
            <w:vAlign w:val="bottom"/>
          </w:tcPr>
          <w:p>
            <w:pPr>
              <w:widowControl/>
              <w:spacing w:line="0" w:lineRule="atLeast"/>
              <w:rPr>
                <w:rFonts w:hint="eastAsia" w:ascii="仿宋_GB2312" w:hAnsi="仿宋_GB2312" w:eastAsia="仿宋_GB2312" w:cs="仿宋_GB2312"/>
                <w:color w:val="000000"/>
                <w:sz w:val="32"/>
                <w:szCs w:val="32"/>
              </w:rPr>
            </w:pPr>
          </w:p>
        </w:tc>
        <w:tc>
          <w:tcPr>
            <w:tcW w:w="2981"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合  计</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lang w:val="en-US" w:eastAsia="zh-CN"/>
              </w:rPr>
              <w:t>40</w:t>
            </w:r>
          </w:p>
        </w:tc>
        <w:tc>
          <w:tcPr>
            <w:tcW w:w="1323"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rPr>
              <w:t>100%</w:t>
            </w:r>
          </w:p>
        </w:tc>
        <w:tc>
          <w:tcPr>
            <w:tcW w:w="1322" w:type="dxa"/>
            <w:tcBorders>
              <w:tl2br w:val="nil"/>
              <w:tr2bl w:val="nil"/>
            </w:tcBorders>
            <w:shd w:val="clear" w:color="auto" w:fill="auto"/>
            <w:noWrap/>
            <w:tcMar>
              <w:top w:w="10" w:type="dxa"/>
              <w:left w:w="10" w:type="dxa"/>
              <w:right w:w="10" w:type="dxa"/>
            </w:tcMar>
            <w:vAlign w:val="bottom"/>
          </w:tcPr>
          <w:p>
            <w:pPr>
              <w:widowControl/>
              <w:spacing w:line="0" w:lineRule="atLeast"/>
              <w:jc w:val="center"/>
              <w:textAlignment w:val="bottom"/>
              <w:rPr>
                <w:rFonts w:hint="default"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kern w:val="0"/>
                <w:sz w:val="32"/>
                <w:szCs w:val="32"/>
                <w:lang w:val="en-US" w:eastAsia="zh-CN"/>
              </w:rPr>
              <w:t>40</w:t>
            </w:r>
          </w:p>
        </w:tc>
      </w:tr>
    </w:tbl>
    <w:p>
      <w:pPr>
        <w:pStyle w:val="19"/>
        <w:widowControl/>
        <w:spacing w:before="40" w:beforeAutospacing="0" w:after="0" w:afterAutospacing="0" w:line="520" w:lineRule="atLeast"/>
        <w:ind w:firstLine="643"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经济效益指标：</w:t>
      </w:r>
      <w:r>
        <w:rPr>
          <w:rFonts w:hint="eastAsia" w:ascii="仿宋_GB2312" w:hAnsi="仿宋_GB2312" w:eastAsia="仿宋_GB2312" w:cs="仿宋_GB2312"/>
          <w:b w:val="0"/>
          <w:bCs w:val="0"/>
          <w:sz w:val="32"/>
          <w:szCs w:val="32"/>
          <w:lang w:val="en-US" w:eastAsia="zh-CN"/>
        </w:rPr>
        <w:t>涉及功能实现率</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widowControl/>
        <w:spacing w:before="40" w:beforeAutospacing="0" w:after="0" w:afterAutospacing="0" w:line="520" w:lineRule="atLeast"/>
        <w:ind w:firstLine="643"/>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社会效益指标：</w:t>
      </w:r>
      <w:r>
        <w:rPr>
          <w:rFonts w:hint="eastAsia" w:ascii="仿宋_GB2312" w:hAnsi="仿宋_GB2312" w:eastAsia="仿宋_GB2312" w:cs="仿宋_GB2312"/>
          <w:sz w:val="32"/>
          <w:szCs w:val="32"/>
          <w:lang w:eastAsia="zh-CN"/>
        </w:rPr>
        <w:t>业务保障能力</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完成</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widowControl/>
        <w:spacing w:before="40" w:beforeAutospacing="0" w:after="0" w:afterAutospacing="0" w:line="520" w:lineRule="atLeast"/>
        <w:ind w:firstLine="643"/>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可持续影响指标：</w:t>
      </w:r>
      <w:r>
        <w:rPr>
          <w:rFonts w:hint="eastAsia" w:ascii="仿宋_GB2312" w:hAnsi="仿宋_GB2312" w:eastAsia="仿宋_GB2312" w:cs="仿宋_GB2312"/>
          <w:sz w:val="32"/>
          <w:szCs w:val="32"/>
          <w:lang w:eastAsia="zh-CN"/>
        </w:rPr>
        <w:t>综合利用率</w:t>
      </w:r>
      <w:r>
        <w:rPr>
          <w:rFonts w:hint="eastAsia" w:ascii="仿宋_GB2312" w:hAnsi="仿宋_GB2312" w:eastAsia="仿宋_GB2312" w:cs="仿宋_GB2312"/>
          <w:sz w:val="32"/>
          <w:szCs w:val="32"/>
        </w:rPr>
        <w:t>，预期指标值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，指标完成值</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p>
    <w:p>
      <w:pPr>
        <w:pStyle w:val="19"/>
        <w:widowControl/>
        <w:spacing w:before="40" w:beforeAutospacing="0" w:after="0" w:afterAutospacing="0" w:line="520" w:lineRule="atLeast"/>
        <w:ind w:firstLine="643"/>
        <w:jc w:val="both"/>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服务对象满意度指标：</w:t>
      </w:r>
      <w:r>
        <w:rPr>
          <w:rFonts w:hint="eastAsia" w:ascii="仿宋_GB2312" w:hAnsi="仿宋_GB2312" w:eastAsia="仿宋_GB2312" w:cs="仿宋_GB2312"/>
          <w:sz w:val="32"/>
          <w:szCs w:val="32"/>
          <w:lang w:eastAsia="zh-CN"/>
        </w:rPr>
        <w:t>收益群体满意度</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预期指标值≥95%，指标完成值95%，指标完成率</w:t>
      </w:r>
      <w:r>
        <w:rPr>
          <w:rFonts w:hint="eastAsia" w:ascii="仿宋_GB2312" w:hAnsi="仿宋_GB2312" w:eastAsia="仿宋_GB2312" w:cs="仿宋_GB2312"/>
          <w:sz w:val="32"/>
          <w:szCs w:val="32"/>
          <w:lang w:val="en-US" w:eastAsia="zh-CN"/>
        </w:rPr>
        <w:t>100%；</w:t>
      </w:r>
    </w:p>
    <w:p>
      <w:pPr>
        <w:spacing w:line="600" w:lineRule="exact"/>
        <w:ind w:firstLine="641"/>
        <w:rPr>
          <w:rStyle w:val="52"/>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五、主要经验及做法、存在的问题及原因分析</w:t>
      </w:r>
    </w:p>
    <w:p>
      <w:pPr>
        <w:spacing w:line="540" w:lineRule="exact"/>
        <w:ind w:firstLine="567" w:firstLineChars="181"/>
        <w:rPr>
          <w:rFonts w:hint="eastAsia" w:ascii="仿宋_GB2312" w:hAnsi="仿宋_GB2312" w:eastAsia="仿宋_GB2312" w:cs="仿宋_GB2312"/>
          <w:b/>
          <w:spacing w:val="-4"/>
          <w:sz w:val="32"/>
          <w:szCs w:val="32"/>
        </w:rPr>
      </w:pPr>
      <w:r>
        <w:rPr>
          <w:rFonts w:hint="eastAsia" w:ascii="仿宋_GB2312" w:hAnsi="仿宋_GB2312" w:eastAsia="仿宋_GB2312" w:cs="仿宋_GB2312"/>
          <w:b/>
          <w:spacing w:val="-4"/>
          <w:sz w:val="32"/>
          <w:szCs w:val="32"/>
        </w:rPr>
        <w:t>（一）主要经验及做法</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到实处。在项目完成后，做好受益群众民意调查及项目防范工作。</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从事中监督和事后检查稽核相结合的监督制度上来，形成多环节全过程的监督管理格局，尽早发现问题，早解决问题。</w:t>
      </w:r>
    </w:p>
    <w:p>
      <w:pPr>
        <w:keepNext/>
        <w:keepLines/>
        <w:numPr>
          <w:ilvl w:val="0"/>
          <w:numId w:val="4"/>
        </w:num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存在的问题及原因分析</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通过对年初预算绩效目标体系的评定、年中支出绩效的监控、年末支出绩效的自评，进一步呈现出预算工作中存在不足与偏差，需在预算编制上贴近现实，加强改进，做到科学性、合理编制。</w:t>
      </w:r>
    </w:p>
    <w:p>
      <w:pPr>
        <w:numPr>
          <w:ilvl w:val="0"/>
          <w:numId w:val="5"/>
        </w:num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有关建议</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1、加强本部门预算编制的科学、合理性，严格执行预算。</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2、加强学习，提高工作能力。</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3、进一步贯彻执行中央八项规定和自治区党委十条规定，完善本部门“三公”经费等公务支出管理制度及厉行节约制度，继续加强经费审批和控制，规范支出标准和范围，并严格执行。</w:t>
      </w:r>
    </w:p>
    <w:p>
      <w:pPr>
        <w:numPr>
          <w:ilvl w:val="0"/>
          <w:numId w:val="5"/>
        </w:numPr>
        <w:spacing w:line="600" w:lineRule="exact"/>
        <w:ind w:firstLine="641"/>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其他需要说</w:t>
      </w:r>
      <w:bookmarkStart w:id="1" w:name="page8"/>
      <w:bookmarkEnd w:id="1"/>
      <w:r>
        <w:rPr>
          <w:rFonts w:hint="eastAsia" w:ascii="仿宋_GB2312" w:hAnsi="仿宋_GB2312" w:eastAsia="仿宋_GB2312" w:cs="仿宋_GB2312"/>
          <w:b/>
          <w:bCs/>
          <w:sz w:val="32"/>
          <w:szCs w:val="32"/>
        </w:rPr>
        <w:t>明的问题</w:t>
      </w:r>
    </w:p>
    <w:p>
      <w:pPr>
        <w:spacing w:line="600" w:lineRule="exact"/>
        <w:ind w:firstLine="641"/>
        <w:rPr>
          <w:rStyle w:val="23"/>
          <w:rFonts w:hint="eastAsia" w:ascii="仿宋_GB2312" w:hAnsi="仿宋_GB2312" w:eastAsia="仿宋_GB2312" w:cs="仿宋_GB2312"/>
          <w:b w:val="0"/>
          <w:spacing w:val="-4"/>
          <w:sz w:val="32"/>
          <w:szCs w:val="32"/>
          <w:lang w:val="en-US" w:eastAsia="zh-CN"/>
        </w:rPr>
      </w:pPr>
      <w:r>
        <w:rPr>
          <w:rStyle w:val="23"/>
          <w:rFonts w:hint="eastAsia" w:ascii="仿宋_GB2312" w:hAnsi="仿宋_GB2312" w:eastAsia="仿宋_GB2312" w:cs="仿宋_GB2312"/>
          <w:b w:val="0"/>
          <w:spacing w:val="-4"/>
          <w:sz w:val="32"/>
          <w:szCs w:val="32"/>
          <w:lang w:val="en-US" w:eastAsia="zh-CN"/>
        </w:rPr>
        <w:t>无其他需要说明的问题。</w:t>
      </w:r>
    </w:p>
    <w:p>
      <w:pPr>
        <w:pStyle w:val="2"/>
        <w:jc w:val="both"/>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keepNext w:val="0"/>
        <w:keepLines w:val="0"/>
        <w:widowControl/>
        <w:suppressLineNumbers w:val="0"/>
        <w:jc w:val="center"/>
        <w:textAlignment w:val="center"/>
        <w:rPr>
          <w:rFonts w:hint="eastAsia" w:ascii="仿宋_GB2312" w:hAnsi="仿宋_GB2312" w:eastAsia="仿宋_GB2312" w:cs="仿宋_GB2312"/>
          <w:b/>
          <w:i w:val="0"/>
          <w:color w:val="000000"/>
          <w:kern w:val="0"/>
          <w:sz w:val="32"/>
          <w:szCs w:val="32"/>
          <w:u w:val="none"/>
          <w:lang w:val="en-US" w:eastAsia="zh-CN" w:bidi="ar"/>
        </w:rPr>
        <w:sectPr>
          <w:footerReference r:id="rId3" w:type="default"/>
          <w:pgSz w:w="11906" w:h="16838"/>
          <w:pgMar w:top="1440" w:right="1558" w:bottom="1440" w:left="1800" w:header="851" w:footer="992" w:gutter="0"/>
          <w:cols w:space="425" w:num="1"/>
          <w:docGrid w:type="lines" w:linePitch="312" w:charSpace="0"/>
        </w:sectPr>
      </w:pPr>
    </w:p>
    <w:tbl>
      <w:tblPr>
        <w:tblStyle w:val="21"/>
        <w:tblW w:w="9268" w:type="dxa"/>
        <w:tblInd w:w="0" w:type="dxa"/>
        <w:shd w:val="clear" w:color="auto" w:fill="auto"/>
        <w:tblLayout w:type="fixed"/>
        <w:tblCellMar>
          <w:top w:w="0" w:type="dxa"/>
          <w:left w:w="0" w:type="dxa"/>
          <w:bottom w:w="0" w:type="dxa"/>
          <w:right w:w="0" w:type="dxa"/>
        </w:tblCellMar>
      </w:tblPr>
      <w:tblGrid>
        <w:gridCol w:w="712"/>
        <w:gridCol w:w="959"/>
        <w:gridCol w:w="1260"/>
        <w:gridCol w:w="240"/>
        <w:gridCol w:w="1102"/>
        <w:gridCol w:w="1028"/>
        <w:gridCol w:w="1440"/>
        <w:gridCol w:w="600"/>
        <w:gridCol w:w="1927"/>
      </w:tblGrid>
      <w:tr>
        <w:tblPrEx>
          <w:shd w:val="clear" w:color="auto" w:fill="auto"/>
          <w:tblCellMar>
            <w:top w:w="0" w:type="dxa"/>
            <w:left w:w="0" w:type="dxa"/>
            <w:bottom w:w="0" w:type="dxa"/>
            <w:right w:w="0" w:type="dxa"/>
          </w:tblCellMar>
        </w:tblPrEx>
        <w:trPr>
          <w:trHeight w:val="405" w:hRule="atLeast"/>
        </w:trPr>
        <w:tc>
          <w:tcPr>
            <w:tcW w:w="9268" w:type="dxa"/>
            <w:gridSpan w:val="9"/>
            <w:vMerge w:val="restart"/>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32"/>
                <w:szCs w:val="32"/>
                <w:u w:val="none"/>
              </w:rPr>
            </w:pPr>
            <w:r>
              <w:rPr>
                <w:rFonts w:hint="eastAsia" w:ascii="方正小标宋简体" w:hAnsi="方正小标宋简体" w:eastAsia="方正小标宋简体" w:cs="方正小标宋简体"/>
                <w:b/>
                <w:i w:val="0"/>
                <w:color w:val="000000"/>
                <w:kern w:val="0"/>
                <w:sz w:val="32"/>
                <w:szCs w:val="32"/>
                <w:u w:val="none"/>
                <w:lang w:val="en-US" w:eastAsia="zh-CN" w:bidi="ar"/>
              </w:rPr>
              <w:t>项目支出绩效自评表</w:t>
            </w:r>
          </w:p>
        </w:tc>
      </w:tr>
      <w:tr>
        <w:tblPrEx>
          <w:shd w:val="clear" w:color="auto" w:fill="auto"/>
          <w:tblCellMar>
            <w:top w:w="0" w:type="dxa"/>
            <w:left w:w="0" w:type="dxa"/>
            <w:bottom w:w="0" w:type="dxa"/>
            <w:right w:w="0" w:type="dxa"/>
          </w:tblCellMar>
        </w:tblPrEx>
        <w:trPr>
          <w:trHeight w:val="270" w:hRule="atLeast"/>
        </w:trPr>
        <w:tc>
          <w:tcPr>
            <w:tcW w:w="9268" w:type="dxa"/>
            <w:gridSpan w:val="9"/>
            <w:vMerge w:val="continue"/>
            <w:tcBorders>
              <w:top w:val="nil"/>
              <w:left w:val="nil"/>
              <w:bottom w:val="nil"/>
              <w:right w:val="nil"/>
            </w:tcBorders>
            <w:shd w:val="clear" w:color="auto" w:fill="auto"/>
            <w:tcMar>
              <w:top w:w="15" w:type="dxa"/>
              <w:left w:w="15" w:type="dxa"/>
              <w:right w:w="15" w:type="dxa"/>
            </w:tcMar>
            <w:vAlign w:val="center"/>
          </w:tcPr>
          <w:p>
            <w:pPr>
              <w:jc w:val="center"/>
              <w:rPr>
                <w:rFonts w:hint="eastAsia" w:ascii="宋体" w:hAnsi="宋体" w:eastAsia="宋体" w:cs="宋体"/>
                <w:b/>
                <w:i w:val="0"/>
                <w:color w:val="000000"/>
                <w:sz w:val="32"/>
                <w:szCs w:val="32"/>
                <w:u w:val="none"/>
              </w:rPr>
            </w:pPr>
          </w:p>
        </w:tc>
      </w:tr>
      <w:tr>
        <w:tblPrEx>
          <w:shd w:val="clear" w:color="auto" w:fill="auto"/>
          <w:tblCellMar>
            <w:top w:w="0" w:type="dxa"/>
            <w:left w:w="0" w:type="dxa"/>
            <w:bottom w:w="0" w:type="dxa"/>
            <w:right w:w="0" w:type="dxa"/>
          </w:tblCellMar>
        </w:tblPrEx>
        <w:trPr>
          <w:trHeight w:val="300" w:hRule="atLeast"/>
        </w:trPr>
        <w:tc>
          <w:tcPr>
            <w:tcW w:w="9268"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2"/>
                <w:szCs w:val="2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0" w:type="dxa"/>
            <w:bottom w:w="0" w:type="dxa"/>
            <w:right w:w="0" w:type="dxa"/>
          </w:tblCellMar>
        </w:tblPrEx>
        <w:trPr>
          <w:trHeight w:val="300" w:hRule="atLeast"/>
        </w:trPr>
        <w:tc>
          <w:tcPr>
            <w:tcW w:w="9268" w:type="dxa"/>
            <w:gridSpan w:val="9"/>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r>
      <w:tr>
        <w:tblPrEx>
          <w:shd w:val="clear" w:color="auto" w:fill="auto"/>
          <w:tblCellMar>
            <w:top w:w="0" w:type="dxa"/>
            <w:left w:w="0" w:type="dxa"/>
            <w:bottom w:w="0" w:type="dxa"/>
            <w:right w:w="0" w:type="dxa"/>
          </w:tblCellMar>
        </w:tblPrEx>
        <w:trPr>
          <w:trHeight w:val="300" w:hRule="atLeast"/>
        </w:trPr>
        <w:tc>
          <w:tcPr>
            <w:tcW w:w="1671"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项目名称</w:t>
            </w:r>
          </w:p>
        </w:tc>
        <w:tc>
          <w:tcPr>
            <w:tcW w:w="7597" w:type="dxa"/>
            <w:gridSpan w:val="7"/>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塔城地区应急指挥中心建设项目</w:t>
            </w:r>
          </w:p>
        </w:tc>
      </w:tr>
      <w:tr>
        <w:tblPrEx>
          <w:shd w:val="clear" w:color="auto" w:fill="auto"/>
          <w:tblCellMar>
            <w:top w:w="0" w:type="dxa"/>
            <w:left w:w="0" w:type="dxa"/>
            <w:bottom w:w="0" w:type="dxa"/>
            <w:right w:w="0" w:type="dxa"/>
          </w:tblCellMar>
        </w:tblPrEx>
        <w:trPr>
          <w:trHeight w:val="342" w:hRule="atLeast"/>
        </w:trPr>
        <w:tc>
          <w:tcPr>
            <w:tcW w:w="1671"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主管部门</w:t>
            </w:r>
          </w:p>
        </w:tc>
        <w:tc>
          <w:tcPr>
            <w:tcW w:w="3630" w:type="dxa"/>
            <w:gridSpan w:val="4"/>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204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实施单位</w:t>
            </w:r>
          </w:p>
        </w:tc>
        <w:tc>
          <w:tcPr>
            <w:tcW w:w="1927"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塔城地区应急管理局</w:t>
            </w:r>
          </w:p>
        </w:tc>
      </w:tr>
      <w:tr>
        <w:tblPrEx>
          <w:shd w:val="clear" w:color="auto" w:fill="auto"/>
          <w:tblCellMar>
            <w:top w:w="0" w:type="dxa"/>
            <w:left w:w="0" w:type="dxa"/>
            <w:bottom w:w="0" w:type="dxa"/>
            <w:right w:w="0" w:type="dxa"/>
          </w:tblCellMar>
        </w:tblPrEx>
        <w:trPr>
          <w:trHeight w:val="300" w:hRule="atLeast"/>
        </w:trPr>
        <w:tc>
          <w:tcPr>
            <w:tcW w:w="1671" w:type="dxa"/>
            <w:gridSpan w:val="2"/>
            <w:tcBorders>
              <w:top w:val="nil"/>
              <w:left w:val="single" w:color="000000" w:sz="8" w:space="0"/>
              <w:bottom w:val="single" w:color="000000" w:sz="8"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项目资金</w:t>
            </w:r>
          </w:p>
        </w:tc>
        <w:tc>
          <w:tcPr>
            <w:tcW w:w="1260" w:type="dxa"/>
            <w:tcBorders>
              <w:top w:val="single" w:color="auto" w:sz="4" w:space="0"/>
              <w:left w:val="single" w:color="auto" w:sz="4" w:space="0"/>
              <w:bottom w:val="single" w:color="auto" w:sz="4" w:space="0"/>
              <w:right w:val="nil"/>
            </w:tcBorders>
            <w:shd w:val="clear" w:color="auto" w:fill="auto"/>
            <w:tcMar>
              <w:top w:w="15" w:type="dxa"/>
              <w:left w:w="15" w:type="dxa"/>
              <w:right w:w="15" w:type="dxa"/>
            </w:tcMar>
            <w:vAlign w:val="bottom"/>
          </w:tcPr>
          <w:p>
            <w:pPr>
              <w:rPr>
                <w:rFonts w:hint="eastAsia" w:ascii="宋体" w:hAnsi="宋体" w:eastAsia="宋体" w:cs="宋体"/>
                <w:i w:val="0"/>
                <w:color w:val="000000"/>
                <w:sz w:val="15"/>
                <w:szCs w:val="15"/>
                <w:u w:val="none"/>
              </w:rPr>
            </w:pPr>
          </w:p>
        </w:tc>
        <w:tc>
          <w:tcPr>
            <w:tcW w:w="240" w:type="dxa"/>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bottom"/>
          </w:tcPr>
          <w:p/>
        </w:tc>
        <w:tc>
          <w:tcPr>
            <w:tcW w:w="1102" w:type="dxa"/>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年初预算数</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全年预算数</w:t>
            </w:r>
          </w:p>
        </w:tc>
        <w:tc>
          <w:tcPr>
            <w:tcW w:w="204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全年执行数</w:t>
            </w:r>
          </w:p>
        </w:tc>
        <w:tc>
          <w:tcPr>
            <w:tcW w:w="192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0" w:type="dxa"/>
            <w:bottom w:w="0" w:type="dxa"/>
            <w:right w:w="0" w:type="dxa"/>
          </w:tblCellMar>
        </w:tblPrEx>
        <w:trPr>
          <w:trHeight w:val="300" w:hRule="atLeast"/>
        </w:trPr>
        <w:tc>
          <w:tcPr>
            <w:tcW w:w="1671"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（万元）</w:t>
            </w:r>
          </w:p>
        </w:tc>
        <w:tc>
          <w:tcPr>
            <w:tcW w:w="1500" w:type="dxa"/>
            <w:gridSpan w:val="2"/>
            <w:tcBorders>
              <w:top w:val="single" w:color="auto" w:sz="4" w:space="0"/>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年度资金总额</w:t>
            </w:r>
          </w:p>
        </w:tc>
        <w:tc>
          <w:tcPr>
            <w:tcW w:w="110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542.85</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542.85</w:t>
            </w:r>
          </w:p>
        </w:tc>
        <w:tc>
          <w:tcPr>
            <w:tcW w:w="204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509.18</w:t>
            </w:r>
          </w:p>
        </w:tc>
        <w:tc>
          <w:tcPr>
            <w:tcW w:w="192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93.80%</w:t>
            </w:r>
          </w:p>
        </w:tc>
      </w:tr>
      <w:tr>
        <w:tblPrEx>
          <w:shd w:val="clear" w:color="auto" w:fill="auto"/>
          <w:tblCellMar>
            <w:top w:w="0" w:type="dxa"/>
            <w:left w:w="0" w:type="dxa"/>
            <w:bottom w:w="0" w:type="dxa"/>
            <w:right w:w="0" w:type="dxa"/>
          </w:tblCellMar>
        </w:tblPrEx>
        <w:trPr>
          <w:trHeight w:val="300" w:hRule="atLeast"/>
        </w:trPr>
        <w:tc>
          <w:tcPr>
            <w:tcW w:w="1671"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50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其中：当年财政拨款</w:t>
            </w:r>
          </w:p>
        </w:tc>
        <w:tc>
          <w:tcPr>
            <w:tcW w:w="110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542.85</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542.85</w:t>
            </w:r>
          </w:p>
        </w:tc>
        <w:tc>
          <w:tcPr>
            <w:tcW w:w="204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509.18</w:t>
            </w:r>
          </w:p>
        </w:tc>
        <w:tc>
          <w:tcPr>
            <w:tcW w:w="192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671"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50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10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w:t>
            </w:r>
          </w:p>
        </w:tc>
        <w:tc>
          <w:tcPr>
            <w:tcW w:w="204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w:t>
            </w:r>
          </w:p>
        </w:tc>
        <w:tc>
          <w:tcPr>
            <w:tcW w:w="192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300" w:hRule="atLeast"/>
        </w:trPr>
        <w:tc>
          <w:tcPr>
            <w:tcW w:w="1671" w:type="dxa"/>
            <w:gridSpan w:val="2"/>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50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102"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2040"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w:t>
            </w:r>
          </w:p>
        </w:tc>
        <w:tc>
          <w:tcPr>
            <w:tcW w:w="1927"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0" w:type="dxa"/>
            <w:bottom w:w="0" w:type="dxa"/>
            <w:right w:w="0" w:type="dxa"/>
          </w:tblCellMar>
        </w:tblPrEx>
        <w:trPr>
          <w:trHeight w:val="795" w:hRule="atLeast"/>
        </w:trPr>
        <w:tc>
          <w:tcPr>
            <w:tcW w:w="712" w:type="dxa"/>
            <w:vMerge w:val="restart"/>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年度总体目标</w:t>
            </w:r>
          </w:p>
        </w:tc>
        <w:tc>
          <w:tcPr>
            <w:tcW w:w="4589" w:type="dxa"/>
            <w:gridSpan w:val="5"/>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预期目标</w:t>
            </w:r>
          </w:p>
        </w:tc>
        <w:tc>
          <w:tcPr>
            <w:tcW w:w="3967" w:type="dxa"/>
            <w:gridSpan w:val="3"/>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0" w:type="dxa"/>
            <w:bottom w:w="0" w:type="dxa"/>
            <w:right w:w="0" w:type="dxa"/>
          </w:tblCellMar>
        </w:tblPrEx>
        <w:trPr>
          <w:trHeight w:val="3450"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4589" w:type="dxa"/>
            <w:gridSpan w:val="5"/>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新疆维吾尔自治区应急管理局办公室关于印发《新疆维吾尔自治区地（州、市）、县（市、区）应急平台指导建设方案》的通知中共塔城地委办公室塔城地区行署办公室关于印发《塔城地区深入推进安全生产工作方案》的通知文件。为认真贯彻国家、自治区、地区安全生产电视电话会议</w:t>
            </w:r>
            <w:r>
              <w:rPr>
                <w:rFonts w:hint="eastAsia" w:ascii="宋体" w:hAnsi="宋体" w:cs="宋体"/>
                <w:i w:val="0"/>
                <w:color w:val="000000"/>
                <w:kern w:val="0"/>
                <w:sz w:val="18"/>
                <w:szCs w:val="18"/>
                <w:u w:val="none"/>
                <w:lang w:val="en-US" w:eastAsia="zh-CN" w:bidi="ar"/>
              </w:rPr>
              <w:t>精神</w:t>
            </w:r>
            <w:r>
              <w:rPr>
                <w:rFonts w:hint="eastAsia" w:ascii="宋体" w:hAnsi="宋体" w:eastAsia="宋体" w:cs="宋体"/>
                <w:i w:val="0"/>
                <w:color w:val="000000"/>
                <w:kern w:val="0"/>
                <w:sz w:val="18"/>
                <w:szCs w:val="18"/>
                <w:u w:val="none"/>
                <w:lang w:val="en-US" w:eastAsia="zh-CN" w:bidi="ar"/>
              </w:rPr>
              <w:t>，全力做好全地区安全生产各项工作。项目总投入5428500元，其中大屏显示系统255万元，机房建设20万元，综合配套245万元。</w:t>
            </w:r>
          </w:p>
        </w:tc>
        <w:tc>
          <w:tcPr>
            <w:tcW w:w="3967" w:type="dxa"/>
            <w:gridSpan w:val="3"/>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新疆维吾尔自治区应急管理局办公室关于印发《新疆维吾尔自治区地（州、市）、县（市、区）应急平台指导建设方案》的通知</w:t>
            </w:r>
            <w:r>
              <w:rPr>
                <w:rFonts w:hint="eastAsia" w:ascii="宋体" w:hAnsi="宋体" w:cs="宋体"/>
                <w:i w:val="0"/>
                <w:color w:val="000000"/>
                <w:kern w:val="0"/>
                <w:sz w:val="18"/>
                <w:szCs w:val="18"/>
                <w:u w:val="none"/>
                <w:lang w:val="en-US" w:eastAsia="zh-CN" w:bidi="ar"/>
              </w:rPr>
              <w:t>，</w:t>
            </w:r>
            <w:r>
              <w:rPr>
                <w:rFonts w:hint="eastAsia" w:ascii="宋体" w:hAnsi="宋体" w:eastAsia="宋体" w:cs="宋体"/>
                <w:i w:val="0"/>
                <w:color w:val="000000"/>
                <w:kern w:val="0"/>
                <w:sz w:val="18"/>
                <w:szCs w:val="18"/>
                <w:u w:val="none"/>
                <w:lang w:val="en-US" w:eastAsia="zh-CN" w:bidi="ar"/>
              </w:rPr>
              <w:t>中共塔城地委办公室塔城地区行署办公室关于印发《塔城地区深入推进安全生产工作方案》的通知文件。为认真贯彻国家、自治区、地区安全生产电视电话会议</w:t>
            </w:r>
            <w:r>
              <w:rPr>
                <w:rFonts w:hint="eastAsia" w:ascii="宋体" w:hAnsi="宋体" w:cs="宋体"/>
                <w:i w:val="0"/>
                <w:color w:val="000000"/>
                <w:kern w:val="0"/>
                <w:sz w:val="18"/>
                <w:szCs w:val="18"/>
                <w:u w:val="none"/>
                <w:lang w:val="en-US" w:eastAsia="zh-CN" w:bidi="ar"/>
              </w:rPr>
              <w:t>精神</w:t>
            </w:r>
            <w:r>
              <w:rPr>
                <w:rFonts w:hint="eastAsia" w:ascii="宋体" w:hAnsi="宋体" w:eastAsia="宋体" w:cs="宋体"/>
                <w:i w:val="0"/>
                <w:color w:val="000000"/>
                <w:kern w:val="0"/>
                <w:sz w:val="18"/>
                <w:szCs w:val="18"/>
                <w:u w:val="none"/>
                <w:lang w:val="en-US" w:eastAsia="zh-CN" w:bidi="ar"/>
              </w:rPr>
              <w:t>，全力做好全地区安全生产各项工作。项目总投入5428500元，其中大屏显示系统255万元，机房建设20万元，综合配套245万元。</w:t>
            </w:r>
          </w:p>
        </w:tc>
      </w:tr>
      <w:tr>
        <w:tblPrEx>
          <w:shd w:val="clear" w:color="auto" w:fill="auto"/>
          <w:tblCellMar>
            <w:top w:w="0" w:type="dxa"/>
            <w:left w:w="0" w:type="dxa"/>
            <w:bottom w:w="0" w:type="dxa"/>
            <w:right w:w="0" w:type="dxa"/>
          </w:tblCellMar>
        </w:tblPrEx>
        <w:trPr>
          <w:trHeight w:val="320" w:hRule="atLeast"/>
        </w:trPr>
        <w:tc>
          <w:tcPr>
            <w:tcW w:w="71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一级指标</w:t>
            </w: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二级指标</w:t>
            </w:r>
          </w:p>
        </w:tc>
        <w:tc>
          <w:tcPr>
            <w:tcW w:w="1342" w:type="dxa"/>
            <w:gridSpan w:val="2"/>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三级指标</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年度指标值</w:t>
            </w:r>
          </w:p>
        </w:tc>
        <w:tc>
          <w:tcPr>
            <w:tcW w:w="14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实际完成值</w:t>
            </w:r>
          </w:p>
        </w:tc>
        <w:tc>
          <w:tcPr>
            <w:tcW w:w="252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0" w:type="dxa"/>
            <w:bottom w:w="0" w:type="dxa"/>
            <w:right w:w="0" w:type="dxa"/>
          </w:tblCellMar>
        </w:tblPrEx>
        <w:trPr>
          <w:trHeight w:val="320" w:hRule="atLeast"/>
        </w:trPr>
        <w:tc>
          <w:tcPr>
            <w:tcW w:w="712"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95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产出指标</w:t>
            </w: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数量指标</w:t>
            </w:r>
          </w:p>
        </w:tc>
        <w:tc>
          <w:tcPr>
            <w:tcW w:w="1342" w:type="dxa"/>
            <w:gridSpan w:val="2"/>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建设应急指挥平台</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=1个</w:t>
            </w:r>
          </w:p>
        </w:tc>
        <w:tc>
          <w:tcPr>
            <w:tcW w:w="14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1个</w:t>
            </w:r>
          </w:p>
        </w:tc>
        <w:tc>
          <w:tcPr>
            <w:tcW w:w="252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r>
      <w:tr>
        <w:tblPrEx>
          <w:tblCellMar>
            <w:top w:w="0" w:type="dxa"/>
            <w:left w:w="0" w:type="dxa"/>
            <w:bottom w:w="0" w:type="dxa"/>
            <w:right w:w="0" w:type="dxa"/>
          </w:tblCellMar>
        </w:tblPrEx>
        <w:trPr>
          <w:trHeight w:val="420"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质量指标</w:t>
            </w:r>
          </w:p>
        </w:tc>
        <w:tc>
          <w:tcPr>
            <w:tcW w:w="1342" w:type="dxa"/>
            <w:gridSpan w:val="2"/>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工程验收合格率</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14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252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r>
      <w:tr>
        <w:tblPrEx>
          <w:tblCellMar>
            <w:top w:w="0" w:type="dxa"/>
            <w:left w:w="0" w:type="dxa"/>
            <w:bottom w:w="0" w:type="dxa"/>
            <w:right w:w="0" w:type="dxa"/>
          </w:tblCellMar>
        </w:tblPrEx>
        <w:trPr>
          <w:trHeight w:val="300"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时效指标</w:t>
            </w:r>
          </w:p>
        </w:tc>
        <w:tc>
          <w:tcPr>
            <w:tcW w:w="1342" w:type="dxa"/>
            <w:gridSpan w:val="2"/>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工程按期完工率</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14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252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r>
      <w:tr>
        <w:tblPrEx>
          <w:tblCellMar>
            <w:top w:w="0" w:type="dxa"/>
            <w:left w:w="0" w:type="dxa"/>
            <w:bottom w:w="0" w:type="dxa"/>
            <w:right w:w="0" w:type="dxa"/>
          </w:tblCellMar>
        </w:tblPrEx>
        <w:trPr>
          <w:trHeight w:val="300"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成本指标</w:t>
            </w:r>
          </w:p>
        </w:tc>
        <w:tc>
          <w:tcPr>
            <w:tcW w:w="1342" w:type="dxa"/>
            <w:gridSpan w:val="2"/>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项目投资成本</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≤542.85万元</w:t>
            </w:r>
          </w:p>
        </w:tc>
        <w:tc>
          <w:tcPr>
            <w:tcW w:w="14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509.18万元</w:t>
            </w:r>
          </w:p>
        </w:tc>
        <w:tc>
          <w:tcPr>
            <w:tcW w:w="252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预留2%项目质保金一年后支付。</w:t>
            </w:r>
          </w:p>
        </w:tc>
      </w:tr>
      <w:tr>
        <w:tblPrEx>
          <w:tblCellMar>
            <w:top w:w="0" w:type="dxa"/>
            <w:left w:w="0" w:type="dxa"/>
            <w:bottom w:w="0" w:type="dxa"/>
            <w:right w:w="0" w:type="dxa"/>
          </w:tblCellMar>
        </w:tblPrEx>
        <w:trPr>
          <w:trHeight w:val="435"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效益指标</w:t>
            </w: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经济效益指标</w:t>
            </w:r>
          </w:p>
        </w:tc>
        <w:tc>
          <w:tcPr>
            <w:tcW w:w="1342" w:type="dxa"/>
            <w:gridSpan w:val="2"/>
            <w:tcBorders>
              <w:top w:val="nil"/>
              <w:left w:val="single" w:color="auto" w:sz="4" w:space="0"/>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设计功能实现率</w:t>
            </w:r>
          </w:p>
        </w:tc>
        <w:tc>
          <w:tcPr>
            <w:tcW w:w="1028"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144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2527" w:type="dxa"/>
            <w:gridSpan w:val="2"/>
            <w:tcBorders>
              <w:top w:val="nil"/>
              <w:left w:val="nil"/>
              <w:bottom w:val="single" w:color="000000" w:sz="8"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50"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社会效益指标</w:t>
            </w:r>
          </w:p>
        </w:tc>
        <w:tc>
          <w:tcPr>
            <w:tcW w:w="1342" w:type="dxa"/>
            <w:gridSpan w:val="2"/>
            <w:tcBorders>
              <w:top w:val="nil"/>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业务保障能力</w:t>
            </w:r>
          </w:p>
        </w:tc>
        <w:tc>
          <w:tcPr>
            <w:tcW w:w="1028"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完成</w:t>
            </w:r>
          </w:p>
        </w:tc>
        <w:tc>
          <w:tcPr>
            <w:tcW w:w="1440" w:type="dxa"/>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完成</w:t>
            </w:r>
          </w:p>
        </w:tc>
        <w:tc>
          <w:tcPr>
            <w:tcW w:w="2527" w:type="dxa"/>
            <w:gridSpan w:val="2"/>
            <w:tcBorders>
              <w:top w:val="nil"/>
              <w:left w:val="nil"/>
              <w:bottom w:val="single" w:color="auto" w:sz="4" w:space="0"/>
              <w:right w:val="single" w:color="000000" w:sz="8"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435"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5"/>
                <w:szCs w:val="15"/>
                <w:u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可持续影响指标</w:t>
            </w:r>
          </w:p>
        </w:tc>
        <w:tc>
          <w:tcPr>
            <w:tcW w:w="1342" w:type="dxa"/>
            <w:gridSpan w:val="2"/>
            <w:tcBorders>
              <w:top w:val="single" w:color="auto" w:sz="4" w:space="0"/>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综合利用率</w:t>
            </w:r>
          </w:p>
        </w:tc>
        <w:tc>
          <w:tcPr>
            <w:tcW w:w="1028"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144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2527" w:type="dxa"/>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tblCellMar>
            <w:top w:w="0" w:type="dxa"/>
            <w:left w:w="0" w:type="dxa"/>
            <w:bottom w:w="0" w:type="dxa"/>
            <w:right w:w="0" w:type="dxa"/>
          </w:tblCellMar>
        </w:tblPrEx>
        <w:trPr>
          <w:trHeight w:val="841" w:hRule="atLeast"/>
        </w:trPr>
        <w:tc>
          <w:tcPr>
            <w:tcW w:w="712" w:type="dxa"/>
            <w:vMerge w:val="continue"/>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c>
          <w:tcPr>
            <w:tcW w:w="95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满意度指标</w:t>
            </w:r>
          </w:p>
        </w:tc>
        <w:tc>
          <w:tcPr>
            <w:tcW w:w="126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342" w:type="dxa"/>
            <w:gridSpan w:val="2"/>
            <w:tcBorders>
              <w:top w:val="single" w:color="auto" w:sz="4" w:space="0"/>
              <w:left w:val="single" w:color="auto" w:sz="4" w:space="0"/>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受益群体满意度</w:t>
            </w:r>
          </w:p>
        </w:tc>
        <w:tc>
          <w:tcPr>
            <w:tcW w:w="1028"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1440" w:type="dxa"/>
            <w:tcBorders>
              <w:top w:val="single" w:color="auto" w:sz="4" w:space="0"/>
              <w:left w:val="nil"/>
              <w:bottom w:val="single" w:color="auto" w:sz="4" w:space="0"/>
              <w:right w:val="single" w:color="000000" w:sz="8"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5"/>
                <w:szCs w:val="15"/>
                <w:u w:val="none"/>
              </w:rPr>
            </w:pPr>
            <w:r>
              <w:rPr>
                <w:rFonts w:hint="eastAsia" w:ascii="宋体" w:hAnsi="宋体" w:eastAsia="宋体" w:cs="宋体"/>
                <w:i w:val="0"/>
                <w:color w:val="000000"/>
                <w:kern w:val="0"/>
                <w:sz w:val="18"/>
                <w:szCs w:val="18"/>
                <w:u w:val="none"/>
                <w:lang w:val="en-US" w:eastAsia="zh-CN" w:bidi="ar"/>
              </w:rPr>
              <w:t>100%</w:t>
            </w:r>
          </w:p>
        </w:tc>
        <w:tc>
          <w:tcPr>
            <w:tcW w:w="2527" w:type="dxa"/>
            <w:gridSpan w:val="2"/>
            <w:tcBorders>
              <w:top w:val="single" w:color="auto" w:sz="4" w:space="0"/>
              <w:left w:val="nil"/>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i w:val="0"/>
                <w:color w:val="000000"/>
                <w:sz w:val="18"/>
                <w:szCs w:val="18"/>
                <w:u w:val="none"/>
              </w:rPr>
            </w:pPr>
          </w:p>
        </w:tc>
      </w:tr>
      <w:tr>
        <w:tblPrEx>
          <w:shd w:val="clear" w:color="auto" w:fill="auto"/>
          <w:tblCellMar>
            <w:top w:w="0" w:type="dxa"/>
            <w:left w:w="0" w:type="dxa"/>
            <w:bottom w:w="0" w:type="dxa"/>
            <w:right w:w="0" w:type="dxa"/>
          </w:tblCellMar>
        </w:tblPrEx>
        <w:trPr>
          <w:trHeight w:val="640" w:hRule="atLeast"/>
        </w:trPr>
        <w:tc>
          <w:tcPr>
            <w:tcW w:w="9268" w:type="dxa"/>
            <w:gridSpan w:val="9"/>
            <w:tcBorders>
              <w:top w:val="nil"/>
              <w:left w:val="nil"/>
              <w:bottom w:val="nil"/>
              <w:right w:val="nil"/>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p>
        </w:tc>
      </w:tr>
    </w:tbl>
    <w:p>
      <w:pPr>
        <w:tabs>
          <w:tab w:val="left" w:pos="321"/>
        </w:tabs>
        <w:bidi w:val="0"/>
        <w:jc w:val="left"/>
        <w:rPr>
          <w:rFonts w:hint="eastAsia" w:eastAsia="宋体"/>
          <w:lang w:eastAsia="zh-CN"/>
        </w:rPr>
        <w:sectPr>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21"/>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w:t>
            </w:r>
            <w:r>
              <w:rPr>
                <w:rFonts w:hint="eastAsia" w:ascii="宋体" w:hAnsi="宋体" w:cs="宋体"/>
                <w:color w:val="000000"/>
                <w:kern w:val="0"/>
                <w:sz w:val="22"/>
                <w:szCs w:val="22"/>
                <w:lang w:eastAsia="zh-CN"/>
              </w:rPr>
              <w:t>和社会</w:t>
            </w:r>
            <w:r>
              <w:rPr>
                <w:rFonts w:hint="eastAsia" w:ascii="宋体" w:hAnsi="宋体" w:eastAsia="宋体" w:cs="宋体"/>
                <w:color w:val="000000"/>
                <w:kern w:val="0"/>
                <w:sz w:val="22"/>
                <w:szCs w:val="22"/>
              </w:rPr>
              <w:t>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产出</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w:t>
            </w:r>
            <w:bookmarkStart w:id="2" w:name="_GoBack"/>
            <w:bookmarkEnd w:id="2"/>
            <w:r>
              <w:rPr>
                <w:rFonts w:hint="eastAsia" w:ascii="宋体" w:hAnsi="宋体" w:eastAsia="宋体" w:cs="宋体"/>
                <w:color w:val="000000"/>
                <w:kern w:val="0"/>
                <w:sz w:val="22"/>
                <w:szCs w:val="22"/>
              </w:rPr>
              <w:t>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5</w:t>
            </w:r>
          </w:p>
        </w:tc>
      </w:tr>
    </w:tbl>
    <w:p>
      <w:pPr>
        <w:pStyle w:val="2"/>
        <w:rPr>
          <w:rFonts w:hint="default"/>
          <w:lang w:val="en-US" w:eastAsia="zh-CN"/>
        </w:rPr>
      </w:pPr>
    </w:p>
    <w:p>
      <w:pPr>
        <w:pStyle w:val="18"/>
        <w:rPr>
          <w:rStyle w:val="23"/>
          <w:rFonts w:ascii="黑体" w:hAnsi="黑体" w:eastAsia="黑体"/>
          <w:bCs w:val="0"/>
          <w:spacing w:val="-4"/>
          <w:sz w:val="32"/>
          <w:szCs w:val="32"/>
        </w:rPr>
      </w:pPr>
    </w:p>
    <w:p>
      <w:pPr>
        <w:pStyle w:val="18"/>
        <w:rPr>
          <w:rStyle w:val="23"/>
          <w:rFonts w:ascii="黑体" w:hAnsi="黑体" w:eastAsia="黑体"/>
          <w:bCs w:val="0"/>
          <w:spacing w:val="-4"/>
          <w:sz w:val="32"/>
          <w:szCs w:val="32"/>
        </w:rPr>
      </w:pPr>
    </w:p>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altName w:val="黑体"/>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5"/>
          <w:jc w:val="center"/>
        </w:pPr>
        <w:r>
          <w:fldChar w:fldCharType="begin"/>
        </w:r>
        <w:r>
          <w:instrText xml:space="preserve">PAGE   \* MERGEFORMAT</w:instrText>
        </w:r>
        <w:r>
          <w:fldChar w:fldCharType="separate"/>
        </w:r>
        <w:r>
          <w:rPr>
            <w:lang w:val="zh-CN"/>
          </w:rPr>
          <w:t>2</w:t>
        </w:r>
        <w:r>
          <w:fldChar w:fldCharType="end"/>
        </w:r>
      </w:p>
    </w:sdtContent>
  </w:sdt>
  <w:p>
    <w:pPr>
      <w:pStyle w:val="1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A1C47CCF"/>
    <w:multiLevelType w:val="singleLevel"/>
    <w:tmpl w:val="A1C47CCF"/>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201790A"/>
    <w:rsid w:val="02AC7129"/>
    <w:rsid w:val="02B65584"/>
    <w:rsid w:val="032D3D61"/>
    <w:rsid w:val="033216F5"/>
    <w:rsid w:val="042D096C"/>
    <w:rsid w:val="043326CE"/>
    <w:rsid w:val="0462382D"/>
    <w:rsid w:val="049D1A7A"/>
    <w:rsid w:val="051A56F5"/>
    <w:rsid w:val="05592A48"/>
    <w:rsid w:val="06300EA8"/>
    <w:rsid w:val="066D6EAA"/>
    <w:rsid w:val="06793EFB"/>
    <w:rsid w:val="08C662D4"/>
    <w:rsid w:val="09BD4D95"/>
    <w:rsid w:val="09F323F2"/>
    <w:rsid w:val="0CEB41FE"/>
    <w:rsid w:val="0D407D0D"/>
    <w:rsid w:val="0DA67F3D"/>
    <w:rsid w:val="0E2664B4"/>
    <w:rsid w:val="0E732C4A"/>
    <w:rsid w:val="0F1B236C"/>
    <w:rsid w:val="0F8D41CB"/>
    <w:rsid w:val="10562845"/>
    <w:rsid w:val="116A0192"/>
    <w:rsid w:val="11C75270"/>
    <w:rsid w:val="12637CC3"/>
    <w:rsid w:val="12BA4662"/>
    <w:rsid w:val="12E657C5"/>
    <w:rsid w:val="13503426"/>
    <w:rsid w:val="152B3E29"/>
    <w:rsid w:val="16225182"/>
    <w:rsid w:val="167C7687"/>
    <w:rsid w:val="168B3546"/>
    <w:rsid w:val="178234B3"/>
    <w:rsid w:val="1A2374E0"/>
    <w:rsid w:val="1A4B7C9D"/>
    <w:rsid w:val="1BF134CE"/>
    <w:rsid w:val="1C317CE2"/>
    <w:rsid w:val="1C5303CC"/>
    <w:rsid w:val="1DD45808"/>
    <w:rsid w:val="1DED42AC"/>
    <w:rsid w:val="1F455C4F"/>
    <w:rsid w:val="1FE2384A"/>
    <w:rsid w:val="20005763"/>
    <w:rsid w:val="20FB313D"/>
    <w:rsid w:val="220B4804"/>
    <w:rsid w:val="24B539A4"/>
    <w:rsid w:val="25DD5454"/>
    <w:rsid w:val="26A72802"/>
    <w:rsid w:val="280879FC"/>
    <w:rsid w:val="282475E3"/>
    <w:rsid w:val="284205D5"/>
    <w:rsid w:val="28B96361"/>
    <w:rsid w:val="29BD1856"/>
    <w:rsid w:val="2AAD2DED"/>
    <w:rsid w:val="2ADD7999"/>
    <w:rsid w:val="2BF216C6"/>
    <w:rsid w:val="2C0B3420"/>
    <w:rsid w:val="2C6100C1"/>
    <w:rsid w:val="2C896AF9"/>
    <w:rsid w:val="2C9C17A5"/>
    <w:rsid w:val="2E071FCE"/>
    <w:rsid w:val="2E8E12B2"/>
    <w:rsid w:val="31CA345C"/>
    <w:rsid w:val="3264220D"/>
    <w:rsid w:val="32BD2A95"/>
    <w:rsid w:val="335C745F"/>
    <w:rsid w:val="35AD0C84"/>
    <w:rsid w:val="36205544"/>
    <w:rsid w:val="37BA4BE4"/>
    <w:rsid w:val="3963178C"/>
    <w:rsid w:val="39A2205A"/>
    <w:rsid w:val="3A7E2EDE"/>
    <w:rsid w:val="3AC07C64"/>
    <w:rsid w:val="3E3D7A84"/>
    <w:rsid w:val="40887325"/>
    <w:rsid w:val="409E22EB"/>
    <w:rsid w:val="40ED3AE9"/>
    <w:rsid w:val="41CC2676"/>
    <w:rsid w:val="43FE5758"/>
    <w:rsid w:val="44725533"/>
    <w:rsid w:val="44A37182"/>
    <w:rsid w:val="44E54F46"/>
    <w:rsid w:val="4536686E"/>
    <w:rsid w:val="45F33D1C"/>
    <w:rsid w:val="46B21672"/>
    <w:rsid w:val="47D37073"/>
    <w:rsid w:val="49AE3B6B"/>
    <w:rsid w:val="4A791606"/>
    <w:rsid w:val="4B4C2C52"/>
    <w:rsid w:val="4BFC2B91"/>
    <w:rsid w:val="4C794AD4"/>
    <w:rsid w:val="4DBF3F83"/>
    <w:rsid w:val="4E8463F0"/>
    <w:rsid w:val="4EF9323A"/>
    <w:rsid w:val="4F552460"/>
    <w:rsid w:val="4FCC6863"/>
    <w:rsid w:val="4FCF2B9B"/>
    <w:rsid w:val="5002333A"/>
    <w:rsid w:val="500A214A"/>
    <w:rsid w:val="51B310CD"/>
    <w:rsid w:val="522D604D"/>
    <w:rsid w:val="5297585E"/>
    <w:rsid w:val="52AD468C"/>
    <w:rsid w:val="52AD7D6F"/>
    <w:rsid w:val="54AF1A2A"/>
    <w:rsid w:val="5549519D"/>
    <w:rsid w:val="5557596B"/>
    <w:rsid w:val="55DC59DB"/>
    <w:rsid w:val="55E528E1"/>
    <w:rsid w:val="57A13692"/>
    <w:rsid w:val="5871079F"/>
    <w:rsid w:val="59CA1BEA"/>
    <w:rsid w:val="59CF24E4"/>
    <w:rsid w:val="5B596DFC"/>
    <w:rsid w:val="5DB336CB"/>
    <w:rsid w:val="5DF03945"/>
    <w:rsid w:val="5F6A57BF"/>
    <w:rsid w:val="60974DAA"/>
    <w:rsid w:val="628117BD"/>
    <w:rsid w:val="632C1839"/>
    <w:rsid w:val="637C2815"/>
    <w:rsid w:val="683C1D64"/>
    <w:rsid w:val="68507278"/>
    <w:rsid w:val="68AC7BD8"/>
    <w:rsid w:val="69023FBC"/>
    <w:rsid w:val="6A4E50F2"/>
    <w:rsid w:val="6ABF4C4B"/>
    <w:rsid w:val="6DDE6844"/>
    <w:rsid w:val="6F7E6E13"/>
    <w:rsid w:val="72F73C18"/>
    <w:rsid w:val="734520A2"/>
    <w:rsid w:val="73BA5708"/>
    <w:rsid w:val="74B84F3C"/>
    <w:rsid w:val="76C16626"/>
    <w:rsid w:val="76E27DF5"/>
    <w:rsid w:val="774A0959"/>
    <w:rsid w:val="776C2F9B"/>
    <w:rsid w:val="78BA7F9C"/>
    <w:rsid w:val="78C33616"/>
    <w:rsid w:val="7A353D0B"/>
    <w:rsid w:val="7A411379"/>
    <w:rsid w:val="7C1B3B8B"/>
    <w:rsid w:val="7CB75AC0"/>
    <w:rsid w:val="7D09473D"/>
    <w:rsid w:val="7D3A5E2F"/>
    <w:rsid w:val="7DCD61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5"/>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6"/>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7"/>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8"/>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9"/>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0"/>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1"/>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2"/>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3"/>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4"/>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semiHidden/>
    <w:unhideWhenUsed/>
    <w:qFormat/>
    <w:uiPriority w:val="99"/>
    <w:pPr>
      <w:jc w:val="left"/>
    </w:pPr>
  </w:style>
  <w:style w:type="paragraph" w:styleId="13">
    <w:name w:val="Body Text"/>
    <w:basedOn w:val="1"/>
    <w:qFormat/>
    <w:uiPriority w:val="0"/>
    <w:pPr>
      <w:spacing w:after="120"/>
    </w:pPr>
  </w:style>
  <w:style w:type="paragraph" w:styleId="14">
    <w:name w:val="Balloon Text"/>
    <w:basedOn w:val="1"/>
    <w:link w:val="50"/>
    <w:semiHidden/>
    <w:unhideWhenUsed/>
    <w:qFormat/>
    <w:uiPriority w:val="99"/>
    <w:rPr>
      <w:sz w:val="18"/>
      <w:szCs w:val="18"/>
    </w:rPr>
  </w:style>
  <w:style w:type="paragraph" w:styleId="15">
    <w:name w:val="footer"/>
    <w:basedOn w:val="1"/>
    <w:link w:val="49"/>
    <w:unhideWhenUsed/>
    <w:qFormat/>
    <w:uiPriority w:val="99"/>
    <w:pPr>
      <w:tabs>
        <w:tab w:val="center" w:pos="4153"/>
        <w:tab w:val="right" w:pos="8306"/>
      </w:tabs>
      <w:snapToGrid w:val="0"/>
      <w:jc w:val="left"/>
    </w:pPr>
    <w:rPr>
      <w:rFonts w:ascii="Calibri" w:hAnsi="Calibri"/>
      <w:sz w:val="18"/>
      <w:szCs w:val="18"/>
    </w:rPr>
  </w:style>
  <w:style w:type="paragraph" w:styleId="16">
    <w:name w:val="header"/>
    <w:basedOn w:val="1"/>
    <w:link w:val="4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7">
    <w:name w:val="Subtitle"/>
    <w:basedOn w:val="1"/>
    <w:next w:val="1"/>
    <w:link w:val="35"/>
    <w:qFormat/>
    <w:uiPriority w:val="11"/>
    <w:pPr>
      <w:widowControl/>
      <w:spacing w:after="60"/>
      <w:jc w:val="center"/>
      <w:outlineLvl w:val="1"/>
    </w:pPr>
    <w:rPr>
      <w:rFonts w:asciiTheme="majorHAnsi" w:hAnsiTheme="majorHAnsi" w:eastAsiaTheme="majorEastAsia"/>
      <w:kern w:val="0"/>
      <w:sz w:val="24"/>
    </w:rPr>
  </w:style>
  <w:style w:type="paragraph" w:styleId="18">
    <w:name w:val="footnote text"/>
    <w:basedOn w:val="1"/>
    <w:qFormat/>
    <w:uiPriority w:val="0"/>
    <w:pPr>
      <w:snapToGrid w:val="0"/>
      <w:jc w:val="left"/>
    </w:pPr>
    <w:rPr>
      <w:sz w:val="18"/>
      <w:szCs w:val="18"/>
    </w:rPr>
  </w:style>
  <w:style w:type="paragraph" w:styleId="19">
    <w:name w:val="Normal (Web)"/>
    <w:basedOn w:val="1"/>
    <w:qFormat/>
    <w:uiPriority w:val="99"/>
    <w:pPr>
      <w:spacing w:before="100" w:beforeAutospacing="1" w:after="100" w:afterAutospacing="1"/>
      <w:jc w:val="left"/>
    </w:pPr>
    <w:rPr>
      <w:sz w:val="24"/>
      <w:lang w:bidi="ar"/>
    </w:rPr>
  </w:style>
  <w:style w:type="paragraph" w:styleId="20">
    <w:name w:val="Body Text First Indent"/>
    <w:basedOn w:val="13"/>
    <w:qFormat/>
    <w:uiPriority w:val="0"/>
    <w:pPr>
      <w:spacing w:after="0"/>
      <w:ind w:firstLine="20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character" w:customStyle="1" w:styleId="25">
    <w:name w:val="标题 1 字符"/>
    <w:basedOn w:val="22"/>
    <w:link w:val="3"/>
    <w:qFormat/>
    <w:uiPriority w:val="9"/>
    <w:rPr>
      <w:rFonts w:asciiTheme="majorHAnsi" w:hAnsiTheme="majorHAnsi" w:eastAsiaTheme="majorEastAsia"/>
      <w:b/>
      <w:bCs/>
      <w:kern w:val="32"/>
      <w:sz w:val="32"/>
      <w:szCs w:val="32"/>
    </w:rPr>
  </w:style>
  <w:style w:type="character" w:customStyle="1" w:styleId="26">
    <w:name w:val="标题 2 字符"/>
    <w:basedOn w:val="22"/>
    <w:link w:val="4"/>
    <w:semiHidden/>
    <w:qFormat/>
    <w:uiPriority w:val="9"/>
    <w:rPr>
      <w:rFonts w:asciiTheme="majorHAnsi" w:hAnsiTheme="majorHAnsi" w:eastAsiaTheme="majorEastAsia"/>
      <w:b/>
      <w:bCs/>
      <w:i/>
      <w:iCs/>
      <w:sz w:val="28"/>
      <w:szCs w:val="28"/>
    </w:rPr>
  </w:style>
  <w:style w:type="character" w:customStyle="1" w:styleId="27">
    <w:name w:val="标题 3 字符"/>
    <w:basedOn w:val="22"/>
    <w:link w:val="5"/>
    <w:semiHidden/>
    <w:qFormat/>
    <w:uiPriority w:val="9"/>
    <w:rPr>
      <w:rFonts w:asciiTheme="majorHAnsi" w:hAnsiTheme="majorHAnsi" w:eastAsiaTheme="majorEastAsia"/>
      <w:b/>
      <w:bCs/>
      <w:sz w:val="26"/>
      <w:szCs w:val="26"/>
    </w:rPr>
  </w:style>
  <w:style w:type="character" w:customStyle="1" w:styleId="28">
    <w:name w:val="标题 4 字符"/>
    <w:basedOn w:val="22"/>
    <w:link w:val="6"/>
    <w:semiHidden/>
    <w:qFormat/>
    <w:uiPriority w:val="9"/>
    <w:rPr>
      <w:b/>
      <w:bCs/>
      <w:sz w:val="28"/>
      <w:szCs w:val="28"/>
    </w:rPr>
  </w:style>
  <w:style w:type="character" w:customStyle="1" w:styleId="29">
    <w:name w:val="标题 5 字符"/>
    <w:basedOn w:val="22"/>
    <w:link w:val="7"/>
    <w:semiHidden/>
    <w:qFormat/>
    <w:uiPriority w:val="9"/>
    <w:rPr>
      <w:b/>
      <w:bCs/>
      <w:i/>
      <w:iCs/>
      <w:sz w:val="26"/>
      <w:szCs w:val="26"/>
    </w:rPr>
  </w:style>
  <w:style w:type="character" w:customStyle="1" w:styleId="30">
    <w:name w:val="标题 6 字符"/>
    <w:basedOn w:val="22"/>
    <w:link w:val="8"/>
    <w:semiHidden/>
    <w:qFormat/>
    <w:uiPriority w:val="9"/>
    <w:rPr>
      <w:b/>
      <w:bCs/>
    </w:rPr>
  </w:style>
  <w:style w:type="character" w:customStyle="1" w:styleId="31">
    <w:name w:val="标题 7 字符"/>
    <w:basedOn w:val="22"/>
    <w:link w:val="9"/>
    <w:semiHidden/>
    <w:qFormat/>
    <w:uiPriority w:val="9"/>
    <w:rPr>
      <w:sz w:val="24"/>
      <w:szCs w:val="24"/>
    </w:rPr>
  </w:style>
  <w:style w:type="character" w:customStyle="1" w:styleId="32">
    <w:name w:val="标题 8 字符"/>
    <w:basedOn w:val="22"/>
    <w:link w:val="10"/>
    <w:semiHidden/>
    <w:qFormat/>
    <w:uiPriority w:val="9"/>
    <w:rPr>
      <w:i/>
      <w:iCs/>
      <w:sz w:val="24"/>
      <w:szCs w:val="24"/>
    </w:rPr>
  </w:style>
  <w:style w:type="character" w:customStyle="1" w:styleId="33">
    <w:name w:val="标题 9 字符"/>
    <w:basedOn w:val="22"/>
    <w:link w:val="11"/>
    <w:semiHidden/>
    <w:qFormat/>
    <w:uiPriority w:val="9"/>
    <w:rPr>
      <w:rFonts w:asciiTheme="majorHAnsi" w:hAnsiTheme="majorHAnsi" w:eastAsiaTheme="majorEastAsia"/>
    </w:rPr>
  </w:style>
  <w:style w:type="character" w:customStyle="1" w:styleId="34">
    <w:name w:val="标题 字符"/>
    <w:basedOn w:val="22"/>
    <w:link w:val="2"/>
    <w:qFormat/>
    <w:uiPriority w:val="10"/>
    <w:rPr>
      <w:rFonts w:asciiTheme="majorHAnsi" w:hAnsiTheme="majorHAnsi" w:eastAsiaTheme="majorEastAsia"/>
      <w:b/>
      <w:bCs/>
      <w:kern w:val="28"/>
      <w:sz w:val="32"/>
      <w:szCs w:val="32"/>
    </w:rPr>
  </w:style>
  <w:style w:type="character" w:customStyle="1" w:styleId="35">
    <w:name w:val="副标题 字符"/>
    <w:basedOn w:val="22"/>
    <w:link w:val="17"/>
    <w:qFormat/>
    <w:uiPriority w:val="11"/>
    <w:rPr>
      <w:rFonts w:asciiTheme="majorHAnsi" w:hAnsiTheme="majorHAnsi" w:eastAsiaTheme="majorEastAsia"/>
      <w:sz w:val="24"/>
      <w:szCs w:val="24"/>
    </w:rPr>
  </w:style>
  <w:style w:type="paragraph" w:styleId="36">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7">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8">
    <w:name w:val="Quote"/>
    <w:basedOn w:val="1"/>
    <w:next w:val="1"/>
    <w:link w:val="39"/>
    <w:qFormat/>
    <w:uiPriority w:val="29"/>
    <w:pPr>
      <w:widowControl/>
      <w:jc w:val="left"/>
    </w:pPr>
    <w:rPr>
      <w:rFonts w:asciiTheme="minorHAnsi" w:hAnsiTheme="minorHAnsi" w:eastAsiaTheme="minorEastAsia"/>
      <w:i/>
      <w:kern w:val="0"/>
      <w:sz w:val="24"/>
    </w:rPr>
  </w:style>
  <w:style w:type="character" w:customStyle="1" w:styleId="39">
    <w:name w:val="引用 字符"/>
    <w:basedOn w:val="22"/>
    <w:link w:val="38"/>
    <w:qFormat/>
    <w:uiPriority w:val="29"/>
    <w:rPr>
      <w:i/>
      <w:sz w:val="24"/>
      <w:szCs w:val="24"/>
    </w:rPr>
  </w:style>
  <w:style w:type="paragraph" w:styleId="40">
    <w:name w:val="Intense Quote"/>
    <w:basedOn w:val="1"/>
    <w:next w:val="1"/>
    <w:link w:val="41"/>
    <w:qFormat/>
    <w:uiPriority w:val="30"/>
    <w:pPr>
      <w:widowControl/>
      <w:ind w:left="720" w:right="720"/>
      <w:jc w:val="left"/>
    </w:pPr>
    <w:rPr>
      <w:rFonts w:asciiTheme="minorHAnsi" w:hAnsiTheme="minorHAnsi" w:eastAsiaTheme="minorEastAsia"/>
      <w:b/>
      <w:i/>
      <w:kern w:val="0"/>
      <w:sz w:val="24"/>
      <w:szCs w:val="22"/>
    </w:rPr>
  </w:style>
  <w:style w:type="character" w:customStyle="1" w:styleId="41">
    <w:name w:val="明显引用 字符"/>
    <w:basedOn w:val="22"/>
    <w:link w:val="40"/>
    <w:qFormat/>
    <w:uiPriority w:val="30"/>
    <w:rPr>
      <w:b/>
      <w:i/>
      <w:sz w:val="24"/>
    </w:rPr>
  </w:style>
  <w:style w:type="character" w:customStyle="1" w:styleId="42">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3">
    <w:name w:val="明显强调1"/>
    <w:basedOn w:val="22"/>
    <w:qFormat/>
    <w:uiPriority w:val="21"/>
    <w:rPr>
      <w:b/>
      <w:i/>
      <w:sz w:val="24"/>
      <w:szCs w:val="24"/>
      <w:u w:val="single"/>
    </w:rPr>
  </w:style>
  <w:style w:type="character" w:customStyle="1" w:styleId="44">
    <w:name w:val="不明显参考1"/>
    <w:basedOn w:val="22"/>
    <w:qFormat/>
    <w:uiPriority w:val="31"/>
    <w:rPr>
      <w:sz w:val="24"/>
      <w:szCs w:val="24"/>
      <w:u w:val="single"/>
    </w:rPr>
  </w:style>
  <w:style w:type="character" w:customStyle="1" w:styleId="45">
    <w:name w:val="明显参考1"/>
    <w:basedOn w:val="22"/>
    <w:qFormat/>
    <w:uiPriority w:val="32"/>
    <w:rPr>
      <w:b/>
      <w:sz w:val="24"/>
      <w:u w:val="single"/>
    </w:rPr>
  </w:style>
  <w:style w:type="character" w:customStyle="1" w:styleId="46">
    <w:name w:val="书籍标题1"/>
    <w:basedOn w:val="22"/>
    <w:qFormat/>
    <w:uiPriority w:val="33"/>
    <w:rPr>
      <w:rFonts w:asciiTheme="majorHAnsi" w:hAnsiTheme="majorHAnsi" w:eastAsiaTheme="majorEastAsia"/>
      <w:b/>
      <w:i/>
      <w:sz w:val="24"/>
      <w:szCs w:val="24"/>
    </w:rPr>
  </w:style>
  <w:style w:type="paragraph" w:customStyle="1" w:styleId="47">
    <w:name w:val="TOC 标题1"/>
    <w:basedOn w:val="3"/>
    <w:next w:val="1"/>
    <w:semiHidden/>
    <w:unhideWhenUsed/>
    <w:qFormat/>
    <w:uiPriority w:val="39"/>
    <w:pPr>
      <w:outlineLvl w:val="9"/>
    </w:pPr>
    <w:rPr>
      <w:lang w:eastAsia="en-US" w:bidi="en-US"/>
    </w:rPr>
  </w:style>
  <w:style w:type="character" w:customStyle="1" w:styleId="48">
    <w:name w:val="页眉 字符"/>
    <w:basedOn w:val="22"/>
    <w:link w:val="16"/>
    <w:qFormat/>
    <w:uiPriority w:val="99"/>
    <w:rPr>
      <w:rFonts w:ascii="Calibri" w:hAnsi="Calibri" w:eastAsia="宋体"/>
      <w:kern w:val="2"/>
      <w:sz w:val="18"/>
      <w:szCs w:val="18"/>
    </w:rPr>
  </w:style>
  <w:style w:type="character" w:customStyle="1" w:styleId="49">
    <w:name w:val="页脚 字符"/>
    <w:basedOn w:val="22"/>
    <w:link w:val="15"/>
    <w:qFormat/>
    <w:uiPriority w:val="99"/>
    <w:rPr>
      <w:rFonts w:ascii="Calibri" w:hAnsi="Calibri" w:eastAsia="宋体"/>
      <w:kern w:val="2"/>
      <w:sz w:val="18"/>
      <w:szCs w:val="18"/>
    </w:rPr>
  </w:style>
  <w:style w:type="character" w:customStyle="1" w:styleId="50">
    <w:name w:val="批注框文本 字符"/>
    <w:basedOn w:val="22"/>
    <w:link w:val="14"/>
    <w:semiHidden/>
    <w:qFormat/>
    <w:uiPriority w:val="99"/>
    <w:rPr>
      <w:rFonts w:ascii="Times New Roman" w:hAnsi="Times New Roman" w:eastAsia="宋体"/>
      <w:kern w:val="2"/>
      <w:sz w:val="18"/>
      <w:szCs w:val="18"/>
    </w:rPr>
  </w:style>
  <w:style w:type="paragraph" w:customStyle="1" w:styleId="51">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2">
    <w:name w:val="fontstyle01"/>
    <w:qFormat/>
    <w:uiPriority w:val="0"/>
    <w:rPr>
      <w:rFonts w:ascii="仿宋_GB2312" w:hAnsi="仿宋_GB2312" w:eastAsia="仿宋_GB2312" w:cs="仿宋_GB2312"/>
      <w:color w:val="000000"/>
      <w:sz w:val="32"/>
      <w:szCs w:val="32"/>
    </w:rPr>
  </w:style>
  <w:style w:type="character" w:customStyle="1" w:styleId="53">
    <w:name w:val="font01"/>
    <w:basedOn w:val="22"/>
    <w:qFormat/>
    <w:uiPriority w:val="0"/>
    <w:rPr>
      <w:rFonts w:hint="eastAsia" w:ascii="宋体" w:hAnsi="宋体" w:eastAsia="宋体" w:cs="宋体"/>
      <w:color w:val="000000"/>
      <w:sz w:val="22"/>
      <w:szCs w:val="22"/>
      <w:u w:val="none"/>
    </w:rPr>
  </w:style>
  <w:style w:type="character" w:customStyle="1" w:styleId="54">
    <w:name w:val="font31"/>
    <w:basedOn w:val="22"/>
    <w:qFormat/>
    <w:uiPriority w:val="0"/>
    <w:rPr>
      <w:rFonts w:hint="eastAsia" w:ascii="宋体" w:hAnsi="宋体" w:eastAsia="宋体" w:cs="宋体"/>
      <w:color w:val="000000"/>
      <w:sz w:val="15"/>
      <w:szCs w:val="15"/>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19</Pages>
  <Words>1340</Words>
  <Characters>7640</Characters>
  <Lines>63</Lines>
  <Paragraphs>17</Paragraphs>
  <TotalTime>25</TotalTime>
  <ScaleCrop>false</ScaleCrop>
  <LinksUpToDate>false</LinksUpToDate>
  <CharactersWithSpaces>8963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2025-09-19T09:23:56Z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KSOSaveFontToCloudKey">
    <vt:lpwstr>390855185_btnclosed</vt:lpwstr>
  </property>
  <property fmtid="{D5CDD505-2E9C-101B-9397-08002B2CF9AE}" pid="4" name="ICV">
    <vt:lpwstr>49CC46E4D85C45B8AAA6C633C9E1EE60</vt:lpwstr>
  </property>
</Properties>
</file>