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办公设备购置</w:t>
      </w:r>
      <w:r>
        <w:rPr>
          <w:rFonts w:hint="eastAsia" w:ascii="方正小标宋简体" w:hAnsi="方正小标宋简体" w:eastAsia="方正小标宋简体" w:cs="方正小标宋简体"/>
          <w:kern w:val="0"/>
          <w:sz w:val="44"/>
          <w:szCs w:val="44"/>
        </w:rPr>
        <w:t>项目支出绩效评价</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480" w:lineRule="auto"/>
        <w:ind w:firstLine="1800" w:firstLineChars="500"/>
        <w:jc w:val="both"/>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办公设备购置</w:t>
      </w:r>
    </w:p>
    <w:p>
      <w:pPr>
        <w:spacing w:line="480" w:lineRule="auto"/>
        <w:jc w:val="center"/>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eastAsia="zh-CN"/>
        </w:rPr>
        <w:t>塔城地区广播电视大学</w:t>
      </w:r>
    </w:p>
    <w:p>
      <w:pPr>
        <w:spacing w:line="480" w:lineRule="auto"/>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塔城地区教育局</w:t>
      </w:r>
    </w:p>
    <w:p>
      <w:pPr>
        <w:spacing w:line="480" w:lineRule="auto"/>
        <w:ind w:firstLine="1800" w:firstLineChars="5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谈丽云</w:t>
      </w:r>
    </w:p>
    <w:p>
      <w:pPr>
        <w:spacing w:line="480" w:lineRule="auto"/>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26</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spacing w:line="600" w:lineRule="exact"/>
        <w:rPr>
          <w:rFonts w:hint="eastAsia"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rPr>
          <w:rFonts w:hint="default"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eastAsia="zh-CN"/>
        </w:rPr>
        <w:t>因我校机房设施陈旧，无法适应新的教学要求，经我校党委研究决定：对机房进行更新改造，同时按照地委机要保密局要求，需要购置</w:t>
      </w:r>
      <w:r>
        <w:rPr>
          <w:rFonts w:hint="eastAsia" w:ascii="仿宋_GB2312" w:hAnsi="仿宋_GB2312" w:eastAsia="仿宋_GB2312" w:cs="仿宋_GB2312"/>
          <w:b w:val="0"/>
          <w:bCs w:val="0"/>
          <w:kern w:val="2"/>
          <w:lang w:val="en-US" w:eastAsia="zh-CN"/>
        </w:rPr>
        <w:t>7个保密柜、1个碎纸机，更换保密室门，更换学生宿舍及教学楼窗帘。</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rPr>
          <w:rFonts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lang w:eastAsia="zh-CN"/>
        </w:rPr>
        <w:t>（</w:t>
      </w:r>
      <w:r>
        <w:rPr>
          <w:rFonts w:hint="eastAsia" w:ascii="仿宋_GB2312" w:hAnsi="仿宋_GB2312" w:eastAsia="仿宋_GB2312" w:cs="仿宋_GB2312"/>
          <w:b w:val="0"/>
          <w:bCs w:val="0"/>
          <w:kern w:val="2"/>
          <w:highlight w:val="none"/>
          <w:lang w:val="en-US" w:eastAsia="zh-CN"/>
        </w:rPr>
        <w:t>1</w:t>
      </w:r>
      <w:r>
        <w:rPr>
          <w:rFonts w:hint="eastAsia" w:ascii="仿宋_GB2312" w:hAnsi="仿宋_GB2312" w:eastAsia="仿宋_GB2312" w:cs="仿宋_GB2312"/>
          <w:b w:val="0"/>
          <w:bCs w:val="0"/>
          <w:kern w:val="2"/>
          <w:highlight w:val="none"/>
          <w:lang w:eastAsia="zh-CN"/>
        </w:rPr>
        <w:t>）</w:t>
      </w:r>
      <w:r>
        <w:rPr>
          <w:rFonts w:hint="eastAsia" w:ascii="仿宋_GB2312" w:hAnsi="仿宋_GB2312" w:eastAsia="仿宋_GB2312" w:cs="仿宋_GB2312"/>
          <w:b w:val="0"/>
          <w:bCs w:val="0"/>
          <w:kern w:val="2"/>
          <w:highlight w:val="none"/>
        </w:rPr>
        <w:t>项目主要内容：</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对机房进行更新改造，同时按照地委机要保密局要求，需要购置</w:t>
      </w:r>
      <w:r>
        <w:rPr>
          <w:rFonts w:hint="eastAsia" w:ascii="仿宋_GB2312" w:hAnsi="仿宋_GB2312" w:eastAsia="仿宋_GB2312" w:cs="仿宋_GB2312"/>
          <w:sz w:val="32"/>
          <w:szCs w:val="32"/>
          <w:lang w:val="en-US" w:eastAsia="zh-CN"/>
        </w:rPr>
        <w:t>7个保密柜、1个碎纸机，更换保密室门，更换学生宿舍及教学楼窗帘。</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hint="eastAsia" w:asciiTheme="majorEastAsia" w:hAnsiTheme="majorEastAsia" w:eastAsiaTheme="majorEastAsia" w:cstheme="majorEastAsia"/>
          <w:snapToGrid w:val="0"/>
          <w:sz w:val="32"/>
          <w:szCs w:val="32"/>
          <w:lang w:val="en-US" w:eastAsia="zh-CN"/>
        </w:rPr>
      </w:pPr>
      <w:r>
        <w:rPr>
          <w:rFonts w:hint="eastAsia" w:ascii="仿宋_GB2312" w:hAnsi="仿宋_GB2312" w:eastAsia="仿宋_GB2312" w:cs="仿宋_GB2312"/>
          <w:sz w:val="32"/>
          <w:szCs w:val="32"/>
          <w:lang w:val="en-US" w:eastAsia="zh-CN"/>
        </w:rPr>
        <w:t>（2）项目实施情况</w:t>
      </w:r>
      <w:r>
        <w:rPr>
          <w:rFonts w:hint="eastAsia" w:asciiTheme="majorEastAsia" w:hAnsiTheme="majorEastAsia" w:eastAsiaTheme="majorEastAsia" w:cstheme="majorEastAsia"/>
          <w:snapToGrid w:val="0"/>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pPr>
      <w:r>
        <w:rPr>
          <w:rFonts w:hint="eastAsia" w:ascii="仿宋_GB2312" w:hAnsi="仿宋_GB2312" w:eastAsia="仿宋_GB2312" w:cs="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36.99</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36.99</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33.38</w:t>
      </w:r>
      <w:r>
        <w:rPr>
          <w:rFonts w:hint="eastAsia" w:ascii="仿宋_GB2312" w:hAnsi="仿宋_GB2312" w:eastAsia="仿宋_GB2312" w:cs="仿宋_GB2312"/>
          <w:sz w:val="32"/>
          <w:szCs w:val="32"/>
        </w:rPr>
        <w:t>万元， 支出率为</w:t>
      </w:r>
      <w:r>
        <w:rPr>
          <w:rFonts w:hint="eastAsia" w:ascii="仿宋_GB2312" w:hAnsi="仿宋_GB2312" w:eastAsia="仿宋_GB2312" w:cs="仿宋_GB2312"/>
          <w:sz w:val="32"/>
          <w:szCs w:val="32"/>
          <w:lang w:val="en-US" w:eastAsia="zh-CN"/>
        </w:rPr>
        <w:t>90.23</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36.99</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eastAsia="zh-CN"/>
        </w:rPr>
        <w:t>塔地财预</w:t>
      </w:r>
      <w:r>
        <w:rPr>
          <w:rFonts w:hint="eastAsia" w:ascii="仿宋_GB2312" w:hAnsi="仿宋_GB2312" w:eastAsia="仿宋_GB2312" w:cs="仿宋_GB2312"/>
          <w:b w:val="0"/>
          <w:bCs w:val="0"/>
          <w:kern w:val="2"/>
          <w:highlight w:val="none"/>
          <w:lang w:eastAsia="zh-CN"/>
        </w:rPr>
        <w:t>【</w:t>
      </w:r>
      <w:r>
        <w:rPr>
          <w:rFonts w:hint="eastAsia" w:ascii="仿宋_GB2312" w:hAnsi="仿宋_GB2312" w:eastAsia="仿宋_GB2312" w:cs="仿宋_GB2312"/>
          <w:b w:val="0"/>
          <w:bCs w:val="0"/>
          <w:kern w:val="2"/>
          <w:highlight w:val="none"/>
          <w:lang w:val="en-US" w:eastAsia="zh-CN"/>
        </w:rPr>
        <w:t>2020</w:t>
      </w:r>
      <w:r>
        <w:rPr>
          <w:rFonts w:hint="eastAsia" w:ascii="仿宋_GB2312" w:hAnsi="仿宋_GB2312" w:eastAsia="仿宋_GB2312" w:cs="仿宋_GB2312"/>
          <w:b w:val="0"/>
          <w:bCs w:val="0"/>
          <w:kern w:val="2"/>
          <w:highlight w:val="none"/>
          <w:lang w:eastAsia="zh-CN"/>
        </w:rPr>
        <w:t>】</w:t>
      </w:r>
      <w:r>
        <w:rPr>
          <w:rFonts w:hint="eastAsia" w:ascii="仿宋_GB2312" w:hAnsi="仿宋_GB2312" w:eastAsia="仿宋_GB2312" w:cs="仿宋_GB2312"/>
          <w:b w:val="0"/>
          <w:bCs w:val="0"/>
          <w:kern w:val="2"/>
          <w:highlight w:val="none"/>
          <w:lang w:val="en-US" w:eastAsia="zh-CN"/>
        </w:rPr>
        <w:t>0001</w:t>
      </w:r>
      <w:r>
        <w:rPr>
          <w:rFonts w:hint="eastAsia" w:ascii="仿宋_GB2312" w:hAnsi="仿宋_GB2312" w:eastAsia="仿宋_GB2312" w:cs="仿宋_GB2312"/>
          <w:b w:val="0"/>
          <w:bCs w:val="0"/>
          <w:kern w:val="2"/>
        </w:rPr>
        <w:t>文件中批复的资金，项目资金到位</w:t>
      </w:r>
      <w:r>
        <w:rPr>
          <w:rFonts w:hint="eastAsia" w:ascii="仿宋_GB2312" w:hAnsi="仿宋_GB2312" w:eastAsia="仿宋_GB2312" w:cs="仿宋_GB2312"/>
          <w:b w:val="0"/>
          <w:bCs w:val="0"/>
          <w:kern w:val="2"/>
          <w:lang w:val="en-US" w:eastAsia="zh-CN"/>
        </w:rPr>
        <w:t>36.99</w:t>
      </w:r>
      <w:r>
        <w:rPr>
          <w:rFonts w:hint="eastAsia" w:ascii="仿宋_GB2312" w:hAnsi="仿宋_GB2312" w:eastAsia="仿宋_GB2312" w:cs="仿宋_GB2312"/>
          <w:b w:val="0"/>
          <w:bCs w:val="0"/>
          <w:kern w:val="2"/>
        </w:rPr>
        <w:t>万元，实际支出33.38万元，用于支付项目实施进程中的各项费用。</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适应现代化网络远程教育。适应当前保密工作需要，按照地委机要保密局要求，配备必备的保密设备。</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办公设备购置</w:t>
      </w:r>
      <w:r>
        <w:rPr>
          <w:rFonts w:hint="eastAsia" w:ascii="仿宋_GB2312" w:hAnsi="仿宋_GB2312" w:eastAsia="仿宋_GB2312" w:cs="仿宋_GB2312"/>
          <w:sz w:val="32"/>
          <w:szCs w:val="32"/>
        </w:rPr>
        <w:t>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办公设备购置</w:t>
      </w:r>
      <w:r>
        <w:rPr>
          <w:rFonts w:hint="eastAsia" w:ascii="仿宋_GB2312" w:hAnsi="仿宋_GB2312" w:eastAsia="仿宋_GB2312" w:cs="仿宋_GB2312"/>
          <w:sz w:val="32"/>
          <w:szCs w:val="32"/>
        </w:rPr>
        <w:t>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2"/>
        </w:numPr>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lang w:val="en-US" w:eastAsia="zh-CN"/>
        </w:rPr>
        <w:t>本绩效评价对象为：塔城地区广播电视大学</w:t>
      </w:r>
      <w:r>
        <w:rPr>
          <w:rFonts w:hint="eastAsia" w:ascii="仿宋_GB2312" w:hAnsi="仿宋_GB2312" w:eastAsia="仿宋_GB2312" w:cs="仿宋_GB2312"/>
          <w:sz w:val="32"/>
          <w:szCs w:val="32"/>
          <w:lang w:eastAsia="zh-CN"/>
        </w:rPr>
        <w:t>对机房进行更新改造及办公设备购置项目。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评价范围为</w:t>
      </w:r>
      <w:r>
        <w:rPr>
          <w:rFonts w:hint="eastAsia" w:ascii="仿宋_GB2312" w:hAnsi="仿宋_GB2312" w:eastAsia="仿宋_GB2312" w:cs="仿宋_GB2312"/>
          <w:sz w:val="32"/>
          <w:szCs w:val="32"/>
          <w:lang w:eastAsia="zh-CN"/>
        </w:rPr>
        <w:t>机房进行更新改造及办公设备购置</w:t>
      </w:r>
      <w:r>
        <w:rPr>
          <w:rFonts w:hint="eastAsia" w:ascii="仿宋_GB2312" w:hAnsi="仿宋_GB2312" w:eastAsia="仿宋_GB2312" w:cs="仿宋_GB2312"/>
          <w:sz w:val="32"/>
          <w:szCs w:val="32"/>
          <w:highlight w:val="none"/>
        </w:rPr>
        <w:t>项目资金的使用情况、项目实施情况以及取得的综合绩效</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left="0" w:right="0" w:rightChars="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，项目过程权重占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left="0" w:right="0" w:rightChars="0"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3"/>
        </w:numPr>
        <w:kinsoku/>
        <w:wordWrap/>
        <w:overflowPunct/>
        <w:topLinePunct w:val="0"/>
        <w:autoSpaceDE/>
        <w:autoSpaceDN/>
        <w:bidi w:val="0"/>
        <w:adjustRightInd/>
        <w:snapToGrid/>
        <w:spacing w:before="0" w:after="0" w:line="560" w:lineRule="exact"/>
        <w:ind w:left="0" w:right="0" w:rightChars="0" w:firstLine="711" w:firstLineChars="200"/>
        <w:jc w:val="both"/>
        <w:textAlignment w:val="auto"/>
        <w:rPr>
          <w:rFonts w:hint="eastAsia" w:ascii="楷体" w:hAnsi="楷体" w:eastAsia="楷体" w:cs="楷体"/>
          <w:color w:val="000000"/>
          <w:spacing w:val="17"/>
          <w:sz w:val="32"/>
          <w:szCs w:val="32"/>
          <w:lang w:val="en-US" w:eastAsia="zh-CN"/>
        </w:rPr>
      </w:pPr>
      <w:r>
        <w:rPr>
          <w:rFonts w:hint="eastAsia" w:ascii="楷体" w:hAnsi="楷体" w:eastAsia="楷体" w:cs="楷体"/>
          <w:color w:val="000000"/>
          <w:spacing w:val="17"/>
          <w:sz w:val="32"/>
          <w:szCs w:val="32"/>
          <w:lang w:val="en-US" w:eastAsia="zh-CN"/>
        </w:rPr>
        <w:t>绩效评价工作过程</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left="0" w:right="0" w:rightChars="0" w:firstLine="708" w:firstLineChars="200"/>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4"/>
        </w:numPr>
        <w:kinsoku/>
        <w:wordWrap/>
        <w:overflowPunct/>
        <w:topLinePunct w:val="0"/>
        <w:autoSpaceDE/>
        <w:autoSpaceDN/>
        <w:bidi w:val="0"/>
        <w:adjustRightInd/>
        <w:snapToGrid/>
        <w:spacing w:line="560" w:lineRule="exact"/>
        <w:ind w:left="0" w:right="0" w:rightChars="0"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eastAsia="zh-CN"/>
        </w:rPr>
        <w:t>办公设备购置</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99</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w:t>
      </w:r>
      <w:r>
        <w:rPr>
          <w:rFonts w:hint="eastAsia" w:ascii="仿宋_GB2312" w:hAnsi="仿宋_GB2312" w:eastAsia="仿宋_GB2312" w:cs="仿宋_GB2312"/>
          <w:b w:val="0"/>
          <w:bCs w:val="0"/>
          <w:highlight w:val="none"/>
        </w:rPr>
        <w:t>0%。项目产出类指标权重为50分，得分为50分，得分率为 100%。项目效益类指标权重为40分，得分为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bidi w:val="0"/>
        <w:ind w:firstLine="359" w:firstLineChars="0"/>
        <w:jc w:val="left"/>
        <w:rPr>
          <w:rFonts w:hint="eastAsia" w:ascii="Times New Roman" w:hAnsi="Times New Roman" w:eastAsia="宋体" w:cs="Times New Roman"/>
          <w:kern w:val="2"/>
          <w:sz w:val="21"/>
          <w:szCs w:val="24"/>
          <w:lang w:val="en-US" w:eastAsia="zh-CN" w:bidi="ar-SA"/>
        </w:rPr>
      </w:pPr>
      <w:bookmarkStart w:id="2" w:name="_GoBack"/>
      <w:bookmarkEnd w:id="2"/>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90%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98%</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ageBreakBefore w:val="0"/>
        <w:kinsoku/>
        <w:wordWrap/>
        <w:overflowPunct/>
        <w:topLinePunct w:val="0"/>
        <w:autoSpaceDE/>
        <w:autoSpaceDN/>
        <w:bidi w:val="0"/>
        <w:adjustRightInd/>
        <w:snapToGrid/>
        <w:spacing w:line="560" w:lineRule="exact"/>
        <w:ind w:left="0" w:firstLine="643" w:firstLineChars="2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left="0"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w:t>
      </w:r>
      <w:r>
        <w:rPr>
          <w:rFonts w:hint="eastAsia" w:ascii="仿宋_GB2312" w:hAnsi="仿宋_GB2312" w:eastAsia="仿宋_GB2312" w:cs="仿宋_GB2312"/>
          <w:sz w:val="32"/>
          <w:szCs w:val="32"/>
          <w:highlight w:val="none"/>
          <w:lang w:val="en-US" w:eastAsia="zh-CN"/>
        </w:rPr>
        <w:t>36.99</w:t>
      </w:r>
      <w:r>
        <w:rPr>
          <w:rFonts w:hint="eastAsia" w:ascii="仿宋_GB2312" w:hAnsi="仿宋_GB2312" w:eastAsia="仿宋_GB2312" w:cs="仿宋_GB2312"/>
          <w:sz w:val="32"/>
          <w:szCs w:val="32"/>
          <w:highlight w:val="none"/>
        </w:rPr>
        <w:t>万元，实际拨付</w:t>
      </w:r>
      <w:r>
        <w:rPr>
          <w:rFonts w:hint="eastAsia" w:ascii="仿宋_GB2312" w:hAnsi="仿宋_GB2312" w:eastAsia="仿宋_GB2312" w:cs="仿宋_GB2312"/>
          <w:sz w:val="32"/>
          <w:szCs w:val="32"/>
          <w:highlight w:val="none"/>
          <w:lang w:val="en-US" w:eastAsia="zh-CN"/>
        </w:rPr>
        <w:t>36.99</w:t>
      </w:r>
      <w:r>
        <w:rPr>
          <w:rFonts w:hint="eastAsia" w:ascii="仿宋_GB2312" w:hAnsi="仿宋_GB2312" w:eastAsia="仿宋_GB2312" w:cs="仿宋_GB2312"/>
          <w:sz w:val="32"/>
          <w:szCs w:val="32"/>
          <w:highlight w:val="none"/>
        </w:rPr>
        <w:t>万元，年终支出</w:t>
      </w:r>
      <w:r>
        <w:rPr>
          <w:rFonts w:hint="eastAsia" w:ascii="仿宋_GB2312" w:hAnsi="仿宋_GB2312" w:eastAsia="仿宋_GB2312" w:cs="仿宋_GB2312"/>
          <w:sz w:val="32"/>
          <w:szCs w:val="32"/>
          <w:highlight w:val="none"/>
          <w:lang w:val="en-US" w:eastAsia="zh-CN"/>
        </w:rPr>
        <w:t>33.38</w:t>
      </w:r>
      <w:r>
        <w:rPr>
          <w:rFonts w:hint="eastAsia" w:ascii="仿宋_GB2312" w:hAnsi="仿宋_GB2312" w:eastAsia="仿宋_GB2312" w:cs="仿宋_GB2312"/>
          <w:sz w:val="32"/>
          <w:szCs w:val="32"/>
          <w:highlight w:val="none"/>
        </w:rPr>
        <w:t>万元。</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rPr>
          <w:rStyle w:val="51"/>
          <w:rFonts w:hint="eastAsia"/>
          <w:b w:val="0"/>
          <w:bCs w:val="0"/>
          <w:color w:val="auto"/>
          <w:highlight w:val="none"/>
          <w:lang w:val="en-US" w:eastAsia="zh-CN"/>
        </w:rPr>
      </w:pPr>
      <w:r>
        <w:rPr>
          <w:rStyle w:val="51"/>
          <w:rFonts w:hint="eastAsia"/>
          <w:b w:val="0"/>
          <w:bCs w:val="0"/>
          <w:color w:val="auto"/>
          <w:highlight w:val="none"/>
          <w:lang w:val="en-US" w:eastAsia="zh-CN"/>
        </w:rPr>
        <w:t>成立专门的项目绩效监控管理工作小组，对专人进行项目管理培训学习，建立健全工作机制，加强组织领导，严格监督问责，养成良好的项目绩效工作习惯。</w:t>
      </w:r>
    </w:p>
    <w:p>
      <w:pPr>
        <w:pStyle w:val="2"/>
        <w:pageBreakBefore w:val="0"/>
        <w:numPr>
          <w:ilvl w:val="0"/>
          <w:numId w:val="5"/>
        </w:numPr>
        <w:kinsoku/>
        <w:wordWrap/>
        <w:overflowPunct/>
        <w:topLinePunct w:val="0"/>
        <w:autoSpaceDE/>
        <w:autoSpaceDN/>
        <w:bidi w:val="0"/>
        <w:adjustRightInd/>
        <w:snapToGrid/>
        <w:spacing w:before="0" w:after="0" w:line="560" w:lineRule="exact"/>
        <w:ind w:left="0" w:firstLine="643" w:firstLineChars="2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根据工作要求，对各项活动情况由本校各科室提交活动方案和经费预算，通过科室酝酿集体研究讨论，形成《</w:t>
      </w:r>
      <w:r>
        <w:rPr>
          <w:rFonts w:hint="eastAsia" w:ascii="仿宋" w:hAnsi="仿宋" w:eastAsia="仿宋" w:cs="仿宋"/>
          <w:color w:val="auto"/>
          <w:sz w:val="30"/>
          <w:szCs w:val="30"/>
          <w:lang w:val="en-US" w:eastAsia="zh-CN"/>
        </w:rPr>
        <w:t>塔城地区广播电视大学国家办公设备项目</w:t>
      </w:r>
      <w:r>
        <w:rPr>
          <w:rFonts w:hint="eastAsia" w:ascii="仿宋_GB2312" w:hAnsi="仿宋_GB2312" w:eastAsia="仿宋_GB2312" w:cs="仿宋_GB2312"/>
          <w:sz w:val="32"/>
          <w:szCs w:val="32"/>
          <w:lang w:val="en-US" w:eastAsia="zh-CN"/>
        </w:rPr>
        <w:t>经费预算方案》，报请</w:t>
      </w:r>
      <w:r>
        <w:rPr>
          <w:rFonts w:hint="eastAsia" w:ascii="仿宋" w:hAnsi="仿宋" w:eastAsia="仿宋" w:cs="仿宋"/>
          <w:b w:val="0"/>
          <w:bCs w:val="0"/>
          <w:color w:val="auto"/>
          <w:sz w:val="30"/>
          <w:szCs w:val="30"/>
          <w:lang w:val="en-US" w:eastAsia="zh-CN"/>
        </w:rPr>
        <w:t>塔城地区教育局和塔城地区财政局</w:t>
      </w:r>
      <w:r>
        <w:rPr>
          <w:rFonts w:hint="eastAsia" w:ascii="仿宋_GB2312" w:hAnsi="仿宋_GB2312" w:eastAsia="仿宋_GB2312" w:cs="仿宋_GB2312"/>
          <w:sz w:val="32"/>
          <w:szCs w:val="32"/>
          <w:lang w:val="en-US" w:eastAsia="zh-CN"/>
        </w:rPr>
        <w:t>审批同意，经费使用做到科室提交意见，集体研究讨论，严格按照活动要求使用经费</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对于“资金管理”，塔城地区广播电视大学办公设备购置项目2020年列入预算，资金到位及时，到位率为100%，到位资金支出率90.23%，资金管理规范。根据评分标准，该指标扣1分。</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pPr>
      <w:r>
        <w:rPr>
          <w:rFonts w:hint="eastAsia" w:ascii="仿宋_GB2312" w:hAnsi="仿宋_GB2312" w:eastAsia="仿宋_GB2312" w:cs="仿宋_GB2312"/>
          <w:sz w:val="32"/>
          <w:szCs w:val="32"/>
          <w:lang w:val="en-US" w:eastAsia="zh-CN"/>
        </w:rPr>
        <w:t>对于“组织实施”，塔城地区文广播电视大学办公设备购置项目项目组织机构健全，制度执行有效，根据评分标准，该指标不扣分。</w:t>
      </w:r>
    </w:p>
    <w:p>
      <w:pPr>
        <w:pStyle w:val="19"/>
        <w:pageBreakBefore w:val="0"/>
        <w:numPr>
          <w:ilvl w:val="0"/>
          <w:numId w:val="5"/>
        </w:numPr>
        <w:kinsoku/>
        <w:wordWrap/>
        <w:overflowPunct/>
        <w:topLinePunct w:val="0"/>
        <w:autoSpaceDE/>
        <w:autoSpaceDN/>
        <w:bidi w:val="0"/>
        <w:adjustRightInd/>
        <w:snapToGrid/>
        <w:spacing w:after="0"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rPr>
      </w:pPr>
      <w:r>
        <w:rPr>
          <w:rStyle w:val="22"/>
          <w:rFonts w:hint="eastAsia" w:ascii="仿宋" w:hAnsi="仿宋" w:eastAsia="仿宋" w:cs="仿宋"/>
          <w:b w:val="0"/>
          <w:bCs/>
          <w:spacing w:val="-4"/>
          <w:sz w:val="32"/>
          <w:szCs w:val="32"/>
        </w:rPr>
        <w:t>数量指标方面：</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购置电脑（评价目标值：≤40台，业绩值：40台）;</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电脑桌椅（评价目标值：≤40套，业绩值：40套）;</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交换机（评价目标值：≤2台，业绩值：2台）;</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密码柜（评价目标值：≤7台，业绩值：7台）;</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rPr>
      </w:pPr>
      <w:r>
        <w:rPr>
          <w:rStyle w:val="22"/>
          <w:rFonts w:hint="eastAsia" w:ascii="仿宋" w:hAnsi="仿宋" w:eastAsia="仿宋" w:cs="仿宋"/>
          <w:b w:val="0"/>
          <w:bCs/>
          <w:spacing w:val="-4"/>
          <w:sz w:val="32"/>
          <w:szCs w:val="32"/>
        </w:rPr>
        <w:t>质量指标方面：</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政府采购率（评价目标值：=100%，业绩值：100%);</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验收合格率（评价目标值：=100%，业绩值：100%);</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val="0"/>
          <w:bCs/>
          <w:spacing w:val="-4"/>
          <w:sz w:val="32"/>
          <w:szCs w:val="32"/>
          <w:lang w:val="en-US" w:eastAsia="zh-CN"/>
        </w:rPr>
        <w:t>成本指标方面：</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val="0"/>
          <w:bCs/>
          <w:spacing w:val="-4"/>
          <w:sz w:val="32"/>
          <w:szCs w:val="32"/>
          <w:lang w:eastAsia="zh-CN"/>
        </w:rPr>
        <w:t>总购置成本（评价目标值：≤37万，业绩值：33.38万元）;</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val="0"/>
          <w:bCs/>
          <w:spacing w:val="-4"/>
          <w:sz w:val="32"/>
          <w:szCs w:val="32"/>
          <w:lang w:val="en-US" w:eastAsia="zh-CN"/>
        </w:rPr>
        <w:t>时效指标方面：</w:t>
      </w:r>
    </w:p>
    <w:p>
      <w:pPr>
        <w:pageBreakBefore w:val="0"/>
        <w:kinsoku/>
        <w:wordWrap/>
        <w:overflowPunct/>
        <w:topLinePunct w:val="0"/>
        <w:autoSpaceDE/>
        <w:autoSpaceDN/>
        <w:bidi w:val="0"/>
        <w:adjustRightInd/>
        <w:snapToGrid/>
        <w:spacing w:line="560" w:lineRule="exact"/>
        <w:ind w:left="0" w:firstLine="624" w:firstLineChars="200"/>
        <w:textAlignment w:val="auto"/>
        <w:rPr>
          <w:rStyle w:val="22"/>
          <w:rFonts w:hint="eastAsia" w:ascii="仿宋" w:hAnsi="仿宋" w:eastAsia="仿宋" w:cs="仿宋"/>
          <w:b w:val="0"/>
          <w:bCs/>
          <w:spacing w:val="-4"/>
          <w:sz w:val="32"/>
          <w:szCs w:val="32"/>
          <w:lang w:eastAsia="zh-CN"/>
        </w:rPr>
      </w:pPr>
      <w:r>
        <w:rPr>
          <w:rStyle w:val="22"/>
          <w:rFonts w:hint="eastAsia" w:ascii="仿宋" w:hAnsi="仿宋" w:eastAsia="仿宋" w:cs="仿宋"/>
          <w:b w:val="0"/>
          <w:bCs/>
          <w:spacing w:val="-4"/>
          <w:sz w:val="32"/>
          <w:szCs w:val="32"/>
          <w:lang w:eastAsia="zh-CN"/>
        </w:rPr>
        <w:t>机房设备维护及时率（评价目标值：≥90%，业绩值：90%);</w:t>
      </w:r>
    </w:p>
    <w:p>
      <w:pPr>
        <w:pStyle w:val="19"/>
        <w:pageBreakBefore w:val="0"/>
        <w:numPr>
          <w:ilvl w:val="0"/>
          <w:numId w:val="5"/>
        </w:numPr>
        <w:kinsoku/>
        <w:wordWrap/>
        <w:overflowPunct/>
        <w:topLinePunct w:val="0"/>
        <w:autoSpaceDE/>
        <w:autoSpaceDN/>
        <w:bidi w:val="0"/>
        <w:adjustRightInd/>
        <w:snapToGrid/>
        <w:spacing w:after="0"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rPr>
      </w:pPr>
      <w:r>
        <w:rPr>
          <w:rStyle w:val="51"/>
          <w:rFonts w:hint="eastAsia"/>
          <w:color w:val="auto"/>
        </w:rPr>
        <w:t>经济效益指标方面：</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lang w:eastAsia="zh-CN"/>
        </w:rPr>
      </w:pPr>
      <w:r>
        <w:rPr>
          <w:rStyle w:val="51"/>
          <w:rFonts w:hint="eastAsia"/>
          <w:color w:val="auto"/>
          <w:lang w:eastAsia="zh-CN"/>
        </w:rPr>
        <w:t>设备功能实现率（评价目标值：≥90%，业绩值：90%);</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rPr>
      </w:pPr>
      <w:r>
        <w:rPr>
          <w:rStyle w:val="51"/>
          <w:rFonts w:hint="eastAsia"/>
          <w:color w:val="auto"/>
        </w:rPr>
        <w:t>社会效益指标方面：</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lang w:eastAsia="zh-CN"/>
        </w:rPr>
      </w:pPr>
      <w:r>
        <w:rPr>
          <w:rStyle w:val="51"/>
          <w:rFonts w:hint="eastAsia"/>
          <w:color w:val="auto"/>
          <w:lang w:eastAsia="zh-CN"/>
        </w:rPr>
        <w:t>业务能力保障提升情况（评价目标值：有所提升，业绩值：有效提升）;</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rPr>
      </w:pPr>
      <w:r>
        <w:rPr>
          <w:rStyle w:val="51"/>
          <w:color w:val="auto"/>
        </w:rPr>
        <w:t>可持续影响指标</w:t>
      </w:r>
      <w:r>
        <w:rPr>
          <w:rStyle w:val="51"/>
          <w:rFonts w:hint="eastAsia"/>
          <w:color w:val="auto"/>
        </w:rPr>
        <w:t>方面：</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lang w:eastAsia="zh-CN"/>
        </w:rPr>
      </w:pPr>
      <w:r>
        <w:rPr>
          <w:rStyle w:val="51"/>
          <w:rFonts w:hint="eastAsia"/>
          <w:color w:val="auto"/>
          <w:lang w:eastAsia="zh-CN"/>
        </w:rPr>
        <w:t>设备使用寿命（评价目标值：≥10年，业绩值：10年）;</w:t>
      </w:r>
    </w:p>
    <w:p>
      <w:pPr>
        <w:pageBreakBefore w:val="0"/>
        <w:kinsoku/>
        <w:wordWrap/>
        <w:overflowPunct/>
        <w:topLinePunct w:val="0"/>
        <w:autoSpaceDE/>
        <w:autoSpaceDN/>
        <w:bidi w:val="0"/>
        <w:adjustRightInd/>
        <w:snapToGrid/>
        <w:spacing w:line="560" w:lineRule="exact"/>
        <w:ind w:left="0" w:firstLine="640" w:firstLineChars="200"/>
        <w:textAlignment w:val="auto"/>
        <w:rPr>
          <w:rStyle w:val="51"/>
          <w:rFonts w:hint="eastAsia"/>
          <w:color w:val="auto"/>
        </w:rPr>
      </w:pPr>
      <w:r>
        <w:rPr>
          <w:rStyle w:val="51"/>
          <w:color w:val="auto"/>
        </w:rPr>
        <w:t>满意度指标</w:t>
      </w:r>
      <w:r>
        <w:rPr>
          <w:rStyle w:val="51"/>
          <w:rFonts w:hint="eastAsia"/>
          <w:color w:val="auto"/>
        </w:rPr>
        <w:t>方面：</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教师满意度（评价目标值：≥95%，业绩值：98%);</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学生满意度（评价目标值：≥95%，业绩值：98%);</w:t>
      </w:r>
    </w:p>
    <w:p>
      <w:pPr>
        <w:pageBreakBefore w:val="0"/>
        <w:kinsoku/>
        <w:wordWrap/>
        <w:overflowPunct/>
        <w:topLinePunct w:val="0"/>
        <w:autoSpaceDE/>
        <w:autoSpaceDN/>
        <w:bidi w:val="0"/>
        <w:adjustRightInd/>
        <w:snapToGrid/>
        <w:spacing w:line="560" w:lineRule="exact"/>
        <w:ind w:left="0" w:firstLine="643" w:firstLineChars="200"/>
        <w:textAlignment w:val="auto"/>
        <w:rPr>
          <w:rStyle w:val="51"/>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left="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exact"/>
        <w:ind w:left="0" w:firstLine="643" w:firstLineChars="200"/>
        <w:jc w:val="left"/>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lang w:val="en-US" w:eastAsia="zh-CN"/>
        </w:rPr>
        <w:t xml:space="preserve">  1、</w:t>
      </w:r>
      <w:r>
        <w:rPr>
          <w:rFonts w:hint="eastAsia" w:ascii="仿宋_GB2312" w:hAnsi="仿宋_GB2312" w:eastAsia="仿宋_GB2312" w:cs="仿宋_GB2312"/>
          <w:b/>
          <w:bCs/>
          <w:kern w:val="2"/>
        </w:rPr>
        <w:t>存在的问题</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lang w:eastAsia="zh-CN"/>
        </w:rPr>
        <w:t>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pPr>
        <w:pStyle w:val="52"/>
        <w:pageBreakBefore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原因分析</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lang w:eastAsia="zh-CN"/>
        </w:rPr>
        <w:t>坚持专款专用的原则，严格财务管理，确保经费管理各个环节的畅通、有序、高效，合理预算、决算制度。有计划地使用资金，确保项目资金能达到预期效果。严格使用程序。每一笔支出由领导进行审批，确保资金在使用程序上严谨，确保每一笔资金的支付公开透明，充分接受监督。</w:t>
      </w:r>
    </w:p>
    <w:p>
      <w:pPr>
        <w:pageBreakBefore w:val="0"/>
        <w:numPr>
          <w:ilvl w:val="0"/>
          <w:numId w:val="7"/>
        </w:numPr>
        <w:kinsoku/>
        <w:wordWrap/>
        <w:overflowPunct/>
        <w:topLinePunct w:val="0"/>
        <w:autoSpaceDE/>
        <w:autoSpaceDN/>
        <w:bidi w:val="0"/>
        <w:adjustRightInd/>
        <w:snapToGrid/>
        <w:spacing w:line="560" w:lineRule="exact"/>
        <w:ind w:left="0" w:firstLine="643" w:firstLineChars="200"/>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8"/>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exact"/>
        <w:ind w:left="0" w:firstLine="643" w:firstLineChars="200"/>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textAlignment w:val="auto"/>
        <w:rPr>
          <w:rFonts w:hint="eastAsia"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lang w:val="en-US" w:eastAsia="zh-CN"/>
        </w:rPr>
        <w:t>无。</w:t>
      </w:r>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rPr>
        <w:sectPr>
          <w:footerReference r:id="rId3" w:type="default"/>
          <w:pgSz w:w="11906" w:h="16838"/>
          <w:pgMar w:top="1440" w:right="1558" w:bottom="1440" w:left="1800" w:header="851" w:footer="992" w:gutter="0"/>
          <w:cols w:space="425" w:num="1"/>
          <w:docGrid w:type="lines" w:linePitch="312" w:charSpace="0"/>
        </w:sectPr>
      </w:pPr>
    </w:p>
    <w:p>
      <w:pPr>
        <w:pStyle w:val="2"/>
        <w:pageBreakBefore w:val="0"/>
        <w:kinsoku/>
        <w:wordWrap/>
        <w:overflowPunct/>
        <w:topLinePunct w:val="0"/>
        <w:autoSpaceDE/>
        <w:autoSpaceDN/>
        <w:bidi w:val="0"/>
        <w:adjustRightInd/>
        <w:snapToGrid/>
        <w:spacing w:before="0" w:after="0" w:line="560" w:lineRule="exact"/>
        <w:jc w:val="both"/>
        <w:textAlignment w:val="auto"/>
        <w:rPr>
          <w:rFonts w:hint="eastAsia"/>
        </w:r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25</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12.5</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53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4"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2"/>
        <w:rPr>
          <w:rFonts w:hint="eastAsia" w:ascii="宋体" w:hAnsi="宋体" w:eastAsia="宋体" w:cs="宋体"/>
          <w:sz w:val="18"/>
          <w:szCs w:val="18"/>
          <w:lang w:val="en-US" w:eastAsia="zh-CN"/>
        </w:rPr>
      </w:pPr>
    </w:p>
    <w:p>
      <w:pPr>
        <w:rPr>
          <w:rFonts w:hint="eastAsia" w:ascii="宋体" w:hAnsi="宋体" w:eastAsia="宋体" w:cs="宋体"/>
          <w:sz w:val="18"/>
          <w:szCs w:val="18"/>
        </w:rPr>
      </w:pPr>
    </w:p>
    <w:p>
      <w:pPr>
        <w:spacing w:line="540" w:lineRule="exact"/>
        <w:rPr>
          <w:rStyle w:val="22"/>
          <w:rFonts w:hint="eastAsia" w:ascii="宋体" w:hAnsi="宋体" w:eastAsia="宋体" w:cs="宋体"/>
          <w:bCs w:val="0"/>
          <w:spacing w:val="-4"/>
          <w:sz w:val="18"/>
          <w:szCs w:val="18"/>
        </w:rPr>
      </w:pPr>
    </w:p>
    <w:p>
      <w:pPr>
        <w:spacing w:line="540" w:lineRule="exact"/>
        <w:ind w:firstLine="640"/>
        <w:rPr>
          <w:rStyle w:val="22"/>
          <w:rFonts w:hint="eastAsia" w:ascii="宋体" w:hAnsi="宋体" w:eastAsia="宋体" w:cs="宋体"/>
          <w:bCs w:val="0"/>
          <w:spacing w:val="-4"/>
          <w:sz w:val="18"/>
          <w:szCs w:val="18"/>
        </w:rPr>
      </w:pPr>
    </w:p>
    <w:p>
      <w:pPr>
        <w:spacing w:line="540" w:lineRule="exact"/>
        <w:ind w:firstLine="640"/>
        <w:rPr>
          <w:rStyle w:val="22"/>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0"/>
        <w:tblW w:w="9192" w:type="dxa"/>
        <w:tblInd w:w="96" w:type="dxa"/>
        <w:shd w:val="clear" w:color="auto" w:fill="auto"/>
        <w:tblLayout w:type="autofit"/>
        <w:tblCellMar>
          <w:top w:w="0" w:type="dxa"/>
          <w:left w:w="108" w:type="dxa"/>
          <w:bottom w:w="0" w:type="dxa"/>
          <w:right w:w="108" w:type="dxa"/>
        </w:tblCellMar>
      </w:tblPr>
      <w:tblGrid>
        <w:gridCol w:w="706"/>
        <w:gridCol w:w="707"/>
        <w:gridCol w:w="706"/>
        <w:gridCol w:w="706"/>
        <w:gridCol w:w="707"/>
        <w:gridCol w:w="707"/>
        <w:gridCol w:w="2037"/>
        <w:gridCol w:w="1249"/>
        <w:gridCol w:w="417"/>
        <w:gridCol w:w="1250"/>
      </w:tblGrid>
      <w:tr>
        <w:tblPrEx>
          <w:tblCellMar>
            <w:top w:w="0" w:type="dxa"/>
            <w:left w:w="108" w:type="dxa"/>
            <w:bottom w:w="0" w:type="dxa"/>
            <w:right w:w="108" w:type="dxa"/>
          </w:tblCellMar>
        </w:tblPrEx>
        <w:trPr>
          <w:trHeight w:val="409" w:hRule="atLeast"/>
        </w:trPr>
        <w:tc>
          <w:tcPr>
            <w:tcW w:w="919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919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4" w:hRule="atLeast"/>
        </w:trPr>
        <w:tc>
          <w:tcPr>
            <w:tcW w:w="919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63"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77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办公设备购置</w:t>
            </w:r>
          </w:p>
        </w:tc>
      </w:tr>
      <w:tr>
        <w:tblPrEx>
          <w:shd w:val="clear" w:color="auto" w:fill="auto"/>
          <w:tblCellMar>
            <w:top w:w="0" w:type="dxa"/>
            <w:left w:w="108" w:type="dxa"/>
            <w:bottom w:w="0" w:type="dxa"/>
            <w:right w:w="108" w:type="dxa"/>
          </w:tblCellMar>
        </w:tblPrEx>
        <w:trPr>
          <w:trHeight w:val="392"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86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塔城地区广播电视大学</w:t>
            </w:r>
          </w:p>
        </w:tc>
      </w:tr>
      <w:tr>
        <w:tblPrEx>
          <w:tblCellMar>
            <w:top w:w="0" w:type="dxa"/>
            <w:left w:w="108" w:type="dxa"/>
            <w:bottom w:w="0" w:type="dxa"/>
            <w:right w:w="108" w:type="dxa"/>
          </w:tblCellMar>
        </w:tblPrEx>
        <w:trPr>
          <w:trHeight w:val="554"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bottom"/>
          </w:tcP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554"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36.99</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36.99</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33.38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90.23%</w:t>
            </w:r>
          </w:p>
        </w:tc>
      </w:tr>
      <w:tr>
        <w:tblPrEx>
          <w:shd w:val="clear" w:color="auto" w:fill="auto"/>
          <w:tblCellMar>
            <w:top w:w="0" w:type="dxa"/>
            <w:left w:w="108" w:type="dxa"/>
            <w:bottom w:w="0" w:type="dxa"/>
            <w:right w:w="108" w:type="dxa"/>
          </w:tblCellMar>
        </w:tblPrEx>
        <w:trPr>
          <w:trHeight w:val="433"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36.99</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36.99</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33.38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500"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 xml:space="preserve">  其他资金</w:t>
            </w: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1073" w:hRule="atLeast"/>
        </w:trPr>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412"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适应现代化网络远程教育。适应当前保密工作需要，按照地委机要保密局要求，配备必备的保密设备。</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适应现代化网络远程教育。适应当前保密工作需要，按照地委机要保密局要求，配备必备的保密设备。</w:t>
            </w:r>
          </w:p>
        </w:tc>
      </w:tr>
      <w:tr>
        <w:tblPrEx>
          <w:tblCellMar>
            <w:top w:w="0" w:type="dxa"/>
            <w:left w:w="108" w:type="dxa"/>
            <w:bottom w:w="0" w:type="dxa"/>
            <w:right w:w="108" w:type="dxa"/>
          </w:tblCellMar>
        </w:tblPrEx>
        <w:trPr>
          <w:trHeight w:val="27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400" w:hRule="atLeast"/>
        </w:trPr>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购置电脑</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≤40台</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40台</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电脑桌椅</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≤40套</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40套</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交换机</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≤2台</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2台</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密码柜</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≤7台</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7台</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政府采购率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验收合格率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7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机房设备维护及时率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8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总购置成本</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≤37万</w:t>
            </w:r>
          </w:p>
        </w:tc>
        <w:tc>
          <w:tcPr>
            <w:tcW w:w="12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33.38万元</w:t>
            </w:r>
          </w:p>
        </w:tc>
        <w:tc>
          <w:tcPr>
            <w:tcW w:w="1667"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1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设备功能实现率</w:t>
            </w:r>
          </w:p>
        </w:tc>
        <w:tc>
          <w:tcPr>
            <w:tcW w:w="20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4"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业务能力保障提升情况</w:t>
            </w:r>
          </w:p>
        </w:tc>
        <w:tc>
          <w:tcPr>
            <w:tcW w:w="20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有效提升</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设备使用寿命</w:t>
            </w:r>
          </w:p>
        </w:tc>
        <w:tc>
          <w:tcPr>
            <w:tcW w:w="20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≥10年</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10年</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37"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教师满意度</w:t>
            </w:r>
          </w:p>
        </w:tc>
        <w:tc>
          <w:tcPr>
            <w:tcW w:w="20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53" w:hRule="atLeast"/>
        </w:trPr>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学生满意度</w:t>
            </w:r>
          </w:p>
        </w:tc>
        <w:tc>
          <w:tcPr>
            <w:tcW w:w="20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540" w:lineRule="exact"/>
        <w:rPr>
          <w:rStyle w:val="22"/>
          <w:rFonts w:ascii="仿宋" w:hAnsi="仿宋" w:eastAsia="仿宋"/>
          <w:b w:val="0"/>
          <w:spacing w:val="-4"/>
          <w:sz w:val="32"/>
          <w:szCs w:val="32"/>
        </w:rPr>
      </w:pPr>
    </w:p>
    <w:sectPr>
      <w:pgSz w:w="11906" w:h="16838"/>
      <w:pgMar w:top="1440" w:right="1497"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pPr>
        <w:ind w:left="-11"/>
      </w:pPr>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6"/>
  </w:num>
  <w:num w:numId="4">
    <w:abstractNumId w:val="5"/>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CF4BE1"/>
    <w:rsid w:val="03806B7C"/>
    <w:rsid w:val="04C66494"/>
    <w:rsid w:val="051A56F5"/>
    <w:rsid w:val="062B7C56"/>
    <w:rsid w:val="066D6EAA"/>
    <w:rsid w:val="08C662D4"/>
    <w:rsid w:val="09BD4D95"/>
    <w:rsid w:val="0F8D41CB"/>
    <w:rsid w:val="11507B58"/>
    <w:rsid w:val="11C75270"/>
    <w:rsid w:val="12637CC3"/>
    <w:rsid w:val="12E657C5"/>
    <w:rsid w:val="167C7687"/>
    <w:rsid w:val="168B3546"/>
    <w:rsid w:val="1A2374E0"/>
    <w:rsid w:val="1AAB25FF"/>
    <w:rsid w:val="1C317CE2"/>
    <w:rsid w:val="1DD45808"/>
    <w:rsid w:val="1DED42AC"/>
    <w:rsid w:val="1FA53405"/>
    <w:rsid w:val="1FAA2E20"/>
    <w:rsid w:val="20005763"/>
    <w:rsid w:val="20FB313D"/>
    <w:rsid w:val="220B4804"/>
    <w:rsid w:val="268D6153"/>
    <w:rsid w:val="282475E3"/>
    <w:rsid w:val="2C6100C1"/>
    <w:rsid w:val="3264220D"/>
    <w:rsid w:val="33770A3E"/>
    <w:rsid w:val="36ED66B4"/>
    <w:rsid w:val="3963178C"/>
    <w:rsid w:val="41CC2676"/>
    <w:rsid w:val="441F7590"/>
    <w:rsid w:val="45BC2D99"/>
    <w:rsid w:val="46B21672"/>
    <w:rsid w:val="4EA53AFA"/>
    <w:rsid w:val="4F552460"/>
    <w:rsid w:val="4FCC6863"/>
    <w:rsid w:val="500A214A"/>
    <w:rsid w:val="522D604D"/>
    <w:rsid w:val="5297585E"/>
    <w:rsid w:val="52AD7D6F"/>
    <w:rsid w:val="5549519D"/>
    <w:rsid w:val="5557596B"/>
    <w:rsid w:val="59B61561"/>
    <w:rsid w:val="5B596DFC"/>
    <w:rsid w:val="5DF03945"/>
    <w:rsid w:val="60244D78"/>
    <w:rsid w:val="637C2815"/>
    <w:rsid w:val="69F15AEB"/>
    <w:rsid w:val="6BF9747D"/>
    <w:rsid w:val="718D1EC4"/>
    <w:rsid w:val="726A6096"/>
    <w:rsid w:val="73296236"/>
    <w:rsid w:val="74405F48"/>
    <w:rsid w:val="7A353D0B"/>
    <w:rsid w:val="7CB7069A"/>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nhideWhenUsed/>
    <w:qFormat/>
    <w:uiPriority w:val="39"/>
    <w:pPr>
      <w:spacing w:before="120" w:after="120"/>
      <w:jc w:val="left"/>
    </w:pPr>
    <w:rPr>
      <w:rFonts w:ascii="Calibri" w:hAnsi="Calibri" w:cs="Calibri"/>
      <w:b/>
      <w:bCs/>
      <w:caps/>
      <w:sz w:val="20"/>
      <w:szCs w:val="20"/>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unhideWhenUsed/>
    <w:qFormat/>
    <w:uiPriority w:val="39"/>
    <w:pPr>
      <w:ind w:left="280"/>
      <w:jc w:val="left"/>
    </w:pPr>
    <w:rPr>
      <w:rFonts w:ascii="Calibri" w:hAnsi="Calibri" w:cs="Calibri"/>
      <w:smallCaps/>
      <w:sz w:val="20"/>
      <w:szCs w:val="20"/>
    </w:rPr>
  </w:style>
  <w:style w:type="paragraph" w:styleId="19">
    <w:name w:val="Body Text First Indent"/>
    <w:basedOn w:val="12"/>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5"/>
    <w:qFormat/>
    <w:uiPriority w:val="99"/>
    <w:rPr>
      <w:rFonts w:ascii="Calibri" w:hAnsi="Calibri" w:eastAsia="宋体"/>
      <w:kern w:val="2"/>
      <w:sz w:val="18"/>
      <w:szCs w:val="18"/>
    </w:rPr>
  </w:style>
  <w:style w:type="character" w:customStyle="1" w:styleId="48">
    <w:name w:val="页脚 字符"/>
    <w:basedOn w:val="21"/>
    <w:link w:val="14"/>
    <w:qFormat/>
    <w:uiPriority w:val="99"/>
    <w:rPr>
      <w:rFonts w:ascii="Calibri" w:hAnsi="Calibri" w:eastAsia="宋体"/>
      <w:kern w:val="2"/>
      <w:sz w:val="18"/>
      <w:szCs w:val="18"/>
    </w:rPr>
  </w:style>
  <w:style w:type="character" w:customStyle="1" w:styleId="49">
    <w:name w:val="批注框文本 字符"/>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4</TotalTime>
  <ScaleCrop>false</ScaleCrop>
  <LinksUpToDate>false</LinksUpToDate>
  <CharactersWithSpaces>8963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2019-12-31T08:02:00Z</cp:lastPrinted>
  <dcterms:modified xsi:type="dcterms:W3CDTF">2021-05-29T12:11:19Z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34B93E0EAB044E6CA99D767654257A81</vt:lpwstr>
  </property>
  <property fmtid="{D5CDD505-2E9C-101B-9397-08002B2CF9AE}" pid="4" name="KSOSaveFontToCloudKey">
    <vt:lpwstr>229835342_cloud</vt:lpwstr>
  </property>
</Properties>
</file>