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设备购置平台运行维护资金项目</w:t>
      </w:r>
    </w:p>
    <w:p>
      <w:pPr>
        <w:spacing w:line="540" w:lineRule="exact"/>
        <w:jc w:val="center"/>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项目名称：设备购置平台运行维护项目</w:t>
      </w:r>
    </w:p>
    <w:p>
      <w:pPr>
        <w:spacing w:line="700" w:lineRule="exact"/>
        <w:ind w:firstLine="720" w:firstLineChars="200"/>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实施单位（公章）：塔城地区广播电视台</w:t>
      </w:r>
    </w:p>
    <w:p>
      <w:pPr>
        <w:spacing w:line="700" w:lineRule="exact"/>
        <w:ind w:firstLine="720" w:firstLineChars="200"/>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主管部门（公章）：中共塔城地委宣传部</w:t>
      </w:r>
    </w:p>
    <w:p>
      <w:pPr>
        <w:spacing w:line="700" w:lineRule="exact"/>
        <w:ind w:firstLine="1800" w:firstLineChars="5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项目负责人（签章）：赵双喜</w:t>
      </w:r>
    </w:p>
    <w:p>
      <w:pPr>
        <w:spacing w:line="700" w:lineRule="exact"/>
        <w:ind w:firstLine="1800" w:firstLineChars="5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填报时间：2021年4月2日</w:t>
      </w:r>
    </w:p>
    <w:p>
      <w:pPr>
        <w:spacing w:line="540" w:lineRule="exact"/>
        <w:jc w:val="center"/>
        <w:rPr>
          <w:rFonts w:hAnsi="宋体" w:eastAsia="仿宋_GB2312" w:cs="宋体"/>
          <w:kern w:val="0"/>
          <w:sz w:val="30"/>
          <w:szCs w:val="30"/>
        </w:rPr>
      </w:pPr>
    </w:p>
    <w:p>
      <w:pPr>
        <w:spacing w:line="540" w:lineRule="exact"/>
        <w:rPr>
          <w:rStyle w:val="21"/>
          <w:rFonts w:ascii="黑体" w:hAnsi="黑体" w:eastAsia="黑体"/>
          <w:b w:val="0"/>
          <w:spacing w:val="-4"/>
          <w:sz w:val="32"/>
          <w:szCs w:val="32"/>
        </w:rPr>
      </w:pPr>
    </w:p>
    <w:p>
      <w:pPr>
        <w:spacing w:line="540" w:lineRule="exact"/>
        <w:ind w:firstLine="640"/>
        <w:rPr>
          <w:rStyle w:val="21"/>
          <w:rFonts w:ascii="黑体" w:hAnsi="黑体" w:eastAsia="黑体"/>
          <w:b w:val="0"/>
          <w:spacing w:val="-4"/>
          <w:sz w:val="32"/>
          <w:szCs w:val="32"/>
        </w:rPr>
      </w:pPr>
    </w:p>
    <w:p>
      <w:pPr>
        <w:spacing w:line="540" w:lineRule="exact"/>
        <w:rPr>
          <w:rStyle w:val="21"/>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keepNext w:val="0"/>
        <w:keepLines w:val="0"/>
        <w:pageBreakBefore w:val="0"/>
        <w:kinsoku/>
        <w:wordWrap/>
        <w:overflowPunct/>
        <w:topLinePunct w:val="0"/>
        <w:autoSpaceDE/>
        <w:autoSpaceDN/>
        <w:bidi w:val="0"/>
        <w:adjustRightIn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（1）项目实施的政策背景</w:t>
      </w:r>
    </w:p>
    <w:p>
      <w:pPr>
        <w:keepNext w:val="0"/>
        <w:keepLines w:val="0"/>
        <w:pageBreakBefore w:val="0"/>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为使塔城地区融媒体、爱在塔城网站及微信公众平台和i塔城手机APP</w:t>
      </w:r>
      <w:r>
        <w:rPr>
          <w:rFonts w:hint="eastAsia" w:ascii="仿宋_GB2312" w:hAnsi="仿宋_GB2312" w:eastAsia="仿宋_GB2312" w:cs="仿宋_GB2312"/>
          <w:sz w:val="32"/>
          <w:szCs w:val="32"/>
          <w:lang w:eastAsia="zh-CN"/>
        </w:rPr>
        <w:t>能够更好地</w:t>
      </w:r>
      <w:r>
        <w:rPr>
          <w:rFonts w:hint="eastAsia" w:ascii="仿宋_GB2312" w:hAnsi="仿宋_GB2312" w:eastAsia="仿宋_GB2312" w:cs="仿宋_GB2312"/>
          <w:sz w:val="32"/>
          <w:szCs w:val="32"/>
        </w:rPr>
        <w:t>展现塔城日新月异的变化和人民对美好生活的向往。通过塔城地区融媒体、i塔城APP及相关新闻电视广播的运行维护，达到构建广播、电视、网站、微信、抖音“五位一体”、具有现代传播能力的融媒体矩阵，打通传统媒体融合发展、信息沟通的“最后一公里”。</w:t>
      </w:r>
    </w:p>
    <w:p>
      <w:pPr>
        <w:keepNext w:val="0"/>
        <w:keepLines w:val="0"/>
        <w:pageBreakBefore w:val="0"/>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（2）项目实施的历史概况</w:t>
      </w:r>
    </w:p>
    <w:p>
      <w:pPr>
        <w:keepNext w:val="0"/>
        <w:keepLines w:val="0"/>
        <w:pageBreakBefore w:val="0"/>
        <w:kinsoku/>
        <w:wordWrap/>
        <w:overflowPunct/>
        <w:topLinePunct w:val="0"/>
        <w:autoSpaceDE/>
        <w:autoSpaceDN/>
        <w:bidi w:val="0"/>
        <w:adjustRightInd/>
        <w:spacing w:line="56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塔城地区广播电视台机房内的服务器、存储设备、电源设备等都属于高消耗的计算机硬件设备，这些设备价格昂贵、维护技术复杂，需要专业的维护厂商才能处理设备故障。因此，我台向专业维护厂商购买服务器机房中相关发射设备的保修服务，有效保证服务器机房中核心计算机设备的正常运转，确保我台播出、传输系统之间的业务协同以及办公系统正常运行，真正实现广播电视安全播出的目标和任务。</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2、项目主要内容及实施情</w:t>
      </w:r>
      <w:bookmarkStart w:id="2" w:name="_GoBack"/>
      <w:bookmarkEnd w:id="2"/>
      <w:r>
        <w:rPr>
          <w:rFonts w:hint="eastAsia" w:ascii="仿宋_GB2312" w:hAnsi="仿宋_GB2312" w:eastAsia="仿宋_GB2312" w:cs="仿宋_GB2312"/>
          <w:b/>
          <w:bCs/>
          <w:sz w:val="32"/>
          <w:szCs w:val="32"/>
        </w:rPr>
        <w:t>况</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主要内容：通过媒体渠道展现塔城地区当地特色美食、风光旅游及风土人情、民族和谐共处，体现党对新疆人民的关怀和厚爱，同时也表达塔城人民对党和国家的感恩之情。购置专业器材摄影摄像设备应具备7种自动对焦区域选择模式，对焦范围广，点与点联动，可以“面”捕捉被摄体。多功能控制按钮、自动对焦区域选择模式切换。无线数字分享功能。更好的传播新闻媒体稿件及视频，巩固壮大主流思想舆论，提高媒体传播力、影响力、公信力。进一步更好的拍摄、制作、编辑、播出、发射优质、高清稳定的广播电视节目信号，确保发射机每时每刻传输信号正常、发射机满功率播出，确保党和地委行署的声音传播到千家万户，让广大市民收听收看到高标准、高质量、高水平的信号。</w:t>
      </w:r>
    </w:p>
    <w:p>
      <w:pPr>
        <w:keepNext w:val="0"/>
        <w:keepLines w:val="0"/>
        <w:pageBreakBefore w:val="0"/>
        <w:kinsoku/>
        <w:wordWrap/>
        <w:overflowPunct/>
        <w:topLinePunct w:val="0"/>
        <w:autoSpaceDE/>
        <w:autoSpaceDN/>
        <w:bidi w:val="0"/>
        <w:adjustRightIn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autoSpaceDE/>
        <w:autoSpaceDN/>
        <w:bidi w:val="0"/>
        <w:adjustRightIn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本项目总投资46.58万元，其中：财政本级资金46.58万元。项目实际支出46.58万元，支出率为100%。</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keepNext w:val="0"/>
        <w:keepLines w:val="0"/>
        <w:pageBreakBefore w:val="0"/>
        <w:kinsoku/>
        <w:wordWrap/>
        <w:overflowPunct/>
        <w:topLinePunct w:val="0"/>
        <w:autoSpaceDE/>
        <w:autoSpaceDN/>
        <w:bidi w:val="0"/>
        <w:adjustRightIn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46.58万元，按照《专项资金管理办法》及单位财务制度等相关规定，资金支出符合财政本级专项资金费用范围，做到了专款专用。在项目资金拨付和使用过程中，为确保项目资金的安全性，提高项目资金使用效率，严格遵循专项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17"/>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w:t>
      </w:r>
      <w:r>
        <w:rPr>
          <w:rFonts w:ascii="仿宋_GB2312" w:hAnsi="仿宋_GB2312" w:eastAsia="仿宋_GB2312" w:cs="仿宋_GB2312"/>
          <w:b w:val="0"/>
          <w:bCs w:val="0"/>
          <w:kern w:val="2"/>
        </w:rPr>
        <w:t>塔地财教［2019］72号</w:t>
      </w:r>
      <w:r>
        <w:rPr>
          <w:rFonts w:hint="eastAsia" w:ascii="仿宋_GB2312" w:hAnsi="仿宋_GB2312" w:eastAsia="仿宋_GB2312" w:cs="仿宋_GB2312"/>
          <w:b w:val="0"/>
          <w:bCs w:val="0"/>
          <w:kern w:val="2"/>
        </w:rPr>
        <w:t>文件中批复的资金，项目资金到位46.58万元，用于支付项目实施进程中的各项费用。</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Style w:val="17"/>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发挥项目资金最大利益化、最大效益化，用更好，更快的速度传输节目，提高地区广播电视台的整体工作效能。</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（1）前期准备：根据《专项资金实施方案》，通过制定项目实施方案，经项目负责人审核通过后，有序开展后续工程。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（2）组织实施：资金一到位，立即根据项目要求实施项目。项目责任人按照《专项资金实施方案》要求逐一进行项目部署安排，提高项目质量及效率性。</w:t>
      </w:r>
    </w:p>
    <w:p>
      <w:pPr>
        <w:keepNext w:val="0"/>
        <w:keepLines w:val="0"/>
        <w:pageBreakBefore w:val="0"/>
        <w:kinsoku/>
        <w:wordWrap/>
        <w:overflowPunct/>
        <w:topLinePunct w:val="0"/>
        <w:autoSpaceDE/>
        <w:autoSpaceDN/>
        <w:bidi w:val="0"/>
        <w:adjustRightInd/>
        <w:snapToGrid/>
        <w:spacing w:line="560" w:lineRule="exact"/>
        <w:ind w:left="0" w:firstLine="643" w:firstLineChars="200"/>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exact"/>
        <w:ind w:left="0"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17"/>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numPr>
          <w:ilvl w:val="0"/>
          <w:numId w:val="1"/>
        </w:numPr>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17"/>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Style w:val="17"/>
        <w:keepNext w:val="0"/>
        <w:keepLines w:val="0"/>
        <w:pageBreakBefore w:val="0"/>
        <w:widowControl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设备购置平台运行维护项目。</w:t>
      </w:r>
    </w:p>
    <w:p>
      <w:pPr>
        <w:pStyle w:val="17"/>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从设备购置平台运行维护项目的决策、过程、产出、效益等方面进行评价。</w:t>
      </w:r>
    </w:p>
    <w:p>
      <w:pPr>
        <w:keepNext w:val="0"/>
        <w:keepLines w:val="0"/>
        <w:pageBreakBefore w:val="0"/>
        <w:kinsoku/>
        <w:wordWrap/>
        <w:overflowPunct/>
        <w:topLinePunct w:val="0"/>
        <w:autoSpaceDE/>
        <w:autoSpaceDN/>
        <w:bidi w:val="0"/>
        <w:adjustRightInd/>
        <w:snapToGrid/>
        <w:spacing w:line="560" w:lineRule="exact"/>
        <w:ind w:left="0" w:firstLine="643" w:firstLineChars="200"/>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17"/>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17"/>
        <w:keepNext w:val="0"/>
        <w:keepLines w:val="0"/>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17"/>
        <w:keepNext w:val="0"/>
        <w:keepLines w:val="0"/>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7"/>
        <w:keepNext w:val="0"/>
        <w:keepLines w:val="0"/>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17"/>
        <w:keepNext w:val="0"/>
        <w:keepLines w:val="0"/>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17"/>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w:t>
      </w:r>
      <w:r>
        <w:rPr>
          <w:rFonts w:hint="eastAsia" w:ascii="仿宋_GB2312" w:hAnsi="仿宋_GB2312" w:eastAsia="仿宋_GB2312" w:cs="仿宋_GB2312"/>
          <w:color w:val="000000"/>
          <w:spacing w:val="17"/>
          <w:sz w:val="32"/>
          <w:szCs w:val="32"/>
          <w:lang w:eastAsia="zh-CN"/>
        </w:rPr>
        <w:t>成分分析</w:t>
      </w:r>
      <w:r>
        <w:rPr>
          <w:rFonts w:hint="eastAsia" w:ascii="仿宋_GB2312" w:hAnsi="仿宋_GB2312" w:eastAsia="仿宋_GB2312" w:cs="仿宋_GB2312"/>
          <w:color w:val="000000"/>
          <w:spacing w:val="17"/>
          <w:sz w:val="32"/>
          <w:szCs w:val="32"/>
        </w:rPr>
        <w:t>，建立评价指标体系。绩效评价将指标分为项目决策指标、项目过程指标、项目产出指标、项目效益指标四个维度，最终形成一个由多个相互联系的指标组成的多层次指标体系。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确定各个指标相对于项目总体绩效的权重分值。在绩效评价指标体系中，项目决策权重为5分，项目过程权重占5分，项目产出权重值占50分，项目效益权重值占40分。</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7"/>
        <w:keepNext w:val="0"/>
        <w:keepLines w:val="0"/>
        <w:pageBreakBefore w:val="0"/>
        <w:kinsoku/>
        <w:wordWrap/>
        <w:overflowPunct/>
        <w:topLinePunct w:val="0"/>
        <w:autoSpaceDE/>
        <w:autoSpaceDN/>
        <w:bidi w:val="0"/>
        <w:adjustRightInd/>
        <w:snapToGrid/>
        <w:spacing w:before="0" w:after="0" w:line="560" w:lineRule="exact"/>
        <w:ind w:left="0"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w:t>
      </w:r>
      <w:r>
        <w:rPr>
          <w:rFonts w:hint="eastAsia" w:ascii="仿宋_GB2312" w:hAnsi="仿宋_GB2312" w:eastAsia="仿宋_GB2312" w:cs="仿宋_GB2312"/>
          <w:b w:val="0"/>
          <w:bCs w:val="0"/>
          <w:color w:val="000000"/>
          <w:spacing w:val="17"/>
          <w:kern w:val="2"/>
          <w:lang w:eastAsia="zh-CN"/>
        </w:rPr>
        <w:t>－</w:t>
      </w:r>
      <w:r>
        <w:rPr>
          <w:rFonts w:hint="eastAsia" w:ascii="仿宋_GB2312" w:hAnsi="仿宋_GB2312" w:eastAsia="仿宋_GB2312" w:cs="仿宋_GB2312"/>
          <w:b w:val="0"/>
          <w:bCs w:val="0"/>
          <w:color w:val="000000"/>
          <w:spacing w:val="17"/>
          <w:kern w:val="2"/>
        </w:rPr>
        <w:t>100分（含90分）对应的评分结果级别为优，80-90分（含80分）对应的评分结果级别为良，60-80分（含60分）对应的评分结果级别为中，60分以下对应的评分结果级别为差。</w:t>
      </w:r>
    </w:p>
    <w:p>
      <w:pPr>
        <w:pStyle w:val="17"/>
        <w:keepNext w:val="0"/>
        <w:keepLines w:val="0"/>
        <w:pageBreakBefore w:val="0"/>
        <w:widowControl w:val="0"/>
        <w:kinsoku/>
        <w:wordWrap/>
        <w:overflowPunct/>
        <w:topLinePunct w:val="0"/>
        <w:autoSpaceDE/>
        <w:autoSpaceDN/>
        <w:bidi w:val="0"/>
        <w:adjustRightInd/>
        <w:snapToGrid/>
        <w:spacing w:before="0" w:after="0" w:line="560" w:lineRule="exact"/>
        <w:ind w:left="0" w:firstLine="708" w:firstLineChars="200"/>
        <w:jc w:val="both"/>
        <w:textAlignment w:val="auto"/>
        <w:outlineLvl w:val="9"/>
        <w:rPr>
          <w:rFonts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pPr>
        <w:pStyle w:val="17"/>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17"/>
        <w:keepNext w:val="0"/>
        <w:keepLines w:val="0"/>
        <w:pageBreakBefore w:val="0"/>
        <w:widowControl w:val="0"/>
        <w:kinsoku/>
        <w:wordWrap/>
        <w:overflowPunct/>
        <w:topLinePunct w:val="0"/>
        <w:autoSpaceDE/>
        <w:autoSpaceDN/>
        <w:bidi w:val="0"/>
        <w:adjustRightInd/>
        <w:snapToGrid/>
        <w:spacing w:before="0" w:after="0" w:line="560" w:lineRule="exact"/>
        <w:ind w:left="0"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4、绩效评价标准</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w:t>
      </w:r>
    </w:p>
    <w:p>
      <w:pPr>
        <w:keepNext w:val="0"/>
        <w:keepLines w:val="0"/>
        <w:pageBreakBefore w:val="0"/>
        <w:kinsoku/>
        <w:wordWrap/>
        <w:overflowPunct/>
        <w:topLinePunct w:val="0"/>
        <w:autoSpaceDE/>
        <w:autoSpaceDN/>
        <w:bidi w:val="0"/>
        <w:adjustRightInd/>
        <w:snapToGrid/>
        <w:spacing w:line="560" w:lineRule="exact"/>
        <w:ind w:left="0"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（三）绩效评价工作过程</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2"/>
        </w:numPr>
        <w:kinsoku/>
        <w:wordWrap/>
        <w:overflowPunct/>
        <w:topLinePunct w:val="0"/>
        <w:autoSpaceDE/>
        <w:autoSpaceDN/>
        <w:bidi w:val="0"/>
        <w:adjustRightInd/>
        <w:snapToGrid/>
        <w:spacing w:line="560" w:lineRule="exact"/>
        <w:ind w:left="0"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Style w:val="17"/>
        <w:keepNext w:val="0"/>
        <w:keepLines w:val="0"/>
        <w:pageBreakBefore w:val="0"/>
        <w:widowControl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对塔城地区广播电视台</w:t>
      </w:r>
      <w:r>
        <w:rPr>
          <w:rFonts w:ascii="仿宋_GB2312" w:hAnsi="仿宋_GB2312" w:eastAsia="仿宋_GB2312" w:cs="仿宋_GB2312"/>
          <w:b w:val="0"/>
          <w:bCs w:val="0"/>
        </w:rPr>
        <w:t>设备购置平台运行维护项目</w:t>
      </w:r>
      <w:r>
        <w:rPr>
          <w:rFonts w:hint="eastAsia" w:ascii="仿宋_GB2312" w:hAnsi="仿宋_GB2312" w:eastAsia="仿宋_GB2312" w:cs="仿宋_GB2312"/>
          <w:b w:val="0"/>
          <w:bCs w:val="0"/>
        </w:rPr>
        <w:t>进行客观评价，最终评分结果：总得分为96分，属于“优”。其中，项目决策类指标权重为5分，得分为 5分，得分率为 100%。项目过程类指标权重为5分，得分为5 分，得分率为 100%。项目产出类指标权重为50分，得分为48分，得分率为 96%。项目效益类指标权重为40分，得分为38分，得分率为 95%。</w:t>
      </w:r>
    </w:p>
    <w:p>
      <w:pPr>
        <w:pStyle w:val="17"/>
        <w:keepNext w:val="0"/>
        <w:keepLines w:val="0"/>
        <w:pageBreakBefore w:val="0"/>
        <w:kinsoku/>
        <w:wordWrap/>
        <w:overflowPunct/>
        <w:topLinePunct w:val="0"/>
        <w:autoSpaceDE/>
        <w:autoSpaceDN/>
        <w:bidi w:val="0"/>
        <w:adjustRightInd/>
        <w:spacing w:before="0" w:after="0" w:line="560" w:lineRule="exact"/>
        <w:textAlignment w:val="auto"/>
        <w:rPr>
          <w:rFonts w:hint="eastAsia" w:ascii="仿宋_GB2312" w:hAnsi="仿宋_GB2312" w:eastAsia="仿宋_GB2312" w:cs="仿宋_GB2312"/>
          <w:sz w:val="30"/>
          <w:szCs w:val="30"/>
        </w:rPr>
      </w:pPr>
    </w:p>
    <w:p>
      <w:pPr>
        <w:pStyle w:val="17"/>
        <w:keepNext w:val="0"/>
        <w:keepLines w:val="0"/>
        <w:pageBreakBefore w:val="0"/>
        <w:kinsoku/>
        <w:wordWrap/>
        <w:overflowPunct/>
        <w:topLinePunct w:val="0"/>
        <w:autoSpaceDE/>
        <w:autoSpaceDN/>
        <w:bidi w:val="0"/>
        <w:adjustRightIn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pPr>
        <w:keepNext w:val="0"/>
        <w:keepLines w:val="0"/>
        <w:pageBreakBefore w:val="0"/>
        <w:kinsoku/>
        <w:wordWrap/>
        <w:overflowPunct/>
        <w:topLinePunct w:val="0"/>
        <w:autoSpaceDE/>
        <w:autoSpaceDN/>
        <w:bidi w:val="0"/>
        <w:adjustRightInd/>
        <w:spacing w:line="560" w:lineRule="exact"/>
        <w:textAlignment w:val="auto"/>
      </w:pPr>
    </w:p>
    <w:p>
      <w:pPr>
        <w:keepNext w:val="0"/>
        <w:keepLines w:val="0"/>
        <w:pageBreakBefore w:val="0"/>
        <w:kinsoku/>
        <w:wordWrap/>
        <w:overflowPunct/>
        <w:topLinePunct w:val="0"/>
        <w:autoSpaceDE/>
        <w:autoSpaceDN/>
        <w:bidi w:val="0"/>
        <w:adjustRightInd/>
        <w:spacing w:line="560" w:lineRule="exact"/>
        <w:textAlignment w:val="auto"/>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keepNext w:val="0"/>
              <w:keepLines w:val="0"/>
              <w:pageBreakBefore w:val="0"/>
              <w:widowControl/>
              <w:kinsoku/>
              <w:wordWrap/>
              <w:overflowPunct/>
              <w:topLinePunct w:val="0"/>
              <w:autoSpaceDE/>
              <w:autoSpaceDN/>
              <w:bidi w:val="0"/>
              <w:adjustRightIn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14</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93%</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28</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93%</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bl>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sz w:val="32"/>
          <w:szCs w:val="32"/>
        </w:rPr>
      </w:pP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sz w:val="32"/>
          <w:szCs w:val="32"/>
        </w:rPr>
      </w:pP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17"/>
        <w:keepNext w:val="0"/>
        <w:keepLines w:val="0"/>
        <w:pageBreakBefore w:val="0"/>
        <w:kinsoku/>
        <w:wordWrap/>
        <w:overflowPunct/>
        <w:topLinePunct w:val="0"/>
        <w:autoSpaceDE/>
        <w:autoSpaceDN/>
        <w:bidi w:val="0"/>
        <w:adjustRightInd/>
        <w:spacing w:before="0" w:after="0" w:line="560" w:lineRule="exact"/>
        <w:ind w:firstLine="643" w:firstLineChars="200"/>
        <w:jc w:val="both"/>
        <w:textAlignment w:val="auto"/>
        <w:rPr>
          <w:rFonts w:ascii="楷体_GB2312" w:hAnsi="楷体_GB2312" w:eastAsia="楷体_GB2312" w:cs="楷体_GB2312"/>
        </w:rPr>
      </w:pPr>
      <w:r>
        <w:rPr>
          <w:rFonts w:hint="eastAsia" w:ascii="楷体_GB2312" w:hAnsi="楷体_GB2312" w:eastAsia="楷体_GB2312" w:cs="楷体_GB2312"/>
        </w:rPr>
        <w:t>（一）项目决策情况</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51"/>
          <w:bCs/>
          <w:color w:val="auto"/>
        </w:rPr>
      </w:pPr>
      <w:r>
        <w:rPr>
          <w:rStyle w:val="51"/>
          <w:rFonts w:hint="eastAsia"/>
          <w:bCs/>
          <w:color w:val="auto"/>
        </w:rPr>
        <w:t>项目立项方面：立项依据充分性达到100%，立项程序规范化达到100%，项目完全按照财政相关文件和要求实施。</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rPr>
      </w:pPr>
      <w:r>
        <w:rPr>
          <w:rStyle w:val="51"/>
          <w:rFonts w:hint="eastAsia"/>
          <w:bCs/>
          <w:color w:val="auto"/>
        </w:rPr>
        <w:t>绩效目标方面：</w:t>
      </w:r>
      <w:r>
        <w:rPr>
          <w:rFonts w:hint="eastAsia" w:ascii="仿宋_GB2312" w:hAnsi="仿宋_GB2312" w:eastAsia="仿宋_GB2312" w:cs="仿宋_GB2312"/>
          <w:sz w:val="32"/>
          <w:szCs w:val="32"/>
        </w:rPr>
        <w:t>项目在实施前项目负责人会提供财政支出绩效方面的资金管理信息，促进项目支出严格按照资金管理规定进行。绩效目标合理性达到100%，绩效指标明确性达到100%。</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Style w:val="51"/>
          <w:bCs/>
          <w:color w:val="auto"/>
        </w:rPr>
      </w:pPr>
      <w:r>
        <w:rPr>
          <w:rFonts w:hint="eastAsia" w:ascii="仿宋_GB2312" w:hAnsi="仿宋_GB2312" w:eastAsia="仿宋_GB2312" w:cs="仿宋_GB2312"/>
          <w:sz w:val="32"/>
          <w:szCs w:val="32"/>
        </w:rPr>
        <w:t>资金投入方面：</w:t>
      </w:r>
      <w:r>
        <w:rPr>
          <w:rFonts w:hint="eastAsia" w:ascii="仿宋_GB2312" w:hAnsi="仿宋_GB2312" w:eastAsia="仿宋_GB2312" w:cs="仿宋_GB2312"/>
          <w:kern w:val="1"/>
          <w:sz w:val="32"/>
          <w:szCs w:val="32"/>
        </w:rPr>
        <w:t>在完善财务制度</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规范收支流程</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严格审批的制度下，项目实施严格执行各项财经制度和管理规定</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对预算资金严格控制</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规范使用</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强化执行。加强专项资金的管理和核算</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专项资金严格按照项目实施方案执行。接受各项财务检查中未发现重大管理漏洞和问题</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 xml:space="preserve"> 并通过检查推进财务规范化管理。项目由塔城地区广播电视台严格按照财务制度执行，并指定项目负责人，谁主管谁负责的原则。预算编制科学性和资金分配合理性都达到100%。</w:t>
      </w:r>
    </w:p>
    <w:p>
      <w:pPr>
        <w:pStyle w:val="17"/>
        <w:keepNext w:val="0"/>
        <w:keepLines w:val="0"/>
        <w:pageBreakBefore w:val="0"/>
        <w:numPr>
          <w:ilvl w:val="0"/>
          <w:numId w:val="3"/>
        </w:numPr>
        <w:kinsoku/>
        <w:wordWrap/>
        <w:overflowPunct/>
        <w:topLinePunct w:val="0"/>
        <w:autoSpaceDE/>
        <w:autoSpaceDN/>
        <w:bidi w:val="0"/>
        <w:adjustRightInd/>
        <w:spacing w:before="0" w:after="0" w:line="560" w:lineRule="exact"/>
        <w:ind w:firstLine="643" w:firstLineChars="200"/>
        <w:jc w:val="both"/>
        <w:textAlignment w:val="auto"/>
      </w:pPr>
      <w:r>
        <w:rPr>
          <w:rFonts w:hint="eastAsia" w:ascii="楷体_GB2312" w:hAnsi="楷体_GB2312" w:eastAsia="楷体_GB2312" w:cs="楷体_GB2312"/>
        </w:rPr>
        <w:t>项目过程情况</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Style w:val="51"/>
          <w:bCs/>
          <w:color w:val="auto"/>
        </w:rPr>
      </w:pPr>
      <w:r>
        <w:rPr>
          <w:rStyle w:val="51"/>
          <w:rFonts w:hint="eastAsia"/>
          <w:bCs/>
          <w:color w:val="auto"/>
        </w:rPr>
        <w:t>资金管理方面：资金到位率100%，预算执行率100%；资金使用合规性100%，完全按照财政相关制度执行资金使用范围。</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Style w:val="51"/>
          <w:bCs/>
          <w:color w:val="auto"/>
        </w:rPr>
      </w:pPr>
      <w:r>
        <w:rPr>
          <w:rStyle w:val="51"/>
          <w:rFonts w:hint="eastAsia"/>
          <w:bCs/>
          <w:color w:val="auto"/>
        </w:rPr>
        <w:t>组织实施方面：管理制度健全性100%，</w:t>
      </w:r>
      <w:r>
        <w:rPr>
          <w:rFonts w:hint="eastAsia" w:ascii="仿宋_GB2312" w:hAnsi="仿宋_GB2312" w:eastAsia="仿宋_GB2312" w:cs="仿宋_GB2312"/>
          <w:kern w:val="1"/>
          <w:sz w:val="32"/>
          <w:szCs w:val="32"/>
        </w:rPr>
        <w:t>项目资金在使用过程中，坚持专款专用的原则，严格财务管理，确保经费管理各个环节的畅通、有序、高效，合理预算、决算制度。</w:t>
      </w:r>
      <w:r>
        <w:rPr>
          <w:rStyle w:val="51"/>
          <w:rFonts w:hint="eastAsia"/>
          <w:bCs/>
          <w:color w:val="auto"/>
        </w:rPr>
        <w:t>制度执行有效性100%。</w:t>
      </w:r>
      <w:r>
        <w:rPr>
          <w:rFonts w:hint="eastAsia" w:ascii="仿宋_GB2312" w:hAnsi="仿宋_GB2312" w:eastAsia="仿宋_GB2312" w:cs="仿宋_GB2312"/>
          <w:kern w:val="1"/>
          <w:sz w:val="32"/>
          <w:szCs w:val="32"/>
        </w:rPr>
        <w:t>有计划地使用资金，确保项目资金能达到预期效果。每一笔支出由领导进行审批，确保资金在使用程序上严谨，确保每一笔资金的支付公开透明，充分接受监督。</w:t>
      </w:r>
    </w:p>
    <w:p>
      <w:pPr>
        <w:pStyle w:val="18"/>
        <w:keepNext w:val="0"/>
        <w:keepLines w:val="0"/>
        <w:pageBreakBefore w:val="0"/>
        <w:numPr>
          <w:ilvl w:val="0"/>
          <w:numId w:val="3"/>
        </w:numPr>
        <w:kinsoku/>
        <w:wordWrap/>
        <w:overflowPunct/>
        <w:topLinePunct w:val="0"/>
        <w:autoSpaceDE/>
        <w:autoSpaceDN/>
        <w:bidi w:val="0"/>
        <w:adjustRightInd/>
        <w:spacing w:after="0"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51"/>
          <w:bCs/>
          <w:color w:val="auto"/>
        </w:rPr>
      </w:pPr>
      <w:r>
        <w:rPr>
          <w:rStyle w:val="51"/>
          <w:rFonts w:hint="eastAsia"/>
          <w:bCs/>
          <w:color w:val="auto"/>
        </w:rPr>
        <w:t>数量指标方面：购买专业设备5D照相机及无人机，年度指标值≥3台，实际完成值3台</w:t>
      </w:r>
      <w:r>
        <w:rPr>
          <w:rStyle w:val="51"/>
          <w:rFonts w:hint="eastAsia"/>
          <w:color w:val="auto"/>
        </w:rPr>
        <w:t>；</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51"/>
          <w:rFonts w:hint="eastAsia"/>
          <w:color w:val="auto"/>
        </w:rPr>
      </w:pPr>
      <w:r>
        <w:rPr>
          <w:rStyle w:val="51"/>
          <w:rFonts w:hint="eastAsia"/>
          <w:color w:val="auto"/>
        </w:rPr>
        <w:t>质量指标方面：政府采购率，年度指标值100%，</w:t>
      </w:r>
      <w:r>
        <w:rPr>
          <w:rStyle w:val="51"/>
          <w:rFonts w:hint="eastAsia"/>
          <w:bCs/>
          <w:color w:val="auto"/>
        </w:rPr>
        <w:t>实际完成值100%；</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51"/>
          <w:rFonts w:hint="eastAsia"/>
          <w:color w:val="auto"/>
        </w:rPr>
      </w:pPr>
      <w:r>
        <w:rPr>
          <w:rStyle w:val="51"/>
          <w:rFonts w:hint="eastAsia"/>
          <w:color w:val="auto"/>
        </w:rPr>
        <w:t>质量合格率，年度指标值100%，</w:t>
      </w:r>
      <w:r>
        <w:rPr>
          <w:rStyle w:val="51"/>
          <w:rFonts w:hint="eastAsia"/>
          <w:bCs/>
          <w:color w:val="auto"/>
        </w:rPr>
        <w:t>实际完成值100%；</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51"/>
          <w:rFonts w:hint="eastAsia"/>
          <w:bCs/>
          <w:color w:val="auto"/>
        </w:rPr>
      </w:pPr>
      <w:r>
        <w:rPr>
          <w:rStyle w:val="51"/>
          <w:rFonts w:hint="eastAsia"/>
          <w:color w:val="auto"/>
        </w:rPr>
        <w:t>成本指标方面：照相机设备购置成本，年度指标值≥21万元，</w:t>
      </w:r>
      <w:r>
        <w:rPr>
          <w:rStyle w:val="51"/>
          <w:rFonts w:hint="eastAsia"/>
          <w:bCs/>
          <w:color w:val="auto"/>
        </w:rPr>
        <w:t>实际完成值21万元；</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rPr>
      </w:pPr>
      <w:r>
        <w:rPr>
          <w:rStyle w:val="51"/>
          <w:rFonts w:hint="eastAsia"/>
          <w:bCs/>
          <w:color w:val="auto"/>
        </w:rPr>
        <w:t>节目拍摄制作节目服务费，办公费，</w:t>
      </w:r>
      <w:r>
        <w:rPr>
          <w:rStyle w:val="51"/>
          <w:rFonts w:hint="eastAsia"/>
          <w:color w:val="auto"/>
        </w:rPr>
        <w:t>年度指标值≤25.58万元，</w:t>
      </w:r>
      <w:r>
        <w:rPr>
          <w:rStyle w:val="51"/>
          <w:rFonts w:hint="eastAsia"/>
          <w:bCs/>
          <w:color w:val="auto"/>
        </w:rPr>
        <w:t>实际完成值25.58万</w:t>
      </w:r>
      <w:r>
        <w:rPr>
          <w:rStyle w:val="51"/>
          <w:rFonts w:hint="eastAsia" w:eastAsia="仿宋_GB2312"/>
          <w:bCs/>
          <w:color w:val="auto"/>
          <w:lang w:val="en-US" w:eastAsia="zh-CN"/>
        </w:rPr>
        <w:t>元</w:t>
      </w:r>
      <w:r>
        <w:rPr>
          <w:rStyle w:val="51"/>
          <w:rFonts w:hint="eastAsia"/>
          <w:bCs/>
          <w:color w:val="auto"/>
        </w:rPr>
        <w:t>；</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51"/>
          <w:rFonts w:hint="eastAsia"/>
          <w:color w:val="auto"/>
        </w:rPr>
      </w:pPr>
      <w:r>
        <w:rPr>
          <w:rStyle w:val="51"/>
          <w:rFonts w:hint="eastAsia"/>
          <w:color w:val="auto"/>
        </w:rPr>
        <w:t>时效指标方面：该项目完成时间，年度指标值2020年12月，</w:t>
      </w:r>
      <w:r>
        <w:rPr>
          <w:rStyle w:val="51"/>
          <w:rFonts w:hint="eastAsia"/>
          <w:bCs/>
          <w:color w:val="auto"/>
        </w:rPr>
        <w:t>实际完成值</w:t>
      </w:r>
      <w:r>
        <w:rPr>
          <w:rStyle w:val="51"/>
          <w:rFonts w:hint="eastAsia"/>
          <w:color w:val="auto"/>
        </w:rPr>
        <w:t>2020年12月；</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51"/>
          <w:rFonts w:hint="eastAsia"/>
          <w:color w:val="auto"/>
        </w:rPr>
      </w:pPr>
      <w:r>
        <w:rPr>
          <w:rStyle w:val="51"/>
          <w:rFonts w:hint="eastAsia"/>
          <w:color w:val="auto"/>
        </w:rPr>
        <w:t>资金拨付及率，年度指标值100%，</w:t>
      </w:r>
      <w:r>
        <w:rPr>
          <w:rStyle w:val="51"/>
          <w:rFonts w:hint="eastAsia"/>
          <w:bCs/>
          <w:color w:val="auto"/>
        </w:rPr>
        <w:t>实际完成值100%；</w:t>
      </w:r>
    </w:p>
    <w:p>
      <w:pPr>
        <w:pStyle w:val="18"/>
        <w:keepNext w:val="0"/>
        <w:keepLines w:val="0"/>
        <w:pageBreakBefore w:val="0"/>
        <w:numPr>
          <w:ilvl w:val="0"/>
          <w:numId w:val="3"/>
        </w:numPr>
        <w:kinsoku/>
        <w:wordWrap/>
        <w:overflowPunct/>
        <w:topLinePunct w:val="0"/>
        <w:autoSpaceDE/>
        <w:autoSpaceDN/>
        <w:bidi w:val="0"/>
        <w:adjustRightInd/>
        <w:spacing w:after="0"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51"/>
          <w:rFonts w:hint="eastAsia"/>
          <w:bCs/>
          <w:color w:val="auto"/>
        </w:rPr>
      </w:pPr>
      <w:r>
        <w:rPr>
          <w:rStyle w:val="51"/>
          <w:rFonts w:hint="eastAsia"/>
          <w:color w:val="auto"/>
        </w:rPr>
        <w:t>社会效益指标方面：使塔城地区广播电视台公共服务能力得到提升，年度指标值≥90%，</w:t>
      </w:r>
      <w:r>
        <w:rPr>
          <w:rStyle w:val="51"/>
          <w:rFonts w:hint="eastAsia"/>
          <w:bCs/>
          <w:color w:val="auto"/>
        </w:rPr>
        <w:t>实际完成值</w:t>
      </w:r>
      <w:r>
        <w:rPr>
          <w:rStyle w:val="51"/>
          <w:bCs/>
          <w:color w:val="auto"/>
        </w:rPr>
        <w:t>95%；</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51"/>
          <w:rFonts w:hint="eastAsia"/>
          <w:bCs/>
          <w:color w:val="auto"/>
        </w:rPr>
      </w:pPr>
      <w:r>
        <w:rPr>
          <w:rStyle w:val="51"/>
          <w:rFonts w:hint="eastAsia"/>
          <w:bCs/>
          <w:color w:val="auto"/>
        </w:rPr>
        <w:t>办公效益提升率，</w:t>
      </w:r>
      <w:r>
        <w:rPr>
          <w:rStyle w:val="51"/>
          <w:rFonts w:hint="eastAsia"/>
          <w:color w:val="auto"/>
        </w:rPr>
        <w:t>年度指标值有所提升，</w:t>
      </w:r>
      <w:r>
        <w:rPr>
          <w:rStyle w:val="51"/>
          <w:rFonts w:hint="eastAsia"/>
          <w:bCs/>
          <w:color w:val="auto"/>
        </w:rPr>
        <w:t>实际完成值有所提升</w:t>
      </w:r>
      <w:r>
        <w:rPr>
          <w:rStyle w:val="51"/>
          <w:bCs/>
          <w:color w:val="auto"/>
        </w:rPr>
        <w:t>；</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51"/>
          <w:color w:val="auto"/>
        </w:rPr>
      </w:pPr>
      <w:r>
        <w:rPr>
          <w:rStyle w:val="51"/>
          <w:color w:val="auto"/>
        </w:rPr>
        <w:t>可持续影响指标</w:t>
      </w:r>
      <w:r>
        <w:rPr>
          <w:rStyle w:val="51"/>
          <w:rFonts w:hint="eastAsia"/>
          <w:color w:val="auto"/>
        </w:rPr>
        <w:t>方面：在设备使用年限方面，年度指标值≥4年，</w:t>
      </w:r>
      <w:r>
        <w:rPr>
          <w:rStyle w:val="51"/>
          <w:rFonts w:hint="eastAsia"/>
          <w:bCs/>
          <w:color w:val="auto"/>
        </w:rPr>
        <w:t>实际完成值4年；</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eastAsia="zh-CN"/>
        </w:rPr>
      </w:pPr>
      <w:r>
        <w:rPr>
          <w:rStyle w:val="51"/>
          <w:color w:val="auto"/>
        </w:rPr>
        <w:t>满意度指标</w:t>
      </w:r>
      <w:r>
        <w:rPr>
          <w:rStyle w:val="51"/>
          <w:rFonts w:hint="eastAsia"/>
          <w:color w:val="auto"/>
        </w:rPr>
        <w:t>方面：服务对象满意度指标职工对工作环境的满意度，年度指标值≥90%，</w:t>
      </w:r>
      <w:r>
        <w:rPr>
          <w:rStyle w:val="51"/>
          <w:rFonts w:hint="eastAsia"/>
          <w:bCs/>
          <w:color w:val="auto"/>
        </w:rPr>
        <w:t>实际完成值</w:t>
      </w:r>
      <w:r>
        <w:rPr>
          <w:rStyle w:val="51"/>
          <w:bCs/>
          <w:color w:val="auto"/>
        </w:rPr>
        <w:t>95%</w:t>
      </w:r>
      <w:r>
        <w:rPr>
          <w:rStyle w:val="51"/>
          <w:rFonts w:hint="eastAsia" w:eastAsia="仿宋_GB2312"/>
          <w:bCs/>
          <w:color w:val="auto"/>
          <w:lang w:eastAsia="zh-CN"/>
        </w:rPr>
        <w:t>。</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Style w:val="51"/>
          <w:b/>
          <w:bCs/>
          <w:color w:val="auto"/>
        </w:rPr>
      </w:pPr>
      <w:r>
        <w:rPr>
          <w:rFonts w:hint="eastAsia" w:ascii="黑体" w:hAnsi="黑体" w:eastAsia="黑体"/>
          <w:b/>
          <w:bCs/>
          <w:sz w:val="32"/>
          <w:szCs w:val="32"/>
        </w:rPr>
        <w:t>五、主要经验及做法、存在的问题及原因分析</w:t>
      </w:r>
    </w:p>
    <w:p>
      <w:pPr>
        <w:keepNext w:val="0"/>
        <w:keepLines w:val="0"/>
        <w:pageBreakBefore w:val="0"/>
        <w:kinsoku/>
        <w:wordWrap/>
        <w:overflowPunct/>
        <w:topLinePunct w:val="0"/>
        <w:autoSpaceDE/>
        <w:autoSpaceDN/>
        <w:bidi w:val="0"/>
        <w:adjustRightIn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7"/>
        <w:keepNext w:val="0"/>
        <w:keepLines w:val="0"/>
        <w:pageBreakBefore w:val="0"/>
        <w:kinsoku/>
        <w:wordWrap/>
        <w:overflowPunct/>
        <w:topLinePunct w:val="0"/>
        <w:autoSpaceDE/>
        <w:autoSpaceDN/>
        <w:bidi w:val="0"/>
        <w:adjustRightInd/>
        <w:spacing w:before="0" w:after="0" w:line="560" w:lineRule="exac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kinsoku/>
        <w:wordWrap/>
        <w:overflowPunct/>
        <w:topLinePunct w:val="0"/>
        <w:autoSpaceDE/>
        <w:autoSpaceDN/>
        <w:bidi w:val="0"/>
        <w:adjustRightIn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（二）存在的问题及原因分析</w:t>
      </w:r>
    </w:p>
    <w:p>
      <w:pPr>
        <w:pStyle w:val="17"/>
        <w:keepNext w:val="0"/>
        <w:keepLines w:val="0"/>
        <w:pageBreakBefore w:val="0"/>
        <w:kinsoku/>
        <w:wordWrap/>
        <w:overflowPunct/>
        <w:topLinePunct w:val="0"/>
        <w:autoSpaceDE/>
        <w:autoSpaceDN/>
        <w:bidi w:val="0"/>
        <w:adjustRightInd/>
        <w:spacing w:before="0" w:after="0" w:line="560" w:lineRule="exact"/>
        <w:ind w:firstLine="643" w:firstLineChars="200"/>
        <w:jc w:val="both"/>
        <w:textAlignment w:val="auto"/>
        <w:rPr>
          <w:rFonts w:ascii="仿宋_GB2312" w:hAnsi="仿宋_GB2312" w:eastAsia="仿宋_GB2312" w:cs="仿宋_GB2312"/>
          <w:b/>
          <w:bCs/>
          <w:kern w:val="2"/>
        </w:rPr>
      </w:pPr>
      <w:r>
        <w:rPr>
          <w:rFonts w:hint="eastAsia" w:ascii="仿宋_GB2312" w:hAnsi="仿宋_GB2312" w:eastAsia="仿宋_GB2312" w:cs="仿宋_GB2312"/>
          <w:b/>
          <w:bCs/>
          <w:kern w:val="2"/>
        </w:rPr>
        <w:t>1、存在的问题</w:t>
      </w:r>
    </w:p>
    <w:p>
      <w:pPr>
        <w:keepNext w:val="0"/>
        <w:keepLines w:val="0"/>
        <w:pageBreakBefore w:val="0"/>
        <w:kinsoku/>
        <w:wordWrap/>
        <w:overflowPunct/>
        <w:topLinePunct w:val="0"/>
        <w:autoSpaceDE/>
        <w:autoSpaceDN/>
        <w:bidi w:val="0"/>
        <w:adjustRightInd/>
        <w:spacing w:line="560" w:lineRule="exact"/>
        <w:ind w:firstLine="640" w:firstLineChars="200"/>
        <w:textAlignment w:val="auto"/>
      </w:pPr>
      <w:r>
        <w:rPr>
          <w:rFonts w:hint="eastAsia" w:ascii="仿宋_GB2312" w:hAnsi="仿宋_GB2312" w:eastAsia="仿宋_GB2312" w:cs="仿宋_GB2312"/>
          <w:sz w:val="32"/>
          <w:szCs w:val="32"/>
        </w:rPr>
        <w:t>存在的问题是在实际实施绩效监控和绩效评价时较为困难，绩效目标的设置应符合量化、细化的要求。</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2、原因分析</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项目前期工作不全面，没有深入细致科学规划地做好各项前期工作，项目实施前期已根据项目建设内容设置绩效目标，但项目绩效目标级绩效指标设置过于笼统，不够细化。</w:t>
      </w:r>
    </w:p>
    <w:p>
      <w:pPr>
        <w:keepNext w:val="0"/>
        <w:keepLines w:val="0"/>
        <w:pageBreakBefore w:val="0"/>
        <w:numPr>
          <w:ilvl w:val="0"/>
          <w:numId w:val="4"/>
        </w:numPr>
        <w:kinsoku/>
        <w:wordWrap/>
        <w:overflowPunct/>
        <w:topLinePunct w:val="0"/>
        <w:autoSpaceDE/>
        <w:autoSpaceDN/>
        <w:bidi w:val="0"/>
        <w:adjustRightInd/>
        <w:spacing w:line="560" w:lineRule="exact"/>
        <w:ind w:firstLine="643" w:firstLineChars="200"/>
        <w:textAlignment w:val="auto"/>
        <w:rPr>
          <w:rFonts w:ascii="黑体" w:hAnsi="黑体" w:eastAsia="黑体"/>
          <w:b/>
          <w:bCs/>
          <w:sz w:val="32"/>
          <w:szCs w:val="32"/>
        </w:rPr>
      </w:pPr>
      <w:r>
        <w:rPr>
          <w:rFonts w:hint="eastAsia" w:ascii="黑体" w:hAnsi="黑体" w:eastAsia="黑体"/>
          <w:b/>
          <w:bCs/>
          <w:sz w:val="32"/>
          <w:szCs w:val="32"/>
        </w:rPr>
        <w:t>有关建议</w:t>
      </w:r>
    </w:p>
    <w:p>
      <w:pPr>
        <w:keepNext w:val="0"/>
        <w:keepLines w:val="0"/>
        <w:pageBreakBefore w:val="0"/>
        <w:numPr>
          <w:ilvl w:val="0"/>
          <w:numId w:val="5"/>
        </w:numPr>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keepNext w:val="0"/>
        <w:keepLines w:val="0"/>
        <w:pageBreakBefore w:val="0"/>
        <w:numPr>
          <w:ilvl w:val="0"/>
          <w:numId w:val="5"/>
        </w:numPr>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lang w:eastAsia="zh-CN"/>
        </w:rPr>
        <w:t>报账</w:t>
      </w:r>
      <w:r>
        <w:rPr>
          <w:rFonts w:hint="eastAsia" w:ascii="仿宋_GB2312" w:hAnsi="仿宋_GB2312" w:eastAsia="仿宋_GB2312" w:cs="仿宋_GB2312"/>
          <w:sz w:val="32"/>
          <w:szCs w:val="32"/>
        </w:rPr>
        <w:t>，从而确保专项资金专款专用，有效地防止了截留、挤占和挪用。</w:t>
      </w:r>
    </w:p>
    <w:p>
      <w:pPr>
        <w:keepNext w:val="0"/>
        <w:keepLines w:val="0"/>
        <w:pageBreakBefore w:val="0"/>
        <w:numPr>
          <w:ilvl w:val="0"/>
          <w:numId w:val="4"/>
        </w:numPr>
        <w:kinsoku/>
        <w:wordWrap/>
        <w:overflowPunct/>
        <w:topLinePunct w:val="0"/>
        <w:autoSpaceDE/>
        <w:autoSpaceDN/>
        <w:bidi w:val="0"/>
        <w:adjustRightInd/>
        <w:spacing w:line="560" w:lineRule="exact"/>
        <w:ind w:firstLine="643" w:firstLineChars="200"/>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lang w:eastAsia="zh-CN"/>
        </w:rPr>
      </w:pPr>
      <w:r>
        <w:rPr>
          <w:rFonts w:ascii="仿宋_GB2312" w:hAnsi="仿宋_GB2312" w:eastAsia="仿宋_GB2312" w:cs="仿宋_GB2312"/>
          <w:sz w:val="32"/>
          <w:szCs w:val="32"/>
        </w:rPr>
        <w:t>无</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spacing w:line="560" w:lineRule="exact"/>
        <w:jc w:val="center"/>
        <w:textAlignment w:val="auto"/>
        <w:rPr>
          <w:rFonts w:hint="eastAsia" w:ascii="宋体" w:hAnsi="宋体" w:cs="Arial"/>
          <w:b/>
          <w:bCs/>
          <w:color w:val="000000"/>
          <w:kern w:val="0"/>
          <w:sz w:val="32"/>
          <w:szCs w:val="32"/>
        </w:rPr>
      </w:pPr>
      <w:r>
        <w:rPr>
          <w:rFonts w:hint="eastAsia" w:ascii="宋体" w:hAnsi="宋体" w:cs="Arial"/>
          <w:b/>
          <w:bCs/>
          <w:color w:val="000000"/>
          <w:kern w:val="0"/>
          <w:sz w:val="32"/>
          <w:szCs w:val="32"/>
        </w:rPr>
        <w:br w:type="page"/>
      </w:r>
    </w:p>
    <w:tbl>
      <w:tblPr>
        <w:tblW w:w="9345" w:type="dxa"/>
        <w:tblInd w:w="0" w:type="dxa"/>
        <w:shd w:val="clear"/>
        <w:tblLayout w:type="autofit"/>
        <w:tblCellMar>
          <w:top w:w="0" w:type="dxa"/>
          <w:left w:w="0" w:type="dxa"/>
          <w:bottom w:w="0" w:type="dxa"/>
          <w:right w:w="0" w:type="dxa"/>
        </w:tblCellMar>
      </w:tblPr>
      <w:tblGrid>
        <w:gridCol w:w="840"/>
        <w:gridCol w:w="840"/>
        <w:gridCol w:w="840"/>
        <w:gridCol w:w="840"/>
        <w:gridCol w:w="840"/>
        <w:gridCol w:w="840"/>
        <w:gridCol w:w="840"/>
        <w:gridCol w:w="1485"/>
        <w:gridCol w:w="495"/>
        <w:gridCol w:w="1485"/>
      </w:tblGrid>
      <w:tr>
        <w:tblPrEx>
          <w:shd w:val="clear"/>
          <w:tblCellMar>
            <w:top w:w="0" w:type="dxa"/>
            <w:left w:w="0" w:type="dxa"/>
            <w:bottom w:w="0" w:type="dxa"/>
            <w:right w:w="0" w:type="dxa"/>
          </w:tblCellMar>
        </w:tblPrEx>
        <w:trPr>
          <w:trHeight w:val="409" w:hRule="atLeast"/>
        </w:trPr>
        <w:tc>
          <w:tcPr>
            <w:tcW w:w="9345" w:type="dxa"/>
            <w:gridSpan w:val="10"/>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bdr w:val="none" w:color="auto" w:sz="0" w:space="0"/>
                <w:lang w:val="en-US" w:eastAsia="zh-CN" w:bidi="ar"/>
              </w:rPr>
              <w:t>项目支出绩效自评表</w:t>
            </w:r>
          </w:p>
        </w:tc>
      </w:tr>
      <w:tr>
        <w:tblPrEx>
          <w:shd w:val="clear"/>
          <w:tblCellMar>
            <w:top w:w="0" w:type="dxa"/>
            <w:left w:w="0" w:type="dxa"/>
            <w:bottom w:w="0" w:type="dxa"/>
            <w:right w:w="0" w:type="dxa"/>
          </w:tblCellMar>
        </w:tblPrEx>
        <w:trPr>
          <w:trHeight w:val="409" w:hRule="atLeast"/>
        </w:trPr>
        <w:tc>
          <w:tcPr>
            <w:tcW w:w="9345" w:type="dxa"/>
            <w:gridSpan w:val="10"/>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bdr w:val="none" w:color="auto" w:sz="0" w:space="0"/>
                <w:lang w:val="en-US" w:eastAsia="zh-CN" w:bidi="ar"/>
              </w:rPr>
              <w:t>（   2020 年度）</w:t>
            </w:r>
          </w:p>
        </w:tc>
      </w:tr>
      <w:tr>
        <w:tblPrEx>
          <w:shd w:val="clear"/>
          <w:tblCellMar>
            <w:top w:w="0" w:type="dxa"/>
            <w:left w:w="0" w:type="dxa"/>
            <w:bottom w:w="0" w:type="dxa"/>
            <w:right w:w="0" w:type="dxa"/>
          </w:tblCellMar>
        </w:tblPrEx>
        <w:trPr>
          <w:trHeight w:val="270" w:hRule="atLeast"/>
        </w:trPr>
        <w:tc>
          <w:tcPr>
            <w:tcW w:w="9345" w:type="dxa"/>
            <w:gridSpan w:val="10"/>
            <w:tcBorders>
              <w:top w:val="nil"/>
              <w:left w:val="nil"/>
              <w:bottom w:val="nil"/>
              <w:right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项目名称</w:t>
            </w:r>
          </w:p>
        </w:tc>
        <w:tc>
          <w:tcPr>
            <w:tcW w:w="7665"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塔城地区广播电视台设备购置，平台维护服务项目</w:t>
            </w:r>
          </w:p>
        </w:tc>
      </w:tr>
      <w:tr>
        <w:tblPrEx>
          <w:shd w:val="clear"/>
          <w:tblCellMar>
            <w:top w:w="0" w:type="dxa"/>
            <w:left w:w="0" w:type="dxa"/>
            <w:bottom w:w="0" w:type="dxa"/>
            <w:right w:w="0" w:type="dxa"/>
          </w:tblCellMar>
        </w:tblPrEx>
        <w:trPr>
          <w:trHeight w:val="38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主管部门</w:t>
            </w:r>
          </w:p>
        </w:tc>
        <w:tc>
          <w:tcPr>
            <w:tcW w:w="4200" w:type="dxa"/>
            <w:gridSpan w:val="5"/>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实施单位</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塔城地区电视台</w:t>
            </w:r>
          </w:p>
        </w:tc>
      </w:tr>
      <w:tr>
        <w:tblPrEx>
          <w:shd w:val="clear"/>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项目资金</w:t>
            </w:r>
          </w:p>
        </w:tc>
        <w:tc>
          <w:tcPr>
            <w:tcW w:w="0" w:type="auto"/>
            <w:tcBorders>
              <w:top w:val="nil"/>
              <w:left w:val="nil"/>
              <w:bottom w:val="nil"/>
              <w:right w:val="nil"/>
            </w:tcBorders>
            <w:shd w:val="clear"/>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全年预算数</w:t>
            </w:r>
          </w:p>
        </w:tc>
        <w:tc>
          <w:tcPr>
            <w:tcW w:w="1980"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全年执行数</w:t>
            </w:r>
          </w:p>
        </w:tc>
        <w:tc>
          <w:tcPr>
            <w:tcW w:w="148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执行率</w:t>
            </w:r>
          </w:p>
        </w:tc>
      </w:tr>
      <w:tr>
        <w:tblPrEx>
          <w:shd w:val="clear"/>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46.58</w:t>
            </w: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46.58</w:t>
            </w:r>
          </w:p>
        </w:tc>
        <w:tc>
          <w:tcPr>
            <w:tcW w:w="1980"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46.58</w:t>
            </w:r>
          </w:p>
        </w:tc>
        <w:tc>
          <w:tcPr>
            <w:tcW w:w="148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r>
      <w:tr>
        <w:tblPrEx>
          <w:shd w:val="clear"/>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46.58</w:t>
            </w: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46.58</w:t>
            </w:r>
          </w:p>
        </w:tc>
        <w:tc>
          <w:tcPr>
            <w:tcW w:w="1980"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46.58</w:t>
            </w:r>
          </w:p>
        </w:tc>
        <w:tc>
          <w:tcPr>
            <w:tcW w:w="148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shd w:val="clear"/>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980"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48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shd w:val="clear"/>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980" w:type="dxa"/>
            <w:gridSpan w:val="2"/>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485"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shd w:val="clear"/>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预期目标</w:t>
            </w:r>
          </w:p>
        </w:tc>
        <w:tc>
          <w:tcPr>
            <w:tcW w:w="346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实际完成情况</w:t>
            </w:r>
          </w:p>
        </w:tc>
      </w:tr>
      <w:tr>
        <w:tblPrEx>
          <w:shd w:val="clear"/>
          <w:tblCellMar>
            <w:top w:w="0" w:type="dxa"/>
            <w:left w:w="0" w:type="dxa"/>
            <w:bottom w:w="0" w:type="dxa"/>
            <w:right w:w="0" w:type="dxa"/>
          </w:tblCellMar>
        </w:tblPrEx>
        <w:trPr>
          <w:trHeight w:val="20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  为进一步延长地区广播电视台音视频和服务器设备的使用寿命，切实强化维护保养工作，做到降低功耗、维护及时、技术可靠、延长设备使用年限，确保广播电视台音视频的质效和功能。发挥项目资金最大利益化、最大效益化”，用更好，更快的速度传输节目，提高地区广播电视台的整体工作效能。</w:t>
            </w:r>
          </w:p>
        </w:tc>
        <w:tc>
          <w:tcPr>
            <w:tcW w:w="3465"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为进一步延长地区广播电视台音视频和服务器设备的使用寿命，切实强化维护保养工作，做到降低功耗、维护及时、技术可靠、延长设备使用年限，确保广播电视台音视频的质效和功能。发挥项目资金最大利益化、最大效益化”，用更好，更快的速度传输节目，提高地区广播电视台的整体工作效能。</w:t>
            </w:r>
          </w:p>
        </w:tc>
      </w:tr>
      <w:tr>
        <w:tblPrEx>
          <w:shd w:val="clear"/>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年度指标值</w:t>
            </w:r>
          </w:p>
        </w:tc>
        <w:tc>
          <w:tcPr>
            <w:tcW w:w="148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实际完成值</w:t>
            </w:r>
          </w:p>
        </w:tc>
        <w:tc>
          <w:tcPr>
            <w:tcW w:w="198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偏差原因分析及改进措施</w:t>
            </w:r>
          </w:p>
        </w:tc>
      </w:tr>
      <w:tr>
        <w:tblPrEx>
          <w:shd w:val="clear"/>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8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5D照相机及无人机</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≥3台</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3台</w:t>
            </w: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政府采购率</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质量合格率</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tblCellMar>
            <w:top w:w="0" w:type="dxa"/>
            <w:left w:w="0" w:type="dxa"/>
            <w:bottom w:w="0" w:type="dxa"/>
            <w:right w:w="0" w:type="dxa"/>
          </w:tblCellMar>
        </w:tblPrEx>
        <w:trPr>
          <w:trHeight w:val="108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该项目完成时间</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2020年12月</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2020年12月</w:t>
            </w: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资金拨付及率时</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照相机设备购置成本</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≥21万元</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21万元</w:t>
            </w: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tblCellMar>
            <w:top w:w="0" w:type="dxa"/>
            <w:left w:w="0" w:type="dxa"/>
            <w:bottom w:w="0" w:type="dxa"/>
            <w:right w:w="0" w:type="dxa"/>
          </w:tblCellMar>
        </w:tblPrEx>
        <w:trPr>
          <w:trHeight w:val="108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节目拍摄制作节目服务费，办公费</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≤25.58万元</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25.58万元</w:t>
            </w: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电视台公共服务能力得到提升</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办公效益提升率</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有所提升</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有所提升</w:t>
            </w: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设备使用年限</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≥4年</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4年</w:t>
            </w: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职工对工作环境的满意度</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14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19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pStyle w:val="17"/>
        <w:rPr>
          <w:rFonts w:ascii="仿宋_GB2312" w:hAnsi="仿宋_GB2312" w:eastAsia="仿宋_GB2312" w:cs="仿宋_GB2312"/>
          <w:b w:val="0"/>
          <w:bCs w:val="0"/>
          <w:kern w:val="2"/>
        </w:rPr>
      </w:pPr>
    </w:p>
    <w:p>
      <w:pPr>
        <w:rPr>
          <w:rFonts w:ascii="仿宋_GB2312" w:hAnsi="仿宋_GB2312" w:eastAsia="仿宋_GB2312" w:cs="仿宋_GB2312"/>
          <w:sz w:val="32"/>
          <w:szCs w:val="32"/>
        </w:rPr>
      </w:pPr>
    </w:p>
    <w:p>
      <w:pPr>
        <w:pStyle w:val="17"/>
        <w:rPr>
          <w:rFonts w:ascii="黑体" w:hAnsi="黑体" w:eastAsia="黑体"/>
        </w:rPr>
      </w:pPr>
    </w:p>
    <w:p>
      <w:pPr>
        <w:rPr>
          <w:rFonts w:ascii="黑体" w:hAnsi="黑体" w:eastAsia="黑体"/>
          <w:sz w:val="32"/>
          <w:szCs w:val="32"/>
        </w:rPr>
      </w:pPr>
    </w:p>
    <w:p>
      <w:pPr>
        <w:pStyle w:val="17"/>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ascii="仿宋_GB2312"/>
          <w:bCs/>
          <w:sz w:val="32"/>
          <w:szCs w:val="32"/>
        </w:rPr>
      </w:pPr>
      <w:r>
        <w:rPr>
          <w:rFonts w:hint="eastAsia" w:ascii="仿宋_GB2312"/>
          <w:bCs/>
          <w:sz w:val="32"/>
          <w:szCs w:val="32"/>
        </w:rPr>
        <w:t>附件1</w:t>
      </w:r>
    </w:p>
    <w:tbl>
      <w:tblPr>
        <w:tblStyle w:val="19"/>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3"/>
        <w:gridCol w:w="513"/>
        <w:gridCol w:w="587"/>
        <w:gridCol w:w="4686"/>
        <w:gridCol w:w="6635"/>
        <w:gridCol w:w="626"/>
        <w:gridCol w:w="61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80"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180"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207"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1653"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2340"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220"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216" w:type="pct"/>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80"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80"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165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234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22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21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80"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80"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165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234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22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21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80"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8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165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234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22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6"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80"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18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165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234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22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6"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80"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80"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165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234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22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80"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80"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165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234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22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80" w:type="pct"/>
            <w:vMerge w:val="restart"/>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180"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165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234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22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6"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80"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80"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165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234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22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80"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18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165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234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22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6"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80"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80"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165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234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22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6"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80"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80"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165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234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22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6"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8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18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165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234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22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216"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80"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18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165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234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2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16"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80"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80" w:type="pct"/>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165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234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22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216"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80"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8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165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234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22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16"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80"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180"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165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234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22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21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80"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80"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20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165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234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22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16"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bl>
    <w:p>
      <w:pPr>
        <w:pStyle w:val="17"/>
        <w:keepNext w:val="0"/>
        <w:keepLines w:val="0"/>
        <w:pageBreakBefore w:val="0"/>
        <w:kinsoku/>
        <w:wordWrap/>
        <w:overflowPunct/>
        <w:topLinePunct w:val="0"/>
        <w:autoSpaceDE/>
        <w:autoSpaceDN/>
        <w:bidi w:val="0"/>
        <w:adjustRightInd/>
        <w:snapToGrid/>
        <w:spacing w:before="0" w:after="0" w:line="560" w:lineRule="exact"/>
        <w:textAlignment w:val="auto"/>
        <w:rPr>
          <w:rFonts w:hint="eastAsia" w:ascii="宋体" w:hAnsi="宋体" w:eastAsia="宋体" w:cs="宋体"/>
          <w:sz w:val="18"/>
          <w:szCs w:val="18"/>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1"/>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1"/>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textAlignment w:val="auto"/>
        <w:rPr>
          <w:rStyle w:val="21"/>
          <w:rFonts w:hint="eastAsia" w:ascii="宋体" w:hAnsi="宋体" w:eastAsia="宋体" w:cs="宋体"/>
          <w:b w:val="0"/>
          <w:spacing w:val="-4"/>
          <w:sz w:val="18"/>
          <w:szCs w:val="18"/>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15</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A0964"/>
    <w:rsid w:val="000A365F"/>
    <w:rsid w:val="000E425C"/>
    <w:rsid w:val="000E50F0"/>
    <w:rsid w:val="000E586C"/>
    <w:rsid w:val="00112C91"/>
    <w:rsid w:val="00121AE4"/>
    <w:rsid w:val="00146AAD"/>
    <w:rsid w:val="0015081A"/>
    <w:rsid w:val="0017402B"/>
    <w:rsid w:val="001A44E6"/>
    <w:rsid w:val="001B3A40"/>
    <w:rsid w:val="00207E47"/>
    <w:rsid w:val="00253302"/>
    <w:rsid w:val="00255211"/>
    <w:rsid w:val="00292DC5"/>
    <w:rsid w:val="002B4BD2"/>
    <w:rsid w:val="002F437E"/>
    <w:rsid w:val="00301F42"/>
    <w:rsid w:val="00357158"/>
    <w:rsid w:val="00370000"/>
    <w:rsid w:val="0039614F"/>
    <w:rsid w:val="003C18BC"/>
    <w:rsid w:val="003D2C7D"/>
    <w:rsid w:val="004366A8"/>
    <w:rsid w:val="0044134D"/>
    <w:rsid w:val="004613E4"/>
    <w:rsid w:val="00464900"/>
    <w:rsid w:val="00480513"/>
    <w:rsid w:val="004C18C7"/>
    <w:rsid w:val="004C5B55"/>
    <w:rsid w:val="004D6B50"/>
    <w:rsid w:val="00502BA7"/>
    <w:rsid w:val="00511FC1"/>
    <w:rsid w:val="005162F1"/>
    <w:rsid w:val="005323A1"/>
    <w:rsid w:val="00535153"/>
    <w:rsid w:val="00554F82"/>
    <w:rsid w:val="0056390D"/>
    <w:rsid w:val="005719B0"/>
    <w:rsid w:val="00596CD4"/>
    <w:rsid w:val="005A2D10"/>
    <w:rsid w:val="005A5B00"/>
    <w:rsid w:val="005B78CD"/>
    <w:rsid w:val="005C02CF"/>
    <w:rsid w:val="005D10D6"/>
    <w:rsid w:val="006203B5"/>
    <w:rsid w:val="006A46A1"/>
    <w:rsid w:val="006D29AE"/>
    <w:rsid w:val="006E35D0"/>
    <w:rsid w:val="006E3ED2"/>
    <w:rsid w:val="00705DAB"/>
    <w:rsid w:val="0072131B"/>
    <w:rsid w:val="00724E41"/>
    <w:rsid w:val="00752FD1"/>
    <w:rsid w:val="007806A5"/>
    <w:rsid w:val="007E1A5F"/>
    <w:rsid w:val="007F0A57"/>
    <w:rsid w:val="007F3027"/>
    <w:rsid w:val="007F761F"/>
    <w:rsid w:val="008339B8"/>
    <w:rsid w:val="008508DF"/>
    <w:rsid w:val="00855E3A"/>
    <w:rsid w:val="0089675C"/>
    <w:rsid w:val="008A7F68"/>
    <w:rsid w:val="008D12D3"/>
    <w:rsid w:val="008E4AFD"/>
    <w:rsid w:val="00922CB9"/>
    <w:rsid w:val="00951D21"/>
    <w:rsid w:val="009E5CD9"/>
    <w:rsid w:val="00A2332A"/>
    <w:rsid w:val="00A26421"/>
    <w:rsid w:val="00A4293B"/>
    <w:rsid w:val="00A44A5C"/>
    <w:rsid w:val="00A5502B"/>
    <w:rsid w:val="00A557B2"/>
    <w:rsid w:val="00A629C5"/>
    <w:rsid w:val="00A67D50"/>
    <w:rsid w:val="00A75E53"/>
    <w:rsid w:val="00A8691A"/>
    <w:rsid w:val="00AC1946"/>
    <w:rsid w:val="00AD7383"/>
    <w:rsid w:val="00AF2215"/>
    <w:rsid w:val="00B13828"/>
    <w:rsid w:val="00B14B32"/>
    <w:rsid w:val="00B2794C"/>
    <w:rsid w:val="00B33FDE"/>
    <w:rsid w:val="00B40063"/>
    <w:rsid w:val="00B41F61"/>
    <w:rsid w:val="00B5399F"/>
    <w:rsid w:val="00B60006"/>
    <w:rsid w:val="00BA46E6"/>
    <w:rsid w:val="00C22D37"/>
    <w:rsid w:val="00C31043"/>
    <w:rsid w:val="00C56670"/>
    <w:rsid w:val="00C56C72"/>
    <w:rsid w:val="00CA6192"/>
    <w:rsid w:val="00CA6457"/>
    <w:rsid w:val="00D1438B"/>
    <w:rsid w:val="00D17F2E"/>
    <w:rsid w:val="00D30354"/>
    <w:rsid w:val="00D93879"/>
    <w:rsid w:val="00DB14CB"/>
    <w:rsid w:val="00DB6E1D"/>
    <w:rsid w:val="00DC2AF2"/>
    <w:rsid w:val="00DE6BD2"/>
    <w:rsid w:val="00DF42A0"/>
    <w:rsid w:val="00DF7C45"/>
    <w:rsid w:val="00E022D4"/>
    <w:rsid w:val="00E0659E"/>
    <w:rsid w:val="00E12218"/>
    <w:rsid w:val="00E31565"/>
    <w:rsid w:val="00E41462"/>
    <w:rsid w:val="00E46C51"/>
    <w:rsid w:val="00E46FAE"/>
    <w:rsid w:val="00E55401"/>
    <w:rsid w:val="00E750C8"/>
    <w:rsid w:val="00E769FE"/>
    <w:rsid w:val="00E8547B"/>
    <w:rsid w:val="00EA2CBE"/>
    <w:rsid w:val="00ED6991"/>
    <w:rsid w:val="00EF5BE5"/>
    <w:rsid w:val="00F23D37"/>
    <w:rsid w:val="00F32FEE"/>
    <w:rsid w:val="00F61D60"/>
    <w:rsid w:val="00F61ECE"/>
    <w:rsid w:val="00F71278"/>
    <w:rsid w:val="00FA0F61"/>
    <w:rsid w:val="00FB10BB"/>
    <w:rsid w:val="00FB19FC"/>
    <w:rsid w:val="00FC17AB"/>
    <w:rsid w:val="051A56F5"/>
    <w:rsid w:val="066D6EAA"/>
    <w:rsid w:val="08C662D4"/>
    <w:rsid w:val="09BD4D95"/>
    <w:rsid w:val="0E2E174E"/>
    <w:rsid w:val="0F8D41CB"/>
    <w:rsid w:val="113335CF"/>
    <w:rsid w:val="11C75270"/>
    <w:rsid w:val="12637CC3"/>
    <w:rsid w:val="12E657C5"/>
    <w:rsid w:val="167C7687"/>
    <w:rsid w:val="168B3546"/>
    <w:rsid w:val="1A2374E0"/>
    <w:rsid w:val="1C317CE2"/>
    <w:rsid w:val="1DD45808"/>
    <w:rsid w:val="1DED42AC"/>
    <w:rsid w:val="20005763"/>
    <w:rsid w:val="20FB313D"/>
    <w:rsid w:val="210F39FB"/>
    <w:rsid w:val="2208590A"/>
    <w:rsid w:val="220B4804"/>
    <w:rsid w:val="282475E3"/>
    <w:rsid w:val="2C6100C1"/>
    <w:rsid w:val="31E128CA"/>
    <w:rsid w:val="3264220D"/>
    <w:rsid w:val="3963178C"/>
    <w:rsid w:val="41CC2676"/>
    <w:rsid w:val="44F36853"/>
    <w:rsid w:val="46B21672"/>
    <w:rsid w:val="47A91DF1"/>
    <w:rsid w:val="4F552460"/>
    <w:rsid w:val="4FCC6863"/>
    <w:rsid w:val="500A214A"/>
    <w:rsid w:val="522D604D"/>
    <w:rsid w:val="5297585E"/>
    <w:rsid w:val="52AD7D6F"/>
    <w:rsid w:val="5549519D"/>
    <w:rsid w:val="5557596B"/>
    <w:rsid w:val="5B596DFC"/>
    <w:rsid w:val="5C5904C3"/>
    <w:rsid w:val="5DF03945"/>
    <w:rsid w:val="637C2815"/>
    <w:rsid w:val="67D35C4B"/>
    <w:rsid w:val="7A353D0B"/>
    <w:rsid w:val="7D3A5E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ody Text"/>
    <w:basedOn w:val="1"/>
    <w:qFormat/>
    <w:uiPriority w:val="0"/>
    <w:pPr>
      <w:spacing w:after="120"/>
    </w:pPr>
  </w:style>
  <w:style w:type="paragraph" w:styleId="13">
    <w:name w:val="Balloon Text"/>
    <w:basedOn w:val="1"/>
    <w:link w:val="49"/>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styleId="23">
    <w:name w:val="annotation reference"/>
    <w:basedOn w:val="20"/>
    <w:semiHidden/>
    <w:unhideWhenUsed/>
    <w:qFormat/>
    <w:uiPriority w:val="99"/>
    <w:rPr>
      <w:sz w:val="21"/>
      <w:szCs w:val="21"/>
    </w:rPr>
  </w:style>
  <w:style w:type="character" w:customStyle="1" w:styleId="24">
    <w:name w:val="标题 1 Char"/>
    <w:basedOn w:val="20"/>
    <w:link w:val="2"/>
    <w:qFormat/>
    <w:uiPriority w:val="9"/>
    <w:rPr>
      <w:rFonts w:asciiTheme="majorHAnsi" w:hAnsiTheme="majorHAnsi" w:eastAsiaTheme="majorEastAsia"/>
      <w:b/>
      <w:bCs/>
      <w:kern w:val="32"/>
      <w:sz w:val="32"/>
      <w:szCs w:val="32"/>
    </w:rPr>
  </w:style>
  <w:style w:type="character" w:customStyle="1" w:styleId="25">
    <w:name w:val="标题 2 Char"/>
    <w:basedOn w:val="20"/>
    <w:link w:val="3"/>
    <w:semiHidden/>
    <w:qFormat/>
    <w:uiPriority w:val="9"/>
    <w:rPr>
      <w:rFonts w:asciiTheme="majorHAnsi" w:hAnsiTheme="majorHAnsi" w:eastAsiaTheme="majorEastAsia"/>
      <w:b/>
      <w:bCs/>
      <w:i/>
      <w:iCs/>
      <w:sz w:val="28"/>
      <w:szCs w:val="28"/>
    </w:rPr>
  </w:style>
  <w:style w:type="character" w:customStyle="1" w:styleId="26">
    <w:name w:val="标题 3 Char"/>
    <w:basedOn w:val="20"/>
    <w:link w:val="4"/>
    <w:semiHidden/>
    <w:qFormat/>
    <w:uiPriority w:val="9"/>
    <w:rPr>
      <w:rFonts w:asciiTheme="majorHAnsi" w:hAnsiTheme="majorHAnsi" w:eastAsiaTheme="majorEastAsia"/>
      <w:b/>
      <w:bCs/>
      <w:sz w:val="26"/>
      <w:szCs w:val="26"/>
    </w:rPr>
  </w:style>
  <w:style w:type="character" w:customStyle="1" w:styleId="27">
    <w:name w:val="标题 4 Char"/>
    <w:basedOn w:val="20"/>
    <w:link w:val="5"/>
    <w:semiHidden/>
    <w:qFormat/>
    <w:uiPriority w:val="9"/>
    <w:rPr>
      <w:b/>
      <w:bCs/>
      <w:sz w:val="28"/>
      <w:szCs w:val="28"/>
    </w:rPr>
  </w:style>
  <w:style w:type="character" w:customStyle="1" w:styleId="28">
    <w:name w:val="标题 5 Char"/>
    <w:basedOn w:val="20"/>
    <w:link w:val="6"/>
    <w:semiHidden/>
    <w:qFormat/>
    <w:uiPriority w:val="9"/>
    <w:rPr>
      <w:b/>
      <w:bCs/>
      <w:i/>
      <w:iCs/>
      <w:sz w:val="26"/>
      <w:szCs w:val="26"/>
    </w:rPr>
  </w:style>
  <w:style w:type="character" w:customStyle="1" w:styleId="29">
    <w:name w:val="标题 6 Char"/>
    <w:basedOn w:val="20"/>
    <w:link w:val="7"/>
    <w:semiHidden/>
    <w:qFormat/>
    <w:uiPriority w:val="9"/>
    <w:rPr>
      <w:b/>
      <w:bCs/>
    </w:rPr>
  </w:style>
  <w:style w:type="character" w:customStyle="1" w:styleId="30">
    <w:name w:val="标题 7 Char"/>
    <w:basedOn w:val="20"/>
    <w:link w:val="8"/>
    <w:semiHidden/>
    <w:qFormat/>
    <w:uiPriority w:val="9"/>
    <w:rPr>
      <w:sz w:val="24"/>
      <w:szCs w:val="24"/>
    </w:rPr>
  </w:style>
  <w:style w:type="character" w:customStyle="1" w:styleId="31">
    <w:name w:val="标题 8 Char"/>
    <w:basedOn w:val="20"/>
    <w:link w:val="9"/>
    <w:semiHidden/>
    <w:qFormat/>
    <w:uiPriority w:val="9"/>
    <w:rPr>
      <w:i/>
      <w:iCs/>
      <w:sz w:val="24"/>
      <w:szCs w:val="24"/>
    </w:rPr>
  </w:style>
  <w:style w:type="character" w:customStyle="1" w:styleId="32">
    <w:name w:val="标题 9 Char"/>
    <w:basedOn w:val="20"/>
    <w:link w:val="10"/>
    <w:semiHidden/>
    <w:qFormat/>
    <w:uiPriority w:val="9"/>
    <w:rPr>
      <w:rFonts w:asciiTheme="majorHAnsi" w:hAnsiTheme="majorHAnsi" w:eastAsiaTheme="majorEastAsia"/>
    </w:rPr>
  </w:style>
  <w:style w:type="character" w:customStyle="1" w:styleId="33">
    <w:name w:val="标题 Char"/>
    <w:basedOn w:val="20"/>
    <w:link w:val="17"/>
    <w:qFormat/>
    <w:uiPriority w:val="10"/>
    <w:rPr>
      <w:rFonts w:asciiTheme="majorHAnsi" w:hAnsiTheme="majorHAnsi" w:eastAsiaTheme="majorEastAsia"/>
      <w:b/>
      <w:bCs/>
      <w:kern w:val="28"/>
      <w:sz w:val="32"/>
      <w:szCs w:val="32"/>
    </w:rPr>
  </w:style>
  <w:style w:type="character" w:customStyle="1" w:styleId="34">
    <w:name w:val="副标题 Char"/>
    <w:basedOn w:val="20"/>
    <w:link w:val="16"/>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20"/>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20"/>
    <w:link w:val="39"/>
    <w:qFormat/>
    <w:uiPriority w:val="30"/>
    <w:rPr>
      <w:b/>
      <w:i/>
      <w:sz w:val="24"/>
    </w:rPr>
  </w:style>
  <w:style w:type="character" w:customStyle="1" w:styleId="41">
    <w:name w:val="不明显强调1"/>
    <w:qFormat/>
    <w:uiPriority w:val="19"/>
    <w:rPr>
      <w:i/>
      <w:color w:val="585858" w:themeColor="text1" w:themeTint="A6"/>
    </w:rPr>
  </w:style>
  <w:style w:type="character" w:customStyle="1" w:styleId="42">
    <w:name w:val="明显强调1"/>
    <w:basedOn w:val="20"/>
    <w:qFormat/>
    <w:uiPriority w:val="21"/>
    <w:rPr>
      <w:b/>
      <w:i/>
      <w:sz w:val="24"/>
      <w:szCs w:val="24"/>
      <w:u w:val="single"/>
    </w:rPr>
  </w:style>
  <w:style w:type="character" w:customStyle="1" w:styleId="43">
    <w:name w:val="不明显参考1"/>
    <w:basedOn w:val="20"/>
    <w:qFormat/>
    <w:uiPriority w:val="31"/>
    <w:rPr>
      <w:sz w:val="24"/>
      <w:szCs w:val="24"/>
      <w:u w:val="single"/>
    </w:rPr>
  </w:style>
  <w:style w:type="character" w:customStyle="1" w:styleId="44">
    <w:name w:val="明显参考1"/>
    <w:basedOn w:val="20"/>
    <w:qFormat/>
    <w:uiPriority w:val="32"/>
    <w:rPr>
      <w:b/>
      <w:sz w:val="24"/>
      <w:u w:val="single"/>
    </w:rPr>
  </w:style>
  <w:style w:type="character" w:customStyle="1" w:styleId="45">
    <w:name w:val="书籍标题1"/>
    <w:basedOn w:val="20"/>
    <w:qFormat/>
    <w:uiPriority w:val="33"/>
    <w:rPr>
      <w:rFonts w:asciiTheme="majorHAnsi" w:hAnsiTheme="majorHAnsi" w:eastAsiaTheme="majorEastAsia"/>
      <w:b/>
      <w:i/>
      <w:sz w:val="24"/>
      <w:szCs w:val="24"/>
    </w:rPr>
  </w:style>
  <w:style w:type="paragraph" w:customStyle="1" w:styleId="46">
    <w:name w:val="TOC 标题1"/>
    <w:basedOn w:val="2"/>
    <w:next w:val="1"/>
    <w:semiHidden/>
    <w:unhideWhenUsed/>
    <w:qFormat/>
    <w:uiPriority w:val="39"/>
    <w:pPr>
      <w:outlineLvl w:val="9"/>
    </w:pPr>
    <w:rPr>
      <w:lang w:eastAsia="en-US" w:bidi="en-US"/>
    </w:rPr>
  </w:style>
  <w:style w:type="character" w:customStyle="1" w:styleId="47">
    <w:name w:val="页眉 Char"/>
    <w:basedOn w:val="20"/>
    <w:link w:val="15"/>
    <w:qFormat/>
    <w:uiPriority w:val="99"/>
    <w:rPr>
      <w:rFonts w:ascii="Calibri" w:hAnsi="Calibri" w:eastAsia="宋体"/>
      <w:kern w:val="2"/>
      <w:sz w:val="18"/>
      <w:szCs w:val="18"/>
    </w:rPr>
  </w:style>
  <w:style w:type="character" w:customStyle="1" w:styleId="48">
    <w:name w:val="页脚 Char"/>
    <w:basedOn w:val="20"/>
    <w:link w:val="14"/>
    <w:qFormat/>
    <w:uiPriority w:val="99"/>
    <w:rPr>
      <w:rFonts w:ascii="Calibri" w:hAnsi="Calibri" w:eastAsia="宋体"/>
      <w:kern w:val="2"/>
      <w:sz w:val="18"/>
      <w:szCs w:val="18"/>
    </w:rPr>
  </w:style>
  <w:style w:type="character" w:customStyle="1" w:styleId="49">
    <w:name w:val="批注框文本 Char"/>
    <w:basedOn w:val="20"/>
    <w:link w:val="13"/>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8217</Words>
  <Characters>1104</Characters>
  <Lines>9</Lines>
  <Paragraphs>18</Paragraphs>
  <TotalTime>4</TotalTime>
  <ScaleCrop>false</ScaleCrop>
  <LinksUpToDate>false</LinksUpToDate>
  <CharactersWithSpaces>9303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dell-dell</cp:lastModifiedBy>
  <cp:lastPrinted>2019-12-31T08:02:00Z</cp:lastPrinted>
  <dcterms:modified xsi:type="dcterms:W3CDTF">2021-05-29T12:19:49Z</dcterms:modified>
  <cp:revision>273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229835342_cloud</vt:lpwstr>
  </property>
  <property fmtid="{D5CDD505-2E9C-101B-9397-08002B2CF9AE}" pid="4" name="ICV">
    <vt:lpwstr>1F5746F49A0E4F469007383BDC23CFCC</vt:lpwstr>
  </property>
</Properties>
</file>