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pStyle w:val="2"/>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职业学校免学费、免住宿、免教材、助学金、奖学金资助贫困学生项目支出绩效评价报告</w:t>
      </w: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pStyle w:val="2"/>
        <w:rPr>
          <w:rFonts w:hAnsi="宋体" w:eastAsia="仿宋_GB2312" w:cs="宋体"/>
          <w:kern w:val="0"/>
          <w:sz w:val="36"/>
          <w:szCs w:val="36"/>
        </w:rPr>
      </w:pPr>
    </w:p>
    <w:p>
      <w:pPr>
        <w:rPr>
          <w:rFonts w:hAnsi="宋体" w:eastAsia="仿宋_GB2312" w:cs="宋体"/>
          <w:kern w:val="0"/>
          <w:sz w:val="36"/>
          <w:szCs w:val="36"/>
        </w:rPr>
      </w:pPr>
    </w:p>
    <w:p>
      <w:pPr>
        <w:pStyle w:val="2"/>
        <w:rPr>
          <w:rFonts w:hAnsi="宋体" w:eastAsia="仿宋_GB2312" w:cs="宋体"/>
          <w:kern w:val="0"/>
          <w:sz w:val="36"/>
          <w:szCs w:val="36"/>
        </w:rPr>
      </w:pPr>
    </w:p>
    <w:p>
      <w:pPr>
        <w:rPr>
          <w:rFonts w:hAnsi="宋体" w:eastAsia="仿宋_GB2312" w:cs="宋体"/>
          <w:kern w:val="0"/>
          <w:sz w:val="36"/>
          <w:szCs w:val="36"/>
        </w:rPr>
      </w:pPr>
    </w:p>
    <w:p>
      <w:pPr>
        <w:pStyle w:val="2"/>
      </w:pPr>
    </w:p>
    <w:p>
      <w:pPr>
        <w:spacing w:line="700" w:lineRule="exact"/>
        <w:ind w:left="2518" w:leftChars="342" w:hanging="1800" w:hangingChars="5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项目名称：职业学校免学费、免住宿、免教材、助学金、奖学金资助贫困学生项目</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实施单位（公章）：塔城地区师范学校</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主管部门（公章）：塔城地区教育局</w:t>
      </w:r>
    </w:p>
    <w:p>
      <w:pPr>
        <w:spacing w:line="700" w:lineRule="exact"/>
        <w:ind w:left="718" w:leftChars="342" w:firstLine="0" w:firstLineChars="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王新敏、王洪艳、阿布力克木</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填报时间：2021年4月7日</w:t>
      </w:r>
    </w:p>
    <w:p>
      <w:pPr>
        <w:rPr>
          <w:rFonts w:hint="eastAsia" w:ascii="仿宋_GB2312" w:hAnsi="仿宋_GB2312" w:eastAsia="仿宋_GB2312" w:cs="仿宋_GB2312"/>
          <w:bCs/>
          <w:sz w:val="36"/>
          <w:szCs w:val="36"/>
        </w:rPr>
      </w:pPr>
      <w:r>
        <w:rPr>
          <w:rFonts w:hint="eastAsia" w:ascii="仿宋_GB2312" w:hAnsi="仿宋_GB2312" w:eastAsia="仿宋_GB2312" w:cs="仿宋_GB2312"/>
          <w:bCs/>
          <w:sz w:val="36"/>
          <w:szCs w:val="36"/>
        </w:rPr>
        <w:br w:type="page"/>
      </w: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职业学校免学费、免住宿、免教材、助学金、奖学金资助贫困学生项目项目是</w:t>
      </w:r>
      <w:r>
        <w:rPr>
          <w:rFonts w:hint="eastAsia" w:ascii="仿宋_GB2312" w:hAnsi="仿宋_GB2312" w:eastAsia="仿宋_GB2312" w:cs="仿宋_GB2312"/>
          <w:sz w:val="32"/>
          <w:szCs w:val="32"/>
          <w:highlight w:val="none"/>
          <w:lang w:eastAsia="zh-CN"/>
        </w:rPr>
        <w:t>为了更好地</w:t>
      </w:r>
      <w:r>
        <w:rPr>
          <w:rFonts w:hint="eastAsia" w:ascii="仿宋_GB2312" w:hAnsi="仿宋_GB2312" w:eastAsia="仿宋_GB2312" w:cs="仿宋_GB2312"/>
          <w:sz w:val="32"/>
          <w:szCs w:val="32"/>
        </w:rPr>
        <w:t>把贯彻《国务院关于大力发展职业教育的决定》重要举措摆在一个突出的位置，提高对政策的认识，精心组织，切实抓紧抓好中等职业学校面向未升学初高中毕业生开展职业教育与培训的重要性。落实好国家对每年数百万普通初高中毕业生未能升入高等学校，而只掌握了文化基础知识，不具备用人单位所要求的职业技能，不能适应就业和创业的需要，从而不少人</w:t>
      </w:r>
      <w:r>
        <w:rPr>
          <w:rFonts w:hint="eastAsia" w:ascii="仿宋_GB2312" w:hAnsi="仿宋_GB2312" w:eastAsia="仿宋_GB2312" w:cs="仿宋_GB2312"/>
          <w:sz w:val="32"/>
          <w:szCs w:val="32"/>
          <w:highlight w:val="none"/>
          <w:lang w:eastAsia="zh-CN"/>
        </w:rPr>
        <w:t>加入</w:t>
      </w:r>
      <w:r>
        <w:rPr>
          <w:rFonts w:hint="eastAsia" w:ascii="仿宋_GB2312" w:hAnsi="仿宋_GB2312" w:eastAsia="仿宋_GB2312" w:cs="仿宋_GB2312"/>
          <w:sz w:val="32"/>
          <w:szCs w:val="32"/>
        </w:rPr>
        <w:t>四处流动的求职大军，以致给社会带来影响社会稳定和社会秩序等方面的问题。从而提出帮助他们有机会从新走入校园，学到一门或几门实用的生产、管理和服务方面的技能， 这不仅有利于提高他们的职业技能，实现就业和创业，而且对促进社会的发展与稳定、构建社会主义和谐社会都有重要的作用。我校设立此项目主要用于，现代职业教育质量提升师范学校学生宿舍楼建设、中职免学费资金、2020年学生资助补助、发放塔城地区户籍“未升学初高中毕业生”学生生活补助费、技能鉴定费、住宿费教材费、交通补助费，让所有在校塔城地区户籍未升学初高中毕业生学生，可以享受到国家的优惠政策。</w:t>
      </w:r>
    </w:p>
    <w:p>
      <w:pPr>
        <w:pageBreakBefore w:val="0"/>
        <w:numPr>
          <w:ilvl w:val="0"/>
          <w:numId w:val="1"/>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项目主要内容：职业学校免学费、免住宿、免教材、助学金、奖学金资助贫困学生项目项目</w:t>
      </w:r>
      <w:r>
        <w:rPr>
          <w:rFonts w:hint="eastAsia" w:eastAsia="仿宋_GB2312" w:cs="仿宋_GB2312" w:asciiTheme="minorHAnsi" w:hAnsiTheme="minorHAnsi"/>
          <w:b w:val="0"/>
          <w:bCs w:val="0"/>
          <w:kern w:val="2"/>
        </w:rPr>
        <w:t>主要包</w:t>
      </w:r>
      <w:r>
        <w:rPr>
          <w:rFonts w:hint="eastAsia" w:ascii="仿宋_GB2312" w:hAnsi="仿宋_GB2312" w:eastAsia="仿宋_GB2312" w:cs="仿宋_GB2312"/>
          <w:b w:val="0"/>
          <w:bCs w:val="0"/>
          <w:kern w:val="2"/>
        </w:rPr>
        <w:t>括现代职业教育质量提升师范学校学生宿舍楼建设、中职免学费资金、2020年学生资助补助、发放塔城地区户籍“未升学初高中毕业生”学生生活补助费、技能鉴定费、住宿费教材费、交通补助费，让所有在校塔城地区户籍未升学初高中毕业生学生，可以享受到国家的优惠政策、改善学校基本设施建设，改善学校环境，美化校园环境。</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项目实施情况：项目目前已经完成实际设立的目标，项目</w:t>
      </w:r>
      <w:bookmarkStart w:id="3" w:name="_GoBack"/>
      <w:r>
        <w:rPr>
          <w:rFonts w:hint="eastAsia" w:ascii="仿宋_GB2312" w:hAnsi="仿宋_GB2312" w:eastAsia="仿宋_GB2312" w:cs="仿宋_GB2312"/>
          <w:sz w:val="32"/>
          <w:szCs w:val="32"/>
        </w:rPr>
        <w:t>在实施过程中严格按照目标设立的各阶段任务进行开展工作，</w:t>
      </w:r>
      <w:bookmarkEnd w:id="3"/>
      <w:r>
        <w:rPr>
          <w:rFonts w:hint="eastAsia" w:ascii="仿宋_GB2312" w:hAnsi="仿宋_GB2312" w:eastAsia="仿宋_GB2312" w:cs="仿宋_GB2312"/>
          <w:sz w:val="32"/>
          <w:szCs w:val="32"/>
        </w:rPr>
        <w:t>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本项目总投资980.23万元，其中：财政本级资金35.72万元。项目实际支出980.23万元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支出率为100%。</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rPr>
      </w:pPr>
      <w:r>
        <w:rPr>
          <w:rFonts w:hint="eastAsia" w:ascii="仿宋_GB2312" w:hAnsi="仿宋_GB2312" w:eastAsia="仿宋_GB2312" w:cs="仿宋_GB2312"/>
          <w:sz w:val="32"/>
          <w:szCs w:val="32"/>
        </w:rPr>
        <w:t>项目总投资980.23万元，按照《财政资金管理办法》及单位财务制度等相关规定，资金支出符合财政专项资金费用范围，做到了专款专用。在项目资金拨付和使用过程中，为确保项目资金的安全性，提高项目资金使用效率，严格遵循财政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我校设立此项目主要用于，现代职业教育质量提升师范学校学生宿舍楼建设、中职免学费资金、2020年学生资助补助、发放塔城地区户籍“未升学初高中毕业生”学生生活补助费、技能鉴定费、住宿费教材费、交通补助费，让所有在校塔城地区户籍未升学初高中毕业生学生，可以享受到国家的优惠政策。加快发展现代职业教育，提高中职学校运转水平，促进中职教育发展，切实解决塔城地区户籍“未升学初高中毕业生”中等职业学校家庭经济困难学生就学问题。为中专教育学生建立了促进身心全面发展的最好的保障，提升教学环境，让学生们在一个舒心的环境中学习成长；提升教育公平系数、满足家庭经济困难学生基本学习生活要求。</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w:t>
      </w:r>
      <w:bookmarkStart w:id="1" w:name="_Toc30152835"/>
    </w:p>
    <w:bookmarkEnd w:id="1"/>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统计享受补助人数</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通过2020年年初开始招生宣传工作，到8月报名学生人数的初步统计及学生入学前技能考核，最终确定塔城地区户籍未升学初高中毕业生人数，与原有学生共计享受补助学生人数达到886人、享受免住宿免教材补助人数为815人、享受助学金补助人数为158人。</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生活补助费发放情况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2020年按期给学生发放生活补助。发放形式由塔城地区师范学校报财政局审批计划后，直接代发入学生资助卡中，并引导学生合理使用该补助经费。学生补助资金按时发放时间达到100%。</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师范学校宿舍楼建设项目已结束招标、已和施工单位签订建设合同。</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满意度调查情况</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于2020年6月至12月，在塔城地区师范学校对享受资助的学生进行了“受助学生的满意度”和“社会公众对我校资助工作的满意度”调查，调查结果为90%。</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（2）组织实施：资金一到位，立即根据项目要求实施项目。项目责任人按照上级部门要求逐一进行项目部署安排，提高项目质量及效率性。</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职业学校免学费、免住宿、免教材、助学金、奖学金资助贫困学生项目</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从职业学校免学费、免住宿、免教材、助学金、奖学金资助贫困学生项目的决策、过程、产出、效益等方面进行评价。</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w:t>
      </w:r>
      <w:r>
        <w:rPr>
          <w:rFonts w:hint="eastAsia" w:ascii="仿宋_GB2312" w:hAnsi="仿宋_GB2312" w:eastAsia="仿宋_GB2312" w:cs="仿宋_GB2312"/>
          <w:color w:val="000000"/>
          <w:spacing w:val="17"/>
          <w:sz w:val="32"/>
          <w:szCs w:val="32"/>
          <w:highlight w:val="none"/>
        </w:rPr>
        <w:t>层次分析法</w:t>
      </w:r>
      <w:r>
        <w:rPr>
          <w:rFonts w:hint="eastAsia" w:ascii="仿宋_GB2312" w:hAnsi="仿宋_GB2312" w:eastAsia="仿宋_GB2312" w:cs="仿宋_GB2312"/>
          <w:color w:val="000000"/>
          <w:spacing w:val="17"/>
          <w:sz w:val="32"/>
          <w:szCs w:val="32"/>
        </w:rPr>
        <w:t>，建立评价指标体系。绩效评价将指标分为项目决策指标、项目过程指标、项目产出指标、项目效益指标四个维度，最终形成一个由多个相互联系的指标组成的多层次指标体系。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w:t>
      </w:r>
      <w:r>
        <w:rPr>
          <w:rFonts w:hint="eastAsia" w:ascii="仿宋_GB2312" w:hAnsi="仿宋_GB2312" w:eastAsia="仿宋_GB2312" w:cs="仿宋_GB2312"/>
          <w:color w:val="000000"/>
          <w:spacing w:val="17"/>
          <w:sz w:val="32"/>
          <w:szCs w:val="32"/>
          <w:highlight w:val="none"/>
        </w:rPr>
        <w:t>项目决策权重占5分，项目过程权重占5分，项目产出权重值占50分，项目效益权重值占</w:t>
      </w:r>
      <w:r>
        <w:rPr>
          <w:rFonts w:hint="eastAsia" w:ascii="仿宋_GB2312" w:hAnsi="仿宋_GB2312" w:eastAsia="仿宋_GB2312" w:cs="仿宋_GB2312"/>
          <w:color w:val="000000"/>
          <w:spacing w:val="17"/>
          <w:sz w:val="32"/>
          <w:szCs w:val="32"/>
          <w:highlight w:val="none"/>
          <w:lang w:val="en-US" w:eastAsia="zh-CN"/>
        </w:rPr>
        <w:t>4</w:t>
      </w:r>
      <w:r>
        <w:rPr>
          <w:rFonts w:hint="eastAsia" w:ascii="仿宋_GB2312" w:hAnsi="仿宋_GB2312" w:eastAsia="仿宋_GB2312" w:cs="仿宋_GB2312"/>
          <w:color w:val="000000"/>
          <w:spacing w:val="17"/>
          <w:sz w:val="32"/>
          <w:szCs w:val="32"/>
          <w:highlight w:val="none"/>
        </w:rPr>
        <w:t>0分。</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4、绩效评价标准</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3、分析评价。根据收集梳理的资料围绕项目立项、资金落实、业务管理、财务管理、项目产出、项目效益等内容，对照已确定的绩效评价指标进行详细</w:t>
      </w:r>
      <w:r>
        <w:rPr>
          <w:rFonts w:hint="eastAsia" w:ascii="仿宋_GB2312" w:hAnsi="仿宋_GB2312" w:eastAsia="仿宋_GB2312" w:cs="仿宋_GB2312"/>
          <w:color w:val="000000"/>
          <w:spacing w:val="17"/>
          <w:sz w:val="32"/>
          <w:szCs w:val="32"/>
          <w:highlight w:val="none"/>
          <w:lang w:eastAsia="zh-CN"/>
        </w:rPr>
        <w:t>全面地分析</w:t>
      </w:r>
      <w:r>
        <w:rPr>
          <w:rFonts w:ascii="仿宋_GB2312" w:hAnsi="仿宋_GB2312" w:eastAsia="仿宋_GB2312" w:cs="仿宋_GB2312"/>
          <w:color w:val="000000"/>
          <w:spacing w:val="17"/>
          <w:sz w:val="32"/>
          <w:szCs w:val="32"/>
        </w:rPr>
        <w:t>评价，逐项打分并形成绩效评价最终结果。</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rPr>
        <w:t>对职业学校免学费、免住宿、免教材、助学金、奖学金资助贫困学生项目项目进行客观评价，最终评分结果</w:t>
      </w:r>
      <w:r>
        <w:rPr>
          <w:rFonts w:hint="eastAsia" w:ascii="仿宋_GB2312" w:hAnsi="仿宋_GB2312" w:eastAsia="仿宋_GB2312" w:cs="仿宋_GB2312"/>
          <w:b w:val="0"/>
          <w:bCs w:val="0"/>
          <w:color w:val="000000"/>
          <w:spacing w:val="17"/>
          <w:kern w:val="2"/>
          <w:highlight w:val="none"/>
        </w:rPr>
        <w:t>：总得分为 9</w:t>
      </w:r>
      <w:r>
        <w:rPr>
          <w:rFonts w:hint="eastAsia" w:ascii="仿宋_GB2312" w:hAnsi="仿宋_GB2312" w:eastAsia="仿宋_GB2312" w:cs="仿宋_GB2312"/>
          <w:b w:val="0"/>
          <w:bCs w:val="0"/>
          <w:color w:val="000000"/>
          <w:spacing w:val="17"/>
          <w:kern w:val="2"/>
          <w:highlight w:val="none"/>
          <w:lang w:val="en-US" w:eastAsia="zh-CN"/>
        </w:rPr>
        <w:t>9.88</w:t>
      </w:r>
      <w:r>
        <w:rPr>
          <w:rFonts w:hint="eastAsia" w:ascii="仿宋_GB2312" w:hAnsi="仿宋_GB2312" w:eastAsia="仿宋_GB2312" w:cs="仿宋_GB2312"/>
          <w:b w:val="0"/>
          <w:bCs w:val="0"/>
          <w:color w:val="000000"/>
          <w:spacing w:val="17"/>
          <w:kern w:val="2"/>
          <w:highlight w:val="none"/>
        </w:rPr>
        <w:t>分，</w:t>
      </w:r>
      <w:r>
        <w:rPr>
          <w:rFonts w:hint="eastAsia" w:ascii="仿宋_GB2312" w:hAnsi="仿宋_GB2312" w:eastAsia="仿宋_GB2312" w:cs="仿宋_GB2312"/>
          <w:b w:val="0"/>
          <w:bCs w:val="0"/>
          <w:color w:val="000000"/>
          <w:spacing w:val="17"/>
          <w:kern w:val="2"/>
        </w:rPr>
        <w:t>属于“优”。其中，项目决策类指标权重为5分，得分为5分，得分率 100%。项目过程类指标权重为5分，得分为5分，得分率为100%。</w:t>
      </w:r>
      <w:r>
        <w:rPr>
          <w:rFonts w:hint="eastAsia" w:ascii="仿宋_GB2312" w:hAnsi="仿宋_GB2312" w:eastAsia="仿宋_GB2312" w:cs="仿宋_GB2312"/>
          <w:b w:val="0"/>
          <w:bCs w:val="0"/>
          <w:color w:val="000000"/>
          <w:spacing w:val="17"/>
          <w:kern w:val="2"/>
          <w:highlight w:val="none"/>
        </w:rPr>
        <w:t>项目产出类指标权重为50分，得分为</w:t>
      </w:r>
      <w:r>
        <w:rPr>
          <w:rFonts w:ascii="仿宋_GB2312" w:hAnsi="仿宋_GB2312" w:eastAsia="仿宋_GB2312" w:cs="仿宋_GB2312"/>
          <w:b w:val="0"/>
          <w:bCs w:val="0"/>
          <w:color w:val="000000"/>
          <w:spacing w:val="17"/>
          <w:kern w:val="2"/>
          <w:highlight w:val="none"/>
        </w:rPr>
        <w:t>50</w:t>
      </w:r>
      <w:r>
        <w:rPr>
          <w:rFonts w:hint="eastAsia" w:ascii="仿宋_GB2312" w:hAnsi="仿宋_GB2312" w:eastAsia="仿宋_GB2312" w:cs="仿宋_GB2312"/>
          <w:b w:val="0"/>
          <w:bCs w:val="0"/>
          <w:color w:val="000000"/>
          <w:spacing w:val="17"/>
          <w:kern w:val="2"/>
          <w:highlight w:val="none"/>
        </w:rPr>
        <w:t xml:space="preserve">分，得分率为 </w:t>
      </w:r>
      <w:r>
        <w:rPr>
          <w:rFonts w:ascii="仿宋_GB2312" w:hAnsi="仿宋_GB2312" w:eastAsia="仿宋_GB2312" w:cs="仿宋_GB2312"/>
          <w:b w:val="0"/>
          <w:bCs w:val="0"/>
          <w:color w:val="000000"/>
          <w:spacing w:val="17"/>
          <w:kern w:val="2"/>
          <w:highlight w:val="none"/>
        </w:rPr>
        <w:t>100</w:t>
      </w:r>
      <w:r>
        <w:rPr>
          <w:rFonts w:hint="eastAsia" w:ascii="仿宋_GB2312" w:hAnsi="仿宋_GB2312" w:eastAsia="仿宋_GB2312" w:cs="仿宋_GB2312"/>
          <w:b w:val="0"/>
          <w:bCs w:val="0"/>
          <w:color w:val="000000"/>
          <w:spacing w:val="17"/>
          <w:kern w:val="2"/>
          <w:highlight w:val="none"/>
        </w:rPr>
        <w:t>%。项目效益类指标权重为</w:t>
      </w:r>
      <w:r>
        <w:rPr>
          <w:rFonts w:hint="eastAsia" w:ascii="仿宋_GB2312" w:hAnsi="仿宋_GB2312" w:eastAsia="仿宋_GB2312" w:cs="仿宋_GB2312"/>
          <w:b w:val="0"/>
          <w:bCs w:val="0"/>
          <w:color w:val="000000"/>
          <w:spacing w:val="17"/>
          <w:kern w:val="2"/>
          <w:highlight w:val="none"/>
          <w:lang w:val="en-US" w:eastAsia="zh-CN"/>
        </w:rPr>
        <w:t>40</w:t>
      </w:r>
      <w:r>
        <w:rPr>
          <w:rFonts w:hint="eastAsia" w:ascii="仿宋_GB2312" w:hAnsi="仿宋_GB2312" w:eastAsia="仿宋_GB2312" w:cs="仿宋_GB2312"/>
          <w:b w:val="0"/>
          <w:bCs w:val="0"/>
          <w:color w:val="000000"/>
          <w:spacing w:val="17"/>
          <w:kern w:val="2"/>
          <w:highlight w:val="none"/>
        </w:rPr>
        <w:t>分，得分为3</w:t>
      </w:r>
      <w:r>
        <w:rPr>
          <w:rFonts w:hint="eastAsia" w:ascii="仿宋_GB2312" w:hAnsi="仿宋_GB2312" w:eastAsia="仿宋_GB2312" w:cs="仿宋_GB2312"/>
          <w:b w:val="0"/>
          <w:bCs w:val="0"/>
          <w:color w:val="000000"/>
          <w:spacing w:val="17"/>
          <w:kern w:val="2"/>
          <w:highlight w:val="none"/>
          <w:lang w:val="en-US" w:eastAsia="zh-CN"/>
        </w:rPr>
        <w:t>9.88</w:t>
      </w:r>
      <w:r>
        <w:rPr>
          <w:rFonts w:hint="eastAsia" w:ascii="仿宋_GB2312" w:hAnsi="仿宋_GB2312" w:eastAsia="仿宋_GB2312" w:cs="仿宋_GB2312"/>
          <w:b w:val="0"/>
          <w:bCs w:val="0"/>
          <w:color w:val="000000"/>
          <w:spacing w:val="17"/>
          <w:kern w:val="2"/>
          <w:highlight w:val="none"/>
        </w:rPr>
        <w:t>分，得分率为</w:t>
      </w:r>
      <w:r>
        <w:rPr>
          <w:rFonts w:hint="eastAsia" w:ascii="仿宋_GB2312" w:hAnsi="仿宋_GB2312" w:eastAsia="仿宋_GB2312" w:cs="仿宋_GB2312"/>
          <w:b w:val="0"/>
          <w:bCs w:val="0"/>
          <w:color w:val="000000"/>
          <w:spacing w:val="17"/>
          <w:kern w:val="2"/>
          <w:highlight w:val="none"/>
          <w:lang w:val="en-US" w:eastAsia="zh-CN"/>
        </w:rPr>
        <w:t>99.7</w:t>
      </w:r>
      <w:r>
        <w:rPr>
          <w:rFonts w:hint="eastAsia" w:ascii="仿宋_GB2312" w:hAnsi="仿宋_GB2312" w:eastAsia="仿宋_GB2312" w:cs="仿宋_GB2312"/>
          <w:b w:val="0"/>
          <w:bCs w:val="0"/>
          <w:color w:val="000000"/>
          <w:spacing w:val="17"/>
          <w:kern w:val="2"/>
          <w:highlight w:val="none"/>
        </w:rPr>
        <w:t>%。</w:t>
      </w: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pageBreakBefore w:val="0"/>
        <w:kinsoku/>
        <w:wordWrap/>
        <w:overflowPunct/>
        <w:topLinePunct w:val="0"/>
        <w:autoSpaceDE/>
        <w:autoSpaceDN/>
        <w:bidi w:val="0"/>
        <w:adjustRightInd/>
        <w:snapToGrid/>
        <w:spacing w:line="560" w:lineRule="atLeas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836"/>
        <w:gridCol w:w="935"/>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836"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93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83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3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83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3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83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83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83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kern w:val="0"/>
                <w:sz w:val="22"/>
                <w:szCs w:val="22"/>
                <w:highlight w:val="none"/>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25</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25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25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Cs w:val="21"/>
                <w:highlight w:val="none"/>
              </w:rPr>
            </w:pPr>
            <w:r>
              <w:rPr>
                <w:rFonts w:ascii="宋体" w:hAnsi="宋体" w:cs="宋体"/>
                <w:color w:val="000000"/>
                <w:kern w:val="0"/>
                <w:szCs w:val="21"/>
                <w:highlight w:val="none"/>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yellow"/>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10</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Cs w:val="21"/>
                <w:highlight w:val="none"/>
              </w:rPr>
            </w:pPr>
            <w:r>
              <w:rPr>
                <w:rFonts w:ascii="宋体" w:hAnsi="宋体" w:cs="宋体"/>
                <w:color w:val="000000"/>
                <w:kern w:val="0"/>
                <w:szCs w:val="21"/>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yellow"/>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5</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Cs w:val="21"/>
                <w:highlight w:val="none"/>
              </w:rPr>
            </w:pPr>
            <w:r>
              <w:rPr>
                <w:rFonts w:ascii="宋体" w:hAnsi="宋体" w:cs="宋体"/>
                <w:color w:val="000000"/>
                <w:kern w:val="0"/>
                <w:szCs w:val="21"/>
                <w:highlight w:val="none"/>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yellow"/>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10</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Cs w:val="21"/>
                <w:highlight w:val="none"/>
              </w:rPr>
            </w:pPr>
            <w:r>
              <w:rPr>
                <w:rFonts w:ascii="宋体" w:hAnsi="宋体" w:cs="宋体"/>
                <w:color w:val="000000"/>
                <w:kern w:val="0"/>
                <w:szCs w:val="21"/>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yellow"/>
              </w:rPr>
            </w:pPr>
            <w:r>
              <w:rPr>
                <w:rFonts w:hint="eastAsia" w:ascii="宋体" w:hAnsi="宋体" w:cs="宋体"/>
                <w:color w:val="000000"/>
                <w:kern w:val="0"/>
                <w:sz w:val="22"/>
                <w:szCs w:val="22"/>
                <w:highlight w:val="none"/>
                <w:lang w:val="en-US" w:eastAsia="zh-CN"/>
              </w:rPr>
              <w:t>4</w:t>
            </w:r>
            <w:r>
              <w:rPr>
                <w:rFonts w:hint="eastAsia" w:ascii="宋体" w:hAnsi="宋体" w:cs="宋体"/>
                <w:color w:val="000000"/>
                <w:kern w:val="0"/>
                <w:sz w:val="22"/>
                <w:szCs w:val="22"/>
                <w:highlight w:val="none"/>
              </w:rPr>
              <w:t>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可持续效益指标）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项目可持续实现率</w:t>
            </w:r>
          </w:p>
        </w:tc>
        <w:tc>
          <w:tcPr>
            <w:tcW w:w="83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ascii="宋体" w:hAnsi="宋体" w:cs="宋体"/>
                <w:color w:val="000000"/>
                <w:kern w:val="0"/>
                <w:sz w:val="22"/>
                <w:szCs w:val="22"/>
                <w:highlight w:val="none"/>
              </w:rPr>
              <w:t>10</w:t>
            </w:r>
          </w:p>
        </w:tc>
        <w:tc>
          <w:tcPr>
            <w:tcW w:w="93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ascii="宋体" w:hAnsi="宋体" w:cs="宋体"/>
                <w:color w:val="000000"/>
                <w:kern w:val="0"/>
                <w:sz w:val="22"/>
                <w:szCs w:val="22"/>
                <w:highlight w:val="none"/>
              </w:rPr>
              <w:t>10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ascii="宋体" w:hAnsi="宋体" w:cs="宋体"/>
                <w:color w:val="000000"/>
                <w:kern w:val="0"/>
                <w:sz w:val="22"/>
                <w:szCs w:val="22"/>
                <w:highlight w:val="none"/>
              </w:rPr>
              <w:t>10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Cs w:val="21"/>
                <w:highlight w:val="none"/>
              </w:rPr>
            </w:pPr>
            <w:r>
              <w:rPr>
                <w:rFonts w:ascii="宋体" w:hAnsi="宋体" w:cs="宋体"/>
                <w:color w:val="000000"/>
                <w:kern w:val="0"/>
                <w:szCs w:val="21"/>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社会效益指标</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业务保障能力</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ascii="宋体" w:hAnsi="宋体" w:cs="宋体"/>
                <w:color w:val="000000"/>
                <w:kern w:val="0"/>
                <w:sz w:val="22"/>
                <w:szCs w:val="22"/>
                <w:highlight w:val="none"/>
              </w:rPr>
              <w:t>20</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ascii="宋体" w:hAnsi="宋体" w:cs="宋体"/>
                <w:color w:val="000000"/>
                <w:kern w:val="0"/>
                <w:sz w:val="22"/>
                <w:szCs w:val="22"/>
                <w:highlight w:val="none"/>
              </w:rPr>
              <w:t>20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ascii="宋体" w:hAnsi="宋体" w:cs="宋体"/>
                <w:color w:val="000000"/>
                <w:kern w:val="0"/>
                <w:sz w:val="22"/>
                <w:szCs w:val="22"/>
                <w:highlight w:val="none"/>
              </w:rPr>
              <w:t>20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Cs w:val="21"/>
                <w:highlight w:val="none"/>
              </w:rPr>
            </w:pPr>
            <w:r>
              <w:rPr>
                <w:rFonts w:ascii="宋体" w:hAnsi="宋体" w:cs="宋体"/>
                <w:color w:val="000000"/>
                <w:kern w:val="0"/>
                <w:szCs w:val="21"/>
                <w:highlight w:val="none"/>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both"/>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满意度指标</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学生满意度情况</w:t>
            </w:r>
          </w:p>
        </w:tc>
        <w:tc>
          <w:tcPr>
            <w:tcW w:w="83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3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ascii="宋体" w:hAnsi="宋体" w:cs="宋体"/>
                <w:color w:val="000000"/>
                <w:kern w:val="0"/>
                <w:sz w:val="22"/>
                <w:szCs w:val="22"/>
                <w:highlight w:val="none"/>
              </w:rPr>
              <w:t>9.88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ascii="宋体" w:hAnsi="宋体" w:cs="宋体"/>
                <w:color w:val="000000"/>
                <w:kern w:val="0"/>
                <w:sz w:val="22"/>
                <w:szCs w:val="22"/>
                <w:highlight w:val="none"/>
              </w:rPr>
              <w:t>98.8</w:t>
            </w:r>
            <w:r>
              <w:rPr>
                <w:rFonts w:hint="eastAsia" w:ascii="宋体" w:hAnsi="宋体" w:cs="宋体"/>
                <w:color w:val="000000"/>
                <w:kern w:val="0"/>
                <w:sz w:val="22"/>
                <w:szCs w:val="22"/>
                <w:highlight w:val="none"/>
                <w:lang w:val="en-US" w:eastAsia="zh-CN"/>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Cs w:val="21"/>
                <w:highlight w:val="none"/>
              </w:rPr>
            </w:pPr>
            <w:r>
              <w:rPr>
                <w:rFonts w:ascii="宋体" w:hAnsi="宋体" w:cs="宋体"/>
                <w:color w:val="000000"/>
                <w:kern w:val="0"/>
                <w:szCs w:val="21"/>
                <w:highlight w:val="none"/>
              </w:rPr>
              <w:t>9.88</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keepNext w:val="0"/>
        <w:keepLines w:val="0"/>
        <w:pageBreakBefore w:val="0"/>
        <w:widowControl/>
        <w:kinsoku/>
        <w:wordWrap/>
        <w:overflowPunct/>
        <w:topLinePunct w:val="0"/>
        <w:autoSpaceDE/>
        <w:autoSpaceDN/>
        <w:bidi w:val="0"/>
        <w:adjustRightInd/>
        <w:snapToGrid/>
        <w:spacing w:before="0" w:after="0" w:line="560" w:lineRule="atLeas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宋体"/>
          <w:sz w:val="32"/>
          <w:szCs w:val="32"/>
        </w:rPr>
      </w:pPr>
      <w:r>
        <w:rPr>
          <w:rFonts w:hint="eastAsia" w:ascii="仿宋" w:hAnsi="仿宋" w:eastAsia="仿宋" w:cs="宋体"/>
          <w:sz w:val="32"/>
          <w:szCs w:val="32"/>
        </w:rPr>
        <w:t>项目决策指标从项目立项、绩效目标、资金投入</w:t>
      </w:r>
      <w:r>
        <w:rPr>
          <w:rFonts w:hint="eastAsia" w:ascii="仿宋" w:hAnsi="仿宋" w:eastAsia="仿宋"/>
          <w:sz w:val="32"/>
          <w:szCs w:val="32"/>
          <w:highlight w:val="none"/>
          <w:lang w:eastAsia="zh-CN"/>
        </w:rPr>
        <w:t>三个方面</w:t>
      </w:r>
      <w:r>
        <w:rPr>
          <w:rFonts w:hint="eastAsia" w:ascii="仿宋" w:hAnsi="仿宋" w:eastAsia="仿宋"/>
          <w:sz w:val="32"/>
          <w:szCs w:val="32"/>
        </w:rPr>
        <w:t>对项目的决策进行考察，项目决策类指标分值5分，实际得分5分，得分率100</w:t>
      </w:r>
      <w:r>
        <w:rPr>
          <w:rFonts w:ascii="仿宋" w:hAnsi="仿宋" w:eastAsia="仿宋"/>
          <w:sz w:val="32"/>
          <w:szCs w:val="32"/>
        </w:rPr>
        <w:t>%</w:t>
      </w:r>
      <w:r>
        <w:rPr>
          <w:rFonts w:hint="eastAsia" w:ascii="仿宋" w:hAnsi="仿宋" w:eastAsia="仿宋"/>
          <w:sz w:val="32"/>
          <w:szCs w:val="32"/>
        </w:rPr>
        <w:t>。项目决策指标得分</w:t>
      </w:r>
      <w:r>
        <w:rPr>
          <w:rFonts w:hint="eastAsia" w:ascii="仿宋" w:hAnsi="仿宋" w:eastAsia="仿宋" w:cs="宋体"/>
          <w:sz w:val="32"/>
          <w:szCs w:val="32"/>
        </w:rPr>
        <w:t>情况如表所示。</w:t>
      </w:r>
    </w:p>
    <w:tbl>
      <w:tblPr>
        <w:tblStyle w:val="19"/>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黑体" w:hAnsi="黑体" w:eastAsia="黑体" w:cs="Tahoma"/>
                <w:sz w:val="28"/>
                <w:szCs w:val="28"/>
              </w:rPr>
            </w:pPr>
            <w:r>
              <w:rPr>
                <w:rFonts w:hint="eastAsia" w:ascii="黑体" w:hAnsi="黑体" w:eastAsia="黑体" w:cs="Tahoma"/>
                <w:sz w:val="28"/>
                <w:szCs w:val="28"/>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rPr>
            </w:pPr>
            <w:r>
              <w:rPr>
                <w:rFonts w:hint="eastAsia" w:ascii="仿宋" w:hAnsi="仿宋" w:eastAsia="仿宋" w:cs="Tahoma"/>
                <w:b/>
                <w:bCs/>
              </w:rPr>
              <w:t>二级指标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rPr>
            </w:pPr>
            <w:r>
              <w:rPr>
                <w:rFonts w:hint="eastAsia" w:ascii="仿宋" w:hAnsi="仿宋" w:eastAsia="仿宋" w:cs="Tahoma"/>
                <w:b/>
                <w:bCs/>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rPr>
            </w:pPr>
            <w:r>
              <w:rPr>
                <w:rFonts w:hint="eastAsia" w:ascii="仿宋" w:hAnsi="仿宋" w:eastAsia="仿宋" w:cs="Tahoma"/>
                <w:b/>
                <w:bCs/>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rPr>
            </w:pPr>
            <w:r>
              <w:rPr>
                <w:rFonts w:hint="eastAsia" w:ascii="仿宋" w:hAnsi="仿宋" w:eastAsia="仿宋" w:cs="Tahoma"/>
                <w:b/>
                <w:bCs/>
              </w:rPr>
              <w:t>实际得分</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rPr>
            </w:pPr>
            <w:r>
              <w:rPr>
                <w:rFonts w:hint="eastAsia" w:ascii="仿宋" w:hAnsi="仿宋" w:eastAsia="仿宋" w:cs="Tahoma"/>
                <w:sz w:val="24"/>
              </w:rPr>
              <w:t>项目立项</w:t>
            </w:r>
          </w:p>
        </w:tc>
        <w:tc>
          <w:tcPr>
            <w:tcW w:w="2269"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1</w:t>
            </w:r>
          </w:p>
        </w:tc>
        <w:tc>
          <w:tcPr>
            <w:tcW w:w="1986"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75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rPr>
            </w:pPr>
            <w:r>
              <w:rPr>
                <w:rFonts w:hint="eastAsia" w:ascii="仿宋" w:hAnsi="仿宋" w:eastAsia="仿宋" w:cs="Tahoma"/>
                <w:sz w:val="24"/>
              </w:rPr>
              <w:t>绩效目标</w:t>
            </w:r>
          </w:p>
        </w:tc>
        <w:tc>
          <w:tcPr>
            <w:tcW w:w="2269"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2</w:t>
            </w:r>
          </w:p>
        </w:tc>
        <w:tc>
          <w:tcPr>
            <w:tcW w:w="1986"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75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2</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rPr>
            </w:pPr>
            <w:r>
              <w:rPr>
                <w:rFonts w:hint="eastAsia" w:ascii="仿宋" w:hAnsi="仿宋" w:eastAsia="仿宋" w:cs="Tahoma"/>
                <w:sz w:val="24"/>
              </w:rPr>
              <w:t>资金投入</w:t>
            </w:r>
          </w:p>
        </w:tc>
        <w:tc>
          <w:tcPr>
            <w:tcW w:w="2269"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2</w:t>
            </w:r>
          </w:p>
        </w:tc>
        <w:tc>
          <w:tcPr>
            <w:tcW w:w="1986"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100%</w:t>
            </w:r>
          </w:p>
        </w:tc>
        <w:tc>
          <w:tcPr>
            <w:tcW w:w="175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rPr>
            </w:pPr>
            <w:r>
              <w:rPr>
                <w:rFonts w:hint="eastAsia" w:ascii="仿宋" w:hAnsi="仿宋" w:eastAsia="仿宋" w:cs="Tahoma"/>
                <w:sz w:val="24"/>
              </w:rPr>
              <w:t>合</w:t>
            </w:r>
            <w:r>
              <w:rPr>
                <w:rFonts w:ascii="仿宋" w:hAnsi="仿宋" w:eastAsia="仿宋" w:cs="Tahoma"/>
                <w:sz w:val="24"/>
              </w:rPr>
              <w:t xml:space="preserve">  </w:t>
            </w:r>
            <w:r>
              <w:rPr>
                <w:rFonts w:hint="eastAsia" w:ascii="仿宋" w:hAnsi="仿宋" w:eastAsia="仿宋" w:cs="Tahoma"/>
                <w:sz w:val="24"/>
              </w:rPr>
              <w:t>计</w:t>
            </w:r>
          </w:p>
        </w:tc>
        <w:tc>
          <w:tcPr>
            <w:tcW w:w="2269"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5</w:t>
            </w:r>
          </w:p>
        </w:tc>
        <w:tc>
          <w:tcPr>
            <w:tcW w:w="1986"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ascii="仿宋" w:hAnsi="仿宋" w:eastAsia="仿宋"/>
                <w:sz w:val="24"/>
              </w:rPr>
              <w:t>100%</w:t>
            </w:r>
          </w:p>
        </w:tc>
        <w:tc>
          <w:tcPr>
            <w:tcW w:w="1752"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rPr>
            </w:pPr>
            <w:r>
              <w:rPr>
                <w:rFonts w:hint="eastAsia" w:ascii="仿宋" w:hAnsi="仿宋" w:eastAsia="仿宋"/>
                <w:sz w:val="24"/>
              </w:rPr>
              <w:t>5</w:t>
            </w:r>
          </w:p>
        </w:tc>
      </w:tr>
    </w:tbl>
    <w:p>
      <w:pPr>
        <w:pStyle w:val="5"/>
        <w:keepNext w:val="0"/>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 w:hAnsi="仿宋" w:eastAsia="仿宋"/>
          <w:b w:val="0"/>
          <w:bCs w:val="0"/>
          <w:kern w:val="2"/>
          <w:sz w:val="32"/>
          <w:szCs w:val="32"/>
        </w:rPr>
      </w:pPr>
      <w:r>
        <w:rPr>
          <w:rFonts w:hint="eastAsia" w:ascii="仿宋" w:hAnsi="仿宋" w:eastAsia="仿宋"/>
          <w:b w:val="0"/>
          <w:bCs w:val="0"/>
          <w:kern w:val="2"/>
          <w:sz w:val="32"/>
          <w:szCs w:val="32"/>
        </w:rPr>
        <w:t>对于“项目立项”，职业学校免学费、免住宿、免教材、助学金、奖学金资助贫困学生项目目标明确、细化、量化，符合要求，根据评分标准，实际得分率为100%。</w:t>
      </w:r>
    </w:p>
    <w:p>
      <w:pPr>
        <w:pStyle w:val="5"/>
        <w:keepNext w:val="0"/>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 w:hAnsi="仿宋" w:eastAsia="仿宋"/>
          <w:b w:val="0"/>
          <w:bCs w:val="0"/>
          <w:kern w:val="2"/>
          <w:sz w:val="32"/>
          <w:szCs w:val="32"/>
        </w:rPr>
      </w:pPr>
      <w:r>
        <w:rPr>
          <w:rFonts w:hint="eastAsia" w:ascii="仿宋" w:hAnsi="仿宋" w:eastAsia="仿宋"/>
          <w:b w:val="0"/>
          <w:bCs w:val="0"/>
          <w:kern w:val="2"/>
          <w:sz w:val="32"/>
          <w:szCs w:val="32"/>
        </w:rPr>
        <w:t>对于“绩效目标”，职业学校免学费、免住宿、免教材、助学金、奖学金资助贫困学生项目项目，严格按照实际需求设置资金需求、面积需求、工作需求设置。实际得分率为100%。</w:t>
      </w:r>
    </w:p>
    <w:p>
      <w:pPr>
        <w:pStyle w:val="5"/>
        <w:keepNext w:val="0"/>
        <w:pageBreakBefore w:val="0"/>
        <w:kinsoku/>
        <w:wordWrap/>
        <w:overflowPunct/>
        <w:topLinePunct w:val="0"/>
        <w:autoSpaceDE/>
        <w:autoSpaceDN/>
        <w:bidi w:val="0"/>
        <w:adjustRightInd/>
        <w:snapToGrid/>
        <w:spacing w:before="0" w:after="0" w:line="560" w:lineRule="atLeast"/>
        <w:ind w:firstLine="640" w:firstLineChars="200"/>
        <w:textAlignment w:val="auto"/>
        <w:rPr>
          <w:rFonts w:ascii="楷体_GB2312" w:hAnsi="楷体_GB2312" w:eastAsia="楷体_GB2312" w:cs="楷体_GB2312"/>
        </w:rPr>
      </w:pPr>
      <w:r>
        <w:rPr>
          <w:rFonts w:hint="eastAsia" w:ascii="仿宋" w:hAnsi="仿宋" w:eastAsia="仿宋"/>
          <w:b w:val="0"/>
          <w:bCs w:val="0"/>
          <w:kern w:val="2"/>
          <w:sz w:val="32"/>
          <w:szCs w:val="32"/>
        </w:rPr>
        <w:t>对于“资金分配”，职业学校免学费、免住宿、免教材、助学金、奖学金资助贫困学生项目项目资金分配办法健全、规范，项目符合相关分配办法，资金分配合理。根据评分标准，该指标实际得分率100%。</w:t>
      </w:r>
    </w:p>
    <w:p>
      <w:pPr>
        <w:pStyle w:val="2"/>
        <w:keepNext w:val="0"/>
        <w:keepLines w:val="0"/>
        <w:pageBreakBefore w:val="0"/>
        <w:widowControl/>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宋体"/>
          <w:sz w:val="32"/>
          <w:szCs w:val="32"/>
        </w:rPr>
      </w:pPr>
      <w:r>
        <w:rPr>
          <w:rFonts w:hint="eastAsia" w:ascii="仿宋" w:hAnsi="仿宋" w:eastAsia="仿宋" w:cs="宋体"/>
          <w:sz w:val="32"/>
          <w:szCs w:val="32"/>
        </w:rPr>
        <w:t>项目管理指标从资金到位、资金管理和组织实</w:t>
      </w:r>
      <w:r>
        <w:rPr>
          <w:rFonts w:hint="eastAsia" w:ascii="仿宋" w:hAnsi="仿宋" w:eastAsia="仿宋" w:cs="宋体"/>
          <w:sz w:val="32"/>
          <w:szCs w:val="32"/>
          <w:highlight w:val="none"/>
        </w:rPr>
        <w:t>施3</w:t>
      </w:r>
      <w:r>
        <w:rPr>
          <w:rFonts w:hint="eastAsia" w:ascii="仿宋" w:hAnsi="仿宋" w:eastAsia="仿宋"/>
          <w:sz w:val="32"/>
          <w:szCs w:val="32"/>
          <w:highlight w:val="none"/>
        </w:rPr>
        <w:t>个方</w:t>
      </w:r>
      <w:r>
        <w:rPr>
          <w:rFonts w:hint="eastAsia" w:ascii="仿宋" w:hAnsi="仿宋" w:eastAsia="仿宋"/>
          <w:sz w:val="32"/>
          <w:szCs w:val="32"/>
        </w:rPr>
        <w:t>面对项目管理情况进行考察。项目过程类指标分值5分，实际得分5分，得分率为100</w:t>
      </w:r>
      <w:r>
        <w:rPr>
          <w:rFonts w:ascii="仿宋" w:hAnsi="仿宋" w:eastAsia="仿宋"/>
          <w:sz w:val="32"/>
          <w:szCs w:val="32"/>
        </w:rPr>
        <w:t>%</w:t>
      </w:r>
      <w:r>
        <w:rPr>
          <w:rFonts w:hint="eastAsia" w:ascii="仿宋" w:hAnsi="仿宋" w:eastAsia="仿宋"/>
          <w:sz w:val="32"/>
          <w:szCs w:val="32"/>
        </w:rPr>
        <w:t>。项目管理指标得分</w:t>
      </w:r>
      <w:r>
        <w:rPr>
          <w:rFonts w:hint="eastAsia" w:ascii="仿宋" w:hAnsi="仿宋" w:eastAsia="仿宋" w:cs="宋体"/>
          <w:sz w:val="32"/>
          <w:szCs w:val="32"/>
        </w:rPr>
        <w:t>情况如表所示。</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sz w:val="32"/>
          <w:szCs w:val="32"/>
        </w:rPr>
      </w:pPr>
      <w:r>
        <w:rPr>
          <w:rFonts w:hint="eastAsia" w:ascii="仿宋" w:hAnsi="仿宋" w:eastAsia="仿宋"/>
          <w:sz w:val="32"/>
          <w:szCs w:val="32"/>
        </w:rPr>
        <w:t xml:space="preserve"> 项目资金到位及时，到位率为</w:t>
      </w:r>
      <w:r>
        <w:rPr>
          <w:rFonts w:ascii="仿宋" w:hAnsi="仿宋" w:eastAsia="仿宋"/>
          <w:sz w:val="32"/>
          <w:szCs w:val="32"/>
        </w:rPr>
        <w:t>100%</w:t>
      </w:r>
      <w:r>
        <w:rPr>
          <w:rFonts w:hint="eastAsia" w:ascii="仿宋" w:hAnsi="仿宋" w:eastAsia="仿宋"/>
          <w:sz w:val="32"/>
          <w:szCs w:val="32"/>
        </w:rPr>
        <w:t>。根据评分标准，该两项指标不扣分。</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 w:hAnsi="仿宋" w:eastAsia="仿宋" w:cs="宋体"/>
          <w:sz w:val="32"/>
          <w:szCs w:val="32"/>
        </w:rPr>
        <w:t>对于“资金管理”，塔城地区师范学校按照专项资金列支的范围使用资金，支出范围合规；资金支出能按财务制度执行，并能按国库集中支付制度规定执行，不存在资金违纪违规使用情况。按评分标准，指标实际得分率</w:t>
      </w:r>
      <w:r>
        <w:rPr>
          <w:rFonts w:ascii="仿宋" w:hAnsi="仿宋" w:eastAsia="仿宋"/>
          <w:sz w:val="32"/>
          <w:szCs w:val="32"/>
        </w:rPr>
        <w:t>100%</w:t>
      </w:r>
      <w:r>
        <w:rPr>
          <w:rFonts w:hint="eastAsia" w:ascii="仿宋" w:hAnsi="仿宋" w:eastAsia="仿宋"/>
          <w:sz w:val="32"/>
          <w:szCs w:val="32"/>
        </w:rPr>
        <w:t>。</w:t>
      </w:r>
    </w:p>
    <w:p>
      <w:pPr>
        <w:pStyle w:val="2"/>
        <w:keepNext w:val="0"/>
        <w:keepLines w:val="0"/>
        <w:pageBreakBefore w:val="0"/>
        <w:widowControl/>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宋体"/>
          <w:sz w:val="32"/>
          <w:szCs w:val="32"/>
          <w:highlight w:val="none"/>
        </w:rPr>
      </w:pPr>
      <w:r>
        <w:rPr>
          <w:rFonts w:hint="eastAsia" w:ascii="仿宋" w:hAnsi="仿宋" w:eastAsia="仿宋" w:cs="宋体"/>
          <w:sz w:val="32"/>
          <w:szCs w:val="32"/>
        </w:rPr>
        <w:t>项目管理指标从产出数量、产出质量、产出实效、产出成</w:t>
      </w:r>
      <w:r>
        <w:rPr>
          <w:rFonts w:hint="eastAsia" w:ascii="仿宋" w:hAnsi="仿宋" w:eastAsia="仿宋" w:cs="宋体"/>
          <w:sz w:val="32"/>
          <w:szCs w:val="32"/>
          <w:highlight w:val="none"/>
        </w:rPr>
        <w:t>本4</w:t>
      </w:r>
      <w:r>
        <w:rPr>
          <w:rFonts w:hint="eastAsia" w:ascii="仿宋" w:hAnsi="仿宋" w:eastAsia="仿宋"/>
          <w:sz w:val="32"/>
          <w:szCs w:val="32"/>
          <w:highlight w:val="none"/>
        </w:rPr>
        <w:t>个方</w:t>
      </w:r>
      <w:r>
        <w:rPr>
          <w:rFonts w:hint="eastAsia" w:ascii="仿宋" w:hAnsi="仿宋" w:eastAsia="仿宋"/>
          <w:sz w:val="32"/>
          <w:szCs w:val="32"/>
        </w:rPr>
        <w:t>面对项目管理情况进行考察。项目过程类指标分值</w:t>
      </w:r>
      <w:r>
        <w:rPr>
          <w:rFonts w:hint="eastAsia" w:ascii="仿宋" w:hAnsi="仿宋" w:eastAsia="仿宋"/>
          <w:sz w:val="32"/>
          <w:szCs w:val="32"/>
          <w:highlight w:val="none"/>
        </w:rPr>
        <w:t>50分，实际得分</w:t>
      </w:r>
      <w:r>
        <w:rPr>
          <w:rFonts w:ascii="仿宋" w:hAnsi="仿宋" w:eastAsia="仿宋"/>
          <w:sz w:val="32"/>
          <w:szCs w:val="32"/>
          <w:highlight w:val="none"/>
        </w:rPr>
        <w:t>50</w:t>
      </w:r>
      <w:r>
        <w:rPr>
          <w:rFonts w:hint="eastAsia" w:ascii="仿宋" w:hAnsi="仿宋" w:eastAsia="仿宋"/>
          <w:sz w:val="32"/>
          <w:szCs w:val="32"/>
          <w:highlight w:val="none"/>
        </w:rPr>
        <w:t>分，得分率为</w:t>
      </w:r>
      <w:r>
        <w:rPr>
          <w:rFonts w:ascii="仿宋" w:hAnsi="仿宋" w:eastAsia="仿宋"/>
          <w:sz w:val="32"/>
          <w:szCs w:val="32"/>
          <w:highlight w:val="none"/>
        </w:rPr>
        <w:t>100%</w:t>
      </w:r>
      <w:r>
        <w:rPr>
          <w:rFonts w:hint="eastAsia" w:ascii="仿宋" w:hAnsi="仿宋" w:eastAsia="仿宋"/>
          <w:sz w:val="32"/>
          <w:szCs w:val="32"/>
          <w:highlight w:val="none"/>
        </w:rPr>
        <w:t>。项目管理指标得分</w:t>
      </w:r>
      <w:r>
        <w:rPr>
          <w:rFonts w:hint="eastAsia" w:ascii="仿宋" w:hAnsi="仿宋" w:eastAsia="仿宋" w:cs="宋体"/>
          <w:sz w:val="32"/>
          <w:szCs w:val="32"/>
          <w:highlight w:val="none"/>
        </w:rPr>
        <w:t>情况如表所示。</w:t>
      </w:r>
    </w:p>
    <w:tbl>
      <w:tblPr>
        <w:tblStyle w:val="19"/>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highlight w:val="none"/>
              </w:rPr>
            </w:pPr>
            <w:r>
              <w:rPr>
                <w:rFonts w:hint="eastAsia" w:ascii="仿宋" w:hAnsi="仿宋" w:eastAsia="仿宋" w:cs="Tahoma"/>
                <w:b/>
                <w:bCs/>
                <w:highlight w:val="none"/>
              </w:rPr>
              <w:t>二级指标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highlight w:val="none"/>
              </w:rPr>
            </w:pPr>
            <w:r>
              <w:rPr>
                <w:rFonts w:hint="eastAsia" w:ascii="仿宋" w:hAnsi="仿宋" w:eastAsia="仿宋" w:cs="Tahoma"/>
                <w:b/>
                <w:bCs/>
                <w:highlight w:val="none"/>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highlight w:val="none"/>
              </w:rPr>
            </w:pPr>
            <w:r>
              <w:rPr>
                <w:rFonts w:hint="eastAsia" w:ascii="仿宋" w:hAnsi="仿宋" w:eastAsia="仿宋" w:cs="Tahoma"/>
                <w:b/>
                <w:bCs/>
                <w:highlight w:val="none"/>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b/>
                <w:bCs/>
                <w:highlight w:val="none"/>
              </w:rPr>
            </w:pPr>
            <w:r>
              <w:rPr>
                <w:rFonts w:hint="eastAsia" w:ascii="仿宋" w:hAnsi="仿宋" w:eastAsia="仿宋" w:cs="Tahoma"/>
                <w:b/>
                <w:bCs/>
                <w:highlight w:val="none"/>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highlight w:val="none"/>
              </w:rPr>
            </w:pPr>
            <w:r>
              <w:rPr>
                <w:rFonts w:hint="eastAsia" w:ascii="仿宋" w:hAnsi="仿宋" w:eastAsia="仿宋" w:cs="Tahoma"/>
                <w:sz w:val="24"/>
                <w:highlight w:val="none"/>
              </w:rPr>
              <w:t>产出数量</w:t>
            </w:r>
          </w:p>
        </w:tc>
        <w:tc>
          <w:tcPr>
            <w:tcW w:w="1986" w:type="dxa"/>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25</w:t>
            </w:r>
          </w:p>
        </w:tc>
        <w:tc>
          <w:tcPr>
            <w:tcW w:w="1984" w:type="dxa"/>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25</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highlight w:val="none"/>
              </w:rPr>
            </w:pPr>
            <w:r>
              <w:rPr>
                <w:rFonts w:hint="eastAsia" w:ascii="仿宋" w:hAnsi="仿宋" w:eastAsia="仿宋" w:cs="Tahoma"/>
                <w:sz w:val="24"/>
                <w:highlight w:val="none"/>
              </w:rPr>
              <w:t>产出质量</w:t>
            </w:r>
          </w:p>
        </w:tc>
        <w:tc>
          <w:tcPr>
            <w:tcW w:w="1986" w:type="dxa"/>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highlight w:val="none"/>
              </w:rPr>
            </w:pPr>
            <w:r>
              <w:rPr>
                <w:rFonts w:hint="eastAsia" w:ascii="仿宋" w:hAnsi="仿宋" w:eastAsia="仿宋" w:cs="Tahoma"/>
                <w:sz w:val="24"/>
                <w:highlight w:val="none"/>
              </w:rPr>
              <w:t>产出时效</w:t>
            </w:r>
          </w:p>
        </w:tc>
        <w:tc>
          <w:tcPr>
            <w:tcW w:w="1986"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5</w:t>
            </w:r>
          </w:p>
        </w:tc>
        <w:tc>
          <w:tcPr>
            <w:tcW w:w="1984"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hint="eastAsia" w:ascii="仿宋" w:hAnsi="仿宋" w:eastAsia="仿宋"/>
                <w:sz w:val="24"/>
                <w:highlight w:val="none"/>
              </w:rPr>
              <w:t>100</w:t>
            </w:r>
            <w:r>
              <w:rPr>
                <w:rFonts w:ascii="仿宋" w:hAnsi="仿宋" w:eastAsia="仿宋"/>
                <w:sz w:val="24"/>
                <w:highlight w:val="none"/>
              </w:rPr>
              <w:t>%</w:t>
            </w:r>
          </w:p>
        </w:tc>
        <w:tc>
          <w:tcPr>
            <w:tcW w:w="1986"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5</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highlight w:val="none"/>
              </w:rPr>
            </w:pPr>
            <w:r>
              <w:rPr>
                <w:rFonts w:hint="eastAsia" w:ascii="仿宋" w:hAnsi="仿宋" w:eastAsia="仿宋" w:cs="Tahoma"/>
                <w:sz w:val="24"/>
                <w:highlight w:val="none"/>
              </w:rPr>
              <w:t>成本情况</w:t>
            </w:r>
          </w:p>
        </w:tc>
        <w:tc>
          <w:tcPr>
            <w:tcW w:w="1986"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10</w:t>
            </w:r>
          </w:p>
        </w:tc>
        <w:tc>
          <w:tcPr>
            <w:tcW w:w="1984"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hint="eastAsia" w:ascii="仿宋" w:hAnsi="仿宋" w:eastAsia="仿宋"/>
                <w:sz w:val="24"/>
                <w:highlight w:val="none"/>
              </w:rPr>
              <w:t>100</w:t>
            </w:r>
            <w:r>
              <w:rPr>
                <w:rFonts w:ascii="仿宋" w:hAnsi="仿宋" w:eastAsia="仿宋"/>
                <w:sz w:val="24"/>
                <w:highlight w:val="none"/>
              </w:rPr>
              <w:t>%</w:t>
            </w:r>
          </w:p>
        </w:tc>
        <w:tc>
          <w:tcPr>
            <w:tcW w:w="1986"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Tahoma"/>
                <w:sz w:val="24"/>
                <w:highlight w:val="none"/>
              </w:rPr>
            </w:pPr>
            <w:r>
              <w:rPr>
                <w:rFonts w:hint="eastAsia" w:ascii="仿宋" w:hAnsi="仿宋" w:eastAsia="仿宋" w:cs="Tahoma"/>
                <w:sz w:val="24"/>
                <w:highlight w:val="none"/>
              </w:rPr>
              <w:t>合</w:t>
            </w:r>
            <w:r>
              <w:rPr>
                <w:rFonts w:ascii="仿宋" w:hAnsi="仿宋" w:eastAsia="仿宋" w:cs="Tahoma"/>
                <w:sz w:val="24"/>
                <w:highlight w:val="none"/>
              </w:rPr>
              <w:t xml:space="preserve">  </w:t>
            </w:r>
            <w:r>
              <w:rPr>
                <w:rFonts w:hint="eastAsia" w:ascii="仿宋" w:hAnsi="仿宋" w:eastAsia="仿宋" w:cs="Tahoma"/>
                <w:sz w:val="24"/>
                <w:highlight w:val="none"/>
              </w:rPr>
              <w:t>计</w:t>
            </w:r>
          </w:p>
        </w:tc>
        <w:tc>
          <w:tcPr>
            <w:tcW w:w="1986"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hint="eastAsia" w:ascii="仿宋" w:hAnsi="仿宋" w:eastAsia="仿宋"/>
                <w:sz w:val="24"/>
                <w:highlight w:val="none"/>
              </w:rPr>
              <w:t>50</w:t>
            </w:r>
          </w:p>
        </w:tc>
        <w:tc>
          <w:tcPr>
            <w:tcW w:w="1984"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100%</w:t>
            </w:r>
          </w:p>
        </w:tc>
        <w:tc>
          <w:tcPr>
            <w:tcW w:w="1986" w:type="dxa"/>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sz w:val="24"/>
                <w:highlight w:val="none"/>
              </w:rPr>
            </w:pPr>
            <w:r>
              <w:rPr>
                <w:rFonts w:ascii="仿宋" w:hAnsi="仿宋" w:eastAsia="仿宋"/>
                <w:sz w:val="24"/>
                <w:highlight w:val="none"/>
              </w:rPr>
              <w:t>50</w:t>
            </w:r>
          </w:p>
        </w:tc>
      </w:tr>
    </w:tbl>
    <w:p>
      <w:pPr>
        <w:pageBreakBefore w:val="0"/>
        <w:kinsoku/>
        <w:wordWrap/>
        <w:overflowPunct/>
        <w:topLinePunct w:val="0"/>
        <w:autoSpaceDE/>
        <w:autoSpaceDN/>
        <w:bidi w:val="0"/>
        <w:adjustRightInd/>
        <w:snapToGrid/>
        <w:spacing w:line="560" w:lineRule="atLeast"/>
        <w:ind w:firstLine="640"/>
        <w:textAlignment w:val="auto"/>
        <w:rPr>
          <w:rStyle w:val="21"/>
          <w:rFonts w:hint="eastAsia" w:ascii="仿宋" w:hAnsi="仿宋" w:eastAsia="仿宋" w:cs="仿宋"/>
          <w:b w:val="0"/>
          <w:spacing w:val="-4"/>
          <w:sz w:val="32"/>
          <w:szCs w:val="32"/>
          <w:lang w:eastAsia="zh-CN"/>
        </w:rPr>
      </w:pPr>
      <w:r>
        <w:rPr>
          <w:rStyle w:val="21"/>
          <w:rFonts w:hint="eastAsia" w:ascii="仿宋" w:hAnsi="仿宋" w:eastAsia="仿宋" w:cs="仿宋"/>
          <w:b w:val="0"/>
          <w:spacing w:val="-4"/>
          <w:sz w:val="32"/>
          <w:szCs w:val="32"/>
        </w:rPr>
        <w:t>数量指标方面：开展校内活动次数，年度目标值为2次，实际完成值为5次，完成率为100%；受奖学生人数，年度目标值为1人，实际完成值为1人，完成率为100%；助学金受助人数，年度目标值为123人，实际完成值为123人，完成率为100%；受奖学生大于85分科目，年度目标值为4门，实际完成值为</w:t>
      </w:r>
      <w:r>
        <w:rPr>
          <w:rStyle w:val="21"/>
          <w:rFonts w:ascii="仿宋" w:hAnsi="仿宋" w:eastAsia="仿宋" w:cs="仿宋"/>
          <w:b w:val="0"/>
          <w:spacing w:val="-4"/>
          <w:sz w:val="32"/>
          <w:szCs w:val="32"/>
        </w:rPr>
        <w:t>6</w:t>
      </w:r>
      <w:r>
        <w:rPr>
          <w:rStyle w:val="21"/>
          <w:rFonts w:hint="eastAsia" w:ascii="仿宋" w:hAnsi="仿宋" w:eastAsia="仿宋" w:cs="仿宋"/>
          <w:b w:val="0"/>
          <w:spacing w:val="-4"/>
          <w:sz w:val="32"/>
          <w:szCs w:val="32"/>
        </w:rPr>
        <w:t>门，完成率为100%；教材配比次数，年度目标值为2次，实际完成值为2次，完成率为100%，本单位数量指标严格按照规划绩效目标实施</w:t>
      </w:r>
      <w:r>
        <w:rPr>
          <w:rStyle w:val="21"/>
          <w:rFonts w:hint="eastAsia" w:ascii="仿宋" w:hAnsi="仿宋" w:eastAsia="仿宋" w:cs="仿宋"/>
          <w:b w:val="0"/>
          <w:spacing w:val="-4"/>
          <w:sz w:val="32"/>
          <w:szCs w:val="32"/>
          <w:lang w:eastAsia="zh-CN"/>
        </w:rPr>
        <w:t>；</w:t>
      </w:r>
    </w:p>
    <w:p>
      <w:pPr>
        <w:pageBreakBefore w:val="0"/>
        <w:kinsoku/>
        <w:wordWrap/>
        <w:overflowPunct/>
        <w:topLinePunct w:val="0"/>
        <w:autoSpaceDE/>
        <w:autoSpaceDN/>
        <w:bidi w:val="0"/>
        <w:adjustRightInd/>
        <w:snapToGrid/>
        <w:spacing w:line="560" w:lineRule="atLeast"/>
        <w:ind w:firstLine="640"/>
        <w:textAlignment w:val="auto"/>
        <w:rPr>
          <w:rStyle w:val="51"/>
          <w:rFonts w:hint="eastAsia" w:ascii="仿宋" w:hAnsi="仿宋" w:eastAsia="仿宋"/>
          <w:color w:val="auto"/>
          <w:lang w:eastAsia="zh-CN"/>
        </w:rPr>
      </w:pPr>
      <w:r>
        <w:rPr>
          <w:rStyle w:val="51"/>
          <w:rFonts w:hint="eastAsia" w:ascii="仿宋" w:hAnsi="仿宋" w:eastAsia="仿宋"/>
          <w:color w:val="auto"/>
        </w:rPr>
        <w:t>质量指标方面：学生整体成绩提升率</w:t>
      </w:r>
      <w:r>
        <w:rPr>
          <w:rStyle w:val="21"/>
          <w:rFonts w:hint="eastAsia" w:ascii="仿宋" w:hAnsi="仿宋" w:eastAsia="仿宋" w:cs="仿宋"/>
          <w:b w:val="0"/>
          <w:spacing w:val="-4"/>
          <w:sz w:val="32"/>
          <w:szCs w:val="32"/>
        </w:rPr>
        <w:t>，年度目标值为10%，实际完成值为10%，完成率</w:t>
      </w:r>
      <w:r>
        <w:rPr>
          <w:rStyle w:val="51"/>
          <w:rFonts w:hint="eastAsia" w:ascii="仿宋" w:hAnsi="仿宋" w:eastAsia="仿宋"/>
          <w:color w:val="auto"/>
        </w:rPr>
        <w:t>100%；建档立卡覆盖率，</w:t>
      </w:r>
      <w:r>
        <w:rPr>
          <w:rStyle w:val="21"/>
          <w:rFonts w:hint="eastAsia" w:ascii="仿宋" w:hAnsi="仿宋" w:eastAsia="仿宋" w:cs="仿宋"/>
          <w:b w:val="0"/>
          <w:spacing w:val="-4"/>
          <w:sz w:val="32"/>
          <w:szCs w:val="32"/>
        </w:rPr>
        <w:t>年度目标值为100%，实际完成值为100%，完成率</w:t>
      </w:r>
      <w:r>
        <w:rPr>
          <w:rStyle w:val="51"/>
          <w:rFonts w:hint="eastAsia" w:ascii="仿宋" w:hAnsi="仿宋" w:eastAsia="仿宋"/>
          <w:color w:val="auto"/>
        </w:rPr>
        <w:t>100%</w:t>
      </w:r>
      <w:r>
        <w:rPr>
          <w:rStyle w:val="51"/>
          <w:rFonts w:hint="eastAsia" w:ascii="仿宋" w:hAnsi="仿宋" w:eastAsia="仿宋"/>
          <w:color w:val="auto"/>
          <w:lang w:eastAsia="zh-CN"/>
        </w:rPr>
        <w:t>；</w:t>
      </w:r>
    </w:p>
    <w:p>
      <w:pPr>
        <w:pageBreakBefore w:val="0"/>
        <w:kinsoku/>
        <w:wordWrap/>
        <w:overflowPunct/>
        <w:topLinePunct w:val="0"/>
        <w:autoSpaceDE/>
        <w:autoSpaceDN/>
        <w:bidi w:val="0"/>
        <w:adjustRightInd/>
        <w:snapToGrid/>
        <w:spacing w:line="560" w:lineRule="atLeast"/>
        <w:ind w:firstLine="640"/>
        <w:textAlignment w:val="auto"/>
        <w:rPr>
          <w:rStyle w:val="51"/>
          <w:rFonts w:hint="eastAsia" w:ascii="仿宋" w:hAnsi="仿宋" w:eastAsia="仿宋"/>
          <w:color w:val="auto"/>
        </w:rPr>
      </w:pPr>
      <w:r>
        <w:rPr>
          <w:rStyle w:val="51"/>
          <w:rFonts w:hint="eastAsia" w:ascii="仿宋" w:hAnsi="仿宋" w:eastAsia="仿宋"/>
          <w:color w:val="auto"/>
        </w:rPr>
        <w:t>时效指标方面：资金及时发放率，年度目标值为100%，实际完成值为100%，完成率100%；</w:t>
      </w:r>
    </w:p>
    <w:p>
      <w:pPr>
        <w:pageBreakBefore w:val="0"/>
        <w:kinsoku/>
        <w:wordWrap/>
        <w:overflowPunct/>
        <w:topLinePunct w:val="0"/>
        <w:autoSpaceDE/>
        <w:autoSpaceDN/>
        <w:bidi w:val="0"/>
        <w:adjustRightInd/>
        <w:snapToGrid/>
        <w:spacing w:line="560" w:lineRule="atLeast"/>
        <w:ind w:firstLine="640"/>
        <w:textAlignment w:val="auto"/>
        <w:rPr>
          <w:rStyle w:val="51"/>
          <w:rFonts w:hint="eastAsia" w:ascii="仿宋" w:hAnsi="仿宋" w:eastAsia="仿宋"/>
          <w:color w:val="auto"/>
          <w:lang w:eastAsia="zh-CN"/>
        </w:rPr>
      </w:pPr>
      <w:r>
        <w:rPr>
          <w:rStyle w:val="51"/>
          <w:rFonts w:hint="eastAsia" w:ascii="仿宋" w:hAnsi="仿宋" w:eastAsia="仿宋"/>
          <w:color w:val="auto"/>
        </w:rPr>
        <w:t>成本指标方面：奖学金标准，年度目标值为6000元/每学年，实际完成值为6000元/每学年，完成率100%；助学金标准，年度目标值为2000元/每学年，实际完成值为2000元/每学年，完成率100%</w:t>
      </w:r>
      <w:r>
        <w:rPr>
          <w:rStyle w:val="51"/>
          <w:rFonts w:hint="eastAsia" w:ascii="仿宋" w:hAnsi="仿宋" w:eastAsia="仿宋"/>
          <w:color w:val="auto"/>
          <w:lang w:eastAsia="zh-CN"/>
        </w:rPr>
        <w:t>。</w:t>
      </w:r>
    </w:p>
    <w:p>
      <w:pPr>
        <w:pStyle w:val="2"/>
        <w:keepNext w:val="0"/>
        <w:keepLines w:val="0"/>
        <w:pageBreakBefore w:val="0"/>
        <w:widowControl/>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宋体"/>
          <w:sz w:val="32"/>
          <w:szCs w:val="32"/>
        </w:rPr>
      </w:pPr>
      <w:r>
        <w:rPr>
          <w:rFonts w:hint="eastAsia" w:ascii="仿宋" w:hAnsi="仿宋" w:eastAsia="仿宋" w:cs="宋体"/>
          <w:sz w:val="32"/>
          <w:szCs w:val="32"/>
        </w:rPr>
        <w:t>项目</w:t>
      </w:r>
      <w:r>
        <w:rPr>
          <w:rFonts w:hint="eastAsia" w:ascii="仿宋" w:hAnsi="仿宋" w:eastAsia="仿宋" w:cs="宋体"/>
          <w:sz w:val="32"/>
          <w:szCs w:val="32"/>
          <w:lang w:val="en-US" w:eastAsia="zh-CN"/>
        </w:rPr>
        <w:t>效益</w:t>
      </w:r>
      <w:r>
        <w:rPr>
          <w:rFonts w:hint="eastAsia" w:ascii="仿宋" w:hAnsi="仿宋" w:eastAsia="仿宋" w:cs="宋体"/>
          <w:sz w:val="32"/>
          <w:szCs w:val="32"/>
        </w:rPr>
        <w:t>主要从社会效益、可持续影响</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满意度</w:t>
      </w:r>
      <w:r>
        <w:rPr>
          <w:rFonts w:hint="eastAsia" w:ascii="仿宋" w:hAnsi="仿宋" w:eastAsia="仿宋" w:cs="宋体"/>
          <w:sz w:val="32"/>
          <w:szCs w:val="32"/>
          <w:highlight w:val="none"/>
          <w:lang w:val="en-US" w:eastAsia="zh-CN"/>
        </w:rPr>
        <w:t>三个方面</w:t>
      </w:r>
      <w:r>
        <w:rPr>
          <w:rFonts w:hint="eastAsia" w:ascii="仿宋" w:hAnsi="仿宋" w:eastAsia="仿宋" w:cs="宋体"/>
          <w:sz w:val="32"/>
          <w:szCs w:val="32"/>
        </w:rPr>
        <w:t>对项目的绩效情况进行评价。项目绩效类指标分值</w:t>
      </w:r>
      <w:r>
        <w:rPr>
          <w:rFonts w:hint="eastAsia" w:ascii="仿宋" w:hAnsi="仿宋" w:eastAsia="仿宋" w:cs="宋体"/>
          <w:sz w:val="32"/>
          <w:szCs w:val="32"/>
          <w:lang w:val="en-US" w:eastAsia="zh-CN"/>
        </w:rPr>
        <w:t>4</w:t>
      </w:r>
      <w:r>
        <w:rPr>
          <w:rFonts w:hint="eastAsia" w:ascii="仿宋" w:hAnsi="仿宋" w:eastAsia="仿宋" w:cs="宋体"/>
          <w:sz w:val="32"/>
          <w:szCs w:val="32"/>
        </w:rPr>
        <w:t>0分，实际得分3</w:t>
      </w:r>
      <w:r>
        <w:rPr>
          <w:rFonts w:hint="eastAsia" w:ascii="仿宋" w:hAnsi="仿宋" w:eastAsia="仿宋" w:cs="宋体"/>
          <w:sz w:val="32"/>
          <w:szCs w:val="32"/>
          <w:lang w:val="en-US" w:eastAsia="zh-CN"/>
        </w:rPr>
        <w:t>9.88</w:t>
      </w:r>
      <w:r>
        <w:rPr>
          <w:rFonts w:hint="eastAsia" w:ascii="仿宋" w:hAnsi="仿宋" w:eastAsia="仿宋" w:cs="宋体"/>
          <w:sz w:val="32"/>
          <w:szCs w:val="32"/>
        </w:rPr>
        <w:t>分，得分率为</w:t>
      </w:r>
      <w:r>
        <w:rPr>
          <w:rFonts w:hint="eastAsia" w:ascii="仿宋" w:hAnsi="仿宋" w:eastAsia="仿宋" w:cs="宋体"/>
          <w:sz w:val="32"/>
          <w:szCs w:val="32"/>
          <w:lang w:val="en-US" w:eastAsia="zh-CN"/>
        </w:rPr>
        <w:t>99.7</w:t>
      </w:r>
      <w:r>
        <w:rPr>
          <w:rFonts w:hint="eastAsia" w:ascii="仿宋" w:hAnsi="仿宋" w:eastAsia="仿宋" w:cs="宋体"/>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宋体"/>
          <w:sz w:val="32"/>
          <w:szCs w:val="32"/>
        </w:rPr>
      </w:pPr>
      <w:r>
        <w:rPr>
          <w:rFonts w:hint="eastAsia" w:ascii="仿宋" w:hAnsi="仿宋" w:eastAsia="仿宋" w:cs="宋体"/>
          <w:sz w:val="32"/>
          <w:szCs w:val="32"/>
        </w:rPr>
        <w:t>项目绩效指标得分情况如表所示：</w:t>
      </w:r>
    </w:p>
    <w:tbl>
      <w:tblPr>
        <w:tblStyle w:val="19"/>
        <w:tblW w:w="8473" w:type="dxa"/>
        <w:tblInd w:w="0" w:type="dxa"/>
        <w:tblLayout w:type="fixed"/>
        <w:tblCellMar>
          <w:top w:w="0" w:type="dxa"/>
          <w:left w:w="108" w:type="dxa"/>
          <w:bottom w:w="0" w:type="dxa"/>
          <w:right w:w="108" w:type="dxa"/>
        </w:tblCellMar>
      </w:tblPr>
      <w:tblGrid>
        <w:gridCol w:w="2516"/>
        <w:gridCol w:w="1986"/>
        <w:gridCol w:w="1984"/>
        <w:gridCol w:w="1987"/>
      </w:tblGrid>
      <w:tr>
        <w:tblPrEx>
          <w:tblCellMar>
            <w:top w:w="0" w:type="dxa"/>
            <w:left w:w="108" w:type="dxa"/>
            <w:bottom w:w="0" w:type="dxa"/>
            <w:right w:w="108" w:type="dxa"/>
          </w:tblCellMar>
        </w:tblPrEx>
        <w:trPr>
          <w:trHeight w:val="510" w:hRule="exact"/>
          <w:tblHeader/>
        </w:trPr>
        <w:tc>
          <w:tcPr>
            <w:tcW w:w="2516"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ind w:firstLine="560" w:firstLineChars="200"/>
              <w:textAlignment w:val="auto"/>
              <w:rPr>
                <w:rFonts w:ascii="仿宋" w:hAnsi="仿宋" w:eastAsia="仿宋" w:cs="宋体"/>
                <w:sz w:val="28"/>
                <w:szCs w:val="28"/>
              </w:rPr>
            </w:pPr>
            <w:r>
              <w:rPr>
                <w:rFonts w:hint="eastAsia" w:ascii="仿宋" w:hAnsi="仿宋" w:eastAsia="仿宋" w:cs="宋体"/>
                <w:sz w:val="28"/>
                <w:szCs w:val="28"/>
              </w:rPr>
              <w:t>三级指标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ind w:firstLine="560" w:firstLineChars="200"/>
              <w:textAlignment w:val="auto"/>
              <w:rPr>
                <w:rFonts w:ascii="仿宋" w:hAnsi="仿宋" w:eastAsia="仿宋" w:cs="宋体"/>
                <w:sz w:val="28"/>
                <w:szCs w:val="28"/>
              </w:rPr>
            </w:pPr>
            <w:r>
              <w:rPr>
                <w:rFonts w:hint="eastAsia" w:ascii="仿宋" w:hAnsi="仿宋" w:eastAsia="仿宋" w:cs="宋体"/>
                <w:sz w:val="28"/>
                <w:szCs w:val="28"/>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ind w:firstLine="560" w:firstLineChars="200"/>
              <w:textAlignment w:val="auto"/>
              <w:rPr>
                <w:rFonts w:ascii="仿宋" w:hAnsi="仿宋" w:eastAsia="仿宋" w:cs="宋体"/>
                <w:sz w:val="28"/>
                <w:szCs w:val="28"/>
              </w:rPr>
            </w:pPr>
            <w:r>
              <w:rPr>
                <w:rFonts w:hint="eastAsia" w:ascii="仿宋" w:hAnsi="仿宋" w:eastAsia="仿宋" w:cs="宋体"/>
                <w:sz w:val="28"/>
                <w:szCs w:val="28"/>
              </w:rPr>
              <w:t>得分率</w:t>
            </w:r>
          </w:p>
        </w:tc>
        <w:tc>
          <w:tcPr>
            <w:tcW w:w="1987" w:type="dxa"/>
            <w:tcBorders>
              <w:top w:val="single" w:color="auto" w:sz="4" w:space="0"/>
              <w:left w:val="nil"/>
              <w:bottom w:val="single" w:color="auto" w:sz="4"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8"/>
                <w:szCs w:val="28"/>
              </w:rPr>
            </w:pPr>
            <w:r>
              <w:rPr>
                <w:rFonts w:hint="eastAsia" w:ascii="仿宋" w:hAnsi="仿宋" w:eastAsia="仿宋" w:cs="宋体"/>
                <w:sz w:val="28"/>
                <w:szCs w:val="28"/>
              </w:rPr>
              <w:t>实际得分</w:t>
            </w:r>
          </w:p>
        </w:tc>
      </w:tr>
      <w:tr>
        <w:tblPrEx>
          <w:tblCellMar>
            <w:top w:w="0" w:type="dxa"/>
            <w:left w:w="108" w:type="dxa"/>
            <w:bottom w:w="0" w:type="dxa"/>
            <w:right w:w="108" w:type="dxa"/>
          </w:tblCellMar>
        </w:tblPrEx>
        <w:trPr>
          <w:trHeight w:val="510" w:hRule="exact"/>
        </w:trPr>
        <w:tc>
          <w:tcPr>
            <w:tcW w:w="251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hint="eastAsia" w:ascii="仿宋" w:hAnsi="仿宋" w:eastAsia="仿宋" w:cs="宋体"/>
                <w:sz w:val="24"/>
                <w:szCs w:val="24"/>
              </w:rPr>
              <w:t>社会效益</w:t>
            </w:r>
          </w:p>
        </w:tc>
        <w:tc>
          <w:tcPr>
            <w:tcW w:w="198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ascii="仿宋" w:hAnsi="仿宋" w:eastAsia="仿宋" w:cs="宋体"/>
                <w:sz w:val="24"/>
                <w:szCs w:val="24"/>
              </w:rPr>
              <w:t>20</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hint="eastAsia" w:ascii="仿宋" w:hAnsi="仿宋" w:eastAsia="仿宋" w:cs="宋体"/>
                <w:sz w:val="24"/>
                <w:szCs w:val="24"/>
              </w:rPr>
              <w:t>100%</w:t>
            </w:r>
          </w:p>
        </w:tc>
        <w:tc>
          <w:tcPr>
            <w:tcW w:w="1987"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ascii="仿宋" w:hAnsi="仿宋" w:eastAsia="仿宋" w:cs="宋体"/>
                <w:sz w:val="24"/>
                <w:szCs w:val="24"/>
              </w:rPr>
              <w:t>20</w:t>
            </w:r>
          </w:p>
        </w:tc>
      </w:tr>
      <w:tr>
        <w:tblPrEx>
          <w:tblCellMar>
            <w:top w:w="0" w:type="dxa"/>
            <w:left w:w="108" w:type="dxa"/>
            <w:bottom w:w="0" w:type="dxa"/>
            <w:right w:w="108" w:type="dxa"/>
          </w:tblCellMar>
        </w:tblPrEx>
        <w:trPr>
          <w:trHeight w:val="510" w:hRule="exact"/>
        </w:trPr>
        <w:tc>
          <w:tcPr>
            <w:tcW w:w="251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hint="eastAsia" w:ascii="仿宋" w:hAnsi="仿宋" w:eastAsia="仿宋" w:cs="宋体"/>
                <w:sz w:val="24"/>
                <w:szCs w:val="24"/>
              </w:rPr>
              <w:t>可持续影响</w:t>
            </w:r>
          </w:p>
        </w:tc>
        <w:tc>
          <w:tcPr>
            <w:tcW w:w="198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ascii="仿宋" w:hAnsi="仿宋" w:eastAsia="仿宋" w:cs="宋体"/>
                <w:sz w:val="24"/>
                <w:szCs w:val="24"/>
              </w:rPr>
              <w:t>10</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hint="eastAsia" w:ascii="仿宋" w:hAnsi="仿宋" w:eastAsia="仿宋" w:cs="宋体"/>
                <w:sz w:val="24"/>
                <w:szCs w:val="24"/>
              </w:rPr>
              <w:t>100%</w:t>
            </w:r>
          </w:p>
        </w:tc>
        <w:tc>
          <w:tcPr>
            <w:tcW w:w="1987"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ascii="仿宋" w:hAnsi="仿宋" w:eastAsia="仿宋" w:cs="宋体"/>
                <w:sz w:val="24"/>
                <w:szCs w:val="24"/>
              </w:rPr>
              <w:t>10</w:t>
            </w:r>
          </w:p>
        </w:tc>
      </w:tr>
      <w:tr>
        <w:tblPrEx>
          <w:tblCellMar>
            <w:top w:w="0" w:type="dxa"/>
            <w:left w:w="108" w:type="dxa"/>
            <w:bottom w:w="0" w:type="dxa"/>
            <w:right w:w="108" w:type="dxa"/>
          </w:tblCellMar>
        </w:tblPrEx>
        <w:trPr>
          <w:trHeight w:val="514" w:hRule="exact"/>
        </w:trPr>
        <w:tc>
          <w:tcPr>
            <w:tcW w:w="2516" w:type="dxa"/>
            <w:tcBorders>
              <w:top w:val="nil"/>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hint="eastAsia" w:ascii="仿宋" w:hAnsi="仿宋" w:eastAsia="仿宋" w:cs="宋体"/>
                <w:sz w:val="24"/>
                <w:szCs w:val="24"/>
              </w:rPr>
            </w:pPr>
            <w:r>
              <w:rPr>
                <w:rFonts w:hint="eastAsia" w:ascii="仿宋" w:hAnsi="仿宋" w:eastAsia="仿宋" w:cs="宋体"/>
                <w:sz w:val="24"/>
                <w:szCs w:val="24"/>
              </w:rPr>
              <w:t>服务对象满意度</w:t>
            </w:r>
          </w:p>
        </w:tc>
        <w:tc>
          <w:tcPr>
            <w:tcW w:w="1986"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hint="eastAsia" w:ascii="仿宋" w:hAnsi="仿宋" w:eastAsia="仿宋" w:cs="宋体"/>
                <w:sz w:val="24"/>
                <w:szCs w:val="24"/>
              </w:rPr>
            </w:pPr>
            <w:r>
              <w:rPr>
                <w:rFonts w:hint="eastAsia" w:ascii="仿宋" w:hAnsi="仿宋" w:eastAsia="仿宋" w:cs="宋体"/>
                <w:sz w:val="24"/>
                <w:szCs w:val="24"/>
              </w:rPr>
              <w:t>10</w:t>
            </w:r>
          </w:p>
        </w:tc>
        <w:tc>
          <w:tcPr>
            <w:tcW w:w="1984"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hint="eastAsia" w:ascii="仿宋" w:hAnsi="仿宋" w:eastAsia="仿宋" w:cs="宋体"/>
                <w:sz w:val="24"/>
                <w:szCs w:val="24"/>
              </w:rPr>
            </w:pPr>
            <w:r>
              <w:rPr>
                <w:rFonts w:hint="eastAsia" w:ascii="仿宋" w:hAnsi="仿宋" w:eastAsia="仿宋" w:cs="宋体"/>
                <w:sz w:val="24"/>
                <w:szCs w:val="24"/>
              </w:rPr>
              <w:t>98.8%</w:t>
            </w:r>
          </w:p>
        </w:tc>
        <w:tc>
          <w:tcPr>
            <w:tcW w:w="1987"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atLeast"/>
              <w:jc w:val="center"/>
              <w:textAlignment w:val="auto"/>
              <w:rPr>
                <w:rFonts w:hint="eastAsia" w:ascii="仿宋" w:hAnsi="仿宋" w:eastAsia="仿宋" w:cs="宋体"/>
                <w:sz w:val="24"/>
                <w:szCs w:val="24"/>
              </w:rPr>
            </w:pPr>
            <w:r>
              <w:rPr>
                <w:rFonts w:hint="eastAsia" w:ascii="仿宋" w:hAnsi="仿宋" w:eastAsia="仿宋" w:cs="宋体"/>
                <w:sz w:val="24"/>
                <w:szCs w:val="24"/>
              </w:rPr>
              <w:t>9.88</w:t>
            </w:r>
          </w:p>
          <w:p>
            <w:pPr>
              <w:pageBreakBefore w:val="0"/>
              <w:kinsoku/>
              <w:wordWrap/>
              <w:overflowPunct/>
              <w:topLinePunct w:val="0"/>
              <w:autoSpaceDE/>
              <w:autoSpaceDN/>
              <w:bidi w:val="0"/>
              <w:adjustRightInd/>
              <w:snapToGrid/>
              <w:spacing w:line="560" w:lineRule="atLeast"/>
              <w:ind w:firstLine="480" w:firstLineChars="200"/>
              <w:jc w:val="center"/>
              <w:textAlignment w:val="auto"/>
              <w:rPr>
                <w:rFonts w:hint="eastAsia" w:ascii="仿宋" w:hAnsi="仿宋" w:eastAsia="仿宋" w:cs="宋体"/>
                <w:sz w:val="24"/>
                <w:szCs w:val="24"/>
              </w:rPr>
            </w:pPr>
          </w:p>
        </w:tc>
      </w:tr>
      <w:tr>
        <w:tblPrEx>
          <w:tblCellMar>
            <w:top w:w="0" w:type="dxa"/>
            <w:left w:w="108" w:type="dxa"/>
            <w:bottom w:w="0" w:type="dxa"/>
            <w:right w:w="108" w:type="dxa"/>
          </w:tblCellMar>
        </w:tblPrEx>
        <w:trPr>
          <w:trHeight w:val="466" w:hRule="exact"/>
        </w:trPr>
        <w:tc>
          <w:tcPr>
            <w:tcW w:w="251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center"/>
              <w:textAlignment w:val="auto"/>
              <w:rPr>
                <w:rFonts w:ascii="仿宋" w:hAnsi="仿宋" w:eastAsia="仿宋" w:cs="宋体"/>
                <w:sz w:val="24"/>
                <w:szCs w:val="24"/>
              </w:rPr>
            </w:pPr>
            <w:r>
              <w:rPr>
                <w:rFonts w:hint="eastAsia" w:ascii="仿宋" w:hAnsi="仿宋" w:eastAsia="仿宋" w:cs="宋体"/>
                <w:sz w:val="24"/>
                <w:szCs w:val="24"/>
              </w:rPr>
              <w:t>合  计</w:t>
            </w:r>
          </w:p>
        </w:tc>
        <w:tc>
          <w:tcPr>
            <w:tcW w:w="1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hint="eastAsia" w:ascii="仿宋" w:hAnsi="仿宋" w:eastAsia="仿宋" w:cs="宋体"/>
                <w:sz w:val="24"/>
                <w:szCs w:val="24"/>
                <w:lang w:val="en-US" w:eastAsia="zh-CN"/>
              </w:rPr>
              <w:t>4</w:t>
            </w:r>
            <w:r>
              <w:rPr>
                <w:rFonts w:hint="eastAsia" w:ascii="仿宋" w:hAnsi="仿宋" w:eastAsia="仿宋" w:cs="宋体"/>
                <w:sz w:val="24"/>
                <w:szCs w:val="24"/>
              </w:rPr>
              <w:t>0</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ascii="仿宋" w:hAnsi="仿宋" w:eastAsia="仿宋" w:cs="宋体"/>
                <w:sz w:val="24"/>
                <w:szCs w:val="24"/>
              </w:rPr>
            </w:pPr>
            <w:r>
              <w:rPr>
                <w:rFonts w:hint="eastAsia" w:ascii="仿宋" w:hAnsi="仿宋" w:eastAsia="仿宋" w:cs="宋体"/>
                <w:sz w:val="24"/>
                <w:szCs w:val="24"/>
                <w:lang w:val="en-US" w:eastAsia="zh-CN"/>
              </w:rPr>
              <w:t>99.7</w:t>
            </w:r>
            <w:r>
              <w:rPr>
                <w:rFonts w:hint="eastAsia" w:ascii="仿宋" w:hAnsi="仿宋" w:eastAsia="仿宋" w:cs="宋体"/>
                <w:sz w:val="24"/>
                <w:szCs w:val="24"/>
              </w:rPr>
              <w:t>%</w:t>
            </w:r>
          </w:p>
        </w:tc>
        <w:tc>
          <w:tcPr>
            <w:tcW w:w="19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39.88</w:t>
            </w:r>
          </w:p>
        </w:tc>
      </w:tr>
    </w:tbl>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 w:hAnsi="仿宋" w:eastAsia="仿宋" w:cs="宋体"/>
          <w:sz w:val="32"/>
          <w:szCs w:val="32"/>
          <w:lang w:val="en-US" w:eastAsia="zh-CN"/>
        </w:rPr>
      </w:pPr>
      <w:r>
        <w:rPr>
          <w:rFonts w:hint="eastAsia" w:ascii="仿宋" w:hAnsi="仿宋" w:eastAsia="仿宋" w:cs="宋体"/>
          <w:b/>
          <w:bCs/>
          <w:sz w:val="32"/>
          <w:szCs w:val="32"/>
          <w:lang w:val="en-US" w:eastAsia="zh-CN"/>
        </w:rPr>
        <w:t>社会效益指标：</w:t>
      </w:r>
      <w:r>
        <w:rPr>
          <w:rFonts w:hint="eastAsia" w:ascii="仿宋" w:hAnsi="仿宋" w:eastAsia="仿宋" w:cs="宋体"/>
          <w:b w:val="0"/>
          <w:bCs w:val="0"/>
          <w:sz w:val="32"/>
          <w:szCs w:val="32"/>
          <w:lang w:val="en-US" w:eastAsia="zh-CN"/>
        </w:rPr>
        <w:t>品学兼优，树立目标，提升学生整体素质，</w:t>
      </w:r>
      <w:r>
        <w:rPr>
          <w:rFonts w:hint="eastAsia" w:ascii="仿宋" w:hAnsi="仿宋" w:eastAsia="仿宋" w:cs="宋体"/>
          <w:sz w:val="32"/>
          <w:szCs w:val="32"/>
          <w:lang w:val="en-US" w:eastAsia="zh-CN"/>
        </w:rPr>
        <w:t>年度目标值=150人，实际完成值150人，完成率100%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宋体"/>
          <w:sz w:val="32"/>
          <w:szCs w:val="32"/>
          <w:lang w:val="en-US" w:eastAsia="zh-CN"/>
        </w:rPr>
      </w:pPr>
      <w:r>
        <w:rPr>
          <w:rFonts w:hint="eastAsia" w:ascii="仿宋" w:hAnsi="仿宋" w:eastAsia="仿宋" w:cs="宋体"/>
          <w:sz w:val="32"/>
          <w:szCs w:val="32"/>
          <w:lang w:val="en-US" w:eastAsia="zh-CN"/>
        </w:rPr>
        <w:t>缓解建档立卡学生家庭生活负担，年度目标值=650人，实际完成值650，完成率100%</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 w:hAnsi="仿宋" w:eastAsia="仿宋" w:cs="宋体"/>
          <w:sz w:val="32"/>
          <w:szCs w:val="32"/>
          <w:lang w:val="en-US" w:eastAsia="zh-CN"/>
        </w:rPr>
      </w:pPr>
      <w:r>
        <w:rPr>
          <w:rFonts w:hint="eastAsia" w:ascii="仿宋" w:hAnsi="仿宋" w:eastAsia="仿宋" w:cs="宋体"/>
          <w:b/>
          <w:bCs/>
          <w:sz w:val="32"/>
          <w:szCs w:val="32"/>
          <w:lang w:val="en-US" w:eastAsia="zh-CN"/>
        </w:rPr>
        <w:t>可持续影响指标：</w:t>
      </w:r>
      <w:r>
        <w:rPr>
          <w:rFonts w:hint="eastAsia" w:ascii="仿宋" w:hAnsi="仿宋" w:eastAsia="仿宋" w:cs="宋体"/>
          <w:sz w:val="32"/>
          <w:szCs w:val="32"/>
          <w:lang w:val="en-US" w:eastAsia="zh-CN"/>
        </w:rPr>
        <w:t>校园教学工作正常运转得到提升，年度目标值≥90%，实际完成值90%，完成率100%</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 w:hAnsi="仿宋" w:eastAsia="仿宋" w:cs="宋体"/>
          <w:sz w:val="32"/>
          <w:szCs w:val="32"/>
          <w:lang w:val="en-US" w:eastAsia="zh-CN"/>
        </w:rPr>
      </w:pPr>
      <w:r>
        <w:rPr>
          <w:rFonts w:hint="eastAsia" w:ascii="仿宋" w:hAnsi="仿宋" w:eastAsia="仿宋" w:cs="宋体"/>
          <w:b/>
          <w:bCs/>
          <w:sz w:val="32"/>
          <w:szCs w:val="32"/>
          <w:lang w:val="en-US" w:eastAsia="zh-CN"/>
        </w:rPr>
        <w:t>满意度指标：</w:t>
      </w:r>
      <w:r>
        <w:rPr>
          <w:rFonts w:hint="eastAsia" w:ascii="仿宋" w:hAnsi="仿宋" w:eastAsia="仿宋" w:cs="宋体"/>
          <w:sz w:val="32"/>
          <w:szCs w:val="32"/>
          <w:lang w:val="en-US" w:eastAsia="zh-CN"/>
        </w:rPr>
        <w:t>学生对助学金发放情况满意度，年度目标值≥90%，实际完成值88%，完成率97%</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rPr>
      </w:pPr>
      <w:r>
        <w:rPr>
          <w:rFonts w:hint="default" w:ascii="仿宋" w:hAnsi="仿宋" w:eastAsia="仿宋" w:cs="宋体"/>
          <w:sz w:val="32"/>
          <w:szCs w:val="32"/>
          <w:lang w:val="en-US" w:eastAsia="zh-CN"/>
        </w:rPr>
        <w:t>学生对学校教学环境的满意度</w:t>
      </w:r>
      <w:r>
        <w:rPr>
          <w:rFonts w:hint="eastAsia" w:ascii="仿宋" w:hAnsi="仿宋" w:eastAsia="仿宋" w:cs="宋体"/>
          <w:sz w:val="32"/>
          <w:szCs w:val="32"/>
          <w:lang w:val="en-US" w:eastAsia="zh-CN"/>
        </w:rPr>
        <w:t>，年度目标值≥90%，实际完成值90%，完成率100%。</w:t>
      </w:r>
    </w:p>
    <w:p>
      <w:pPr>
        <w:pageBreakBefore w:val="0"/>
        <w:kinsoku/>
        <w:wordWrap/>
        <w:overflowPunct/>
        <w:topLinePunct w:val="0"/>
        <w:autoSpaceDE/>
        <w:autoSpaceDN/>
        <w:bidi w:val="0"/>
        <w:adjustRightInd/>
        <w:snapToGrid/>
        <w:spacing w:line="560" w:lineRule="atLeast"/>
        <w:ind w:firstLine="640" w:firstLineChars="200"/>
        <w:textAlignment w:val="auto"/>
        <w:rPr>
          <w:rFonts w:eastAsia="方正仿宋_GBK"/>
          <w:sz w:val="32"/>
          <w:szCs w:val="32"/>
        </w:rPr>
      </w:pPr>
      <w:r>
        <w:rPr>
          <w:rFonts w:hint="eastAsia" w:ascii="仿宋" w:hAnsi="仿宋" w:eastAsia="仿宋" w:cs="宋体"/>
          <w:sz w:val="32"/>
          <w:szCs w:val="32"/>
        </w:rPr>
        <w:t>对于“服务对象满意度”，发放的调查问卷中的满意度问题主要包括：受助学生对我校资助工作的满意度，社会公众对我校资助工作的满意度等。对于“服务对象满意度”，发放的调查问卷中的满意度问题主要包括：受助学生，社会公众对我校资助工作的评价。综合问卷调查结果的满意度分析结果为</w:t>
      </w:r>
      <w:r>
        <w:rPr>
          <w:rFonts w:hint="eastAsia" w:ascii="仿宋" w:hAnsi="仿宋" w:eastAsia="仿宋" w:cs="宋体"/>
          <w:sz w:val="32"/>
          <w:szCs w:val="32"/>
          <w:lang w:val="en-US" w:eastAsia="zh-CN"/>
        </w:rPr>
        <w:t>9.88</w:t>
      </w:r>
      <w:r>
        <w:rPr>
          <w:rFonts w:hint="eastAsia" w:ascii="仿宋" w:hAnsi="仿宋" w:eastAsia="仿宋" w:cs="宋体"/>
          <w:sz w:val="32"/>
          <w:szCs w:val="32"/>
        </w:rPr>
        <w:t>分。</w:t>
      </w:r>
    </w:p>
    <w:p>
      <w:pPr>
        <w:pageBreakBefore w:val="0"/>
        <w:kinsoku/>
        <w:wordWrap/>
        <w:overflowPunct/>
        <w:topLinePunct w:val="0"/>
        <w:autoSpaceDE/>
        <w:autoSpaceDN/>
        <w:bidi w:val="0"/>
        <w:adjustRightInd/>
        <w:snapToGrid/>
        <w:spacing w:line="560" w:lineRule="atLeast"/>
        <w:ind w:firstLine="641"/>
        <w:textAlignment w:val="auto"/>
        <w:rPr>
          <w:rStyle w:val="51"/>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宋体"/>
          <w:sz w:val="32"/>
          <w:szCs w:val="32"/>
        </w:rPr>
      </w:pPr>
      <w:r>
        <w:rPr>
          <w:rFonts w:hint="eastAsia" w:ascii="仿宋" w:hAnsi="仿宋" w:eastAsia="仿宋" w:cs="宋体"/>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 w:hAnsi="仿宋" w:eastAsia="仿宋" w:cs="宋体"/>
          <w:b w:val="0"/>
          <w:bCs w:val="0"/>
          <w:kern w:val="2"/>
        </w:rPr>
      </w:pPr>
      <w:r>
        <w:rPr>
          <w:rFonts w:hint="eastAsia" w:ascii="仿宋" w:hAnsi="仿宋" w:eastAsia="仿宋" w:cs="宋体"/>
          <w:b w:val="0"/>
          <w:bCs w:val="0"/>
          <w:kern w:val="2"/>
        </w:rPr>
        <w:t>严格坚持先做事、后验收、再拨付的原则，</w:t>
      </w:r>
      <w:r>
        <w:rPr>
          <w:rFonts w:hint="eastAsia" w:ascii="仿宋" w:hAnsi="仿宋" w:eastAsia="仿宋" w:cs="宋体"/>
          <w:b w:val="0"/>
          <w:bCs w:val="0"/>
          <w:kern w:val="2"/>
          <w:highlight w:val="none"/>
          <w:lang w:eastAsia="zh-CN"/>
        </w:rPr>
        <w:t>杜绝</w:t>
      </w:r>
      <w:r>
        <w:rPr>
          <w:rFonts w:hint="eastAsia" w:ascii="仿宋" w:hAnsi="仿宋" w:eastAsia="仿宋" w:cs="宋体"/>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存在的问题</w:t>
      </w:r>
      <w:r>
        <w:rPr>
          <w:rFonts w:hint="eastAsia" w:ascii="仿宋_GB2312" w:hAnsi="仿宋_GB2312" w:eastAsia="仿宋_GB2312" w:cs="仿宋_GB2312"/>
          <w:sz w:val="32"/>
          <w:szCs w:val="32"/>
        </w:rPr>
        <w:t>：项目管理制度有待进一步健全、细化。前期预算考虑问题不够全面</w:t>
      </w:r>
      <w:r>
        <w:rPr>
          <w:rFonts w:hint="eastAsia" w:ascii="仿宋" w:hAnsi="仿宋" w:eastAsia="仿宋" w:cs="仿宋"/>
          <w:sz w:val="32"/>
          <w:szCs w:val="32"/>
          <w:shd w:val="clear" w:color="auto" w:fill="FFFFFF"/>
        </w:rPr>
        <w:t>，</w:t>
      </w:r>
      <w:r>
        <w:rPr>
          <w:rFonts w:hint="eastAsia" w:ascii="仿宋" w:hAnsi="仿宋" w:eastAsia="仿宋" w:cs="宋体"/>
          <w:sz w:val="32"/>
          <w:szCs w:val="32"/>
        </w:rPr>
        <w:t>项目预算及支出管理有待进一步提高</w:t>
      </w:r>
      <w:r>
        <w:rPr>
          <w:rFonts w:hint="eastAsia" w:ascii="仿宋" w:hAnsi="仿宋" w:eastAsia="仿宋" w:cs="仿宋"/>
          <w:sz w:val="32"/>
          <w:szCs w:val="32"/>
          <w:shd w:val="clear" w:color="auto" w:fill="FFFFFF"/>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宋体"/>
          <w:sz w:val="32"/>
          <w:szCs w:val="32"/>
        </w:rPr>
      </w:pPr>
      <w:r>
        <w:rPr>
          <w:rFonts w:hint="eastAsia" w:ascii="仿宋" w:hAnsi="仿宋" w:eastAsia="仿宋" w:cs="宋体"/>
          <w:sz w:val="32"/>
          <w:szCs w:val="32"/>
        </w:rPr>
        <w:t>原因分析：在项目绩效设置的过程中欠考虑一些因自然因素导致某一些指标不能按期完成的因素，与设置值有差异。</w:t>
      </w: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 w:hAnsi="仿宋" w:eastAsia="仿宋" w:cs="宋体"/>
          <w:sz w:val="32"/>
          <w:szCs w:val="32"/>
        </w:rPr>
      </w:pPr>
      <w:r>
        <w:rPr>
          <w:rFonts w:hint="eastAsia" w:ascii="仿宋" w:hAnsi="仿宋" w:eastAsia="仿宋" w:cs="宋体"/>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 w:hAnsi="仿宋" w:eastAsia="仿宋" w:cs="宋体"/>
          <w:sz w:val="32"/>
          <w:szCs w:val="32"/>
        </w:rPr>
      </w:pPr>
      <w:r>
        <w:rPr>
          <w:rFonts w:hint="eastAsia" w:ascii="仿宋" w:hAnsi="仿宋" w:eastAsia="仿宋" w:cs="宋体"/>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 w:hAnsi="仿宋" w:eastAsia="仿宋" w:cs="宋体"/>
          <w:sz w:val="32"/>
          <w:szCs w:val="32"/>
          <w:highlight w:val="none"/>
          <w:lang w:eastAsia="zh-CN"/>
        </w:rPr>
        <w:t>报账</w:t>
      </w:r>
      <w:r>
        <w:rPr>
          <w:rFonts w:hint="eastAsia" w:ascii="仿宋" w:hAnsi="仿宋" w:eastAsia="仿宋" w:cs="宋体"/>
          <w:sz w:val="32"/>
          <w:szCs w:val="32"/>
        </w:rPr>
        <w:t>，从而确保专项资金专款专用，有效地防止了截留、挤占和挪用。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2" w:name="page8"/>
      <w:bookmarkEnd w:id="2"/>
      <w:r>
        <w:rPr>
          <w:rFonts w:hint="eastAsia" w:ascii="黑体" w:hAnsi="黑体" w:eastAsia="黑体"/>
          <w:sz w:val="32"/>
          <w:szCs w:val="32"/>
        </w:rPr>
        <w:t>明的问题</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rPr>
          <w:rFonts w:ascii="黑体" w:hAnsi="黑体" w:eastAsia="黑体"/>
          <w:sz w:val="32"/>
          <w:szCs w:val="32"/>
        </w:rPr>
      </w:pPr>
    </w:p>
    <w:p>
      <w:pPr>
        <w:pStyle w:val="2"/>
        <w:rPr>
          <w:rFonts w:ascii="黑体" w:hAnsi="黑体" w:eastAsia="黑体"/>
        </w:rPr>
      </w:pPr>
    </w:p>
    <w:p/>
    <w:p>
      <w:pPr>
        <w:widowControl/>
        <w:jc w:val="center"/>
        <w:rPr>
          <w:rFonts w:hint="eastAsia" w:ascii="宋体" w:hAnsi="宋体" w:cs="Arial"/>
          <w:b/>
          <w:bCs/>
          <w:color w:val="000000"/>
          <w:kern w:val="0"/>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19"/>
        <w:tblW w:w="9145" w:type="dxa"/>
        <w:tblInd w:w="96" w:type="dxa"/>
        <w:shd w:val="clear" w:color="auto" w:fill="auto"/>
        <w:tblLayout w:type="fixed"/>
        <w:tblCellMar>
          <w:top w:w="0" w:type="dxa"/>
          <w:left w:w="108" w:type="dxa"/>
          <w:bottom w:w="0" w:type="dxa"/>
          <w:right w:w="108" w:type="dxa"/>
        </w:tblCellMar>
      </w:tblPr>
      <w:tblGrid>
        <w:gridCol w:w="703"/>
        <w:gridCol w:w="703"/>
        <w:gridCol w:w="703"/>
        <w:gridCol w:w="703"/>
        <w:gridCol w:w="1406"/>
        <w:gridCol w:w="1680"/>
        <w:gridCol w:w="1470"/>
        <w:gridCol w:w="118"/>
        <w:gridCol w:w="1659"/>
      </w:tblGrid>
      <w:tr>
        <w:tblPrEx>
          <w:shd w:val="clear" w:color="auto" w:fill="auto"/>
          <w:tblCellMar>
            <w:top w:w="0" w:type="dxa"/>
            <w:left w:w="108" w:type="dxa"/>
            <w:bottom w:w="0" w:type="dxa"/>
            <w:right w:w="108" w:type="dxa"/>
          </w:tblCellMar>
        </w:tblPrEx>
        <w:trPr>
          <w:trHeight w:val="408" w:hRule="atLeast"/>
        </w:trPr>
        <w:tc>
          <w:tcPr>
            <w:tcW w:w="914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CellMar>
            <w:top w:w="0" w:type="dxa"/>
            <w:left w:w="108" w:type="dxa"/>
            <w:bottom w:w="0" w:type="dxa"/>
            <w:right w:w="108" w:type="dxa"/>
          </w:tblCellMar>
        </w:tblPrEx>
        <w:trPr>
          <w:trHeight w:val="408" w:hRule="atLeast"/>
        </w:trPr>
        <w:tc>
          <w:tcPr>
            <w:tcW w:w="914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318" w:hRule="atLeast"/>
        </w:trPr>
        <w:tc>
          <w:tcPr>
            <w:tcW w:w="9145" w:type="dxa"/>
            <w:gridSpan w:val="9"/>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18" w:hRule="atLeast"/>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7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职业学校免学费、免住宿、免教材、助学金、奖学金资助贫困学生项目</w:t>
            </w:r>
          </w:p>
        </w:tc>
      </w:tr>
      <w:tr>
        <w:tblPrEx>
          <w:tblCellMar>
            <w:top w:w="0" w:type="dxa"/>
            <w:left w:w="108" w:type="dxa"/>
            <w:bottom w:w="0" w:type="dxa"/>
            <w:right w:w="108" w:type="dxa"/>
          </w:tblCellMar>
        </w:tblPrEx>
        <w:trPr>
          <w:trHeight w:val="318" w:hRule="atLeast"/>
        </w:trPr>
        <w:tc>
          <w:tcPr>
            <w:tcW w:w="140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49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777"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塔城地区师范学校</w:t>
            </w:r>
          </w:p>
        </w:tc>
      </w:tr>
      <w:tr>
        <w:tblPrEx>
          <w:tblCellMar>
            <w:top w:w="0" w:type="dxa"/>
            <w:left w:w="108" w:type="dxa"/>
            <w:bottom w:w="0" w:type="dxa"/>
            <w:right w:w="108" w:type="dxa"/>
          </w:tblCellMar>
        </w:tblPrEx>
        <w:trPr>
          <w:trHeight w:val="318" w:hRule="atLeast"/>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03" w:type="dxa"/>
            <w:tcBorders>
              <w:top w:val="single" w:color="auto" w:sz="4" w:space="0"/>
              <w:left w:val="single" w:color="000000" w:sz="4" w:space="0"/>
              <w:bottom w:val="single" w:color="000000" w:sz="4" w:space="0"/>
              <w:right w:val="nil"/>
            </w:tcBorders>
            <w:shd w:val="clear" w:color="auto" w:fill="auto"/>
            <w:noWrap/>
            <w:vAlign w:val="bottom"/>
          </w:tcPr>
          <w:p>
            <w:pPr>
              <w:rPr>
                <w:rFonts w:hint="eastAsia" w:ascii="Arial" w:hAnsi="Arial" w:eastAsia="宋体" w:cs="Arial"/>
                <w:i w:val="0"/>
                <w:iCs w:val="0"/>
                <w:color w:val="000000"/>
                <w:sz w:val="20"/>
                <w:szCs w:val="20"/>
                <w:u w:val="none"/>
              </w:rPr>
            </w:pPr>
          </w:p>
        </w:tc>
        <w:tc>
          <w:tcPr>
            <w:tcW w:w="703" w:type="dxa"/>
            <w:tcBorders>
              <w:top w:val="single" w:color="auto" w:sz="4" w:space="0"/>
              <w:left w:val="nil"/>
              <w:bottom w:val="single" w:color="000000" w:sz="4" w:space="0"/>
              <w:right w:val="single" w:color="000000" w:sz="4" w:space="0"/>
            </w:tcBorders>
            <w:shd w:val="clear" w:color="auto" w:fill="auto"/>
            <w:noWrap/>
            <w:vAlign w:val="bottom"/>
          </w:tcPr>
          <w:p/>
        </w:tc>
        <w:tc>
          <w:tcPr>
            <w:tcW w:w="140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全年预算数</w:t>
            </w:r>
          </w:p>
        </w:tc>
        <w:tc>
          <w:tcPr>
            <w:tcW w:w="147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318" w:hRule="atLeast"/>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35.72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980.23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980.23</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108" w:type="dxa"/>
            <w:bottom w:w="0" w:type="dxa"/>
            <w:right w:w="108" w:type="dxa"/>
          </w:tblCellMar>
        </w:tblPrEx>
        <w:trPr>
          <w:trHeight w:val="318" w:hRule="atLeast"/>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35.72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980.23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980.23</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18" w:hRule="atLeast"/>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18" w:hRule="atLeast"/>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18" w:hRule="atLeast"/>
        </w:trPr>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1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2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1240"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加快发展现代职业教育，提高中职学校运转水平，促进民办中职教育发展，切实解决中等职业学校家庭经济困难学生就学问题。为中专教育学生建立了促进身心全面发展的最好的保障，提升教学环境，让学生们在一个舒心的环境中学习成长；提升教育公平系数、满足家庭经济困难学生基本学习生活要求。</w:t>
            </w:r>
          </w:p>
        </w:tc>
        <w:tc>
          <w:tcPr>
            <w:tcW w:w="32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加快发展现代职业教育，提高中职学校运转水平，促进民办中职教育发展，切实解决中等职业学校家庭经济困难学生就学问题。为中专教育学生建立了促进身心全面发展的最好的保障，提升教学环境，让学生们在一个舒心的环境中学习成长；提升教育公平系数、满足家庭经济困难学生基本学习生活要求。</w:t>
            </w:r>
          </w:p>
        </w:tc>
      </w:tr>
      <w:tr>
        <w:tblPrEx>
          <w:tblCellMar>
            <w:top w:w="0" w:type="dxa"/>
            <w:left w:w="108" w:type="dxa"/>
            <w:bottom w:w="0" w:type="dxa"/>
            <w:right w:w="108" w:type="dxa"/>
          </w:tblCellMar>
        </w:tblPrEx>
        <w:trPr>
          <w:trHeight w:val="318" w:hRule="atLeast"/>
        </w:trPr>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288" w:hRule="atLeast"/>
        </w:trPr>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开展校内活动次数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5次</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受获奖学生人数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=1人</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1人</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助学金受助学生人数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≥123人</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123人</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受奖学生大于85分科目</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≥4门</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6门</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该学生年底成绩较高，6门课程大于85份</w:t>
            </w: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教材配比次数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学生整体成绩提升率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建档立卡覆盖率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资金及时发放率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=100%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奖学金标准</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=6000元/每学年</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6000元/每学年</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2"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助学金标准</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=2000每人/元/每学年</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2000每人/元/每学年</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432"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品学兼优，树立目标，提升学生整体素质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=150人</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150人</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44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缓解建档立卡学生家庭生活负担</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=650人</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650人</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校园教学工作正常运转得到提升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61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学生对助学金发放情况满意度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88%</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部分学生未建档立卡，未能享受助学金发放</w:t>
            </w:r>
          </w:p>
        </w:tc>
      </w:tr>
      <w:tr>
        <w:tblPrEx>
          <w:tblCellMar>
            <w:top w:w="0" w:type="dxa"/>
            <w:left w:w="108" w:type="dxa"/>
            <w:bottom w:w="0" w:type="dxa"/>
            <w:right w:w="108" w:type="dxa"/>
          </w:tblCellMar>
        </w:tblPrEx>
        <w:trPr>
          <w:trHeight w:val="3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学生对学校教学环境的满意度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464" w:hRule="atLeast"/>
        </w:trPr>
        <w:tc>
          <w:tcPr>
            <w:tcW w:w="9145" w:type="dxa"/>
            <w:gridSpan w:val="9"/>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pPr>
        <w:rPr>
          <w:rFonts w:ascii="黑体" w:hAnsi="黑体" w:eastAsia="黑体"/>
          <w:sz w:val="32"/>
          <w:szCs w:val="32"/>
        </w:rPr>
      </w:pPr>
    </w:p>
    <w:p>
      <w:pPr>
        <w:pStyle w:val="2"/>
        <w:jc w:val="both"/>
        <w:sectPr>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53"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88"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300"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63"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left"/>
              <w:rPr>
                <w:rFonts w:ascii="宋体" w:hAnsi="宋体" w:cs="宋体"/>
                <w:color w:val="000000"/>
                <w:kern w:val="0"/>
                <w:sz w:val="22"/>
                <w:szCs w:val="22"/>
              </w:rPr>
            </w:pPr>
            <w:r>
              <w:rPr>
                <w:rFonts w:ascii="宋体" w:hAnsi="宋体" w:cs="宋体"/>
                <w:color w:val="000000"/>
                <w:kern w:val="0"/>
                <w:sz w:val="22"/>
                <w:szCs w:val="22"/>
              </w:rPr>
              <w:t>0.5</w:t>
            </w:r>
          </w:p>
        </w:tc>
        <w:tc>
          <w:tcPr>
            <w:tcW w:w="1363" w:type="dxa"/>
            <w:shd w:val="clear" w:color="auto" w:fill="FFFFFF"/>
            <w:vAlign w:val="center"/>
          </w:tcPr>
          <w:p>
            <w:pPr>
              <w:widowControl/>
              <w:spacing w:line="0" w:lineRule="atLeast"/>
              <w:jc w:val="left"/>
              <w:rPr>
                <w:rFonts w:ascii="宋体" w:hAnsi="宋体" w:cs="宋体"/>
                <w:color w:val="000000"/>
                <w:kern w:val="0"/>
                <w:sz w:val="22"/>
                <w:szCs w:val="22"/>
              </w:rPr>
            </w:pPr>
            <w:r>
              <w:rPr>
                <w:rFonts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left"/>
              <w:rPr>
                <w:rFonts w:ascii="宋体" w:hAnsi="宋体" w:cs="宋体"/>
                <w:color w:val="000000"/>
                <w:kern w:val="0"/>
                <w:sz w:val="22"/>
                <w:szCs w:val="22"/>
              </w:rPr>
            </w:pPr>
            <w:r>
              <w:rPr>
                <w:rFonts w:ascii="宋体" w:hAnsi="宋体" w:cs="宋体"/>
                <w:color w:val="000000"/>
                <w:kern w:val="0"/>
                <w:sz w:val="22"/>
                <w:szCs w:val="22"/>
              </w:rPr>
              <w:t>0.5</w:t>
            </w:r>
          </w:p>
        </w:tc>
        <w:tc>
          <w:tcPr>
            <w:tcW w:w="1363" w:type="dxa"/>
            <w:shd w:val="clear" w:color="auto" w:fill="FFFFFF"/>
            <w:vAlign w:val="center"/>
          </w:tcPr>
          <w:p>
            <w:pPr>
              <w:widowControl/>
              <w:spacing w:line="0" w:lineRule="atLeast"/>
              <w:jc w:val="left"/>
              <w:rPr>
                <w:rFonts w:ascii="宋体" w:hAnsi="宋体" w:cs="宋体"/>
                <w:color w:val="000000"/>
                <w:kern w:val="0"/>
                <w:sz w:val="22"/>
                <w:szCs w:val="22"/>
              </w:rPr>
            </w:pPr>
            <w:r>
              <w:rPr>
                <w:rFonts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lef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000000" w:fill="FFFFFF"/>
            <w:vAlign w:val="center"/>
          </w:tcPr>
          <w:p>
            <w:pPr>
              <w:widowControl/>
              <w:spacing w:line="0" w:lineRule="atLeast"/>
              <w:jc w:val="lef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w:t>
            </w:r>
            <w:r>
              <w:rPr>
                <w:rFonts w:hint="eastAsia" w:ascii="宋体" w:hAnsi="宋体" w:cs="宋体"/>
                <w:color w:val="000000"/>
                <w:kern w:val="0"/>
                <w:sz w:val="22"/>
                <w:szCs w:val="22"/>
                <w:highlight w:val="none"/>
              </w:rPr>
              <w:t>实施的保障</w:t>
            </w:r>
            <w:r>
              <w:rPr>
                <w:rFonts w:hint="eastAsia" w:ascii="宋体" w:hAnsi="宋体" w:cs="宋体"/>
                <w:color w:val="000000"/>
                <w:kern w:val="0"/>
                <w:sz w:val="22"/>
                <w:szCs w:val="22"/>
              </w:rPr>
              <w:t>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25</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5</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353"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30</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10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ascii="宋体" w:hAnsi="宋体" w:cs="宋体"/>
                <w:color w:val="000000"/>
                <w:kern w:val="0"/>
                <w:sz w:val="22"/>
                <w:szCs w:val="22"/>
              </w:rPr>
              <w:t>9.88</w:t>
            </w:r>
          </w:p>
        </w:tc>
      </w:tr>
    </w:tbl>
    <w:p>
      <w:pPr>
        <w:pStyle w:val="2"/>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rPr>
          <w:rStyle w:val="21"/>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E50F0"/>
    <w:rsid w:val="000E586C"/>
    <w:rsid w:val="00121AE4"/>
    <w:rsid w:val="00146AAD"/>
    <w:rsid w:val="001B3A40"/>
    <w:rsid w:val="0032721B"/>
    <w:rsid w:val="00394C35"/>
    <w:rsid w:val="003C18BC"/>
    <w:rsid w:val="004366A8"/>
    <w:rsid w:val="00464900"/>
    <w:rsid w:val="00502BA7"/>
    <w:rsid w:val="005162F1"/>
    <w:rsid w:val="00535153"/>
    <w:rsid w:val="00554F82"/>
    <w:rsid w:val="0056390D"/>
    <w:rsid w:val="005719B0"/>
    <w:rsid w:val="005D10D6"/>
    <w:rsid w:val="00694989"/>
    <w:rsid w:val="006B422E"/>
    <w:rsid w:val="006D3891"/>
    <w:rsid w:val="006E142D"/>
    <w:rsid w:val="007806A5"/>
    <w:rsid w:val="007F7F86"/>
    <w:rsid w:val="00855E3A"/>
    <w:rsid w:val="00916B54"/>
    <w:rsid w:val="00922CB9"/>
    <w:rsid w:val="009E5CD9"/>
    <w:rsid w:val="00A26421"/>
    <w:rsid w:val="00A4293B"/>
    <w:rsid w:val="00A67D50"/>
    <w:rsid w:val="00A8691A"/>
    <w:rsid w:val="00A92588"/>
    <w:rsid w:val="00AC1946"/>
    <w:rsid w:val="00B40063"/>
    <w:rsid w:val="00B41F61"/>
    <w:rsid w:val="00B80D72"/>
    <w:rsid w:val="00BA46E6"/>
    <w:rsid w:val="00BF27F3"/>
    <w:rsid w:val="00C56C72"/>
    <w:rsid w:val="00CA6457"/>
    <w:rsid w:val="00D17F2E"/>
    <w:rsid w:val="00D30354"/>
    <w:rsid w:val="00DF42A0"/>
    <w:rsid w:val="00DF7C45"/>
    <w:rsid w:val="00E31565"/>
    <w:rsid w:val="00E46C51"/>
    <w:rsid w:val="00E73868"/>
    <w:rsid w:val="00E769FE"/>
    <w:rsid w:val="00EA2CBE"/>
    <w:rsid w:val="00F03364"/>
    <w:rsid w:val="00F32FEE"/>
    <w:rsid w:val="00F42D6F"/>
    <w:rsid w:val="00F71278"/>
    <w:rsid w:val="00F83BAE"/>
    <w:rsid w:val="00FB10BB"/>
    <w:rsid w:val="051A56F5"/>
    <w:rsid w:val="066D6EAA"/>
    <w:rsid w:val="08C662D4"/>
    <w:rsid w:val="09BD4D95"/>
    <w:rsid w:val="0F8D41CB"/>
    <w:rsid w:val="11C75270"/>
    <w:rsid w:val="12637CC3"/>
    <w:rsid w:val="12E657C5"/>
    <w:rsid w:val="1401763E"/>
    <w:rsid w:val="167C7687"/>
    <w:rsid w:val="168B3546"/>
    <w:rsid w:val="16D47307"/>
    <w:rsid w:val="1A2374E0"/>
    <w:rsid w:val="1C317CE2"/>
    <w:rsid w:val="1DD45808"/>
    <w:rsid w:val="1DED42AC"/>
    <w:rsid w:val="20005763"/>
    <w:rsid w:val="20FB313D"/>
    <w:rsid w:val="220B4804"/>
    <w:rsid w:val="259E05ED"/>
    <w:rsid w:val="27F06306"/>
    <w:rsid w:val="282475E3"/>
    <w:rsid w:val="286340C6"/>
    <w:rsid w:val="28FD36B6"/>
    <w:rsid w:val="2B901441"/>
    <w:rsid w:val="2C6100C1"/>
    <w:rsid w:val="2EFD6138"/>
    <w:rsid w:val="324B2F9D"/>
    <w:rsid w:val="3264220D"/>
    <w:rsid w:val="36DB0A15"/>
    <w:rsid w:val="385B223B"/>
    <w:rsid w:val="3963178C"/>
    <w:rsid w:val="3C8671F8"/>
    <w:rsid w:val="3CE8471F"/>
    <w:rsid w:val="41CC2676"/>
    <w:rsid w:val="45F46A24"/>
    <w:rsid w:val="463C5034"/>
    <w:rsid w:val="46B21672"/>
    <w:rsid w:val="4F552460"/>
    <w:rsid w:val="4FCC6863"/>
    <w:rsid w:val="500A214A"/>
    <w:rsid w:val="522D604D"/>
    <w:rsid w:val="5297585E"/>
    <w:rsid w:val="52AD7D6F"/>
    <w:rsid w:val="5549519D"/>
    <w:rsid w:val="5557596B"/>
    <w:rsid w:val="583E0DD6"/>
    <w:rsid w:val="58D14E7B"/>
    <w:rsid w:val="5B596DFC"/>
    <w:rsid w:val="5DF03945"/>
    <w:rsid w:val="5FD0014C"/>
    <w:rsid w:val="637C2815"/>
    <w:rsid w:val="659D3A3B"/>
    <w:rsid w:val="6F66471F"/>
    <w:rsid w:val="79C05490"/>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styleId="23">
    <w:name w:val="annotation reference"/>
    <w:basedOn w:val="20"/>
    <w:semiHidden/>
    <w:unhideWhenUsed/>
    <w:qFormat/>
    <w:uiPriority w:val="99"/>
    <w:rPr>
      <w:sz w:val="21"/>
      <w:szCs w:val="21"/>
    </w:rPr>
  </w:style>
  <w:style w:type="character" w:customStyle="1" w:styleId="24">
    <w:name w:val="标题 1 Char"/>
    <w:basedOn w:val="20"/>
    <w:link w:val="3"/>
    <w:qFormat/>
    <w:uiPriority w:val="9"/>
    <w:rPr>
      <w:rFonts w:asciiTheme="majorHAnsi" w:hAnsiTheme="majorHAnsi" w:eastAsiaTheme="majorEastAsia"/>
      <w:b/>
      <w:bCs/>
      <w:kern w:val="32"/>
      <w:sz w:val="32"/>
      <w:szCs w:val="32"/>
    </w:rPr>
  </w:style>
  <w:style w:type="character" w:customStyle="1" w:styleId="25">
    <w:name w:val="标题 2 Char"/>
    <w:basedOn w:val="20"/>
    <w:link w:val="4"/>
    <w:semiHidden/>
    <w:qFormat/>
    <w:uiPriority w:val="9"/>
    <w:rPr>
      <w:rFonts w:asciiTheme="majorHAnsi" w:hAnsiTheme="majorHAnsi" w:eastAsiaTheme="majorEastAsia"/>
      <w:b/>
      <w:bCs/>
      <w:i/>
      <w:iCs/>
      <w:sz w:val="28"/>
      <w:szCs w:val="28"/>
    </w:rPr>
  </w:style>
  <w:style w:type="character" w:customStyle="1" w:styleId="26">
    <w:name w:val="标题 3 Char"/>
    <w:basedOn w:val="20"/>
    <w:link w:val="5"/>
    <w:semiHidden/>
    <w:qFormat/>
    <w:uiPriority w:val="9"/>
    <w:rPr>
      <w:rFonts w:asciiTheme="majorHAnsi" w:hAnsiTheme="majorHAnsi" w:eastAsiaTheme="majorEastAsia"/>
      <w:b/>
      <w:bCs/>
      <w:sz w:val="26"/>
      <w:szCs w:val="26"/>
    </w:rPr>
  </w:style>
  <w:style w:type="character" w:customStyle="1" w:styleId="27">
    <w:name w:val="标题 4 Char"/>
    <w:basedOn w:val="20"/>
    <w:link w:val="6"/>
    <w:semiHidden/>
    <w:qFormat/>
    <w:uiPriority w:val="9"/>
    <w:rPr>
      <w:b/>
      <w:bCs/>
      <w:sz w:val="28"/>
      <w:szCs w:val="28"/>
    </w:rPr>
  </w:style>
  <w:style w:type="character" w:customStyle="1" w:styleId="28">
    <w:name w:val="标题 5 Char"/>
    <w:basedOn w:val="20"/>
    <w:link w:val="7"/>
    <w:semiHidden/>
    <w:qFormat/>
    <w:uiPriority w:val="9"/>
    <w:rPr>
      <w:b/>
      <w:bCs/>
      <w:i/>
      <w:iCs/>
      <w:sz w:val="26"/>
      <w:szCs w:val="26"/>
    </w:rPr>
  </w:style>
  <w:style w:type="character" w:customStyle="1" w:styleId="29">
    <w:name w:val="标题 6 Char"/>
    <w:basedOn w:val="20"/>
    <w:link w:val="8"/>
    <w:semiHidden/>
    <w:qFormat/>
    <w:uiPriority w:val="9"/>
    <w:rPr>
      <w:b/>
      <w:bCs/>
    </w:rPr>
  </w:style>
  <w:style w:type="character" w:customStyle="1" w:styleId="30">
    <w:name w:val="标题 7 Char"/>
    <w:basedOn w:val="20"/>
    <w:link w:val="9"/>
    <w:semiHidden/>
    <w:qFormat/>
    <w:uiPriority w:val="9"/>
    <w:rPr>
      <w:sz w:val="24"/>
      <w:szCs w:val="24"/>
    </w:rPr>
  </w:style>
  <w:style w:type="character" w:customStyle="1" w:styleId="31">
    <w:name w:val="标题 8 Char"/>
    <w:basedOn w:val="20"/>
    <w:link w:val="10"/>
    <w:semiHidden/>
    <w:qFormat/>
    <w:uiPriority w:val="9"/>
    <w:rPr>
      <w:i/>
      <w:iCs/>
      <w:sz w:val="24"/>
      <w:szCs w:val="24"/>
    </w:rPr>
  </w:style>
  <w:style w:type="character" w:customStyle="1" w:styleId="32">
    <w:name w:val="标题 9 Char"/>
    <w:basedOn w:val="20"/>
    <w:link w:val="11"/>
    <w:semiHidden/>
    <w:qFormat/>
    <w:uiPriority w:val="9"/>
    <w:rPr>
      <w:rFonts w:asciiTheme="majorHAnsi" w:hAnsiTheme="majorHAnsi" w:eastAsiaTheme="majorEastAsia"/>
    </w:rPr>
  </w:style>
  <w:style w:type="character" w:customStyle="1" w:styleId="33">
    <w:name w:val="标题 Char"/>
    <w:basedOn w:val="20"/>
    <w:link w:val="2"/>
    <w:qFormat/>
    <w:uiPriority w:val="10"/>
    <w:rPr>
      <w:rFonts w:asciiTheme="majorHAnsi" w:hAnsiTheme="majorHAnsi" w:eastAsiaTheme="majorEastAsia"/>
      <w:b/>
      <w:bCs/>
      <w:kern w:val="28"/>
      <w:sz w:val="32"/>
      <w:szCs w:val="32"/>
    </w:rPr>
  </w:style>
  <w:style w:type="character" w:customStyle="1" w:styleId="34">
    <w:name w:val="副标题 Char"/>
    <w:basedOn w:val="20"/>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0"/>
    <w:link w:val="39"/>
    <w:qFormat/>
    <w:uiPriority w:val="30"/>
    <w:rPr>
      <w:b/>
      <w:i/>
      <w:sz w:val="24"/>
    </w:rPr>
  </w:style>
  <w:style w:type="character" w:customStyle="1" w:styleId="41">
    <w:name w:val="不明显强调1"/>
    <w:qFormat/>
    <w:uiPriority w:val="19"/>
    <w:rPr>
      <w:i/>
      <w:color w:val="585858" w:themeColor="text1" w:themeTint="A6"/>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qFormat/>
    <w:uiPriority w:val="31"/>
    <w:rPr>
      <w:sz w:val="24"/>
      <w:szCs w:val="24"/>
      <w:u w:val="single"/>
    </w:rPr>
  </w:style>
  <w:style w:type="character" w:customStyle="1" w:styleId="44">
    <w:name w:val="明显参考1"/>
    <w:basedOn w:val="20"/>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Char"/>
    <w:basedOn w:val="20"/>
    <w:link w:val="16"/>
    <w:qFormat/>
    <w:uiPriority w:val="99"/>
    <w:rPr>
      <w:rFonts w:ascii="Calibri" w:hAnsi="Calibri" w:eastAsia="宋体"/>
      <w:kern w:val="2"/>
      <w:sz w:val="18"/>
      <w:szCs w:val="18"/>
    </w:rPr>
  </w:style>
  <w:style w:type="character" w:customStyle="1" w:styleId="48">
    <w:name w:val="页脚 Char"/>
    <w:basedOn w:val="20"/>
    <w:link w:val="15"/>
    <w:qFormat/>
    <w:uiPriority w:val="99"/>
    <w:rPr>
      <w:rFonts w:ascii="Calibri" w:hAnsi="Calibri" w:eastAsia="宋体"/>
      <w:kern w:val="2"/>
      <w:sz w:val="18"/>
      <w:szCs w:val="18"/>
    </w:rPr>
  </w:style>
  <w:style w:type="character" w:customStyle="1" w:styleId="49">
    <w:name w:val="批注框文本 Char"/>
    <w:basedOn w:val="20"/>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character" w:customStyle="1" w:styleId="52">
    <w:name w:val="font31"/>
    <w:basedOn w:val="20"/>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9684</Words>
  <Characters>1482</Characters>
  <Lines>12</Lines>
  <Paragraphs>22</Paragraphs>
  <TotalTime>2</TotalTime>
  <ScaleCrop>false</ScaleCrop>
  <LinksUpToDate>false</LinksUpToDate>
  <CharactersWithSpaces>11144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2021-05-31T09:01:02Z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1174200665_cloud</vt:lpwstr>
  </property>
  <property fmtid="{D5CDD505-2E9C-101B-9397-08002B2CF9AE}" pid="4" name="ICV">
    <vt:lpwstr>7ABFA92ED5CC474185C420B6D40E0F83</vt:lpwstr>
  </property>
</Properties>
</file>