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val="0"/>
          <w:bCs/>
          <w:kern w:val="0"/>
          <w:sz w:val="48"/>
          <w:szCs w:val="48"/>
        </w:rPr>
      </w:pPr>
      <w:r>
        <w:rPr>
          <w:rFonts w:hint="eastAsia" w:ascii="方正小标宋简体" w:hAnsi="方正小标宋简体" w:eastAsia="方正小标宋简体" w:cs="方正小标宋简体"/>
          <w:b w:val="0"/>
          <w:bCs/>
          <w:kern w:val="0"/>
          <w:sz w:val="48"/>
          <w:szCs w:val="48"/>
          <w:lang w:val="en-US" w:eastAsia="zh-CN"/>
        </w:rPr>
        <w:t>食品生产、经营监管、产品质量及食品安全监督抽检</w:t>
      </w:r>
      <w:r>
        <w:rPr>
          <w:rFonts w:hint="eastAsia" w:ascii="方正小标宋简体" w:hAnsi="方正小标宋简体" w:eastAsia="方正小标宋简体" w:cs="方正小标宋简体"/>
          <w:b w:val="0"/>
          <w:bCs/>
          <w:kern w:val="0"/>
          <w:sz w:val="48"/>
          <w:szCs w:val="48"/>
        </w:rPr>
        <w:t>资金项目支出绩效评价报告</w:t>
      </w:r>
    </w:p>
    <w:p>
      <w:pPr>
        <w:spacing w:line="540" w:lineRule="exact"/>
        <w:jc w:val="center"/>
        <w:rPr>
          <w:rFonts w:hint="eastAsia" w:ascii="方正小标宋简体" w:hAnsi="方正小标宋简体" w:eastAsia="方正小标宋简体" w:cs="方正小标宋简体"/>
          <w:b w:val="0"/>
          <w:bCs/>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540" w:lineRule="exact"/>
        <w:jc w:val="center"/>
        <w:rPr>
          <w:rFonts w:hint="eastAsia" w:ascii="仿宋_GB2312" w:hAnsi="仿宋_GB2312" w:eastAsia="仿宋_GB2312" w:cs="仿宋_GB2312"/>
          <w:kern w:val="0"/>
          <w:sz w:val="36"/>
          <w:szCs w:val="36"/>
        </w:rPr>
      </w:pPr>
    </w:p>
    <w:p>
      <w:pPr>
        <w:spacing w:line="700" w:lineRule="exact"/>
        <w:ind w:left="3598" w:leftChars="342" w:hanging="2880" w:hangingChars="8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食品生产、经营监管、产品质量及食品安全监督抽检经费</w:t>
      </w:r>
    </w:p>
    <w:p>
      <w:pPr>
        <w:spacing w:line="700" w:lineRule="exact"/>
        <w:ind w:firstLine="720" w:firstLineChars="200"/>
        <w:jc w:val="center"/>
        <w:rPr>
          <w:rFonts w:hint="eastAsia" w:ascii="仿宋_GB2312" w:hAnsi="仿宋_GB2312" w:eastAsia="仿宋_GB2312" w:cs="仿宋_GB2312"/>
          <w:kern w:val="0"/>
          <w:sz w:val="36"/>
          <w:szCs w:val="36"/>
          <w:highlight w:val="yellow"/>
        </w:rPr>
      </w:pPr>
      <w:r>
        <w:rPr>
          <w:rFonts w:hint="eastAsia" w:ascii="仿宋_GB2312" w:hAnsi="仿宋_GB2312" w:eastAsia="仿宋_GB2312" w:cs="仿宋_GB2312"/>
          <w:kern w:val="0"/>
          <w:sz w:val="36"/>
          <w:szCs w:val="36"/>
          <w:highlight w:val="none"/>
        </w:rPr>
        <w:t>实施单位（公章）：</w:t>
      </w:r>
      <w:r>
        <w:rPr>
          <w:rFonts w:hint="eastAsia" w:ascii="仿宋_GB2312" w:hAnsi="仿宋_GB2312" w:eastAsia="仿宋_GB2312" w:cs="仿宋_GB2312"/>
          <w:kern w:val="0"/>
          <w:sz w:val="36"/>
          <w:szCs w:val="36"/>
          <w:lang w:eastAsia="zh-CN"/>
        </w:rPr>
        <w:t>塔城地区市场监督管理局</w:t>
      </w:r>
    </w:p>
    <w:p>
      <w:pPr>
        <w:spacing w:line="700" w:lineRule="exact"/>
        <w:ind w:firstLine="720" w:firstLineChars="2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eastAsia="zh-CN"/>
        </w:rPr>
        <w:t>塔城地区市场监督管理局</w:t>
      </w:r>
    </w:p>
    <w:p>
      <w:pPr>
        <w:spacing w:line="700" w:lineRule="exact"/>
        <w:ind w:firstLine="1080" w:firstLineChars="3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李志安</w:t>
      </w:r>
    </w:p>
    <w:p>
      <w:pPr>
        <w:spacing w:line="700" w:lineRule="exact"/>
        <w:ind w:firstLine="1080" w:firstLineChars="3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31</w:t>
      </w:r>
      <w:r>
        <w:rPr>
          <w:rFonts w:hint="eastAsia" w:ascii="仿宋_GB2312" w:hAnsi="仿宋_GB2312" w:eastAsia="仿宋_GB2312" w:cs="仿宋_GB2312"/>
          <w:kern w:val="0"/>
          <w:sz w:val="36"/>
          <w:szCs w:val="36"/>
        </w:rPr>
        <w:t>日</w:t>
      </w:r>
    </w:p>
    <w:p>
      <w:pPr>
        <w:spacing w:line="600" w:lineRule="exact"/>
        <w:jc w:val="center"/>
        <w:rPr>
          <w:rFonts w:hint="eastAsia" w:ascii="仿宋_GB2312" w:hAnsi="仿宋_GB2312" w:eastAsia="仿宋_GB2312" w:cs="仿宋_GB2312"/>
          <w:bCs/>
          <w:sz w:val="36"/>
          <w:szCs w:val="36"/>
        </w:rPr>
      </w:pPr>
    </w:p>
    <w:p>
      <w:pPr>
        <w:spacing w:line="600" w:lineRule="exact"/>
        <w:jc w:val="center"/>
        <w:rPr>
          <w:rFonts w:hint="eastAsia" w:ascii="仿宋_GB2312" w:hAnsi="仿宋_GB2312" w:eastAsia="仿宋_GB2312" w:cs="仿宋_GB2312"/>
          <w:bCs/>
          <w:sz w:val="36"/>
          <w:szCs w:val="36"/>
        </w:rPr>
      </w:pPr>
    </w:p>
    <w:p>
      <w:pPr>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黑体" w:hAnsi="黑体" w:eastAsia="黑体" w:cs="黑体"/>
          <w:b/>
          <w:bCs w:val="0"/>
          <w:sz w:val="32"/>
          <w:szCs w:val="32"/>
        </w:rPr>
        <w:t>一、基本情况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_GB2312" w:hAnsi="仿宋_GB2312" w:eastAsia="仿宋_GB2312" w:cs="仿宋_GB2312"/>
          <w:kern w:val="0"/>
          <w:sz w:val="32"/>
          <w:szCs w:val="32"/>
        </w:rPr>
        <w:t>（1）项目实施的政策背景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深入贯彻落实党中央关于食品安全监管工作、质量强区的决策部署，根据国家市场监管总局、自治区市场监管局和地区市场监管局《关于印发2019年地县局食品安全监督抽检计划的通知》《关于下达2019年度全地区生产企业产品质量监督检查计划的通知》文件精神，制定塔城地区食品安全、产品质量监督抽检计划，全年共计划食品质量安全抽样802批次，滴灌带产品质量安全抽检101批次,地膜产品质量安全抽检16批次，建筑主体材料放射性核素限量检测49批次，通过开展食品安全抽检工作、经营监管、农资产品质量、建筑主体材料质量安全抽检等工作，确保辖区产品质量安全，保障各族人民群众的饮食安全。</w:t>
      </w:r>
    </w:p>
    <w:p>
      <w:pPr>
        <w:pStyle w:val="2"/>
        <w:pageBreakBefore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eastAsia="zh-CN"/>
        </w:rPr>
        <w:t>全年共计划抽检</w:t>
      </w:r>
      <w:r>
        <w:rPr>
          <w:rFonts w:hint="eastAsia" w:ascii="仿宋_GB2312" w:hAnsi="仿宋_GB2312" w:eastAsia="仿宋_GB2312" w:cs="仿宋_GB2312"/>
          <w:kern w:val="0"/>
          <w:sz w:val="32"/>
          <w:szCs w:val="32"/>
          <w:lang w:val="en-US" w:eastAsia="zh-CN"/>
        </w:rPr>
        <w:t>707</w:t>
      </w:r>
      <w:r>
        <w:rPr>
          <w:rFonts w:hint="eastAsia" w:ascii="仿宋_GB2312" w:hAnsi="仿宋_GB2312" w:eastAsia="仿宋_GB2312" w:cs="仿宋_GB2312"/>
          <w:kern w:val="0"/>
          <w:sz w:val="32"/>
          <w:szCs w:val="32"/>
          <w:lang w:eastAsia="zh-CN"/>
        </w:rPr>
        <w:t>批次，其中食用农产品</w:t>
      </w:r>
      <w:r>
        <w:rPr>
          <w:rFonts w:hint="eastAsia" w:ascii="仿宋_GB2312" w:hAnsi="仿宋_GB2312" w:eastAsia="仿宋_GB2312" w:cs="仿宋_GB2312"/>
          <w:kern w:val="0"/>
          <w:sz w:val="32"/>
          <w:szCs w:val="32"/>
          <w:lang w:val="en-US" w:eastAsia="zh-CN"/>
        </w:rPr>
        <w:t>404</w:t>
      </w:r>
      <w:r>
        <w:rPr>
          <w:rFonts w:hint="eastAsia" w:ascii="仿宋_GB2312" w:hAnsi="仿宋_GB2312" w:eastAsia="仿宋_GB2312" w:cs="仿宋_GB2312"/>
          <w:kern w:val="0"/>
          <w:sz w:val="32"/>
          <w:szCs w:val="32"/>
          <w:lang w:eastAsia="zh-CN"/>
        </w:rPr>
        <w:t>批次，餐饮食品</w:t>
      </w:r>
      <w:r>
        <w:rPr>
          <w:rFonts w:hint="eastAsia" w:ascii="仿宋_GB2312" w:hAnsi="仿宋_GB2312" w:eastAsia="仿宋_GB2312" w:cs="仿宋_GB2312"/>
          <w:kern w:val="0"/>
          <w:sz w:val="32"/>
          <w:szCs w:val="32"/>
          <w:lang w:val="en-US" w:eastAsia="zh-CN"/>
        </w:rPr>
        <w:t>303</w:t>
      </w:r>
      <w:r>
        <w:rPr>
          <w:rFonts w:hint="eastAsia" w:ascii="仿宋_GB2312" w:hAnsi="仿宋_GB2312" w:eastAsia="仿宋_GB2312" w:cs="仿宋_GB2312"/>
          <w:kern w:val="0"/>
          <w:sz w:val="32"/>
          <w:szCs w:val="32"/>
          <w:lang w:eastAsia="zh-CN"/>
        </w:rPr>
        <w:t>批次，目标任务于2019年3月25日下达，</w:t>
      </w:r>
      <w:r>
        <w:rPr>
          <w:rFonts w:hint="eastAsia" w:ascii="仿宋_GB2312" w:hAnsi="仿宋_GB2312" w:eastAsia="仿宋_GB2312" w:cs="仿宋_GB2312"/>
          <w:kern w:val="0"/>
          <w:sz w:val="32"/>
          <w:szCs w:val="32"/>
          <w:lang w:val="en-US" w:eastAsia="zh-CN"/>
        </w:rPr>
        <w:t>2019年12月</w:t>
      </w:r>
      <w:r>
        <w:rPr>
          <w:rFonts w:hint="eastAsia" w:ascii="仿宋_GB2312" w:hAnsi="仿宋_GB2312" w:eastAsia="仿宋_GB2312" w:cs="仿宋_GB2312"/>
          <w:kern w:val="0"/>
          <w:sz w:val="32"/>
          <w:szCs w:val="32"/>
          <w:lang w:eastAsia="zh-CN"/>
        </w:rPr>
        <w:t>完成预期任务，此项工作圆满完成。</w:t>
      </w:r>
    </w:p>
    <w:p>
      <w:pPr>
        <w:pageBreakBefore w:val="0"/>
        <w:kinsoku/>
        <w:wordWrap/>
        <w:overflowPunct/>
        <w:topLinePunct w:val="0"/>
        <w:autoSpaceDE/>
        <w:autoSpaceDN/>
        <w:bidi w:val="0"/>
        <w:adjustRightInd/>
        <w:snapToGrid/>
        <w:spacing w:line="560" w:lineRule="exact"/>
        <w:textAlignment w:val="auto"/>
      </w:pPr>
    </w:p>
    <w:p>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2"/>
        </w:rPr>
        <w:t>项目主要内容：</w:t>
      </w:r>
      <w:r>
        <w:rPr>
          <w:rFonts w:hint="eastAsia" w:ascii="仿宋_GB2312" w:hAnsi="仿宋_GB2312" w:eastAsia="仿宋_GB2312" w:cs="仿宋_GB2312"/>
          <w:b w:val="0"/>
          <w:bCs w:val="0"/>
          <w:sz w:val="32"/>
          <w:szCs w:val="32"/>
        </w:rPr>
        <w:t>通过开展食品安全、工业产品质量监督抽检工作，确保辖区内各族人民群众的饮食、财产安全，确保无食品安全、无产品质量安全责任事故发生。</w:t>
      </w:r>
    </w:p>
    <w:p>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Style w:val="23"/>
          <w:rFonts w:hint="eastAsia" w:ascii="仿宋_GB2312" w:hAnsi="楷体" w:eastAsia="仿宋_GB2312" w:cstheme="minorBidi"/>
          <w:b w:val="0"/>
          <w:spacing w:val="-4"/>
          <w:sz w:val="32"/>
          <w:szCs w:val="32"/>
          <w:highlight w:val="none"/>
        </w:rPr>
        <w:t>237.29</w:t>
      </w:r>
      <w:r>
        <w:rPr>
          <w:rFonts w:hint="eastAsia" w:ascii="仿宋_GB2312" w:hAnsi="仿宋_GB2312" w:eastAsia="仿宋_GB2312" w:cs="仿宋_GB2312"/>
          <w:sz w:val="32"/>
          <w:szCs w:val="32"/>
        </w:rPr>
        <w:t>万元，其中：财政本级资金</w:t>
      </w:r>
      <w:r>
        <w:rPr>
          <w:rStyle w:val="23"/>
          <w:rFonts w:hint="eastAsia" w:ascii="仿宋_GB2312" w:hAnsi="楷体" w:eastAsia="仿宋_GB2312" w:cstheme="minorBidi"/>
          <w:b w:val="0"/>
          <w:spacing w:val="-4"/>
          <w:sz w:val="32"/>
          <w:szCs w:val="32"/>
          <w:highlight w:val="none"/>
        </w:rPr>
        <w:t>237.29</w:t>
      </w:r>
      <w:r>
        <w:rPr>
          <w:rFonts w:hint="eastAsia" w:ascii="仿宋_GB2312" w:hAnsi="仿宋_GB2312" w:eastAsia="仿宋_GB2312" w:cs="仿宋_GB2312"/>
          <w:sz w:val="32"/>
          <w:szCs w:val="32"/>
        </w:rPr>
        <w:t>万元。项目实际支出</w:t>
      </w:r>
      <w:r>
        <w:rPr>
          <w:rStyle w:val="23"/>
          <w:rFonts w:hint="eastAsia" w:ascii="仿宋_GB2312" w:hAnsi="楷体" w:eastAsia="仿宋_GB2312" w:cstheme="minorBidi"/>
          <w:b w:val="0"/>
          <w:spacing w:val="-4"/>
          <w:sz w:val="32"/>
          <w:szCs w:val="32"/>
          <w:highlight w:val="none"/>
        </w:rPr>
        <w:t>237.29</w:t>
      </w:r>
      <w:r>
        <w:rPr>
          <w:rFonts w:hint="eastAsia" w:ascii="仿宋_GB2312" w:hAnsi="仿宋_GB2312" w:eastAsia="仿宋_GB2312" w:cs="仿宋_GB2312"/>
          <w:sz w:val="32"/>
          <w:szCs w:val="32"/>
        </w:rPr>
        <w:t>万元，支出率为100%。</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exac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highlight w:val="none"/>
        </w:rPr>
        <w:t>总投资</w:t>
      </w:r>
      <w:r>
        <w:rPr>
          <w:rFonts w:hint="eastAsia" w:ascii="仿宋_GB2312" w:hAnsi="仿宋_GB2312" w:eastAsia="仿宋_GB2312" w:cs="仿宋_GB2312"/>
          <w:sz w:val="32"/>
          <w:szCs w:val="32"/>
          <w:highlight w:val="none"/>
          <w:lang w:val="en-US" w:eastAsia="zh-CN"/>
        </w:rPr>
        <w:t>237.29</w:t>
      </w:r>
      <w:r>
        <w:rPr>
          <w:rFonts w:hint="eastAsia" w:ascii="仿宋_GB2312" w:hAnsi="仿宋_GB2312" w:eastAsia="仿宋_GB2312" w:cs="仿宋_GB2312"/>
          <w:sz w:val="32"/>
          <w:szCs w:val="32"/>
          <w:highlight w:val="none"/>
        </w:rPr>
        <w:t>万元，按</w:t>
      </w:r>
      <w:r>
        <w:rPr>
          <w:rFonts w:hint="eastAsia" w:ascii="仿宋_GB2312" w:hAnsi="仿宋_GB2312" w:eastAsia="仿宋_GB2312" w:cs="仿宋_GB2312"/>
          <w:sz w:val="32"/>
          <w:szCs w:val="32"/>
        </w:rPr>
        <w:t>照</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资金管理办法及单位财务制度等相关规定，资金支出符合</w:t>
      </w:r>
      <w:r>
        <w:rPr>
          <w:rFonts w:hint="eastAsia" w:ascii="Times New Roman" w:hAnsi="宋体" w:eastAsia="仿宋_GB2312" w:cs="宋体"/>
          <w:kern w:val="0"/>
          <w:sz w:val="36"/>
          <w:szCs w:val="36"/>
          <w:lang w:val="en-US" w:eastAsia="zh-CN"/>
        </w:rPr>
        <w:t>食品生产、经营监管、产品质量及食品安全监督抽检经费</w:t>
      </w:r>
      <w:r>
        <w:rPr>
          <w:rFonts w:hint="eastAsia" w:ascii="仿宋_GB2312" w:hAnsi="仿宋_GB2312" w:eastAsia="仿宋_GB2312" w:cs="仿宋_GB2312"/>
          <w:sz w:val="32"/>
          <w:szCs w:val="32"/>
        </w:rPr>
        <w:t>专项资金费用范围，</w:t>
      </w:r>
      <w:r>
        <w:rPr>
          <w:rFonts w:hint="eastAsia" w:ascii="仿宋_GB2312" w:hAnsi="仿宋_GB2312" w:eastAsia="仿宋_GB2312" w:cs="仿宋_GB2312"/>
          <w:sz w:val="32"/>
          <w:szCs w:val="32"/>
          <w:lang w:eastAsia="zh-CN"/>
        </w:rPr>
        <w:t>基本</w:t>
      </w:r>
      <w:r>
        <w:rPr>
          <w:rFonts w:hint="eastAsia" w:ascii="仿宋_GB2312" w:hAnsi="仿宋_GB2312" w:eastAsia="仿宋_GB2312" w:cs="仿宋_GB2312"/>
          <w:sz w:val="32"/>
          <w:szCs w:val="32"/>
        </w:rPr>
        <w:t>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rPr>
        <w:t>资</w:t>
      </w:r>
      <w:r>
        <w:rPr>
          <w:rFonts w:hint="eastAsia" w:ascii="仿宋_GB2312" w:hAnsi="仿宋_GB2312" w:eastAsia="仿宋_GB2312" w:cs="仿宋_GB2312"/>
          <w:sz w:val="32"/>
          <w:szCs w:val="32"/>
        </w:rPr>
        <w:t>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项目预算资金来源于塔地</w:t>
      </w:r>
      <w:r>
        <w:rPr>
          <w:rFonts w:hint="eastAsia" w:ascii="仿宋_GB2312" w:hAnsi="仿宋_GB2312" w:eastAsia="仿宋_GB2312" w:cs="仿宋_GB2312"/>
          <w:b w:val="0"/>
          <w:bCs w:val="0"/>
          <w:kern w:val="2"/>
          <w:lang w:eastAsia="zh-CN"/>
        </w:rPr>
        <w:t>财政</w:t>
      </w:r>
      <w:bookmarkStart w:id="2" w:name="_GoBack"/>
      <w:bookmarkEnd w:id="2"/>
      <w:r>
        <w:rPr>
          <w:rFonts w:hint="eastAsia" w:ascii="仿宋_GB2312" w:hAnsi="仿宋_GB2312" w:eastAsia="仿宋_GB2312" w:cs="仿宋_GB2312"/>
          <w:b w:val="0"/>
          <w:bCs w:val="0"/>
          <w:kern w:val="2"/>
        </w:rPr>
        <w:t>批复的资金，项目资金到位</w:t>
      </w:r>
      <w:r>
        <w:rPr>
          <w:rFonts w:hint="eastAsia" w:ascii="仿宋_GB2312" w:hAnsi="仿宋_GB2312" w:eastAsia="仿宋_GB2312" w:cs="仿宋_GB2312"/>
          <w:b w:val="0"/>
          <w:bCs w:val="0"/>
          <w:kern w:val="2"/>
          <w:highlight w:val="none"/>
          <w:lang w:val="en-US" w:eastAsia="zh-CN"/>
        </w:rPr>
        <w:t>237.29</w:t>
      </w:r>
      <w:r>
        <w:rPr>
          <w:rFonts w:hint="eastAsia" w:ascii="仿宋_GB2312" w:hAnsi="仿宋_GB2312" w:eastAsia="仿宋_GB2312" w:cs="仿宋_GB2312"/>
          <w:b w:val="0"/>
          <w:bCs w:val="0"/>
          <w:kern w:val="2"/>
          <w:highlight w:val="none"/>
        </w:rPr>
        <w:t>万</w:t>
      </w:r>
      <w:r>
        <w:rPr>
          <w:rFonts w:hint="eastAsia" w:ascii="仿宋_GB2312" w:hAnsi="仿宋_GB2312" w:eastAsia="仿宋_GB2312" w:cs="仿宋_GB2312"/>
          <w:b w:val="0"/>
          <w:bCs w:val="0"/>
          <w:kern w:val="2"/>
        </w:rPr>
        <w:t>元，用于支付项目实施进程中的各项费用。</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Style w:val="18"/>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一是积极开展抽检工作，完成年度绩效目标，食用农产品和餐饮制品抽检707批次；地产食品抽检95批次；农资产品抽检117批次；建筑主体材料抽检49批次。二是加强重点项目的抽检工作，及时发现食品安全、工业产品质量安全隐患，产品安全重大事故发生率0%。三是进行服务对象满意度调查民众对食品安全、工业产品质量安全综合满意度达95%以上。</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eastAsia="zh-CN"/>
        </w:rPr>
        <w:t>产品质量和食品安全工作情况</w:t>
      </w:r>
      <w:r>
        <w:rPr>
          <w:rFonts w:hint="eastAsia" w:ascii="仿宋_GB2312" w:hAnsi="仿宋_GB2312" w:eastAsia="仿宋_GB2312" w:cs="仿宋_GB2312"/>
          <w:sz w:val="32"/>
          <w:szCs w:val="32"/>
        </w:rPr>
        <w:t>，通过制定项目实施方案，经项目负责人审核通过后，有序开展后续工程。</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eastAsia="zh-CN"/>
        </w:rPr>
        <w:t>项目制度</w:t>
      </w:r>
      <w:r>
        <w:rPr>
          <w:rFonts w:hint="eastAsia" w:ascii="仿宋_GB2312" w:hAnsi="仿宋_GB2312" w:eastAsia="仿宋_GB2312" w:cs="仿宋_GB2312"/>
          <w:sz w:val="32"/>
          <w:szCs w:val="32"/>
        </w:rPr>
        <w:t>要求逐一进行项目部署安排，提高项目质量及效率性。</w:t>
      </w:r>
    </w:p>
    <w:p>
      <w:pPr>
        <w:pageBreakBefore w:val="0"/>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二、绩效评价工作开展情况</w:t>
      </w:r>
    </w:p>
    <w:p>
      <w:pPr>
        <w:pageBreakBefore w:val="0"/>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食品生产、经营监管、产品质量及食品安全监督抽检经费</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从食品生产、经营监管、产品质量及食品安全监督抽检经费项目的决策、过程、产出、效益等方面进行评价。</w:t>
      </w:r>
    </w:p>
    <w:p>
      <w:pPr>
        <w:pageBreakBefore w:val="0"/>
        <w:kinsoku/>
        <w:wordWrap/>
        <w:overflowPunct/>
        <w:topLinePunct w:val="0"/>
        <w:autoSpaceDE/>
        <w:autoSpaceDN/>
        <w:bidi w:val="0"/>
        <w:adjustRightInd/>
        <w:snapToGrid/>
        <w:spacing w:line="560" w:lineRule="exac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w:t>
      </w:r>
      <w:r>
        <w:rPr>
          <w:rFonts w:hint="eastAsia" w:ascii="仿宋_GB2312" w:hAnsi="仿宋_GB2312" w:eastAsia="仿宋_GB2312" w:cs="仿宋_GB2312"/>
          <w:color w:val="000000"/>
          <w:spacing w:val="17"/>
          <w:sz w:val="32"/>
          <w:szCs w:val="32"/>
          <w:highlight w:val="none"/>
        </w:rPr>
        <w:t>层次分析法</w:t>
      </w:r>
      <w:r>
        <w:rPr>
          <w:rFonts w:hint="eastAsia" w:ascii="仿宋_GB2312" w:hAnsi="仿宋_GB2312" w:eastAsia="仿宋_GB2312" w:cs="仿宋_GB2312"/>
          <w:color w:val="000000"/>
          <w:spacing w:val="17"/>
          <w:sz w:val="32"/>
          <w:szCs w:val="32"/>
        </w:rPr>
        <w:t>，建立评价指标体系。绩效评价将指标分为项目决策指标、项目过程指标、项目产出指标、项目效益指标四个维度，最终形成一个由多个相互联系的指标组成的多层次指标体系。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highlight w:val="none"/>
        </w:rPr>
        <w:t>确定各个指标相对于项目总体绩效的权重分值。在绩效评价指标体系中，</w:t>
      </w:r>
      <w:r>
        <w:rPr>
          <w:rFonts w:hint="eastAsia" w:ascii="仿宋_GB2312" w:hAnsi="仿宋_GB2312" w:eastAsia="仿宋_GB2312" w:cs="仿宋_GB2312"/>
          <w:color w:val="000000"/>
          <w:spacing w:val="17"/>
          <w:sz w:val="32"/>
          <w:szCs w:val="32"/>
        </w:rPr>
        <w:t>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lang w:val="en-US" w:eastAsia="zh-CN"/>
        </w:rPr>
        <w:t>占5分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权重占</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highlight w:val="none"/>
          <w:lang w:val="en-US" w:eastAsia="zh-CN"/>
        </w:rPr>
        <w:t>，</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50分</w:t>
      </w:r>
      <w:r>
        <w:rPr>
          <w:rFonts w:hint="eastAsia" w:ascii="仿宋_GB2312" w:hAnsi="仿宋_GB2312" w:eastAsia="仿宋_GB2312" w:cs="仿宋_GB2312"/>
          <w:color w:val="000000"/>
          <w:spacing w:val="17"/>
          <w:sz w:val="32"/>
          <w:szCs w:val="32"/>
        </w:rPr>
        <w:t>，项目效益权重值占</w:t>
      </w:r>
      <w:r>
        <w:rPr>
          <w:rFonts w:hint="eastAsia" w:ascii="仿宋_GB2312" w:hAnsi="仿宋_GB2312" w:eastAsia="仿宋_GB2312" w:cs="仿宋_GB2312"/>
          <w:color w:val="000000"/>
          <w:spacing w:val="17"/>
          <w:sz w:val="32"/>
          <w:szCs w:val="32"/>
          <w:lang w:val="en-US" w:eastAsia="zh-CN"/>
        </w:rPr>
        <w:t>40分</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pageBreakBefore w:val="0"/>
        <w:kinsoku/>
        <w:wordWrap/>
        <w:overflowPunct/>
        <w:topLinePunct w:val="0"/>
        <w:autoSpaceDE/>
        <w:autoSpaceDN/>
        <w:bidi w:val="0"/>
        <w:adjustRightInd/>
        <w:snapToGrid/>
        <w:spacing w:line="560" w:lineRule="exact"/>
        <w:ind w:firstLine="641"/>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（三）绩效评价工作过程。</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textAlignment w:val="auto"/>
        <w:rPr>
          <w:rFonts w:hint="eastAsia"/>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w:t>
      </w:r>
      <w:r>
        <w:rPr>
          <w:rFonts w:hint="eastAsia" w:ascii="仿宋_GB2312" w:hAnsi="仿宋_GB2312" w:eastAsia="仿宋_GB2312" w:cs="仿宋_GB2312"/>
          <w:color w:val="000000"/>
          <w:spacing w:val="17"/>
          <w:sz w:val="32"/>
          <w:szCs w:val="32"/>
          <w:highlight w:val="none"/>
          <w:lang w:val="en-US" w:eastAsia="zh-CN"/>
        </w:rPr>
        <w:t>全面地分析</w:t>
      </w:r>
      <w:r>
        <w:rPr>
          <w:rFonts w:hint="default" w:ascii="仿宋_GB2312" w:hAnsi="仿宋_GB2312" w:eastAsia="仿宋_GB2312" w:cs="仿宋_GB2312"/>
          <w:color w:val="000000"/>
          <w:spacing w:val="17"/>
          <w:sz w:val="32"/>
          <w:szCs w:val="32"/>
          <w:lang w:val="en-US" w:eastAsia="zh-CN"/>
        </w:rPr>
        <w:t>评价，逐项打分并形成绩效评价最终结果。</w:t>
      </w:r>
    </w:p>
    <w:p>
      <w:pPr>
        <w:pageBreakBefore w:val="0"/>
        <w:numPr>
          <w:ilvl w:val="0"/>
          <w:numId w:val="4"/>
        </w:numPr>
        <w:kinsoku/>
        <w:wordWrap/>
        <w:overflowPunct/>
        <w:topLinePunct w:val="0"/>
        <w:autoSpaceDE/>
        <w:autoSpaceDN/>
        <w:bidi w:val="0"/>
        <w:adjustRightInd/>
        <w:snapToGrid/>
        <w:spacing w:line="560" w:lineRule="exact"/>
        <w:ind w:firstLine="641"/>
        <w:textAlignment w:val="auto"/>
        <w:rPr>
          <w:rFonts w:ascii="黑体" w:hAnsi="黑体" w:eastAsia="黑体" w:cs="黑体"/>
          <w:b/>
          <w:bCs/>
          <w:sz w:val="32"/>
          <w:szCs w:val="32"/>
        </w:rPr>
      </w:pPr>
      <w:r>
        <w:rPr>
          <w:rFonts w:hint="eastAsia" w:ascii="黑体" w:hAnsi="黑体" w:eastAsia="黑体" w:cs="黑体"/>
          <w:b/>
          <w:bCs/>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 xml:space="preserve">对食品生产、经营监管、产品质量及食品安全监督抽检经费项目进行客观评价，最终评分结果：总得分为 </w:t>
      </w:r>
      <w:r>
        <w:rPr>
          <w:rFonts w:hint="eastAsia" w:ascii="仿宋_GB2312" w:hAnsi="仿宋_GB2312" w:eastAsia="仿宋_GB2312" w:cs="仿宋_GB2312"/>
          <w:b w:val="0"/>
          <w:bCs w:val="0"/>
          <w:highlight w:val="none"/>
          <w:lang w:val="en-US" w:eastAsia="zh-CN"/>
        </w:rPr>
        <w:t>97.9</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w:t>
      </w:r>
      <w:r>
        <w:rPr>
          <w:rFonts w:hint="eastAsia" w:ascii="仿宋_GB2312" w:hAnsi="仿宋_GB2312" w:eastAsia="仿宋_GB2312" w:cs="仿宋_GB2312"/>
          <w:b w:val="0"/>
          <w:bCs w:val="0"/>
          <w:highlight w:val="none"/>
          <w:lang w:val="en-US" w:eastAsia="zh-CN"/>
        </w:rPr>
        <w:t>4.9</w:t>
      </w:r>
      <w:r>
        <w:rPr>
          <w:rFonts w:hint="eastAsia" w:ascii="仿宋_GB2312" w:hAnsi="仿宋_GB2312" w:eastAsia="仿宋_GB2312" w:cs="仿宋_GB2312"/>
          <w:b w:val="0"/>
          <w:bCs w:val="0"/>
          <w:highlight w:val="none"/>
        </w:rPr>
        <w:t>分，得分率为 100%。项目产出类指标权重为50分，得分为50分，得分率为 100%。项目效益类指标权重为40分，得分为38分，得分率为 95%。</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0.9</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000000"/>
                <w:kern w:val="0"/>
                <w:sz w:val="18"/>
                <w:szCs w:val="18"/>
                <w:lang w:val="en-US"/>
              </w:rPr>
            </w:pPr>
            <w:r>
              <w:rPr>
                <w:rFonts w:hint="eastAsia" w:ascii="宋体" w:hAnsi="宋体" w:cs="宋体"/>
                <w:color w:val="000000"/>
                <w:kern w:val="0"/>
                <w:sz w:val="18"/>
                <w:szCs w:val="18"/>
                <w:lang w:val="en-US" w:eastAsia="zh-CN"/>
              </w:rPr>
              <w:t>90%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28</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935</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bl>
    <w:p>
      <w:pPr>
        <w:pageBreakBefore w:val="0"/>
        <w:kinsoku/>
        <w:wordWrap/>
        <w:overflowPunct/>
        <w:topLinePunct w:val="0"/>
        <w:autoSpaceDE/>
        <w:autoSpaceDN/>
        <w:bidi w:val="0"/>
        <w:adjustRightInd/>
        <w:snapToGrid/>
        <w:spacing w:line="560" w:lineRule="exact"/>
        <w:ind w:firstLine="321" w:firstLineChars="100"/>
        <w:textAlignment w:val="auto"/>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方正仿宋_GBK" w:hAnsi="仿宋" w:eastAsia="方正仿宋_GBK" w:cs="宋体"/>
          <w:sz w:val="32"/>
          <w:szCs w:val="32"/>
        </w:rPr>
      </w:pPr>
      <w:r>
        <w:rPr>
          <w:rStyle w:val="53"/>
          <w:rFonts w:hint="eastAsia"/>
          <w:b w:val="0"/>
          <w:bCs w:val="0"/>
          <w:color w:val="auto"/>
          <w:kern w:val="2"/>
          <w:lang w:val="en-US" w:eastAsia="zh-CN" w:bidi="ar-SA"/>
        </w:rPr>
        <w:t>项目决策指标从项目立项、绩效目标、资金投入</w:t>
      </w:r>
      <w:r>
        <w:rPr>
          <w:rStyle w:val="53"/>
          <w:rFonts w:hint="eastAsia"/>
          <w:b w:val="0"/>
          <w:bCs w:val="0"/>
          <w:color w:val="auto"/>
          <w:kern w:val="2"/>
          <w:highlight w:val="none"/>
          <w:lang w:val="en-US" w:eastAsia="zh-CN" w:bidi="ar-SA"/>
        </w:rPr>
        <w:t>三个方面</w:t>
      </w:r>
      <w:r>
        <w:rPr>
          <w:rStyle w:val="53"/>
          <w:rFonts w:hint="eastAsia"/>
          <w:b w:val="0"/>
          <w:bCs w:val="0"/>
          <w:color w:val="auto"/>
          <w:kern w:val="2"/>
          <w:lang w:val="en-US" w:eastAsia="zh-CN" w:bidi="ar-SA"/>
        </w:rPr>
        <w:t>对项目的决策进行考察，项目决策类指标分值5分，实际得分5分，得分率100%。项目决策指标得分情况如表所示。</w:t>
      </w:r>
    </w:p>
    <w:tbl>
      <w:tblPr>
        <w:tblStyle w:val="21"/>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color w:val="000000"/>
                <w:kern w:val="0"/>
                <w:sz w:val="28"/>
                <w:szCs w:val="28"/>
              </w:rPr>
            </w:pPr>
            <w:r>
              <w:rPr>
                <w:rFonts w:hint="eastAsia" w:ascii="方正仿宋_GBK" w:hAnsi="Tahoma" w:eastAsia="方正仿宋_GBK" w:cs="Tahoma"/>
                <w:color w:val="000000"/>
                <w:kern w:val="0"/>
                <w:sz w:val="28"/>
                <w:szCs w:val="28"/>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项目立项</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yellow"/>
                <w:lang w:eastAsia="zh-CN"/>
              </w:rPr>
            </w:pPr>
            <w:r>
              <w:rPr>
                <w:rFonts w:hint="eastAsia" w:ascii="宋体" w:hAnsi="宋体" w:eastAsia="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绩效目标</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yellow"/>
                <w:lang w:val="en-US" w:eastAsia="zh-CN"/>
              </w:rPr>
            </w:pPr>
            <w:r>
              <w:rPr>
                <w:rFonts w:hint="eastAsia" w:ascii="宋体" w:hAnsi="宋体" w:eastAsia="宋体" w:cs="宋体"/>
                <w:color w:val="000000"/>
                <w:kern w:val="0"/>
                <w:sz w:val="18"/>
                <w:szCs w:val="18"/>
                <w:lang w:val="en-US" w:eastAsia="zh-CN"/>
              </w:rPr>
              <w:t>2</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资金投入</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yellow"/>
              </w:rPr>
            </w:pPr>
            <w:r>
              <w:rPr>
                <w:rFonts w:hint="eastAsia" w:ascii="宋体" w:hAnsi="宋体" w:eastAsia="宋体" w:cs="宋体"/>
                <w:color w:val="000000"/>
                <w:kern w:val="0"/>
                <w:sz w:val="18"/>
                <w:szCs w:val="18"/>
                <w:lang w:val="en-US" w:eastAsia="zh-CN"/>
              </w:rPr>
              <w:t>2</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2269"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986"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75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highlight w:val="yellow"/>
                <w:lang w:val="en-US" w:eastAsia="zh-CN"/>
              </w:rPr>
            </w:pPr>
            <w:r>
              <w:rPr>
                <w:rFonts w:hint="eastAsia" w:ascii="宋体" w:hAnsi="宋体" w:eastAsia="宋体" w:cs="宋体"/>
                <w:color w:val="000000"/>
                <w:kern w:val="0"/>
                <w:sz w:val="18"/>
                <w:szCs w:val="18"/>
                <w:highlight w:val="none"/>
                <w:lang w:val="en-US" w:eastAsia="zh-CN"/>
              </w:rPr>
              <w:t>5</w:t>
            </w:r>
          </w:p>
        </w:tc>
      </w:tr>
    </w:tbl>
    <w:p>
      <w:pPr>
        <w:pStyle w:val="5"/>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Style w:val="53"/>
          <w:rFonts w:hint="eastAsia"/>
          <w:b w:val="0"/>
          <w:bCs w:val="0"/>
          <w:color w:val="auto"/>
          <w:kern w:val="2"/>
          <w:lang w:val="en-US" w:eastAsia="zh-CN" w:bidi="ar-SA"/>
        </w:rPr>
      </w:pPr>
      <w:r>
        <w:rPr>
          <w:rStyle w:val="53"/>
          <w:rFonts w:hint="eastAsia"/>
          <w:b w:val="0"/>
          <w:bCs w:val="0"/>
          <w:color w:val="auto"/>
          <w:kern w:val="2"/>
          <w:lang w:val="en-US" w:eastAsia="zh-CN" w:bidi="ar-SA"/>
        </w:rPr>
        <w:t>对于“项目立项”，食品生产、经营监管、产品质量及食品安全监督抽检资金经费项目批复等有关要求，在合理工期内完成抽检任务，保障项目质量，有效控制投资概算，实现项目批复要求的经济、社会、可持续影响效益指标。项目的立项符合规划，项目单位的绩效指标设置表述清晰、设置合理、指标设置完整。根据评分标准，实际得分率为100%。</w:t>
      </w:r>
    </w:p>
    <w:p>
      <w:pPr>
        <w:pStyle w:val="5"/>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Style w:val="53"/>
          <w:rFonts w:hint="eastAsia"/>
          <w:b w:val="0"/>
          <w:bCs w:val="0"/>
          <w:color w:val="auto"/>
          <w:kern w:val="2"/>
          <w:lang w:val="en-US" w:eastAsia="zh-CN" w:bidi="ar-SA"/>
        </w:rPr>
      </w:pPr>
      <w:r>
        <w:rPr>
          <w:rStyle w:val="53"/>
          <w:rFonts w:hint="eastAsia"/>
          <w:b w:val="0"/>
          <w:bCs w:val="0"/>
          <w:color w:val="auto"/>
          <w:kern w:val="2"/>
          <w:lang w:val="en-US" w:eastAsia="zh-CN" w:bidi="ar-SA"/>
        </w:rPr>
        <w:t>对于“绩效目标”，食品生产、经营监管、产品质量及食品安全监督抽检资金项目，设置了较为详细的项目支出绩效目标，项目绩效目标的设置，满足合理性和明确性的要求,根据评分标准，该指标实际得分率100%。</w:t>
      </w:r>
    </w:p>
    <w:p>
      <w:pPr>
        <w:pStyle w:val="5"/>
        <w:keepNext w:val="0"/>
        <w:keepLines w:val="0"/>
        <w:pageBreakBefore w:val="0"/>
        <w:kinsoku/>
        <w:wordWrap/>
        <w:overflowPunct/>
        <w:topLinePunct w:val="0"/>
        <w:autoSpaceDE/>
        <w:autoSpaceDN/>
        <w:bidi w:val="0"/>
        <w:adjustRightInd/>
        <w:snapToGrid/>
        <w:spacing w:before="0" w:after="0" w:line="560" w:lineRule="exact"/>
        <w:ind w:firstLine="640" w:firstLineChars="200"/>
        <w:textAlignment w:val="auto"/>
        <w:rPr>
          <w:rStyle w:val="53"/>
          <w:rFonts w:hint="eastAsia"/>
          <w:b w:val="0"/>
          <w:bCs w:val="0"/>
          <w:color w:val="auto"/>
          <w:kern w:val="2"/>
          <w:lang w:val="en-US" w:eastAsia="zh-CN" w:bidi="ar-SA"/>
        </w:rPr>
      </w:pPr>
      <w:r>
        <w:rPr>
          <w:rStyle w:val="53"/>
          <w:rFonts w:hint="eastAsia"/>
          <w:b w:val="0"/>
          <w:bCs w:val="0"/>
          <w:color w:val="auto"/>
          <w:kern w:val="2"/>
          <w:lang w:val="en-US" w:eastAsia="zh-CN" w:bidi="ar-SA"/>
        </w:rPr>
        <w:t>对于“资金投入”，食品生产、经营监管、产品质量及食品安全监督抽检资金项目经费项目，资金全部投入到位，总投资237.29万元。根据评分标准，该指标实际得分率100%。</w:t>
      </w:r>
    </w:p>
    <w:p>
      <w:pPr>
        <w:pStyle w:val="2"/>
        <w:pageBreakBefore w:val="0"/>
        <w:numPr>
          <w:ilvl w:val="0"/>
          <w:numId w:val="5"/>
        </w:numPr>
        <w:kinsoku/>
        <w:wordWrap/>
        <w:overflowPunct/>
        <w:topLinePunct w:val="0"/>
        <w:autoSpaceDE/>
        <w:autoSpaceDN/>
        <w:bidi w:val="0"/>
        <w:adjustRightInd/>
        <w:snapToGrid/>
        <w:spacing w:before="0" w:after="0" w:line="560" w:lineRule="exact"/>
        <w:ind w:firstLine="321" w:firstLineChars="100"/>
        <w:jc w:val="both"/>
        <w:textAlignment w:val="auto"/>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exact"/>
        <w:ind w:firstLine="640" w:firstLineChars="200"/>
        <w:textAlignment w:val="auto"/>
        <w:rPr>
          <w:rStyle w:val="53"/>
          <w:rFonts w:hint="eastAsia"/>
          <w:b w:val="0"/>
          <w:bCs w:val="0"/>
          <w:color w:val="auto"/>
          <w:kern w:val="2"/>
          <w:lang w:val="en-US" w:eastAsia="zh-CN" w:bidi="ar-SA"/>
        </w:rPr>
      </w:pPr>
      <w:r>
        <w:rPr>
          <w:rStyle w:val="53"/>
          <w:rFonts w:hint="eastAsia"/>
          <w:b w:val="0"/>
          <w:bCs w:val="0"/>
          <w:color w:val="auto"/>
          <w:kern w:val="2"/>
          <w:lang w:val="en-US" w:eastAsia="zh-CN" w:bidi="ar-SA"/>
        </w:rPr>
        <w:t>项目管理指标从资金到位率、预算执行率、资金使用合规性、管理制度健全性、制度执行有效性</w:t>
      </w:r>
      <w:r>
        <w:rPr>
          <w:rStyle w:val="53"/>
          <w:rFonts w:hint="eastAsia"/>
          <w:b w:val="0"/>
          <w:bCs w:val="0"/>
          <w:color w:val="auto"/>
          <w:kern w:val="2"/>
          <w:highlight w:val="none"/>
          <w:lang w:val="en-US" w:eastAsia="zh-CN" w:bidi="ar-SA"/>
        </w:rPr>
        <w:t>五个方面</w:t>
      </w:r>
      <w:r>
        <w:rPr>
          <w:rStyle w:val="53"/>
          <w:rFonts w:hint="eastAsia"/>
          <w:b w:val="0"/>
          <w:bCs w:val="0"/>
          <w:color w:val="auto"/>
          <w:kern w:val="2"/>
          <w:lang w:val="en-US" w:eastAsia="zh-CN" w:bidi="ar-SA"/>
        </w:rPr>
        <w:t>对项目的管理情况进行考察。项目管理类指标分值5分，实际得分4.9分，得分率为98%。项目管理指标得分情况如表所示。</w:t>
      </w:r>
    </w:p>
    <w:tbl>
      <w:tblPr>
        <w:tblStyle w:val="21"/>
        <w:tblW w:w="8522" w:type="dxa"/>
        <w:tblInd w:w="0" w:type="dxa"/>
        <w:tblLayout w:type="fixed"/>
        <w:tblCellMar>
          <w:top w:w="0" w:type="dxa"/>
          <w:left w:w="108" w:type="dxa"/>
          <w:bottom w:w="0" w:type="dxa"/>
          <w:right w:w="108" w:type="dxa"/>
        </w:tblCellMar>
      </w:tblPr>
      <w:tblGrid>
        <w:gridCol w:w="2232"/>
        <w:gridCol w:w="2407"/>
        <w:gridCol w:w="1986"/>
        <w:gridCol w:w="1897"/>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项目管理指标得分情况</w:t>
            </w:r>
          </w:p>
        </w:tc>
      </w:tr>
      <w:tr>
        <w:tblPrEx>
          <w:tblCellMar>
            <w:top w:w="0" w:type="dxa"/>
            <w:left w:w="108" w:type="dxa"/>
            <w:bottom w:w="0" w:type="dxa"/>
            <w:right w:w="108" w:type="dxa"/>
          </w:tblCellMar>
        </w:tblPrEx>
        <w:trPr>
          <w:trHeight w:val="510" w:hRule="exact"/>
          <w:tblHeader/>
        </w:trPr>
        <w:tc>
          <w:tcPr>
            <w:tcW w:w="2232"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三级指标</w:t>
            </w:r>
          </w:p>
        </w:tc>
        <w:tc>
          <w:tcPr>
            <w:tcW w:w="240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权重</w:t>
            </w:r>
          </w:p>
        </w:tc>
        <w:tc>
          <w:tcPr>
            <w:tcW w:w="198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得分率</w:t>
            </w:r>
          </w:p>
        </w:tc>
        <w:tc>
          <w:tcPr>
            <w:tcW w:w="189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实际得分</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w:t>
            </w:r>
            <w:r>
              <w:rPr>
                <w:rFonts w:hint="eastAsia" w:ascii="宋体" w:hAnsi="宋体" w:cs="宋体"/>
                <w:color w:val="000000"/>
                <w:kern w:val="0"/>
                <w:sz w:val="18"/>
                <w:szCs w:val="18"/>
                <w:lang w:val="en-US" w:eastAsia="zh-CN"/>
              </w:rPr>
              <w:t>率</w:t>
            </w:r>
          </w:p>
        </w:tc>
        <w:tc>
          <w:tcPr>
            <w:tcW w:w="240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sz w:val="18"/>
                <w:szCs w:val="18"/>
                <w:lang w:val="en-US" w:eastAsia="zh-CN"/>
              </w:rPr>
              <w:t>预算执行率</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sz w:val="18"/>
                <w:szCs w:val="18"/>
                <w:lang w:val="en-US" w:eastAsia="zh-CN"/>
              </w:rPr>
              <w:t>资金使用合规性</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90</w:t>
            </w:r>
            <w:r>
              <w:rPr>
                <w:rFonts w:hint="eastAsia" w:ascii="宋体" w:hAnsi="宋体" w:eastAsia="宋体" w:cs="宋体"/>
                <w:color w:val="000000"/>
                <w:kern w:val="0"/>
                <w:sz w:val="18"/>
                <w:szCs w:val="18"/>
              </w:rPr>
              <w:t>%</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rPr>
            </w:pPr>
            <w:r>
              <w:rPr>
                <w:rFonts w:hint="eastAsia" w:ascii="宋体" w:hAnsi="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sz w:val="18"/>
                <w:szCs w:val="18"/>
                <w:lang w:val="en-US" w:eastAsia="zh-CN"/>
              </w:rPr>
              <w:t>管理制度健全性</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制度</w:t>
            </w:r>
            <w:r>
              <w:rPr>
                <w:rFonts w:hint="eastAsia" w:ascii="宋体" w:hAnsi="宋体" w:cs="宋体"/>
                <w:color w:val="000000"/>
                <w:kern w:val="0"/>
                <w:sz w:val="18"/>
                <w:szCs w:val="18"/>
                <w:lang w:val="en-US" w:eastAsia="zh-CN"/>
              </w:rPr>
              <w:t>执行有效性</w:t>
            </w:r>
          </w:p>
        </w:tc>
        <w:tc>
          <w:tcPr>
            <w:tcW w:w="240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1897"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0.9</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240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98</w:t>
            </w:r>
            <w:r>
              <w:rPr>
                <w:rFonts w:hint="eastAsia" w:ascii="宋体" w:hAnsi="宋体" w:eastAsia="宋体" w:cs="宋体"/>
                <w:color w:val="000000"/>
                <w:kern w:val="0"/>
                <w:sz w:val="18"/>
                <w:szCs w:val="18"/>
              </w:rPr>
              <w:t>%</w:t>
            </w:r>
          </w:p>
        </w:tc>
        <w:tc>
          <w:tcPr>
            <w:tcW w:w="1897"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4.9</w:t>
            </w:r>
          </w:p>
        </w:tc>
      </w:tr>
    </w:tbl>
    <w:p>
      <w:pPr>
        <w:pageBreakBefore w:val="0"/>
        <w:kinsoku/>
        <w:wordWrap/>
        <w:overflowPunct/>
        <w:topLinePunct w:val="0"/>
        <w:autoSpaceDE/>
        <w:autoSpaceDN/>
        <w:bidi w:val="0"/>
        <w:adjustRightInd/>
        <w:snapToGrid/>
        <w:spacing w:line="560" w:lineRule="exact"/>
        <w:ind w:firstLine="640" w:firstLineChars="200"/>
        <w:textAlignment w:val="auto"/>
        <w:rPr>
          <w:rStyle w:val="53"/>
          <w:rFonts w:hint="eastAsia"/>
          <w:b w:val="0"/>
          <w:bCs w:val="0"/>
          <w:color w:val="auto"/>
          <w:kern w:val="2"/>
          <w:lang w:val="en-US" w:eastAsia="zh-CN" w:bidi="ar-SA"/>
        </w:rPr>
      </w:pPr>
      <w:r>
        <w:rPr>
          <w:rStyle w:val="53"/>
          <w:rFonts w:hint="eastAsia"/>
          <w:b w:val="0"/>
          <w:bCs w:val="0"/>
          <w:color w:val="auto"/>
          <w:kern w:val="2"/>
          <w:lang w:val="en-US" w:eastAsia="zh-CN" w:bidi="ar-SA"/>
        </w:rPr>
        <w:t>对于“预算执行率”，项目经过向本级财政申请资金，2020年取得财政拨款资金</w:t>
      </w:r>
      <w:r>
        <w:rPr>
          <w:rStyle w:val="23"/>
          <w:rFonts w:hint="eastAsia" w:ascii="仿宋_GB2312" w:hAnsi="楷体" w:eastAsia="仿宋_GB2312" w:cstheme="minorBidi"/>
          <w:b w:val="0"/>
          <w:spacing w:val="-4"/>
          <w:sz w:val="32"/>
          <w:szCs w:val="32"/>
          <w:highlight w:val="none"/>
        </w:rPr>
        <w:t>237.29</w:t>
      </w:r>
      <w:r>
        <w:rPr>
          <w:rStyle w:val="53"/>
          <w:rFonts w:hint="eastAsia"/>
          <w:b w:val="0"/>
          <w:bCs w:val="0"/>
          <w:color w:val="auto"/>
          <w:kern w:val="2"/>
          <w:lang w:val="en-US" w:eastAsia="zh-CN" w:bidi="ar-SA"/>
        </w:rPr>
        <w:t>万元，项目资金预算经过集体讨论，并经批复。项目预算资金为</w:t>
      </w:r>
      <w:r>
        <w:rPr>
          <w:rStyle w:val="23"/>
          <w:rFonts w:hint="eastAsia" w:ascii="仿宋_GB2312" w:hAnsi="楷体" w:eastAsia="仿宋_GB2312" w:cstheme="minorBidi"/>
          <w:b w:val="0"/>
          <w:spacing w:val="-4"/>
          <w:sz w:val="32"/>
          <w:szCs w:val="32"/>
          <w:highlight w:val="none"/>
        </w:rPr>
        <w:t>237.29</w:t>
      </w:r>
      <w:r>
        <w:rPr>
          <w:rStyle w:val="53"/>
          <w:rFonts w:hint="eastAsia"/>
          <w:b w:val="0"/>
          <w:bCs w:val="0"/>
          <w:color w:val="auto"/>
          <w:kern w:val="2"/>
          <w:lang w:val="en-US" w:eastAsia="zh-CN" w:bidi="ar-SA"/>
        </w:rPr>
        <w:t>万元，实际使用</w:t>
      </w:r>
      <w:r>
        <w:rPr>
          <w:rStyle w:val="23"/>
          <w:rFonts w:hint="eastAsia" w:ascii="仿宋_GB2312" w:hAnsi="楷体" w:eastAsia="仿宋_GB2312" w:cstheme="minorBidi"/>
          <w:b w:val="0"/>
          <w:spacing w:val="-4"/>
          <w:sz w:val="32"/>
          <w:szCs w:val="32"/>
          <w:highlight w:val="none"/>
        </w:rPr>
        <w:t>237.29</w:t>
      </w:r>
      <w:r>
        <w:rPr>
          <w:rStyle w:val="53"/>
          <w:rFonts w:hint="eastAsia"/>
          <w:b w:val="0"/>
          <w:bCs w:val="0"/>
          <w:color w:val="auto"/>
          <w:kern w:val="2"/>
          <w:lang w:val="en-US" w:eastAsia="zh-CN" w:bidi="ar-SA"/>
        </w:rPr>
        <w:t>万元。根据评分标准，该指标实际得分率100%。</w:t>
      </w:r>
    </w:p>
    <w:p>
      <w:pPr>
        <w:pageBreakBefore w:val="0"/>
        <w:kinsoku/>
        <w:wordWrap/>
        <w:overflowPunct/>
        <w:topLinePunct w:val="0"/>
        <w:autoSpaceDE/>
        <w:autoSpaceDN/>
        <w:bidi w:val="0"/>
        <w:adjustRightInd/>
        <w:snapToGrid/>
        <w:spacing w:line="560" w:lineRule="exact"/>
        <w:ind w:firstLine="640" w:firstLineChars="200"/>
        <w:textAlignment w:val="auto"/>
        <w:rPr>
          <w:rStyle w:val="53"/>
          <w:rFonts w:hint="eastAsia"/>
          <w:b w:val="0"/>
          <w:bCs w:val="0"/>
          <w:color w:val="auto"/>
          <w:kern w:val="2"/>
          <w:lang w:val="en-US" w:eastAsia="zh-CN" w:bidi="ar-SA"/>
        </w:rPr>
      </w:pPr>
      <w:r>
        <w:rPr>
          <w:rStyle w:val="53"/>
          <w:rFonts w:hint="eastAsia"/>
          <w:b w:val="0"/>
          <w:bCs w:val="0"/>
          <w:color w:val="auto"/>
          <w:kern w:val="2"/>
          <w:lang w:val="en-US" w:eastAsia="zh-CN" w:bidi="ar-SA"/>
        </w:rPr>
        <w:t>对于“资金到位率”，项目资金到位及时，到位率为100%。根据评分标准，该指标不扣分。</w:t>
      </w:r>
    </w:p>
    <w:p>
      <w:pPr>
        <w:pageBreakBefore w:val="0"/>
        <w:kinsoku/>
        <w:wordWrap/>
        <w:overflowPunct/>
        <w:topLinePunct w:val="0"/>
        <w:autoSpaceDE/>
        <w:autoSpaceDN/>
        <w:bidi w:val="0"/>
        <w:adjustRightInd/>
        <w:snapToGrid/>
        <w:spacing w:line="560" w:lineRule="exact"/>
        <w:ind w:firstLine="640" w:firstLineChars="200"/>
        <w:textAlignment w:val="auto"/>
        <w:rPr>
          <w:rStyle w:val="53"/>
          <w:rFonts w:hint="eastAsia"/>
          <w:b w:val="0"/>
          <w:bCs w:val="0"/>
          <w:color w:val="auto"/>
          <w:kern w:val="2"/>
          <w:lang w:val="en-US" w:eastAsia="zh-CN" w:bidi="ar-SA"/>
        </w:rPr>
      </w:pPr>
      <w:r>
        <w:rPr>
          <w:rStyle w:val="53"/>
          <w:rFonts w:hint="eastAsia"/>
          <w:b w:val="0"/>
          <w:bCs w:val="0"/>
          <w:color w:val="auto"/>
          <w:kern w:val="2"/>
          <w:lang w:val="en-US" w:eastAsia="zh-CN" w:bidi="ar-SA"/>
        </w:rPr>
        <w:t>对于“资金使用合规性”食品生产、经营监管、产品质量及食品安全监督抽检资金经费项目地区市场监督管理局管理局按照专项资金列支的范围使用资金，支出范围合规；资金支出能按财务制度执行，并能按国库集中支付制度规定执行，不存在资金违纪违规使用情况。按评分标准，指标实际得分率100%。</w:t>
      </w:r>
    </w:p>
    <w:p>
      <w:pPr>
        <w:pageBreakBefore w:val="0"/>
        <w:kinsoku/>
        <w:wordWrap/>
        <w:overflowPunct/>
        <w:topLinePunct w:val="0"/>
        <w:autoSpaceDE/>
        <w:autoSpaceDN/>
        <w:bidi w:val="0"/>
        <w:adjustRightInd/>
        <w:snapToGrid/>
        <w:spacing w:line="560" w:lineRule="exact"/>
        <w:ind w:firstLine="640" w:firstLineChars="200"/>
        <w:textAlignment w:val="auto"/>
        <w:rPr>
          <w:rStyle w:val="53"/>
          <w:rFonts w:hint="eastAsia"/>
          <w:b w:val="0"/>
          <w:bCs w:val="0"/>
          <w:color w:val="auto"/>
          <w:kern w:val="2"/>
          <w:lang w:val="en-US" w:eastAsia="zh-CN" w:bidi="ar-SA"/>
        </w:rPr>
      </w:pPr>
      <w:r>
        <w:rPr>
          <w:rStyle w:val="53"/>
          <w:rFonts w:hint="eastAsia"/>
          <w:b w:val="0"/>
          <w:bCs w:val="0"/>
          <w:color w:val="auto"/>
          <w:kern w:val="2"/>
          <w:lang w:val="en-US" w:eastAsia="zh-CN" w:bidi="ar-SA"/>
        </w:rPr>
        <w:t>对于“管理制度健全性”，塔城地区市场监督管理局食品生产、经营监管、产品质量及食品安全监督抽检资金经费项目机塔城地区市场监督管理局机构健全，分工明确，不存在不相容岗位兼任情况。根据评分标准，该指标不扣分。</w:t>
      </w:r>
    </w:p>
    <w:p>
      <w:pPr>
        <w:pageBreakBefore w:val="0"/>
        <w:kinsoku/>
        <w:wordWrap/>
        <w:overflowPunct/>
        <w:topLinePunct w:val="0"/>
        <w:autoSpaceDE/>
        <w:autoSpaceDN/>
        <w:bidi w:val="0"/>
        <w:adjustRightInd/>
        <w:snapToGrid/>
        <w:spacing w:line="560" w:lineRule="exact"/>
        <w:ind w:firstLine="640" w:firstLineChars="200"/>
        <w:textAlignment w:val="auto"/>
        <w:rPr>
          <w:rStyle w:val="53"/>
          <w:rFonts w:hint="eastAsia"/>
          <w:b w:val="0"/>
          <w:bCs w:val="0"/>
          <w:color w:val="auto"/>
          <w:kern w:val="2"/>
          <w:lang w:val="en-US" w:eastAsia="zh-CN" w:bidi="ar-SA"/>
        </w:rPr>
      </w:pPr>
      <w:r>
        <w:rPr>
          <w:rStyle w:val="53"/>
          <w:rFonts w:hint="eastAsia"/>
          <w:b w:val="0"/>
          <w:bCs w:val="0"/>
          <w:color w:val="auto"/>
          <w:kern w:val="2"/>
          <w:lang w:val="en-US" w:eastAsia="zh-CN" w:bidi="ar-SA"/>
        </w:rPr>
        <w:t>对于“制度执行有效性”，塔城地区市场监督管理局食品生产、经营监管、产品质量及食品安全监督抽检资金经费项目制定了项目资金管理制度，管理制度包括预算、资产、采购等管理办法；但是项目管理职责不完善，根据评分标准，该指标扣0.1分。</w:t>
      </w:r>
    </w:p>
    <w:p>
      <w:pPr>
        <w:pageBreakBefore w:val="0"/>
        <w:kinsoku/>
        <w:wordWrap/>
        <w:overflowPunct/>
        <w:topLinePunct w:val="0"/>
        <w:autoSpaceDE/>
        <w:autoSpaceDN/>
        <w:bidi w:val="0"/>
        <w:adjustRightInd/>
        <w:snapToGrid/>
        <w:spacing w:line="560" w:lineRule="exact"/>
        <w:textAlignment w:val="auto"/>
      </w:pPr>
    </w:p>
    <w:p>
      <w:pPr>
        <w:pStyle w:val="20"/>
        <w:pageBreakBefore w:val="0"/>
        <w:numPr>
          <w:ilvl w:val="0"/>
          <w:numId w:val="5"/>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pageBreakBefore w:val="0"/>
        <w:kinsoku/>
        <w:wordWrap/>
        <w:overflowPunct/>
        <w:topLinePunct w:val="0"/>
        <w:autoSpaceDE/>
        <w:autoSpaceDN/>
        <w:bidi w:val="0"/>
        <w:adjustRightInd/>
        <w:snapToGrid/>
        <w:spacing w:line="560" w:lineRule="exact"/>
        <w:ind w:firstLine="640"/>
        <w:textAlignment w:val="auto"/>
        <w:rPr>
          <w:rStyle w:val="53"/>
          <w:rFonts w:hint="eastAsia"/>
          <w:color w:val="auto"/>
        </w:rPr>
      </w:pPr>
      <w:r>
        <w:rPr>
          <w:rStyle w:val="53"/>
          <w:rFonts w:hint="eastAsia"/>
          <w:color w:val="auto"/>
        </w:rPr>
        <w:t>数量指标方面：</w:t>
      </w:r>
    </w:p>
    <w:p>
      <w:pPr>
        <w:pageBreakBefore w:val="0"/>
        <w:kinsoku/>
        <w:wordWrap/>
        <w:overflowPunct/>
        <w:topLinePunct w:val="0"/>
        <w:autoSpaceDE/>
        <w:autoSpaceDN/>
        <w:bidi w:val="0"/>
        <w:adjustRightInd/>
        <w:snapToGrid/>
        <w:spacing w:line="560" w:lineRule="exact"/>
        <w:ind w:firstLine="640"/>
        <w:textAlignment w:val="auto"/>
        <w:rPr>
          <w:rStyle w:val="53"/>
          <w:rFonts w:hint="default" w:eastAsia="仿宋_GB2312"/>
          <w:color w:val="auto"/>
          <w:lang w:val="en-US" w:eastAsia="zh-CN"/>
        </w:rPr>
      </w:pPr>
      <w:r>
        <w:rPr>
          <w:rStyle w:val="53"/>
          <w:rFonts w:hint="eastAsia" w:eastAsia="仿宋_GB2312"/>
          <w:color w:val="auto"/>
          <w:lang w:eastAsia="zh-CN"/>
        </w:rPr>
        <w:t>抽检</w:t>
      </w:r>
      <w:r>
        <w:rPr>
          <w:rStyle w:val="53"/>
          <w:rFonts w:hint="eastAsia"/>
          <w:color w:val="auto"/>
        </w:rPr>
        <w:t>食用农产品和餐饮制品</w:t>
      </w:r>
      <w:r>
        <w:rPr>
          <w:rStyle w:val="53"/>
          <w:rFonts w:hint="eastAsia" w:eastAsia="仿宋_GB2312"/>
          <w:color w:val="auto"/>
          <w:lang w:eastAsia="zh-CN"/>
        </w:rPr>
        <w:t>目标值大于等于</w:t>
      </w:r>
      <w:r>
        <w:rPr>
          <w:rStyle w:val="53"/>
          <w:rFonts w:hint="eastAsia" w:eastAsia="仿宋_GB2312"/>
          <w:color w:val="auto"/>
          <w:lang w:val="en-US" w:eastAsia="zh-CN"/>
        </w:rPr>
        <w:t>700</w:t>
      </w:r>
      <w:r>
        <w:rPr>
          <w:rStyle w:val="53"/>
          <w:rFonts w:hint="eastAsia"/>
          <w:color w:val="auto"/>
        </w:rPr>
        <w:t>批次</w:t>
      </w:r>
      <w:r>
        <w:rPr>
          <w:rStyle w:val="53"/>
          <w:rFonts w:hint="eastAsia" w:eastAsia="仿宋_GB2312"/>
          <w:color w:val="auto"/>
          <w:lang w:eastAsia="zh-CN"/>
        </w:rPr>
        <w:t>；完成</w:t>
      </w:r>
      <w:r>
        <w:rPr>
          <w:rStyle w:val="53"/>
          <w:rFonts w:hint="eastAsia" w:eastAsia="仿宋_GB2312"/>
          <w:color w:val="auto"/>
          <w:lang w:val="en-US" w:eastAsia="zh-CN"/>
        </w:rPr>
        <w:t>707批次，指标完成率100%。</w:t>
      </w:r>
    </w:p>
    <w:p>
      <w:pPr>
        <w:pageBreakBefore w:val="0"/>
        <w:kinsoku/>
        <w:wordWrap/>
        <w:overflowPunct/>
        <w:topLinePunct w:val="0"/>
        <w:autoSpaceDE/>
        <w:autoSpaceDN/>
        <w:bidi w:val="0"/>
        <w:adjustRightInd/>
        <w:snapToGrid/>
        <w:spacing w:line="560" w:lineRule="exact"/>
        <w:ind w:firstLine="640"/>
        <w:textAlignment w:val="auto"/>
        <w:rPr>
          <w:rStyle w:val="53"/>
          <w:rFonts w:hint="eastAsia"/>
          <w:color w:val="auto"/>
          <w:kern w:val="2"/>
          <w:lang w:val="en-US" w:eastAsia="zh-CN" w:bidi="ar-SA"/>
        </w:rPr>
      </w:pPr>
      <w:r>
        <w:rPr>
          <w:rStyle w:val="53"/>
          <w:rFonts w:hint="eastAsia" w:eastAsia="仿宋_GB2312"/>
          <w:color w:val="auto"/>
          <w:lang w:eastAsia="zh-CN"/>
        </w:rPr>
        <w:t>抽检</w:t>
      </w:r>
      <w:r>
        <w:rPr>
          <w:rStyle w:val="53"/>
          <w:rFonts w:hint="eastAsia"/>
          <w:color w:val="auto"/>
          <w:kern w:val="2"/>
          <w:lang w:val="en-US" w:eastAsia="zh-CN" w:bidi="ar-SA"/>
        </w:rPr>
        <w:t>滴灌带产品目标值</w:t>
      </w:r>
      <w:r>
        <w:rPr>
          <w:rStyle w:val="53"/>
          <w:rFonts w:hint="eastAsia" w:eastAsia="仿宋_GB2312"/>
          <w:color w:val="auto"/>
          <w:lang w:eastAsia="zh-CN"/>
        </w:rPr>
        <w:t>大于等于</w:t>
      </w:r>
      <w:r>
        <w:rPr>
          <w:rStyle w:val="53"/>
          <w:rFonts w:hint="eastAsia"/>
          <w:color w:val="auto"/>
          <w:kern w:val="2"/>
          <w:lang w:val="en-US" w:eastAsia="zh-CN" w:bidi="ar-SA"/>
        </w:rPr>
        <w:t>100批次；完成101批次；</w:t>
      </w:r>
      <w:r>
        <w:rPr>
          <w:rStyle w:val="53"/>
          <w:rFonts w:hint="eastAsia" w:eastAsia="仿宋_GB2312"/>
          <w:color w:val="auto"/>
          <w:lang w:val="en-US" w:eastAsia="zh-CN"/>
        </w:rPr>
        <w:t>指标完成率100%。</w:t>
      </w:r>
    </w:p>
    <w:p>
      <w:pPr>
        <w:pageBreakBefore w:val="0"/>
        <w:kinsoku/>
        <w:wordWrap/>
        <w:overflowPunct/>
        <w:topLinePunct w:val="0"/>
        <w:autoSpaceDE/>
        <w:autoSpaceDN/>
        <w:bidi w:val="0"/>
        <w:adjustRightInd/>
        <w:snapToGrid/>
        <w:spacing w:line="560" w:lineRule="exact"/>
        <w:ind w:firstLine="640"/>
        <w:textAlignment w:val="auto"/>
        <w:rPr>
          <w:rStyle w:val="53"/>
          <w:rFonts w:hint="eastAsia"/>
          <w:color w:val="auto"/>
          <w:kern w:val="2"/>
          <w:lang w:val="en-US" w:eastAsia="zh-CN" w:bidi="ar-SA"/>
        </w:rPr>
      </w:pPr>
      <w:r>
        <w:rPr>
          <w:rStyle w:val="53"/>
          <w:rFonts w:hint="eastAsia" w:eastAsia="仿宋_GB2312"/>
          <w:color w:val="auto"/>
          <w:lang w:eastAsia="zh-CN"/>
        </w:rPr>
        <w:t>抽检</w:t>
      </w:r>
      <w:r>
        <w:rPr>
          <w:rStyle w:val="53"/>
          <w:rFonts w:hint="eastAsia"/>
          <w:color w:val="auto"/>
          <w:kern w:val="2"/>
          <w:lang w:val="en-US" w:eastAsia="zh-CN" w:bidi="ar-SA"/>
        </w:rPr>
        <w:t>地膜产品目标值</w:t>
      </w:r>
      <w:r>
        <w:rPr>
          <w:rStyle w:val="53"/>
          <w:rFonts w:hint="eastAsia" w:eastAsia="仿宋_GB2312"/>
          <w:color w:val="auto"/>
          <w:lang w:eastAsia="zh-CN"/>
        </w:rPr>
        <w:t>大于等于</w:t>
      </w:r>
      <w:r>
        <w:rPr>
          <w:rStyle w:val="53"/>
          <w:rFonts w:hint="eastAsia"/>
          <w:color w:val="auto"/>
          <w:kern w:val="2"/>
          <w:lang w:val="en-US" w:eastAsia="zh-CN" w:bidi="ar-SA"/>
        </w:rPr>
        <w:t>15批次；</w:t>
      </w:r>
      <w:r>
        <w:rPr>
          <w:rStyle w:val="53"/>
          <w:rFonts w:hint="eastAsia" w:eastAsia="仿宋_GB2312"/>
          <w:color w:val="auto"/>
          <w:lang w:eastAsia="zh-CN"/>
        </w:rPr>
        <w:t>完成</w:t>
      </w:r>
      <w:r>
        <w:rPr>
          <w:rStyle w:val="53"/>
          <w:rFonts w:hint="eastAsia" w:eastAsia="仿宋_GB2312"/>
          <w:color w:val="auto"/>
          <w:lang w:val="en-US" w:eastAsia="zh-CN"/>
        </w:rPr>
        <w:t>16批次；</w:t>
      </w:r>
      <w:r>
        <w:rPr>
          <w:rStyle w:val="53"/>
          <w:rFonts w:hint="eastAsia"/>
          <w:color w:val="auto"/>
          <w:kern w:val="2"/>
          <w:lang w:val="en-US" w:eastAsia="zh-CN" w:bidi="ar-SA"/>
        </w:rPr>
        <w:t>建筑主体材料79批次。</w:t>
      </w:r>
    </w:p>
    <w:p>
      <w:pPr>
        <w:pageBreakBefore w:val="0"/>
        <w:kinsoku/>
        <w:wordWrap/>
        <w:overflowPunct/>
        <w:topLinePunct w:val="0"/>
        <w:autoSpaceDE/>
        <w:autoSpaceDN/>
        <w:bidi w:val="0"/>
        <w:adjustRightInd/>
        <w:snapToGrid/>
        <w:spacing w:line="560" w:lineRule="exact"/>
        <w:ind w:firstLine="640"/>
        <w:textAlignment w:val="auto"/>
        <w:rPr>
          <w:rStyle w:val="53"/>
          <w:rFonts w:hint="eastAsia"/>
          <w:color w:val="auto"/>
        </w:rPr>
      </w:pPr>
      <w:r>
        <w:rPr>
          <w:rStyle w:val="53"/>
          <w:rFonts w:hint="eastAsia"/>
          <w:color w:val="auto"/>
        </w:rPr>
        <w:t>质量指标方面：</w:t>
      </w:r>
    </w:p>
    <w:p>
      <w:pPr>
        <w:pageBreakBefore w:val="0"/>
        <w:kinsoku/>
        <w:wordWrap/>
        <w:overflowPunct/>
        <w:topLinePunct w:val="0"/>
        <w:autoSpaceDE/>
        <w:autoSpaceDN/>
        <w:bidi w:val="0"/>
        <w:adjustRightInd/>
        <w:snapToGrid/>
        <w:spacing w:line="560" w:lineRule="exact"/>
        <w:ind w:firstLine="640"/>
        <w:textAlignment w:val="auto"/>
        <w:rPr>
          <w:rStyle w:val="53"/>
          <w:rFonts w:hint="default" w:eastAsia="仿宋_GB2312"/>
          <w:color w:val="auto"/>
          <w:lang w:val="en-US" w:eastAsia="zh-CN"/>
        </w:rPr>
      </w:pPr>
      <w:r>
        <w:rPr>
          <w:rStyle w:val="53"/>
          <w:rFonts w:hint="eastAsia"/>
          <w:color w:val="auto"/>
        </w:rPr>
        <w:t>任务完成率</w:t>
      </w:r>
      <w:r>
        <w:rPr>
          <w:rStyle w:val="53"/>
          <w:rFonts w:hint="eastAsia"/>
          <w:color w:val="auto"/>
          <w:kern w:val="2"/>
          <w:lang w:val="en-US" w:eastAsia="zh-CN" w:bidi="ar-SA"/>
        </w:rPr>
        <w:t>目标值等于</w:t>
      </w:r>
      <w:r>
        <w:rPr>
          <w:rStyle w:val="53"/>
          <w:rFonts w:hint="eastAsia" w:eastAsia="仿宋_GB2312"/>
          <w:color w:val="auto"/>
          <w:lang w:val="en-US" w:eastAsia="zh-CN"/>
        </w:rPr>
        <w:t>100%；按目标完成任务；指标完成率100%。</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Style w:val="53"/>
          <w:rFonts w:hint="eastAsia"/>
          <w:b w:val="0"/>
          <w:bCs w:val="0"/>
          <w:color w:val="auto"/>
          <w:lang w:val="en-US" w:eastAsia="zh-CN"/>
        </w:rPr>
      </w:pPr>
      <w:r>
        <w:rPr>
          <w:rStyle w:val="53"/>
          <w:rFonts w:hint="eastAsia"/>
          <w:b w:val="0"/>
          <w:bCs w:val="0"/>
          <w:color w:val="auto"/>
          <w:lang w:val="en-US" w:eastAsia="zh-CN"/>
        </w:rPr>
        <w:t>成本指标方面：</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Style w:val="53"/>
          <w:rFonts w:hint="default"/>
          <w:b w:val="0"/>
          <w:bCs w:val="0"/>
          <w:color w:val="auto"/>
          <w:lang w:val="en-US" w:eastAsia="zh-CN"/>
        </w:rPr>
      </w:pPr>
      <w:r>
        <w:rPr>
          <w:rStyle w:val="53"/>
          <w:rFonts w:hint="eastAsia"/>
          <w:b w:val="0"/>
          <w:bCs w:val="0"/>
          <w:color w:val="auto"/>
          <w:lang w:val="en-US" w:eastAsia="zh-CN"/>
        </w:rPr>
        <w:t>食品监督、抽检检验成本工业产品监工业产品监督成本控制在185万元；实际完成181.4万元；完成率100%。</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rPr>
          <w:rStyle w:val="53"/>
          <w:rFonts w:hint="eastAsia"/>
          <w:b w:val="0"/>
          <w:bCs w:val="0"/>
          <w:color w:val="auto"/>
          <w:lang w:val="en-US" w:eastAsia="zh-CN"/>
        </w:rPr>
      </w:pPr>
      <w:r>
        <w:rPr>
          <w:rStyle w:val="53"/>
          <w:rFonts w:hint="eastAsia"/>
          <w:b w:val="0"/>
          <w:bCs w:val="0"/>
          <w:color w:val="auto"/>
          <w:lang w:val="en-US" w:eastAsia="zh-CN"/>
        </w:rPr>
        <w:t>监督检查运行成本控制在59.51万元；实际完成55.91万元；完成率100%。</w:t>
      </w:r>
    </w:p>
    <w:p>
      <w:pPr>
        <w:pageBreakBefore w:val="0"/>
        <w:kinsoku/>
        <w:wordWrap/>
        <w:overflowPunct/>
        <w:topLinePunct w:val="0"/>
        <w:autoSpaceDE/>
        <w:autoSpaceDN/>
        <w:bidi w:val="0"/>
        <w:adjustRightInd/>
        <w:snapToGrid/>
        <w:spacing w:line="560" w:lineRule="exact"/>
        <w:ind w:firstLine="640"/>
        <w:textAlignment w:val="auto"/>
        <w:rPr>
          <w:rStyle w:val="53"/>
          <w:rFonts w:hint="default" w:eastAsia="仿宋_GB2312"/>
          <w:color w:val="auto"/>
          <w:lang w:val="en-US" w:eastAsia="zh-CN"/>
        </w:rPr>
      </w:pPr>
      <w:r>
        <w:rPr>
          <w:rStyle w:val="53"/>
          <w:rFonts w:hint="eastAsia"/>
          <w:color w:val="auto"/>
          <w:lang w:val="en-US" w:eastAsia="zh-CN"/>
        </w:rPr>
        <w:t>时效指标方面：2020年12月底前全部完成；</w:t>
      </w:r>
      <w:r>
        <w:rPr>
          <w:rStyle w:val="53"/>
          <w:rFonts w:hint="eastAsia" w:eastAsia="仿宋_GB2312"/>
          <w:color w:val="auto"/>
          <w:lang w:val="en-US" w:eastAsia="zh-CN"/>
        </w:rPr>
        <w:t>按目标完成任务；指标完成率100%。</w:t>
      </w:r>
    </w:p>
    <w:p>
      <w:pPr>
        <w:pageBreakBefore w:val="0"/>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rPr>
      </w:pPr>
    </w:p>
    <w:p>
      <w:pPr>
        <w:pStyle w:val="20"/>
        <w:pageBreakBefore w:val="0"/>
        <w:numPr>
          <w:ilvl w:val="0"/>
          <w:numId w:val="5"/>
        </w:numPr>
        <w:kinsoku/>
        <w:wordWrap/>
        <w:overflowPunct/>
        <w:topLinePunct w:val="0"/>
        <w:autoSpaceDE/>
        <w:autoSpaceDN/>
        <w:bidi w:val="0"/>
        <w:adjustRightInd/>
        <w:snapToGrid/>
        <w:spacing w:after="0" w:line="560" w:lineRule="exac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napToGrid/>
        <w:spacing w:line="560" w:lineRule="exact"/>
        <w:ind w:firstLine="640"/>
        <w:textAlignment w:val="auto"/>
        <w:rPr>
          <w:rStyle w:val="53"/>
          <w:rFonts w:hint="eastAsia" w:eastAsia="仿宋_GB2312"/>
          <w:color w:val="auto"/>
          <w:lang w:eastAsia="zh-CN"/>
        </w:rPr>
      </w:pPr>
      <w:r>
        <w:rPr>
          <w:rStyle w:val="53"/>
          <w:rFonts w:hint="eastAsia"/>
          <w:color w:val="auto"/>
        </w:rPr>
        <w:t>经济效益指标方面：</w:t>
      </w:r>
      <w:r>
        <w:rPr>
          <w:rStyle w:val="53"/>
          <w:rFonts w:hint="eastAsia" w:eastAsia="仿宋_GB2312"/>
          <w:color w:val="auto"/>
          <w:lang w:eastAsia="zh-CN"/>
        </w:rPr>
        <w:t>无</w:t>
      </w:r>
    </w:p>
    <w:p>
      <w:pPr>
        <w:pageBreakBefore w:val="0"/>
        <w:kinsoku/>
        <w:wordWrap/>
        <w:overflowPunct/>
        <w:topLinePunct w:val="0"/>
        <w:autoSpaceDE/>
        <w:autoSpaceDN/>
        <w:bidi w:val="0"/>
        <w:adjustRightInd/>
        <w:snapToGrid/>
        <w:spacing w:line="560" w:lineRule="exact"/>
        <w:ind w:firstLine="640"/>
        <w:textAlignment w:val="auto"/>
        <w:rPr>
          <w:rStyle w:val="53"/>
          <w:rFonts w:hint="eastAsia"/>
          <w:color w:val="auto"/>
        </w:rPr>
      </w:pPr>
      <w:r>
        <w:rPr>
          <w:rStyle w:val="53"/>
          <w:rFonts w:hint="eastAsia"/>
          <w:color w:val="auto"/>
        </w:rPr>
        <w:t>社会效益指标方面：有所提升</w:t>
      </w:r>
    </w:p>
    <w:p>
      <w:pPr>
        <w:pageBreakBefore w:val="0"/>
        <w:numPr>
          <w:ilvl w:val="0"/>
          <w:numId w:val="6"/>
        </w:numPr>
        <w:kinsoku/>
        <w:wordWrap/>
        <w:overflowPunct/>
        <w:topLinePunct w:val="0"/>
        <w:autoSpaceDE/>
        <w:autoSpaceDN/>
        <w:bidi w:val="0"/>
        <w:adjustRightInd/>
        <w:snapToGrid/>
        <w:spacing w:line="560" w:lineRule="exact"/>
        <w:ind w:firstLine="640"/>
        <w:textAlignment w:val="auto"/>
        <w:rPr>
          <w:rStyle w:val="53"/>
          <w:rFonts w:hint="eastAsia" w:eastAsia="仿宋_GB2312"/>
          <w:color w:val="auto"/>
          <w:lang w:eastAsia="zh-CN"/>
        </w:rPr>
      </w:pPr>
      <w:r>
        <w:rPr>
          <w:rStyle w:val="53"/>
          <w:rFonts w:hint="eastAsia" w:eastAsia="仿宋_GB2312"/>
          <w:color w:val="auto"/>
          <w:lang w:eastAsia="zh-CN"/>
        </w:rPr>
        <w:t>目标值加强</w:t>
      </w:r>
      <w:r>
        <w:rPr>
          <w:rStyle w:val="53"/>
          <w:rFonts w:hint="eastAsia"/>
          <w:color w:val="auto"/>
        </w:rPr>
        <w:t>食品安全、工业产品质量安全监督抽检和日常监管力度，确保产品安全</w:t>
      </w:r>
      <w:r>
        <w:rPr>
          <w:rStyle w:val="53"/>
          <w:rFonts w:hint="eastAsia" w:eastAsia="仿宋_GB2312"/>
          <w:color w:val="auto"/>
          <w:lang w:eastAsia="zh-CN"/>
        </w:rPr>
        <w:t>有所提高；</w:t>
      </w:r>
      <w:r>
        <w:rPr>
          <w:rStyle w:val="53"/>
          <w:rFonts w:hint="eastAsia" w:eastAsia="仿宋_GB2312"/>
          <w:color w:val="auto"/>
          <w:lang w:val="en-US" w:eastAsia="zh-CN"/>
        </w:rPr>
        <w:t>按目标完成任务；</w:t>
      </w:r>
      <w:r>
        <w:rPr>
          <w:rStyle w:val="53"/>
          <w:rFonts w:hint="eastAsia"/>
          <w:b w:val="0"/>
          <w:bCs w:val="0"/>
          <w:color w:val="auto"/>
          <w:lang w:val="en-US" w:eastAsia="zh-CN"/>
        </w:rPr>
        <w:t>完成率100%。</w:t>
      </w:r>
    </w:p>
    <w:p>
      <w:pPr>
        <w:pageBreakBefore w:val="0"/>
        <w:numPr>
          <w:ilvl w:val="0"/>
          <w:numId w:val="6"/>
        </w:numPr>
        <w:kinsoku/>
        <w:wordWrap/>
        <w:overflowPunct/>
        <w:topLinePunct w:val="0"/>
        <w:autoSpaceDE/>
        <w:autoSpaceDN/>
        <w:bidi w:val="0"/>
        <w:adjustRightInd/>
        <w:snapToGrid/>
        <w:spacing w:line="560" w:lineRule="exact"/>
        <w:ind w:firstLine="640"/>
        <w:textAlignment w:val="auto"/>
        <w:rPr>
          <w:rStyle w:val="53"/>
          <w:rFonts w:hint="eastAsia" w:eastAsia="仿宋_GB2312"/>
          <w:color w:val="auto"/>
          <w:lang w:eastAsia="zh-CN"/>
        </w:rPr>
      </w:pPr>
      <w:r>
        <w:rPr>
          <w:rStyle w:val="53"/>
          <w:rFonts w:hint="eastAsia" w:eastAsia="仿宋_GB2312"/>
          <w:color w:val="auto"/>
          <w:lang w:val="en-US" w:eastAsia="zh-CN"/>
        </w:rPr>
        <w:t>2.目标值</w:t>
      </w:r>
      <w:r>
        <w:rPr>
          <w:rStyle w:val="53"/>
          <w:rFonts w:hint="eastAsia" w:eastAsia="仿宋_GB2312"/>
          <w:color w:val="auto"/>
          <w:lang w:eastAsia="zh-CN"/>
        </w:rPr>
        <w:t>改善食品环境,提升产品质量安全，提高质量管理水平；</w:t>
      </w:r>
      <w:r>
        <w:rPr>
          <w:rStyle w:val="53"/>
          <w:rFonts w:hint="eastAsia" w:eastAsia="仿宋_GB2312"/>
          <w:color w:val="auto"/>
          <w:lang w:val="en-US" w:eastAsia="zh-CN"/>
        </w:rPr>
        <w:t>按目标完成任务；</w:t>
      </w:r>
      <w:r>
        <w:rPr>
          <w:rStyle w:val="53"/>
          <w:rFonts w:hint="eastAsia"/>
          <w:b w:val="0"/>
          <w:bCs w:val="0"/>
          <w:color w:val="auto"/>
          <w:lang w:val="en-US" w:eastAsia="zh-CN"/>
        </w:rPr>
        <w:t>完成率100%。</w:t>
      </w:r>
    </w:p>
    <w:p>
      <w:pPr>
        <w:pageBreakBefore w:val="0"/>
        <w:kinsoku/>
        <w:wordWrap/>
        <w:overflowPunct/>
        <w:topLinePunct w:val="0"/>
        <w:autoSpaceDE/>
        <w:autoSpaceDN/>
        <w:bidi w:val="0"/>
        <w:adjustRightInd/>
        <w:snapToGrid/>
        <w:spacing w:line="560" w:lineRule="exact"/>
        <w:ind w:firstLine="640"/>
        <w:textAlignment w:val="auto"/>
        <w:rPr>
          <w:rStyle w:val="53"/>
          <w:rFonts w:hint="eastAsia"/>
          <w:color w:val="auto"/>
        </w:rPr>
      </w:pPr>
      <w:r>
        <w:rPr>
          <w:rStyle w:val="53"/>
          <w:color w:val="auto"/>
        </w:rPr>
        <w:t>可持续影响指标</w:t>
      </w:r>
      <w:r>
        <w:rPr>
          <w:rStyle w:val="53"/>
          <w:rFonts w:hint="eastAsia"/>
          <w:color w:val="auto"/>
        </w:rPr>
        <w:t>方面：</w:t>
      </w:r>
    </w:p>
    <w:p>
      <w:pPr>
        <w:pageBreakBefore w:val="0"/>
        <w:numPr>
          <w:ilvl w:val="0"/>
          <w:numId w:val="6"/>
        </w:numPr>
        <w:kinsoku/>
        <w:wordWrap/>
        <w:overflowPunct/>
        <w:topLinePunct w:val="0"/>
        <w:autoSpaceDE/>
        <w:autoSpaceDN/>
        <w:bidi w:val="0"/>
        <w:adjustRightInd/>
        <w:snapToGrid/>
        <w:spacing w:line="560" w:lineRule="exact"/>
        <w:ind w:firstLine="640"/>
        <w:textAlignment w:val="auto"/>
        <w:rPr>
          <w:rStyle w:val="53"/>
          <w:rFonts w:hint="eastAsia" w:eastAsia="仿宋_GB2312"/>
          <w:color w:val="auto"/>
          <w:lang w:eastAsia="zh-CN"/>
        </w:rPr>
      </w:pPr>
      <w:r>
        <w:rPr>
          <w:rStyle w:val="53"/>
          <w:rFonts w:hint="eastAsia" w:eastAsia="仿宋_GB2312"/>
          <w:color w:val="auto"/>
          <w:lang w:eastAsia="zh-CN"/>
        </w:rPr>
        <w:t>目标值</w:t>
      </w:r>
      <w:r>
        <w:rPr>
          <w:rStyle w:val="53"/>
          <w:rFonts w:hint="eastAsia"/>
          <w:color w:val="auto"/>
        </w:rPr>
        <w:t>食品经营者、产品生产企业的自律意识和责任意识</w:t>
      </w:r>
      <w:r>
        <w:rPr>
          <w:rStyle w:val="53"/>
          <w:rFonts w:hint="eastAsia" w:eastAsia="仿宋_GB2312"/>
          <w:color w:val="auto"/>
          <w:lang w:eastAsia="zh-CN"/>
        </w:rPr>
        <w:t>有所提高；</w:t>
      </w:r>
      <w:r>
        <w:rPr>
          <w:rStyle w:val="53"/>
          <w:rFonts w:hint="eastAsia" w:eastAsia="仿宋_GB2312"/>
          <w:color w:val="auto"/>
          <w:lang w:val="en-US" w:eastAsia="zh-CN"/>
        </w:rPr>
        <w:t>按目标完成任务；</w:t>
      </w:r>
      <w:r>
        <w:rPr>
          <w:rStyle w:val="53"/>
          <w:rFonts w:hint="eastAsia"/>
          <w:b w:val="0"/>
          <w:bCs w:val="0"/>
          <w:color w:val="auto"/>
          <w:lang w:val="en-US" w:eastAsia="zh-CN"/>
        </w:rPr>
        <w:t>完成率100%。</w:t>
      </w:r>
    </w:p>
    <w:p>
      <w:pPr>
        <w:pageBreakBefore w:val="0"/>
        <w:numPr>
          <w:ilvl w:val="0"/>
          <w:numId w:val="6"/>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宋体" w:cs="仿宋_GB2312"/>
          <w:sz w:val="32"/>
          <w:szCs w:val="32"/>
          <w:lang w:val="en-US" w:eastAsia="zh-CN"/>
        </w:rPr>
      </w:pPr>
      <w:r>
        <w:rPr>
          <w:rStyle w:val="53"/>
          <w:color w:val="auto"/>
        </w:rPr>
        <w:t>满意度指标</w:t>
      </w:r>
      <w:r>
        <w:rPr>
          <w:rStyle w:val="53"/>
          <w:rFonts w:hint="eastAsia"/>
          <w:color w:val="auto"/>
        </w:rPr>
        <w:t>方面：社会公众满意度</w:t>
      </w:r>
      <w:r>
        <w:rPr>
          <w:rStyle w:val="53"/>
          <w:rFonts w:hint="eastAsia" w:eastAsia="仿宋_GB2312"/>
          <w:color w:val="auto"/>
          <w:lang w:eastAsia="zh-CN"/>
        </w:rPr>
        <w:t>目标值达到</w:t>
      </w:r>
      <w:r>
        <w:rPr>
          <w:rStyle w:val="53"/>
          <w:rFonts w:hint="eastAsia" w:eastAsia="仿宋_GB2312"/>
          <w:color w:val="auto"/>
          <w:lang w:val="en-US" w:eastAsia="zh-CN"/>
        </w:rPr>
        <w:t>95%</w:t>
      </w:r>
      <w:r>
        <w:rPr>
          <w:rFonts w:hint="eastAsia"/>
          <w:lang w:eastAsia="zh-CN"/>
        </w:rPr>
        <w:t>；</w:t>
      </w:r>
      <w:r>
        <w:rPr>
          <w:rStyle w:val="53"/>
          <w:rFonts w:hint="eastAsia"/>
          <w:color w:val="auto"/>
        </w:rPr>
        <w:t>社会公众满意度</w:t>
      </w:r>
      <w:r>
        <w:rPr>
          <w:rStyle w:val="53"/>
          <w:rFonts w:hint="eastAsia" w:eastAsia="仿宋_GB2312"/>
          <w:color w:val="auto"/>
          <w:lang w:eastAsia="zh-CN"/>
        </w:rPr>
        <w:t>达到</w:t>
      </w:r>
      <w:r>
        <w:rPr>
          <w:rStyle w:val="53"/>
          <w:rFonts w:hint="eastAsia" w:eastAsia="仿宋_GB2312"/>
          <w:color w:val="auto"/>
          <w:lang w:val="en-US" w:eastAsia="zh-CN"/>
        </w:rPr>
        <w:t>95%；</w:t>
      </w:r>
      <w:r>
        <w:rPr>
          <w:rStyle w:val="53"/>
          <w:rFonts w:hint="eastAsia"/>
          <w:b w:val="0"/>
          <w:bCs w:val="0"/>
          <w:color w:val="auto"/>
          <w:lang w:val="en-US" w:eastAsia="zh-CN"/>
        </w:rPr>
        <w:t>完成率100%。</w:t>
      </w:r>
    </w:p>
    <w:p>
      <w:pPr>
        <w:pageBreakBefore w:val="0"/>
        <w:kinsoku/>
        <w:wordWrap/>
        <w:overflowPunct/>
        <w:topLinePunct w:val="0"/>
        <w:autoSpaceDE/>
        <w:autoSpaceDN/>
        <w:bidi w:val="0"/>
        <w:adjustRightInd/>
        <w:snapToGrid/>
        <w:spacing w:line="560" w:lineRule="exact"/>
        <w:ind w:firstLine="641"/>
        <w:textAlignment w:val="auto"/>
        <w:rPr>
          <w:rStyle w:val="53"/>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w:t>
      </w:r>
      <w:r>
        <w:rPr>
          <w:rFonts w:hint="eastAsia" w:ascii="仿宋_GB2312" w:hAnsi="仿宋_GB2312" w:eastAsia="仿宋_GB2312" w:cs="仿宋_GB2312"/>
          <w:b w:val="0"/>
          <w:bCs w:val="0"/>
          <w:kern w:val="2"/>
          <w:highlight w:val="none"/>
          <w:lang w:eastAsia="zh-CN"/>
        </w:rPr>
        <w:t>杜绝</w:t>
      </w:r>
      <w:r>
        <w:rPr>
          <w:rFonts w:hint="eastAsia" w:ascii="仿宋_GB2312" w:hAnsi="仿宋_GB2312" w:eastAsia="仿宋_GB2312" w:cs="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7"/>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8"/>
        </w:numPr>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b/>
          <w:bCs/>
          <w:kern w:val="2"/>
          <w:highlight w:val="none"/>
        </w:rPr>
      </w:pPr>
      <w:r>
        <w:rPr>
          <w:rFonts w:hint="eastAsia" w:ascii="仿宋_GB2312" w:hAnsi="仿宋_GB2312" w:eastAsia="仿宋_GB2312" w:cs="仿宋_GB2312"/>
          <w:b/>
          <w:bCs/>
          <w:kern w:val="2"/>
          <w:highlight w:val="none"/>
        </w:rPr>
        <w:t>存在的问题</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 xml:space="preserve">存在的问题是项目前期工作不全面，没有深入细致科学规划地做好各项前期工作，项目实施前期已根据项目内容设置绩效目标，但项目绩效目标级绩效指标设置过于笼统，不够细化，在实际实施绩效监控和绩效评价时较为困难。绩效目标的设置应符合量化、细化的要求。 </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2、原因分析</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 建议加强项目预算审核，要严格按照项目资金年度额度编制预算；项目预算及支出管理的科学性有待进一步提高，做好项目实施过程中资金支出与预算的比较，定期向项目实施人员了解项目执行情况，</w:t>
      </w:r>
      <w:r>
        <w:rPr>
          <w:rFonts w:hint="eastAsia" w:ascii="仿宋_GB2312" w:hAnsi="仿宋_GB2312" w:eastAsia="仿宋_GB2312" w:cs="仿宋_GB2312"/>
          <w:b w:val="0"/>
          <w:bCs w:val="0"/>
          <w:kern w:val="2"/>
          <w:sz w:val="32"/>
          <w:szCs w:val="32"/>
          <w:highlight w:val="none"/>
          <w:lang w:val="en-US" w:eastAsia="zh-CN" w:bidi="ar-SA"/>
        </w:rPr>
        <w:t>更好地提高</w:t>
      </w:r>
      <w:r>
        <w:rPr>
          <w:rFonts w:hint="eastAsia" w:ascii="仿宋_GB2312" w:hAnsi="仿宋_GB2312" w:eastAsia="仿宋_GB2312" w:cs="仿宋_GB2312"/>
          <w:b w:val="0"/>
          <w:bCs w:val="0"/>
          <w:kern w:val="2"/>
          <w:sz w:val="32"/>
          <w:szCs w:val="32"/>
          <w:lang w:val="en-US" w:eastAsia="zh-CN" w:bidi="ar-SA"/>
        </w:rPr>
        <w:t>资金使用效率。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 建议在进行绩效目标设定时，考虑成本指标的设置，社会效益指标的可衡量性，及时对项目运行情况进行监控，真正做到预算编制有目标、预算执行有跟踪监控、预算完成有评价、评价结果有反馈、反馈结果有应用。</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lang w:val="en-US" w:eastAsia="zh-CN"/>
        </w:rPr>
      </w:pPr>
      <w:r>
        <w:rPr>
          <w:rFonts w:hint="eastAsia" w:ascii="仿宋_GB2312" w:hAnsi="仿宋_GB2312" w:eastAsia="仿宋_GB2312" w:cs="仿宋_GB2312"/>
          <w:b w:val="0"/>
          <w:bCs w:val="0"/>
          <w:kern w:val="2"/>
          <w:sz w:val="32"/>
          <w:szCs w:val="32"/>
          <w:lang w:val="en-US" w:eastAsia="zh-CN" w:bidi="ar-SA"/>
        </w:rPr>
        <w:t>3. 绩效是一项综合性、专业性较强系统工作，财务部门仅对资金的使用情况掌握，对项目具体情况及其实施情况了解甚少。建议绩效工作应当由单位业务科室负责，可以协调单位内部各科室，一般对项目建设和资金情况都比较掌握。</w:t>
      </w:r>
    </w:p>
    <w:p>
      <w:pPr>
        <w:pageBreakBefore w:val="0"/>
        <w:numPr>
          <w:ilvl w:val="0"/>
          <w:numId w:val="9"/>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10"/>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10"/>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highlight w:val="none"/>
          <w:lang w:eastAsia="zh-CN"/>
        </w:rPr>
        <w:t>报账</w:t>
      </w:r>
      <w:r>
        <w:rPr>
          <w:rFonts w:hint="eastAsia" w:ascii="仿宋_GB2312" w:hAnsi="仿宋_GB2312" w:eastAsia="仿宋_GB2312" w:cs="仿宋_GB2312"/>
          <w:sz w:val="32"/>
          <w:szCs w:val="32"/>
        </w:rPr>
        <w:t>，从而确保专项资金专款专用，有效地防止了截留、挤占和挪用。</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3、监督抽检需要有时限性，对产品的检验有时节性，一是建议每年年初下拨经费；二是建议地区财政能简化购买服务程序，依据监督抽查文件执行拨付经费。</w:t>
      </w:r>
    </w:p>
    <w:p>
      <w:pPr>
        <w:pageBreakBefore w:val="0"/>
        <w:numPr>
          <w:ilvl w:val="0"/>
          <w:numId w:val="9"/>
        </w:numPr>
        <w:kinsoku/>
        <w:wordWrap/>
        <w:overflowPunct/>
        <w:topLinePunct w:val="0"/>
        <w:autoSpaceDE/>
        <w:autoSpaceDN/>
        <w:bidi w:val="0"/>
        <w:adjustRightInd/>
        <w:snapToGrid/>
        <w:spacing w:line="560" w:lineRule="exact"/>
        <w:ind w:firstLine="641"/>
        <w:textAlignment w:val="auto"/>
        <w:rPr>
          <w:rFonts w:ascii="黑体" w:hAnsi="黑体" w:eastAsia="黑体"/>
          <w:b/>
          <w:bCs/>
          <w:sz w:val="32"/>
          <w:szCs w:val="32"/>
        </w:rPr>
      </w:pP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Style w:val="18"/>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无。</w:t>
      </w:r>
    </w:p>
    <w:p>
      <w:pPr>
        <w:pStyle w:val="2"/>
        <w:rPr>
          <w:rFonts w:hint="eastAsia" w:ascii="黑体" w:hAnsi="黑体" w:eastAsia="黑体"/>
          <w:sz w:val="32"/>
          <w:szCs w:val="32"/>
        </w:rPr>
      </w:pPr>
    </w:p>
    <w:p>
      <w:pPr>
        <w:rPr>
          <w:rFonts w:hint="eastAsia" w:ascii="黑体" w:hAnsi="黑体" w:eastAsia="黑体"/>
          <w:sz w:val="32"/>
          <w:szCs w:val="32"/>
        </w:rPr>
      </w:pPr>
    </w:p>
    <w:p>
      <w:pPr>
        <w:pStyle w:val="2"/>
        <w:rPr>
          <w:rFonts w:hint="eastAsia" w:ascii="黑体" w:hAnsi="黑体" w:eastAsia="黑体"/>
          <w:sz w:val="32"/>
          <w:szCs w:val="32"/>
        </w:rPr>
      </w:pPr>
    </w:p>
    <w:p/>
    <w:p>
      <w:pPr>
        <w:pStyle w:val="2"/>
        <w:rPr>
          <w:rFonts w:hint="eastAsia" w:ascii="黑体" w:hAnsi="黑体" w:eastAsia="黑体"/>
          <w:sz w:val="32"/>
          <w:szCs w:val="32"/>
        </w:rPr>
      </w:pPr>
    </w:p>
    <w:p>
      <w:pPr>
        <w:rPr>
          <w:rFonts w:hint="eastAsia" w:ascii="黑体" w:hAnsi="黑体" w:eastAsia="黑体"/>
          <w:sz w:val="32"/>
          <w:szCs w:val="32"/>
        </w:rPr>
      </w:pPr>
    </w:p>
    <w:p>
      <w:pPr>
        <w:pStyle w:val="2"/>
        <w:rPr>
          <w:rFonts w:hint="eastAsia" w:ascii="黑体" w:hAnsi="黑体" w:eastAsia="黑体"/>
          <w:sz w:val="32"/>
          <w:szCs w:val="32"/>
        </w:rPr>
      </w:pPr>
    </w:p>
    <w:p>
      <w:pPr>
        <w:rPr>
          <w:rFonts w:hint="eastAsia" w:ascii="黑体" w:hAnsi="黑体" w:eastAsia="黑体"/>
          <w:sz w:val="32"/>
          <w:szCs w:val="32"/>
        </w:rPr>
      </w:pPr>
    </w:p>
    <w:p>
      <w:pPr>
        <w:pStyle w:val="2"/>
        <w:rPr>
          <w:rFonts w:hint="eastAsia" w:ascii="黑体" w:hAnsi="黑体" w:eastAsia="黑体"/>
          <w:sz w:val="32"/>
          <w:szCs w:val="32"/>
        </w:rPr>
      </w:pPr>
    </w:p>
    <w:p>
      <w:pPr>
        <w:rPr>
          <w:rFonts w:hint="eastAsia" w:ascii="黑体" w:hAnsi="黑体" w:eastAsia="黑体"/>
          <w:sz w:val="32"/>
          <w:szCs w:val="32"/>
        </w:rPr>
      </w:pPr>
    </w:p>
    <w:p>
      <w:pPr>
        <w:pStyle w:val="2"/>
        <w:rPr>
          <w:rFonts w:hint="eastAsia" w:ascii="黑体" w:hAnsi="黑体" w:eastAsia="黑体"/>
          <w:sz w:val="32"/>
          <w:szCs w:val="32"/>
        </w:rPr>
      </w:pPr>
    </w:p>
    <w:p>
      <w:pPr>
        <w:rPr>
          <w:rFonts w:hint="eastAsia" w:ascii="黑体" w:hAnsi="黑体" w:eastAsia="黑体"/>
          <w:sz w:val="32"/>
          <w:szCs w:val="32"/>
        </w:rPr>
      </w:pPr>
    </w:p>
    <w:tbl>
      <w:tblPr>
        <w:tblStyle w:val="21"/>
        <w:tblW w:w="9345" w:type="dxa"/>
        <w:tblInd w:w="0" w:type="dxa"/>
        <w:shd w:val="clear" w:color="auto" w:fill="auto"/>
        <w:tblLayout w:type="autofit"/>
        <w:tblCellMar>
          <w:top w:w="0" w:type="dxa"/>
          <w:left w:w="0" w:type="dxa"/>
          <w:bottom w:w="0" w:type="dxa"/>
          <w:right w:w="0" w:type="dxa"/>
        </w:tblCellMar>
      </w:tblPr>
      <w:tblGrid>
        <w:gridCol w:w="840"/>
        <w:gridCol w:w="840"/>
        <w:gridCol w:w="840"/>
        <w:gridCol w:w="840"/>
        <w:gridCol w:w="840"/>
        <w:gridCol w:w="840"/>
        <w:gridCol w:w="840"/>
        <w:gridCol w:w="1485"/>
        <w:gridCol w:w="495"/>
        <w:gridCol w:w="1485"/>
      </w:tblGrid>
      <w:tr>
        <w:tblPrEx>
          <w:shd w:val="clear" w:color="auto" w:fill="auto"/>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6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食品生产、经营监管、产品质量及食品安全监督抽检</w:t>
            </w:r>
          </w:p>
        </w:tc>
      </w:tr>
      <w:tr>
        <w:tblPrEx>
          <w:shd w:val="clear" w:color="auto" w:fill="auto"/>
          <w:tblCellMar>
            <w:top w:w="0" w:type="dxa"/>
            <w:left w:w="0" w:type="dxa"/>
            <w:bottom w:w="0" w:type="dxa"/>
            <w:right w:w="0" w:type="dxa"/>
          </w:tblCellMar>
        </w:tblPrEx>
        <w:trPr>
          <w:trHeight w:val="56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w:t>
            </w:r>
            <w:r>
              <w:rPr>
                <w:rFonts w:hint="eastAsia" w:ascii="宋体" w:hAnsi="宋体" w:cs="宋体"/>
                <w:i w:val="0"/>
                <w:color w:val="000000"/>
                <w:kern w:val="0"/>
                <w:sz w:val="18"/>
                <w:szCs w:val="18"/>
                <w:u w:val="none"/>
                <w:lang w:val="en-US" w:eastAsia="zh-CN" w:bidi="ar"/>
              </w:rPr>
              <w:t>市场监督管理</w:t>
            </w:r>
            <w:r>
              <w:rPr>
                <w:rFonts w:hint="eastAsia" w:ascii="宋体" w:hAnsi="宋体" w:eastAsia="宋体" w:cs="宋体"/>
                <w:i w:val="0"/>
                <w:color w:val="000000"/>
                <w:kern w:val="0"/>
                <w:sz w:val="18"/>
                <w:szCs w:val="18"/>
                <w:u w:val="none"/>
                <w:lang w:val="en-US" w:eastAsia="zh-CN" w:bidi="ar"/>
              </w:rPr>
              <w:t>局</w:t>
            </w:r>
          </w:p>
        </w:tc>
      </w:tr>
      <w:tr>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244.51</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237.29</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237.29</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244.51</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237.29</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237.29</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222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是积极开展抽检工作，完成年度绩效目标，食用农产品和餐饮制品抽检707批次；地产食品抽检95批次；农资产品抽检117批次；建筑主体材料抽检49批次。二是加强重点项目的抽检工作，及时发现食品安全、工业产品质量安全隐患，产品安全重大事故发生率0%。三是进行服务对象满意度调查民众对食品安全、工业产品质量安全综合满意度达95%以上。</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是积极开展抽检工作，完成年度绩效目标，食用农产品和餐饮制品抽检707批次；地产食品抽检95批次；农资产品抽检117批次；建筑主体材料抽检49批次。二是加强重点项目的抽检工作，及时发现食品安全、工业产品质量安全隐患，产品安全重大事故发生率0%。三是进行服务对象满意度调查民众对食品安全、工业产品质量安全综合满意度达95%以上。</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9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食用农产品和餐饮制品（批次）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≥700批次</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707批次</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滴灌带产品（批次）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≥100批次</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101批次</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地膜产品（批次）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≥15批次</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16批次</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建筑主体材料（批次）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≥45批次</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49批次</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任务完成率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5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任务完成时间</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≥2020.01月&amp;&amp;≤2020.12月</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食品监督、抽检检验成本工业产品监工业产品监督</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≤185万元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181.4万元</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影响，监督检查减少，差旅费减少</w:t>
            </w:r>
          </w:p>
        </w:tc>
      </w:tr>
      <w:tr>
        <w:tblPrEx>
          <w:shd w:val="clear" w:color="auto" w:fill="auto"/>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监督检查运行成本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≤59.51万元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55.91万元</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w:t>
            </w:r>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影响，监督检查减少，差旅费减少</w:t>
            </w:r>
          </w:p>
        </w:tc>
      </w:tr>
      <w:tr>
        <w:tblPrEx>
          <w:tblCellMar>
            <w:top w:w="0" w:type="dxa"/>
            <w:left w:w="0" w:type="dxa"/>
            <w:bottom w:w="0" w:type="dxa"/>
            <w:right w:w="0" w:type="dxa"/>
          </w:tblCellMar>
        </w:tblPrEx>
        <w:trPr>
          <w:trHeight w:val="120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加强食品安全、工业产品质量安全监督抽检和日常监管力度，确保产品安全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8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改善食品环境,提升产品质量安全，提高质量管理水平</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8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增强食品经营者、产品生产企业的自律意识和责任意识</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逐步提高</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社会公众满意度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2"/>
        <w:rPr>
          <w:rFonts w:hint="eastAsia"/>
        </w:rPr>
      </w:pPr>
    </w:p>
    <w:p>
      <w:pPr>
        <w:pStyle w:val="2"/>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1"/>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w:t>
            </w:r>
            <w:r>
              <w:rPr>
                <w:rFonts w:hint="eastAsia" w:ascii="宋体" w:hAnsi="宋体" w:eastAsia="宋体" w:cs="宋体"/>
                <w:color w:val="000000"/>
                <w:kern w:val="0"/>
                <w:sz w:val="18"/>
                <w:szCs w:val="18"/>
                <w:highlight w:val="none"/>
              </w:rPr>
              <w:t>实施的保障</w:t>
            </w:r>
            <w:r>
              <w:rPr>
                <w:rFonts w:hint="eastAsia" w:ascii="宋体" w:hAnsi="宋体" w:eastAsia="宋体" w:cs="宋体"/>
                <w:color w:val="000000"/>
                <w:kern w:val="0"/>
                <w:sz w:val="18"/>
                <w:szCs w:val="18"/>
              </w:rPr>
              <w:t>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30</w:t>
            </w:r>
          </w:p>
        </w:tc>
        <w:tc>
          <w:tcPr>
            <w:tcW w:w="136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363"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bl>
    <w:p>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宋体" w:hAnsi="宋体" w:eastAsia="宋体" w:cs="宋体"/>
          <w:sz w:val="18"/>
          <w:szCs w:val="18"/>
          <w:lang w:val="en-US" w:eastAsia="zh-CN"/>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3"/>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3"/>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3"/>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3"/>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3"/>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23"/>
          <w:rFonts w:hint="eastAsia" w:ascii="宋体" w:hAnsi="宋体" w:eastAsia="宋体" w:cs="宋体"/>
          <w:bCs w:val="0"/>
          <w:spacing w:val="-4"/>
          <w:sz w:val="18"/>
          <w:szCs w:val="18"/>
        </w:rPr>
      </w:pPr>
    </w:p>
    <w:p>
      <w:pPr>
        <w:keepNext w:val="0"/>
        <w:keepLines w:val="0"/>
        <w:pageBreakBefore w:val="0"/>
        <w:kinsoku/>
        <w:wordWrap/>
        <w:overflowPunct/>
        <w:topLinePunct w:val="0"/>
        <w:autoSpaceDE/>
        <w:autoSpaceDN/>
        <w:bidi w:val="0"/>
        <w:adjustRightInd/>
        <w:snapToGrid/>
        <w:spacing w:line="560" w:lineRule="exact"/>
        <w:textAlignment w:val="auto"/>
        <w:rPr>
          <w:rStyle w:val="23"/>
          <w:rFonts w:hint="eastAsia" w:ascii="宋体" w:hAnsi="宋体" w:eastAsia="宋体" w:cs="宋体"/>
          <w:b w:val="0"/>
          <w:spacing w:val="-4"/>
          <w:sz w:val="18"/>
          <w:szCs w:val="18"/>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DCF5497"/>
    <w:multiLevelType w:val="singleLevel"/>
    <w:tmpl w:val="EDCF5497"/>
    <w:lvl w:ilvl="0" w:tentative="0">
      <w:start w:val="1"/>
      <w:numFmt w:val="decimal"/>
      <w:lvlText w:val="%1."/>
      <w:lvlJc w:val="left"/>
      <w:pPr>
        <w:tabs>
          <w:tab w:val="left" w:pos="312"/>
        </w:tabs>
      </w:pPr>
    </w:lvl>
  </w:abstractNum>
  <w:abstractNum w:abstractNumId="3">
    <w:nsid w:val="EE5C6BF8"/>
    <w:multiLevelType w:val="singleLevel"/>
    <w:tmpl w:val="EE5C6BF8"/>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25700EEF"/>
    <w:multiLevelType w:val="singleLevel"/>
    <w:tmpl w:val="25700EEF"/>
    <w:lvl w:ilvl="0" w:tentative="0">
      <w:start w:val="1"/>
      <w:numFmt w:val="decimal"/>
      <w:suff w:val="nothing"/>
      <w:lvlText w:val="%1、"/>
      <w:lvlJc w:val="left"/>
    </w:lvl>
  </w:abstractNum>
  <w:abstractNum w:abstractNumId="8">
    <w:nsid w:val="3730CCE4"/>
    <w:multiLevelType w:val="singleLevel"/>
    <w:tmpl w:val="3730CCE4"/>
    <w:lvl w:ilvl="0" w:tentative="0">
      <w:start w:val="2"/>
      <w:numFmt w:val="decimal"/>
      <w:suff w:val="nothing"/>
      <w:lvlText w:val="（%1）"/>
      <w:lvlJc w:val="left"/>
    </w:lvl>
  </w:abstractNum>
  <w:abstractNum w:abstractNumId="9">
    <w:nsid w:val="6FAA0AB1"/>
    <w:multiLevelType w:val="singleLevel"/>
    <w:tmpl w:val="6FAA0AB1"/>
    <w:lvl w:ilvl="0" w:tentative="0">
      <w:start w:val="2"/>
      <w:numFmt w:val="chineseCounting"/>
      <w:suff w:val="nothing"/>
      <w:lvlText w:val="（%1）"/>
      <w:lvlJc w:val="left"/>
      <w:rPr>
        <w:rFonts w:hint="eastAsia"/>
      </w:rPr>
    </w:lvl>
  </w:abstractNum>
  <w:num w:numId="1">
    <w:abstractNumId w:val="8"/>
  </w:num>
  <w:num w:numId="2">
    <w:abstractNumId w:val="3"/>
  </w:num>
  <w:num w:numId="3">
    <w:abstractNumId w:val="1"/>
  </w:num>
  <w:num w:numId="4">
    <w:abstractNumId w:val="6"/>
  </w:num>
  <w:num w:numId="5">
    <w:abstractNumId w:val="9"/>
  </w:num>
  <w:num w:numId="6">
    <w:abstractNumId w:val="2"/>
  </w:num>
  <w:num w:numId="7">
    <w:abstractNumId w:val="5"/>
  </w:num>
  <w:num w:numId="8">
    <w:abstractNumId w:val="7"/>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4A05DA3"/>
    <w:rsid w:val="051A56F5"/>
    <w:rsid w:val="066D6EAA"/>
    <w:rsid w:val="08C662D4"/>
    <w:rsid w:val="09BD4D95"/>
    <w:rsid w:val="0F8D41CB"/>
    <w:rsid w:val="11C75270"/>
    <w:rsid w:val="11C94C12"/>
    <w:rsid w:val="12637CC3"/>
    <w:rsid w:val="12E657C5"/>
    <w:rsid w:val="154A4AB9"/>
    <w:rsid w:val="167C7687"/>
    <w:rsid w:val="168B3546"/>
    <w:rsid w:val="177D281D"/>
    <w:rsid w:val="1852380F"/>
    <w:rsid w:val="1A2374E0"/>
    <w:rsid w:val="1C317CE2"/>
    <w:rsid w:val="1D187BAA"/>
    <w:rsid w:val="1DD45808"/>
    <w:rsid w:val="1DED42AC"/>
    <w:rsid w:val="1F06296F"/>
    <w:rsid w:val="1F85136D"/>
    <w:rsid w:val="20005763"/>
    <w:rsid w:val="20FB313D"/>
    <w:rsid w:val="21213E58"/>
    <w:rsid w:val="218375ED"/>
    <w:rsid w:val="220B4804"/>
    <w:rsid w:val="22D174E5"/>
    <w:rsid w:val="23704858"/>
    <w:rsid w:val="24A00020"/>
    <w:rsid w:val="254F7A3B"/>
    <w:rsid w:val="282475E3"/>
    <w:rsid w:val="2C6100C1"/>
    <w:rsid w:val="3264220D"/>
    <w:rsid w:val="328A2FC9"/>
    <w:rsid w:val="330A46A5"/>
    <w:rsid w:val="367A3B5C"/>
    <w:rsid w:val="372205A3"/>
    <w:rsid w:val="3963178C"/>
    <w:rsid w:val="3A097818"/>
    <w:rsid w:val="3A5F7BC9"/>
    <w:rsid w:val="3B933920"/>
    <w:rsid w:val="40E32A1D"/>
    <w:rsid w:val="41CC2676"/>
    <w:rsid w:val="435D78EF"/>
    <w:rsid w:val="46B21672"/>
    <w:rsid w:val="4CDA310A"/>
    <w:rsid w:val="4CE51851"/>
    <w:rsid w:val="4DF32B86"/>
    <w:rsid w:val="4F552460"/>
    <w:rsid w:val="4FCC6863"/>
    <w:rsid w:val="500A214A"/>
    <w:rsid w:val="51ED588F"/>
    <w:rsid w:val="522D604D"/>
    <w:rsid w:val="5297585E"/>
    <w:rsid w:val="52AD7D6F"/>
    <w:rsid w:val="54703BA9"/>
    <w:rsid w:val="5549519D"/>
    <w:rsid w:val="5557596B"/>
    <w:rsid w:val="5B596DFC"/>
    <w:rsid w:val="5C2B6893"/>
    <w:rsid w:val="5DF03945"/>
    <w:rsid w:val="5F7660C3"/>
    <w:rsid w:val="62CC78BC"/>
    <w:rsid w:val="637C2815"/>
    <w:rsid w:val="654A0037"/>
    <w:rsid w:val="66257B8E"/>
    <w:rsid w:val="71A252FF"/>
    <w:rsid w:val="7766593A"/>
    <w:rsid w:val="78122614"/>
    <w:rsid w:val="784D298E"/>
    <w:rsid w:val="7A353D0B"/>
    <w:rsid w:val="7BA074EE"/>
    <w:rsid w:val="7BDA65C0"/>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51"/>
    <w:semiHidden/>
    <w:unhideWhenUsed/>
    <w:qFormat/>
    <w:uiPriority w:val="99"/>
    <w:rPr>
      <w:sz w:val="18"/>
      <w:szCs w:val="18"/>
    </w:rPr>
  </w:style>
  <w:style w:type="paragraph" w:styleId="15">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8">
    <w:name w:val="HTML Preformatted"/>
    <w:basedOn w:val="1"/>
    <w:qFormat/>
    <w:uiPriority w:val="0"/>
    <w:rPr>
      <w:rFonts w:ascii="Courier New" w:hAnsi="Courier New" w:cs="Courier New"/>
      <w:sz w:val="20"/>
      <w:szCs w:val="20"/>
    </w:rPr>
  </w:style>
  <w:style w:type="paragraph" w:styleId="19">
    <w:name w:val="Normal (Web)"/>
    <w:basedOn w:val="1"/>
    <w:qFormat/>
    <w:uiPriority w:val="99"/>
    <w:pPr>
      <w:spacing w:before="100" w:beforeAutospacing="1" w:after="100" w:afterAutospacing="1"/>
      <w:jc w:val="left"/>
    </w:pPr>
    <w:rPr>
      <w:sz w:val="24"/>
      <w:lang w:bidi="ar"/>
    </w:rPr>
  </w:style>
  <w:style w:type="paragraph" w:styleId="20">
    <w:name w:val="Body Text First Indent"/>
    <w:basedOn w:val="13"/>
    <w:qFormat/>
    <w:uiPriority w:val="0"/>
    <w:pPr>
      <w:spacing w:after="0"/>
      <w:ind w:firstLine="20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styleId="25">
    <w:name w:val="Hyperlink"/>
    <w:basedOn w:val="22"/>
    <w:semiHidden/>
    <w:unhideWhenUsed/>
    <w:qFormat/>
    <w:uiPriority w:val="99"/>
    <w:rPr>
      <w:color w:val="000000"/>
      <w:u w:val="none"/>
    </w:rPr>
  </w:style>
  <w:style w:type="character" w:customStyle="1" w:styleId="26">
    <w:name w:val="标题 1 字符"/>
    <w:basedOn w:val="22"/>
    <w:link w:val="3"/>
    <w:qFormat/>
    <w:uiPriority w:val="9"/>
    <w:rPr>
      <w:rFonts w:asciiTheme="majorHAnsi" w:hAnsiTheme="majorHAnsi" w:eastAsiaTheme="majorEastAsia"/>
      <w:b/>
      <w:bCs/>
      <w:kern w:val="32"/>
      <w:sz w:val="32"/>
      <w:szCs w:val="32"/>
    </w:rPr>
  </w:style>
  <w:style w:type="character" w:customStyle="1" w:styleId="27">
    <w:name w:val="标题 2 字符"/>
    <w:basedOn w:val="22"/>
    <w:link w:val="4"/>
    <w:semiHidden/>
    <w:qFormat/>
    <w:uiPriority w:val="9"/>
    <w:rPr>
      <w:rFonts w:asciiTheme="majorHAnsi" w:hAnsiTheme="majorHAnsi" w:eastAsiaTheme="majorEastAsia"/>
      <w:b/>
      <w:bCs/>
      <w:i/>
      <w:iCs/>
      <w:sz w:val="28"/>
      <w:szCs w:val="28"/>
    </w:rPr>
  </w:style>
  <w:style w:type="character" w:customStyle="1" w:styleId="28">
    <w:name w:val="标题 3 字符"/>
    <w:basedOn w:val="22"/>
    <w:link w:val="5"/>
    <w:semiHidden/>
    <w:qFormat/>
    <w:uiPriority w:val="9"/>
    <w:rPr>
      <w:rFonts w:asciiTheme="majorHAnsi" w:hAnsiTheme="majorHAnsi" w:eastAsiaTheme="majorEastAsia"/>
      <w:b/>
      <w:bCs/>
      <w:sz w:val="26"/>
      <w:szCs w:val="26"/>
    </w:rPr>
  </w:style>
  <w:style w:type="character" w:customStyle="1" w:styleId="29">
    <w:name w:val="标题 4 字符"/>
    <w:basedOn w:val="22"/>
    <w:link w:val="6"/>
    <w:semiHidden/>
    <w:qFormat/>
    <w:uiPriority w:val="9"/>
    <w:rPr>
      <w:b/>
      <w:bCs/>
      <w:sz w:val="28"/>
      <w:szCs w:val="28"/>
    </w:rPr>
  </w:style>
  <w:style w:type="character" w:customStyle="1" w:styleId="30">
    <w:name w:val="标题 5 字符"/>
    <w:basedOn w:val="22"/>
    <w:link w:val="7"/>
    <w:semiHidden/>
    <w:qFormat/>
    <w:uiPriority w:val="9"/>
    <w:rPr>
      <w:b/>
      <w:bCs/>
      <w:i/>
      <w:iCs/>
      <w:sz w:val="26"/>
      <w:szCs w:val="26"/>
    </w:rPr>
  </w:style>
  <w:style w:type="character" w:customStyle="1" w:styleId="31">
    <w:name w:val="标题 6 字符"/>
    <w:basedOn w:val="22"/>
    <w:link w:val="8"/>
    <w:semiHidden/>
    <w:qFormat/>
    <w:uiPriority w:val="9"/>
    <w:rPr>
      <w:b/>
      <w:bCs/>
    </w:rPr>
  </w:style>
  <w:style w:type="character" w:customStyle="1" w:styleId="32">
    <w:name w:val="标题 7 字符"/>
    <w:basedOn w:val="22"/>
    <w:link w:val="9"/>
    <w:semiHidden/>
    <w:qFormat/>
    <w:uiPriority w:val="9"/>
    <w:rPr>
      <w:sz w:val="24"/>
      <w:szCs w:val="24"/>
    </w:rPr>
  </w:style>
  <w:style w:type="character" w:customStyle="1" w:styleId="33">
    <w:name w:val="标题 8 字符"/>
    <w:basedOn w:val="22"/>
    <w:link w:val="10"/>
    <w:semiHidden/>
    <w:qFormat/>
    <w:uiPriority w:val="9"/>
    <w:rPr>
      <w:i/>
      <w:iCs/>
      <w:sz w:val="24"/>
      <w:szCs w:val="24"/>
    </w:rPr>
  </w:style>
  <w:style w:type="character" w:customStyle="1" w:styleId="34">
    <w:name w:val="标题 9 字符"/>
    <w:basedOn w:val="22"/>
    <w:link w:val="11"/>
    <w:semiHidden/>
    <w:qFormat/>
    <w:uiPriority w:val="9"/>
    <w:rPr>
      <w:rFonts w:asciiTheme="majorHAnsi" w:hAnsiTheme="majorHAnsi" w:eastAsiaTheme="majorEastAsia"/>
    </w:rPr>
  </w:style>
  <w:style w:type="character" w:customStyle="1" w:styleId="35">
    <w:name w:val="标题 字符"/>
    <w:basedOn w:val="22"/>
    <w:link w:val="2"/>
    <w:qFormat/>
    <w:uiPriority w:val="10"/>
    <w:rPr>
      <w:rFonts w:asciiTheme="majorHAnsi" w:hAnsiTheme="majorHAnsi" w:eastAsiaTheme="majorEastAsia"/>
      <w:b/>
      <w:bCs/>
      <w:kern w:val="28"/>
      <w:sz w:val="32"/>
      <w:szCs w:val="32"/>
    </w:rPr>
  </w:style>
  <w:style w:type="character" w:customStyle="1" w:styleId="36">
    <w:name w:val="副标题 字符"/>
    <w:basedOn w:val="22"/>
    <w:link w:val="17"/>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2"/>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2"/>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2"/>
    <w:qFormat/>
    <w:uiPriority w:val="21"/>
    <w:rPr>
      <w:b/>
      <w:i/>
      <w:sz w:val="24"/>
      <w:szCs w:val="24"/>
      <w:u w:val="single"/>
    </w:rPr>
  </w:style>
  <w:style w:type="character" w:customStyle="1" w:styleId="45">
    <w:name w:val="不明显参考1"/>
    <w:basedOn w:val="22"/>
    <w:qFormat/>
    <w:uiPriority w:val="31"/>
    <w:rPr>
      <w:sz w:val="24"/>
      <w:szCs w:val="24"/>
      <w:u w:val="single"/>
    </w:rPr>
  </w:style>
  <w:style w:type="character" w:customStyle="1" w:styleId="46">
    <w:name w:val="明显参考1"/>
    <w:basedOn w:val="22"/>
    <w:qFormat/>
    <w:uiPriority w:val="32"/>
    <w:rPr>
      <w:b/>
      <w:sz w:val="24"/>
      <w:u w:val="single"/>
    </w:rPr>
  </w:style>
  <w:style w:type="character" w:customStyle="1" w:styleId="47">
    <w:name w:val="书籍标题1"/>
    <w:basedOn w:val="22"/>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2"/>
    <w:link w:val="16"/>
    <w:qFormat/>
    <w:uiPriority w:val="99"/>
    <w:rPr>
      <w:rFonts w:ascii="Calibri" w:hAnsi="Calibri" w:eastAsia="宋体"/>
      <w:kern w:val="2"/>
      <w:sz w:val="18"/>
      <w:szCs w:val="18"/>
    </w:rPr>
  </w:style>
  <w:style w:type="character" w:customStyle="1" w:styleId="50">
    <w:name w:val="页脚 字符"/>
    <w:basedOn w:val="22"/>
    <w:link w:val="15"/>
    <w:qFormat/>
    <w:uiPriority w:val="99"/>
    <w:rPr>
      <w:rFonts w:ascii="Calibri" w:hAnsi="Calibri" w:eastAsia="宋体"/>
      <w:kern w:val="2"/>
      <w:sz w:val="18"/>
      <w:szCs w:val="18"/>
    </w:rPr>
  </w:style>
  <w:style w:type="character" w:customStyle="1" w:styleId="51">
    <w:name w:val="批注框文本 字符"/>
    <w:basedOn w:val="22"/>
    <w:link w:val="14"/>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character" w:customStyle="1" w:styleId="54">
    <w:name w:val="generationdaily_btn"/>
    <w:basedOn w:val="22"/>
    <w:qFormat/>
    <w:uiPriority w:val="0"/>
  </w:style>
  <w:style w:type="character" w:customStyle="1" w:styleId="55">
    <w:name w:val="ryeard_btn"/>
    <w:basedOn w:val="22"/>
    <w:qFormat/>
    <w:uiPriority w:val="0"/>
  </w:style>
  <w:style w:type="character" w:customStyle="1" w:styleId="56">
    <w:name w:val="autocertificate_btn"/>
    <w:basedOn w:val="22"/>
    <w:qFormat/>
    <w:uiPriority w:val="0"/>
    <w:rPr>
      <w:color w:val="000000"/>
    </w:rPr>
  </w:style>
  <w:style w:type="character" w:customStyle="1" w:styleId="57">
    <w:name w:val="renode_btn"/>
    <w:basedOn w:val="22"/>
    <w:qFormat/>
    <w:uiPriority w:val="0"/>
  </w:style>
  <w:style w:type="character" w:customStyle="1" w:styleId="58">
    <w:name w:val="rmond_btn"/>
    <w:basedOn w:val="22"/>
    <w:qFormat/>
    <w:uiPriority w:val="0"/>
  </w:style>
  <w:style w:type="character" w:customStyle="1" w:styleId="59">
    <w:name w:val="ismodify_btn"/>
    <w:basedOn w:val="22"/>
    <w:qFormat/>
    <w:uiPriority w:val="0"/>
  </w:style>
  <w:style w:type="character" w:customStyle="1" w:styleId="60">
    <w:name w:val="toaudit_btn"/>
    <w:basedOn w:val="22"/>
    <w:qFormat/>
    <w:uiPriority w:val="0"/>
  </w:style>
  <w:style w:type="character" w:customStyle="1" w:styleId="61">
    <w:name w:val="flip_btn"/>
    <w:basedOn w:val="22"/>
    <w:qFormat/>
    <w:uiPriority w:val="0"/>
  </w:style>
  <w:style w:type="character" w:customStyle="1" w:styleId="62">
    <w:name w:val="vchshow_btn"/>
    <w:basedOn w:val="22"/>
    <w:qFormat/>
    <w:uiPriority w:val="0"/>
  </w:style>
  <w:style w:type="character" w:customStyle="1" w:styleId="63">
    <w:name w:val="monthav_btn"/>
    <w:basedOn w:val="22"/>
    <w:qFormat/>
    <w:uiPriority w:val="0"/>
  </w:style>
  <w:style w:type="character" w:customStyle="1" w:styleId="64">
    <w:name w:val="helpnotice_btn"/>
    <w:basedOn w:val="22"/>
    <w:qFormat/>
    <w:uiPriority w:val="0"/>
  </w:style>
  <w:style w:type="character" w:customStyle="1" w:styleId="65">
    <w:name w:val="view_btn"/>
    <w:basedOn w:val="22"/>
    <w:qFormat/>
    <w:uiPriority w:val="0"/>
  </w:style>
  <w:style w:type="character" w:customStyle="1" w:styleId="66">
    <w:name w:val="d_out_btn"/>
    <w:basedOn w:val="22"/>
    <w:qFormat/>
    <w:uiPriority w:val="0"/>
  </w:style>
  <w:style w:type="character" w:customStyle="1" w:styleId="67">
    <w:name w:val="neededdone_btn"/>
    <w:basedOn w:val="22"/>
    <w:qFormat/>
    <w:uiPriority w:val="0"/>
  </w:style>
  <w:style w:type="character" w:customStyle="1" w:styleId="68">
    <w:name w:val="totrace_btn"/>
    <w:basedOn w:val="22"/>
    <w:qFormat/>
    <w:uiPriority w:val="0"/>
  </w:style>
  <w:style w:type="character" w:customStyle="1" w:styleId="69">
    <w:name w:val="assetmaintenance_btn"/>
    <w:basedOn w:val="22"/>
    <w:qFormat/>
    <w:uiPriority w:val="0"/>
  </w:style>
  <w:style w:type="character" w:customStyle="1" w:styleId="70">
    <w:name w:val="drop_btn"/>
    <w:basedOn w:val="22"/>
    <w:qFormat/>
    <w:uiPriority w:val="0"/>
  </w:style>
  <w:style w:type="character" w:customStyle="1" w:styleId="71">
    <w:name w:val="returnlastpage_btn"/>
    <w:basedOn w:val="22"/>
    <w:qFormat/>
    <w:uiPriority w:val="0"/>
  </w:style>
  <w:style w:type="character" w:customStyle="1" w:styleId="72">
    <w:name w:val="chuanchu_btn"/>
    <w:basedOn w:val="22"/>
    <w:qFormat/>
    <w:uiPriority w:val="0"/>
  </w:style>
  <w:style w:type="character" w:customStyle="1" w:styleId="73">
    <w:name w:val="clear_btn"/>
    <w:basedOn w:val="22"/>
    <w:qFormat/>
    <w:uiPriority w:val="0"/>
  </w:style>
  <w:style w:type="character" w:customStyle="1" w:styleId="74">
    <w:name w:val="tobottom_btn"/>
    <w:basedOn w:val="22"/>
    <w:qFormat/>
    <w:uiPriority w:val="0"/>
  </w:style>
  <w:style w:type="character" w:customStyle="1" w:styleId="75">
    <w:name w:val="sourceonly_btn"/>
    <w:basedOn w:val="22"/>
    <w:qFormat/>
    <w:uiPriority w:val="0"/>
  </w:style>
  <w:style w:type="character" w:customStyle="1" w:styleId="76">
    <w:name w:val="noreturn_btn"/>
    <w:basedOn w:val="22"/>
    <w:qFormat/>
    <w:uiPriority w:val="0"/>
  </w:style>
  <w:style w:type="character" w:customStyle="1" w:styleId="77">
    <w:name w:val="setlegend_btn"/>
    <w:basedOn w:val="22"/>
    <w:qFormat/>
    <w:uiPriority w:val="0"/>
  </w:style>
  <w:style w:type="character" w:customStyle="1" w:styleId="78">
    <w:name w:val="switch_btn"/>
    <w:basedOn w:val="22"/>
    <w:qFormat/>
    <w:uiPriority w:val="0"/>
  </w:style>
  <w:style w:type="character" w:customStyle="1" w:styleId="79">
    <w:name w:val="sendmassage_btn"/>
    <w:basedOn w:val="22"/>
    <w:qFormat/>
    <w:uiPriority w:val="0"/>
  </w:style>
  <w:style w:type="character" w:customStyle="1" w:styleId="80">
    <w:name w:val="split_btn"/>
    <w:basedOn w:val="22"/>
    <w:qFormat/>
    <w:uiPriority w:val="0"/>
  </w:style>
  <w:style w:type="character" w:customStyle="1" w:styleId="81">
    <w:name w:val="archive_btn"/>
    <w:basedOn w:val="22"/>
    <w:qFormat/>
    <w:uiPriority w:val="0"/>
  </w:style>
  <w:style w:type="character" w:customStyle="1" w:styleId="82">
    <w:name w:val="reduce_btn"/>
    <w:basedOn w:val="22"/>
    <w:qFormat/>
    <w:uiPriority w:val="0"/>
  </w:style>
  <w:style w:type="character" w:customStyle="1" w:styleId="83">
    <w:name w:val="template_btn"/>
    <w:basedOn w:val="22"/>
    <w:qFormat/>
    <w:uiPriority w:val="0"/>
  </w:style>
  <w:style w:type="character" w:customStyle="1" w:styleId="84">
    <w:name w:val="goback_off_btn"/>
    <w:basedOn w:val="22"/>
    <w:qFormat/>
    <w:uiPriority w:val="0"/>
  </w:style>
  <w:style w:type="character" w:customStyle="1" w:styleId="85">
    <w:name w:val="receiptshow_btn"/>
    <w:basedOn w:val="22"/>
    <w:qFormat/>
    <w:uiPriority w:val="0"/>
  </w:style>
  <w:style w:type="character" w:customStyle="1" w:styleId="86">
    <w:name w:val="advancedquery_btn"/>
    <w:basedOn w:val="22"/>
    <w:qFormat/>
    <w:uiPriority w:val="0"/>
  </w:style>
  <w:style w:type="character" w:customStyle="1" w:styleId="87">
    <w:name w:val="rechuanchu_btn"/>
    <w:basedOn w:val="22"/>
    <w:qFormat/>
    <w:uiPriority w:val="0"/>
  </w:style>
  <w:style w:type="character" w:customStyle="1" w:styleId="88">
    <w:name w:val="liquidation_btn"/>
    <w:basedOn w:val="22"/>
    <w:qFormat/>
    <w:uiPriority w:val="0"/>
  </w:style>
  <w:style w:type="character" w:customStyle="1" w:styleId="89">
    <w:name w:val="salaryview_btn"/>
    <w:basedOn w:val="22"/>
    <w:qFormat/>
    <w:uiPriority w:val="0"/>
  </w:style>
  <w:style w:type="character" w:customStyle="1" w:styleId="90">
    <w:name w:val="ui-icon4"/>
    <w:basedOn w:val="22"/>
    <w:qFormat/>
    <w:uiPriority w:val="0"/>
  </w:style>
  <w:style w:type="character" w:customStyle="1" w:styleId="91">
    <w:name w:val="restore_btn"/>
    <w:basedOn w:val="22"/>
    <w:qFormat/>
    <w:uiPriority w:val="0"/>
  </w:style>
  <w:style w:type="character" w:customStyle="1" w:styleId="92">
    <w:name w:val="off_btn"/>
    <w:basedOn w:val="22"/>
    <w:qFormat/>
    <w:uiPriority w:val="0"/>
  </w:style>
  <w:style w:type="character" w:customStyle="1" w:styleId="93">
    <w:name w:val="cancel_btn"/>
    <w:basedOn w:val="22"/>
    <w:qFormat/>
    <w:uiPriority w:val="0"/>
  </w:style>
  <w:style w:type="character" w:customStyle="1" w:styleId="94">
    <w:name w:val="datapermission_btn"/>
    <w:basedOn w:val="22"/>
    <w:qFormat/>
    <w:uiPriority w:val="0"/>
  </w:style>
  <w:style w:type="character" w:customStyle="1" w:styleId="95">
    <w:name w:val="receipt_btn"/>
    <w:basedOn w:val="22"/>
    <w:qFormat/>
    <w:uiPriority w:val="0"/>
  </w:style>
  <w:style w:type="character" w:customStyle="1" w:styleId="96">
    <w:name w:val="doreceive_btn"/>
    <w:basedOn w:val="22"/>
    <w:qFormat/>
    <w:uiPriority w:val="0"/>
  </w:style>
  <w:style w:type="character" w:customStyle="1" w:styleId="97">
    <w:name w:val="hilite"/>
    <w:basedOn w:val="22"/>
    <w:qFormat/>
    <w:uiPriority w:val="0"/>
    <w:rPr>
      <w:color w:val="FFFFFF"/>
      <w:shd w:val="clear" w:fill="666677"/>
    </w:rPr>
  </w:style>
  <w:style w:type="character" w:customStyle="1" w:styleId="98">
    <w:name w:val="additionalmonth_btn"/>
    <w:basedOn w:val="22"/>
    <w:qFormat/>
    <w:uiPriority w:val="0"/>
  </w:style>
  <w:style w:type="character" w:customStyle="1" w:styleId="99">
    <w:name w:val="prepage_btn"/>
    <w:basedOn w:val="22"/>
    <w:qFormat/>
    <w:uiPriority w:val="0"/>
  </w:style>
  <w:style w:type="character" w:customStyle="1" w:styleId="100">
    <w:name w:val="notetypedef_btn"/>
    <w:basedOn w:val="22"/>
    <w:qFormat/>
    <w:uiPriority w:val="0"/>
  </w:style>
  <w:style w:type="character" w:customStyle="1" w:styleId="101">
    <w:name w:val="undoarchive_btn"/>
    <w:basedOn w:val="22"/>
    <w:qFormat/>
    <w:uiPriority w:val="0"/>
  </w:style>
  <w:style w:type="character" w:customStyle="1" w:styleId="102">
    <w:name w:val="del_btn"/>
    <w:basedOn w:val="22"/>
    <w:qFormat/>
    <w:uiPriority w:val="0"/>
  </w:style>
  <w:style w:type="character" w:customStyle="1" w:styleId="103">
    <w:name w:val="close_btn"/>
    <w:basedOn w:val="22"/>
    <w:qFormat/>
    <w:uiPriority w:val="0"/>
  </w:style>
  <w:style w:type="character" w:customStyle="1" w:styleId="104">
    <w:name w:val="fistpage_btn"/>
    <w:basedOn w:val="22"/>
    <w:qFormat/>
    <w:uiPriority w:val="0"/>
  </w:style>
  <w:style w:type="character" w:customStyle="1" w:styleId="105">
    <w:name w:val="save_btn"/>
    <w:basedOn w:val="22"/>
    <w:qFormat/>
    <w:uiPriority w:val="0"/>
  </w:style>
  <w:style w:type="character" w:customStyle="1" w:styleId="106">
    <w:name w:val="save_btn1"/>
    <w:basedOn w:val="22"/>
    <w:qFormat/>
    <w:uiPriority w:val="0"/>
  </w:style>
  <w:style w:type="character" w:customStyle="1" w:styleId="107">
    <w:name w:val="certificate_btn"/>
    <w:basedOn w:val="22"/>
    <w:qFormat/>
    <w:uiPriority w:val="0"/>
  </w:style>
  <w:style w:type="character" w:customStyle="1" w:styleId="108">
    <w:name w:val="nogoaudit_btn"/>
    <w:basedOn w:val="22"/>
    <w:qFormat/>
    <w:uiPriority w:val="0"/>
  </w:style>
  <w:style w:type="character" w:customStyle="1" w:styleId="109">
    <w:name w:val="newprint_btn"/>
    <w:basedOn w:val="22"/>
    <w:qFormat/>
    <w:uiPriority w:val="0"/>
  </w:style>
  <w:style w:type="character" w:customStyle="1" w:styleId="110">
    <w:name w:val="query_btn"/>
    <w:basedOn w:val="22"/>
    <w:qFormat/>
    <w:uiPriority w:val="0"/>
  </w:style>
  <w:style w:type="character" w:customStyle="1" w:styleId="111">
    <w:name w:val="continue_m_btn"/>
    <w:basedOn w:val="22"/>
    <w:qFormat/>
    <w:uiPriority w:val="0"/>
  </w:style>
  <w:style w:type="character" w:customStyle="1" w:styleId="112">
    <w:name w:val="statisticsaudit_btn"/>
    <w:basedOn w:val="22"/>
    <w:qFormat/>
    <w:uiPriority w:val="0"/>
  </w:style>
  <w:style w:type="character" w:customStyle="1" w:styleId="113">
    <w:name w:val="hidden_btn"/>
    <w:basedOn w:val="22"/>
    <w:qFormat/>
    <w:uiPriority w:val="0"/>
  </w:style>
  <w:style w:type="character" w:customStyle="1" w:styleId="114">
    <w:name w:val="noliquidation_btn"/>
    <w:basedOn w:val="22"/>
    <w:qFormat/>
    <w:uiPriority w:val="0"/>
  </w:style>
  <w:style w:type="character" w:customStyle="1" w:styleId="115">
    <w:name w:val="excel_btn"/>
    <w:basedOn w:val="22"/>
    <w:qFormat/>
    <w:uiPriority w:val="0"/>
  </w:style>
  <w:style w:type="character" w:customStyle="1" w:styleId="116">
    <w:name w:val="add_btn"/>
    <w:basedOn w:val="22"/>
    <w:qFormat/>
    <w:uiPriority w:val="0"/>
  </w:style>
  <w:style w:type="character" w:customStyle="1" w:styleId="117">
    <w:name w:val="induction_btn"/>
    <w:basedOn w:val="22"/>
    <w:qFormat/>
    <w:uiPriority w:val="0"/>
  </w:style>
  <w:style w:type="character" w:customStyle="1" w:styleId="118">
    <w:name w:val="mod_btn"/>
    <w:basedOn w:val="22"/>
    <w:qFormat/>
    <w:uiPriority w:val="0"/>
  </w:style>
  <w:style w:type="character" w:customStyle="1" w:styleId="119">
    <w:name w:val="addbatch_btn"/>
    <w:basedOn w:val="22"/>
    <w:qFormat/>
    <w:uiPriority w:val="0"/>
  </w:style>
  <w:style w:type="character" w:customStyle="1" w:styleId="120">
    <w:name w:val="generation_btn"/>
    <w:basedOn w:val="22"/>
    <w:qFormat/>
    <w:uiPriority w:val="0"/>
  </w:style>
  <w:style w:type="character" w:customStyle="1" w:styleId="121">
    <w:name w:val="notoaudit_btn"/>
    <w:basedOn w:val="22"/>
    <w:qFormat/>
    <w:uiPriority w:val="0"/>
  </w:style>
  <w:style w:type="character" w:customStyle="1" w:styleId="122">
    <w:name w:val="goaudit_btn"/>
    <w:basedOn w:val="22"/>
    <w:qFormat/>
    <w:uiPriority w:val="0"/>
  </w:style>
  <w:style w:type="character" w:customStyle="1" w:styleId="123">
    <w:name w:val="cancelissuing_btn"/>
    <w:basedOn w:val="22"/>
    <w:qFormat/>
    <w:uiPriority w:val="0"/>
  </w:style>
  <w:style w:type="character" w:customStyle="1" w:styleId="124">
    <w:name w:val="mond_btn"/>
    <w:basedOn w:val="22"/>
    <w:qFormat/>
    <w:uiPriority w:val="0"/>
  </w:style>
  <w:style w:type="character" w:customStyle="1" w:styleId="125">
    <w:name w:val="totop_btn"/>
    <w:basedOn w:val="22"/>
    <w:qFormat/>
    <w:uiPriority w:val="0"/>
  </w:style>
  <w:style w:type="character" w:customStyle="1" w:styleId="126">
    <w:name w:val="nogeneration_btn"/>
    <w:basedOn w:val="22"/>
    <w:qFormat/>
    <w:uiPriority w:val="0"/>
  </w:style>
  <w:style w:type="character" w:customStyle="1" w:styleId="127">
    <w:name w:val="ok_btn"/>
    <w:basedOn w:val="22"/>
    <w:qFormat/>
    <w:uiPriority w:val="0"/>
  </w:style>
  <w:style w:type="character" w:customStyle="1" w:styleId="128">
    <w:name w:val="setprint_btn"/>
    <w:basedOn w:val="22"/>
    <w:qFormat/>
    <w:uiPriority w:val="0"/>
  </w:style>
  <w:style w:type="character" w:customStyle="1" w:styleId="129">
    <w:name w:val="active10"/>
    <w:basedOn w:val="22"/>
    <w:qFormat/>
    <w:uiPriority w:val="0"/>
    <w:rPr>
      <w:color w:val="00FF00"/>
      <w:shd w:val="clear" w:fill="000000"/>
    </w:rPr>
  </w:style>
  <w:style w:type="character" w:customStyle="1" w:styleId="130">
    <w:name w:val="return_btn"/>
    <w:basedOn w:val="22"/>
    <w:qFormat/>
    <w:uiPriority w:val="0"/>
  </w:style>
  <w:style w:type="character" w:customStyle="1" w:styleId="131">
    <w:name w:val="extend0_btn"/>
    <w:basedOn w:val="22"/>
    <w:qFormat/>
    <w:uiPriority w:val="0"/>
  </w:style>
  <w:style w:type="character" w:customStyle="1" w:styleId="132">
    <w:name w:val="accredit_btn"/>
    <w:basedOn w:val="22"/>
    <w:qFormat/>
    <w:uiPriority w:val="0"/>
  </w:style>
  <w:style w:type="character" w:customStyle="1" w:styleId="133">
    <w:name w:val="print_btn"/>
    <w:basedOn w:val="22"/>
    <w:qFormat/>
    <w:uiPriority w:val="0"/>
  </w:style>
  <w:style w:type="character" w:customStyle="1" w:styleId="134">
    <w:name w:val="auditinfo_btn"/>
    <w:basedOn w:val="22"/>
    <w:qFormat/>
    <w:uiPriority w:val="0"/>
  </w:style>
  <w:style w:type="character" w:customStyle="1" w:styleId="135">
    <w:name w:val="login_btn"/>
    <w:basedOn w:val="22"/>
    <w:qFormat/>
    <w:uiPriority w:val="0"/>
  </w:style>
  <w:style w:type="character" w:customStyle="1" w:styleId="136">
    <w:name w:val="nextpage_btn"/>
    <w:basedOn w:val="22"/>
    <w:qFormat/>
    <w:uiPriority w:val="0"/>
  </w:style>
  <w:style w:type="character" w:customStyle="1" w:styleId="137">
    <w:name w:val="norootaccount_btn"/>
    <w:basedOn w:val="22"/>
    <w:qFormat/>
    <w:uiPriority w:val="0"/>
  </w:style>
  <w:style w:type="character" w:customStyle="1" w:styleId="138">
    <w:name w:val="noprint_btn"/>
    <w:basedOn w:val="22"/>
    <w:qFormat/>
    <w:uiPriority w:val="0"/>
  </w:style>
  <w:style w:type="character" w:customStyle="1" w:styleId="139">
    <w:name w:val="certificatelist_btn"/>
    <w:basedOn w:val="22"/>
    <w:qFormat/>
    <w:uiPriority w:val="0"/>
  </w:style>
  <w:style w:type="character" w:customStyle="1" w:styleId="140">
    <w:name w:val="issuing_btn"/>
    <w:basedOn w:val="22"/>
    <w:qFormat/>
    <w:uiPriority w:val="0"/>
  </w:style>
  <w:style w:type="character" w:customStyle="1" w:styleId="141">
    <w:name w:val="source_btn"/>
    <w:basedOn w:val="22"/>
    <w:qFormat/>
    <w:uiPriority w:val="0"/>
  </w:style>
  <w:style w:type="character" w:customStyle="1" w:styleId="142">
    <w:name w:val="quarterav_btn"/>
    <w:basedOn w:val="22"/>
    <w:qFormat/>
    <w:uiPriority w:val="0"/>
  </w:style>
  <w:style w:type="character" w:customStyle="1" w:styleId="143">
    <w:name w:val="copyplay_btn"/>
    <w:basedOn w:val="22"/>
    <w:qFormat/>
    <w:uiPriority w:val="0"/>
  </w:style>
  <w:style w:type="character" w:customStyle="1" w:styleId="144">
    <w:name w:val="rootaccount_btn"/>
    <w:basedOn w:val="22"/>
    <w:qFormat/>
    <w:uiPriority w:val="0"/>
  </w:style>
  <w:style w:type="character" w:customStyle="1" w:styleId="145">
    <w:name w:val="grading_btn"/>
    <w:basedOn w:val="22"/>
    <w:qFormat/>
    <w:uiPriority w:val="0"/>
  </w:style>
  <w:style w:type="character" w:customStyle="1" w:styleId="146">
    <w:name w:val="generationandgoon_btn"/>
    <w:basedOn w:val="22"/>
    <w:qFormat/>
    <w:uiPriority w:val="0"/>
  </w:style>
  <w:style w:type="character" w:customStyle="1" w:styleId="147">
    <w:name w:val="inductionsalary_btn"/>
    <w:basedOn w:val="22"/>
    <w:qFormat/>
    <w:uiPriority w:val="0"/>
  </w:style>
  <w:style w:type="character" w:customStyle="1" w:styleId="148">
    <w:name w:val="batchaudit_btn"/>
    <w:basedOn w:val="22"/>
    <w:qFormat/>
    <w:uiPriority w:val="0"/>
  </w:style>
  <w:style w:type="character" w:customStyle="1" w:styleId="149">
    <w:name w:val="cancellogin_btn"/>
    <w:basedOn w:val="22"/>
    <w:qFormat/>
    <w:uiPriority w:val="0"/>
  </w:style>
  <w:style w:type="character" w:customStyle="1" w:styleId="150">
    <w:name w:val="summary_btn"/>
    <w:basedOn w:val="22"/>
    <w:qFormat/>
    <w:uiPriority w:val="0"/>
  </w:style>
  <w:style w:type="character" w:customStyle="1" w:styleId="151">
    <w:name w:val="checkno_btn"/>
    <w:basedOn w:val="22"/>
    <w:qFormat/>
    <w:uiPriority w:val="0"/>
  </w:style>
  <w:style w:type="character" w:customStyle="1" w:styleId="152">
    <w:name w:val="list_btn"/>
    <w:basedOn w:val="22"/>
    <w:qFormat/>
    <w:uiPriority w:val="0"/>
  </w:style>
  <w:style w:type="character" w:customStyle="1" w:styleId="153">
    <w:name w:val="yeard_btn"/>
    <w:basedOn w:val="22"/>
    <w:qFormat/>
    <w:uiPriority w:val="0"/>
  </w:style>
  <w:style w:type="character" w:customStyle="1" w:styleId="154">
    <w:name w:val="queryele_btn"/>
    <w:basedOn w:val="22"/>
    <w:qFormat/>
    <w:uiPriority w:val="0"/>
  </w:style>
  <w:style w:type="character" w:customStyle="1" w:styleId="155">
    <w:name w:val="endpage_btn"/>
    <w:basedOn w:val="22"/>
    <w:qFormat/>
    <w:uiPriority w:val="0"/>
  </w:style>
  <w:style w:type="character" w:customStyle="1" w:styleId="156">
    <w:name w:val="viewsub_btn"/>
    <w:basedOn w:val="22"/>
    <w:qFormat/>
    <w:uiPriority w:val="0"/>
  </w:style>
  <w:style w:type="character" w:customStyle="1" w:styleId="157">
    <w:name w:val="cleartozero_btn"/>
    <w:basedOn w:val="22"/>
    <w:qFormat/>
    <w:uiPriority w:val="0"/>
  </w:style>
  <w:style w:type="character" w:customStyle="1" w:styleId="158">
    <w:name w:val="borrowingonecolumn_btn"/>
    <w:basedOn w:val="22"/>
    <w:qFormat/>
    <w:uiPriority w:val="0"/>
  </w:style>
  <w:style w:type="character" w:customStyle="1" w:styleId="159">
    <w:name w:val="returnhigher_btn"/>
    <w:basedOn w:val="22"/>
    <w:qFormat/>
    <w:uiPriority w:val="0"/>
  </w:style>
  <w:style w:type="character" w:customStyle="1" w:styleId="160">
    <w:name w:val="adjustbatch_btn"/>
    <w:basedOn w:val="22"/>
    <w:qFormat/>
    <w:uiPriority w:val="0"/>
  </w:style>
  <w:style w:type="character" w:customStyle="1" w:styleId="161">
    <w:name w:val="documents_btn"/>
    <w:basedOn w:val="22"/>
    <w:qFormat/>
    <w:uiPriority w:val="0"/>
  </w:style>
  <w:style w:type="character" w:customStyle="1" w:styleId="162">
    <w:name w:val="distribution_btn"/>
    <w:basedOn w:val="22"/>
    <w:qFormat/>
    <w:uiPriority w:val="0"/>
  </w:style>
  <w:style w:type="character" w:customStyle="1" w:styleId="163">
    <w:name w:val="disable_btn"/>
    <w:basedOn w:val="22"/>
    <w:qFormat/>
    <w:uiPriority w:val="0"/>
  </w:style>
  <w:style w:type="character" w:customStyle="1" w:styleId="164">
    <w:name w:val="enabled_btn"/>
    <w:basedOn w:val="22"/>
    <w:qFormat/>
    <w:uiPriority w:val="0"/>
  </w:style>
  <w:style w:type="character" w:customStyle="1" w:styleId="165">
    <w:name w:val="addsame_btn"/>
    <w:basedOn w:val="22"/>
    <w:qFormat/>
    <w:uiPriority w:val="0"/>
  </w:style>
  <w:style w:type="character" w:customStyle="1" w:styleId="166">
    <w:name w:val="adddown_btn"/>
    <w:basedOn w:val="22"/>
    <w:qFormat/>
    <w:uiPriority w:val="0"/>
  </w:style>
  <w:style w:type="character" w:customStyle="1" w:styleId="167">
    <w:name w:val="state_btn"/>
    <w:basedOn w:val="22"/>
    <w:qFormat/>
    <w:uiPriority w:val="0"/>
  </w:style>
  <w:style w:type="character" w:customStyle="1" w:styleId="168">
    <w:name w:val="changenote_btn"/>
    <w:basedOn w:val="22"/>
    <w:qFormat/>
    <w:uiPriority w:val="0"/>
  </w:style>
  <w:style w:type="character" w:customStyle="1" w:styleId="169">
    <w:name w:val="adjust_btn"/>
    <w:basedOn w:val="22"/>
    <w:qFormat/>
    <w:uiPriority w:val="0"/>
  </w:style>
  <w:style w:type="character" w:customStyle="1" w:styleId="170">
    <w:name w:val="volumereceipt_btn"/>
    <w:basedOn w:val="22"/>
    <w:qFormat/>
    <w:uiPriority w:val="0"/>
  </w:style>
  <w:style w:type="character" w:customStyle="1" w:styleId="171">
    <w:name w:val="hedui_btn"/>
    <w:basedOn w:val="22"/>
    <w:qFormat/>
    <w:uiPriority w:val="0"/>
  </w:style>
  <w:style w:type="character" w:customStyle="1" w:styleId="172">
    <w:name w:val="extend_btn"/>
    <w:basedOn w:val="22"/>
    <w:qFormat/>
    <w:uiPriority w:val="0"/>
  </w:style>
  <w:style w:type="character" w:customStyle="1" w:styleId="173">
    <w:name w:val="certification_btn"/>
    <w:basedOn w:val="22"/>
    <w:qFormat/>
    <w:uiPriority w:val="0"/>
  </w:style>
  <w:style w:type="character" w:customStyle="1" w:styleId="174">
    <w:name w:val="singlekill_btn"/>
    <w:basedOn w:val="22"/>
    <w:qFormat/>
    <w:uiPriority w:val="0"/>
  </w:style>
  <w:style w:type="character" w:customStyle="1" w:styleId="175">
    <w:name w:val="jointquery_btn"/>
    <w:basedOn w:val="22"/>
    <w:qFormat/>
    <w:uiPriority w:val="0"/>
  </w:style>
  <w:style w:type="character" w:customStyle="1" w:styleId="176">
    <w:name w:val="fullshow_btn"/>
    <w:basedOn w:val="22"/>
    <w:qFormat/>
    <w:uiPriority w:val="0"/>
  </w:style>
  <w:style w:type="character" w:customStyle="1" w:styleId="177">
    <w:name w:val="currentissue_btn"/>
    <w:basedOn w:val="22"/>
    <w:qFormat/>
    <w:uiPriority w:val="0"/>
  </w:style>
  <w:style w:type="character" w:customStyle="1" w:styleId="178">
    <w:name w:val="batchsave_btn"/>
    <w:basedOn w:val="22"/>
    <w:qFormat/>
    <w:uiPriority w:val="0"/>
  </w:style>
  <w:style w:type="character" w:customStyle="1" w:styleId="179">
    <w:name w:val="setconditions_btn"/>
    <w:basedOn w:val="22"/>
    <w:qFormat/>
    <w:uiPriority w:val="0"/>
  </w:style>
  <w:style w:type="character" w:customStyle="1" w:styleId="180">
    <w:name w:val="cumulative_btn"/>
    <w:basedOn w:val="22"/>
    <w:qFormat/>
    <w:uiPriority w:val="0"/>
  </w:style>
  <w:style w:type="character" w:customStyle="1" w:styleId="181">
    <w:name w:val="borrowingtwocolumn_btn"/>
    <w:basedOn w:val="22"/>
    <w:qFormat/>
    <w:uiPriority w:val="0"/>
  </w:style>
  <w:style w:type="character" w:customStyle="1" w:styleId="182">
    <w:name w:val="screening_btn"/>
    <w:basedOn w:val="22"/>
    <w:qFormat/>
    <w:uiPriority w:val="0"/>
  </w:style>
  <w:style w:type="character" w:customStyle="1" w:styleId="183">
    <w:name w:val="changenotes_btn"/>
    <w:basedOn w:val="22"/>
    <w:qFormat/>
    <w:uiPriority w:val="0"/>
  </w:style>
  <w:style w:type="character" w:customStyle="1" w:styleId="184">
    <w:name w:val="detail_btn"/>
    <w:basedOn w:val="22"/>
    <w:qFormat/>
    <w:uiPriority w:val="0"/>
  </w:style>
  <w:style w:type="character" w:customStyle="1" w:styleId="185">
    <w:name w:val="show_btn"/>
    <w:basedOn w:val="22"/>
    <w:qFormat/>
    <w:uiPriority w:val="0"/>
  </w:style>
  <w:style w:type="character" w:customStyle="1" w:styleId="186">
    <w:name w:val="noticeshow_btn"/>
    <w:basedOn w:val="22"/>
    <w:qFormat/>
    <w:uiPriority w:val="0"/>
  </w:style>
  <w:style w:type="character" w:customStyle="1" w:styleId="187">
    <w:name w:val="ordercorresponding_btn"/>
    <w:basedOn w:val="22"/>
    <w:qFormat/>
    <w:uiPriority w:val="0"/>
  </w:style>
  <w:style w:type="character" w:customStyle="1" w:styleId="188">
    <w:name w:val="stop_m_btn"/>
    <w:basedOn w:val="22"/>
    <w:qFormat/>
    <w:uiPriority w:val="0"/>
  </w:style>
  <w:style w:type="character" w:customStyle="1" w:styleId="189">
    <w:name w:val="d_in_btn"/>
    <w:basedOn w:val="22"/>
    <w:qFormat/>
    <w:uiPriority w:val="0"/>
  </w:style>
  <w:style w:type="character" w:customStyle="1" w:styleId="190">
    <w:name w:val="retired_btn"/>
    <w:basedOn w:val="22"/>
    <w:qFormat/>
    <w:uiPriority w:val="0"/>
  </w:style>
  <w:style w:type="character" w:customStyle="1" w:styleId="191">
    <w:name w:val="goback_retired_btn"/>
    <w:basedOn w:val="22"/>
    <w:qFormat/>
    <w:uiPriority w:val="0"/>
  </w:style>
  <w:style w:type="character" w:customStyle="1" w:styleId="192">
    <w:name w:val="redoreceive_btn"/>
    <w:basedOn w:val="22"/>
    <w:qFormat/>
    <w:uiPriority w:val="0"/>
  </w:style>
  <w:style w:type="character" w:customStyle="1" w:styleId="193">
    <w:name w:val="confirm_btn"/>
    <w:basedOn w:val="22"/>
    <w:qFormat/>
    <w:uiPriority w:val="0"/>
  </w:style>
  <w:style w:type="character" w:customStyle="1" w:styleId="194">
    <w:name w:val="refresh_btn"/>
    <w:basedOn w:val="22"/>
    <w:qFormat/>
    <w:uiPriority w:val="0"/>
  </w:style>
  <w:style w:type="character" w:customStyle="1" w:styleId="195">
    <w:name w:val="starttocount_btn"/>
    <w:basedOn w:val="22"/>
    <w:qFormat/>
    <w:uiPriority w:val="0"/>
  </w:style>
  <w:style w:type="character" w:customStyle="1" w:styleId="196">
    <w:name w:val="sendsalaries_btn"/>
    <w:basedOn w:val="22"/>
    <w:qFormat/>
    <w:uiPriority w:val="0"/>
  </w:style>
  <w:style w:type="character" w:customStyle="1" w:styleId="197">
    <w:name w:val="initialization_btn"/>
    <w:basedOn w:val="22"/>
    <w:qFormat/>
    <w:uiPriority w:val="0"/>
  </w:style>
  <w:style w:type="character" w:customStyle="1" w:styleId="198">
    <w:name w:val="log_btn"/>
    <w:basedOn w:val="22"/>
    <w:qFormat/>
    <w:uiPriority w:val="0"/>
  </w:style>
  <w:style w:type="character" w:customStyle="1" w:styleId="199">
    <w:name w:val="onlyread_btn"/>
    <w:basedOn w:val="22"/>
    <w:qFormat/>
    <w:uiPriority w:val="0"/>
  </w:style>
  <w:style w:type="character" w:customStyle="1" w:styleId="200">
    <w:name w:val="personnelview_btn"/>
    <w:basedOn w:val="22"/>
    <w:qFormat/>
    <w:uiPriority w:val="0"/>
  </w:style>
  <w:style w:type="character" w:customStyle="1" w:styleId="201">
    <w:name w:val="printsalary_btn"/>
    <w:basedOn w:val="22"/>
    <w:qFormat/>
    <w:uiPriority w:val="0"/>
  </w:style>
  <w:style w:type="character" w:customStyle="1" w:styleId="202">
    <w:name w:val="combinecertificate_btn"/>
    <w:basedOn w:val="22"/>
    <w:qFormat/>
    <w:uiPriority w:val="0"/>
  </w:style>
  <w:style w:type="character" w:customStyle="1" w:styleId="203">
    <w:name w:val="reversalcertificate_btn"/>
    <w:basedOn w:val="22"/>
    <w:qFormat/>
    <w:uiPriority w:val="0"/>
  </w:style>
  <w:style w:type="character" w:customStyle="1" w:styleId="204">
    <w:name w:val="orderset_btn"/>
    <w:basedOn w:val="22"/>
    <w:qFormat/>
    <w:uiPriority w:val="0"/>
  </w:style>
  <w:style w:type="character" w:customStyle="1" w:styleId="205">
    <w:name w:val="adjustorder_btn"/>
    <w:basedOn w:val="22"/>
    <w:qFormat/>
    <w:uiPriority w:val="0"/>
  </w:style>
  <w:style w:type="character" w:customStyle="1" w:styleId="206">
    <w:name w:val="summaryconditions_btn"/>
    <w:basedOn w:val="22"/>
    <w:qFormat/>
    <w:uiPriority w:val="0"/>
  </w:style>
  <w:style w:type="character" w:customStyle="1" w:styleId="207">
    <w:name w:val="availablecredit_btn"/>
    <w:basedOn w:val="22"/>
    <w:qFormat/>
    <w:uiPriority w:val="0"/>
  </w:style>
  <w:style w:type="character" w:customStyle="1" w:styleId="208">
    <w:name w:val="bdgamt_btn"/>
    <w:basedOn w:val="22"/>
    <w:qFormat/>
    <w:uiPriority w:val="0"/>
  </w:style>
  <w:style w:type="character" w:customStyle="1" w:styleId="209">
    <w:name w:val="planamt_btn"/>
    <w:basedOn w:val="22"/>
    <w:qFormat/>
    <w:uiPriority w:val="0"/>
  </w:style>
  <w:style w:type="character" w:customStyle="1" w:styleId="210">
    <w:name w:val="payamt_btn"/>
    <w:basedOn w:val="22"/>
    <w:qFormat/>
    <w:uiPriority w:val="0"/>
  </w:style>
  <w:style w:type="character" w:customStyle="1" w:styleId="211">
    <w:name w:val="jianrow_btn"/>
    <w:basedOn w:val="22"/>
    <w:qFormat/>
    <w:uiPriority w:val="0"/>
  </w:style>
  <w:style w:type="character" w:customStyle="1" w:styleId="212">
    <w:name w:val="insertrow_btn"/>
    <w:basedOn w:val="22"/>
    <w:qFormat/>
    <w:uiPriority w:val="0"/>
  </w:style>
  <w:style w:type="character" w:customStyle="1" w:styleId="213">
    <w:name w:val="addrow_btn"/>
    <w:basedOn w:val="2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4067</Words>
  <Characters>4316</Characters>
  <Lines>63</Lines>
  <Paragraphs>17</Paragraphs>
  <TotalTime>2</TotalTime>
  <ScaleCrop>false</ScaleCrop>
  <LinksUpToDate>false</LinksUpToDate>
  <CharactersWithSpaces>4337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2025-09-09T09:10:53Z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1174200665_cloud</vt:lpwstr>
  </property>
  <property fmtid="{D5CDD505-2E9C-101B-9397-08002B2CF9AE}" pid="4" name="ICV">
    <vt:lpwstr>3FAE37BCD8B84CE6BD7B45553E85BD55</vt:lpwstr>
  </property>
  <property fmtid="{D5CDD505-2E9C-101B-9397-08002B2CF9AE}" pid="5" name="KSOTemplateDocerSaveRecord">
    <vt:lpwstr>eyJoZGlkIjoiN2VjMGM4YTNmZTY1NDFjMWFjNmVmZmU0NDA2ZTk0ZmMiLCJ1c2VySWQiOiI4NjI1NDMxNDkifQ==</vt:lpwstr>
  </property>
</Properties>
</file>