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48"/>
          <w:szCs w:val="48"/>
          <w:highlight w:val="none"/>
        </w:rPr>
      </w:pPr>
    </w:p>
    <w:p>
      <w:pPr>
        <w:spacing w:line="540" w:lineRule="exact"/>
        <w:jc w:val="center"/>
        <w:rPr>
          <w:rFonts w:ascii="方正小标宋_GBK" w:hAnsi="华文中宋" w:eastAsia="方正小标宋_GBK" w:cs="宋体"/>
          <w:kern w:val="0"/>
          <w:sz w:val="44"/>
          <w:szCs w:val="44"/>
          <w:highlight w:val="none"/>
        </w:rPr>
      </w:pPr>
      <w:r>
        <w:rPr>
          <w:rFonts w:hint="eastAsia" w:ascii="方正小标宋_GBK" w:hAnsi="华文中宋" w:eastAsia="方正小标宋_GBK" w:cs="宋体"/>
          <w:kern w:val="0"/>
          <w:sz w:val="44"/>
          <w:szCs w:val="44"/>
          <w:highlight w:val="none"/>
          <w:lang w:val="en-US" w:eastAsia="zh-CN"/>
        </w:rPr>
        <w:t>生态效益补偿</w:t>
      </w:r>
      <w:r>
        <w:rPr>
          <w:rFonts w:hint="eastAsia" w:ascii="方正小标宋_GBK" w:hAnsi="华文中宋" w:eastAsia="方正小标宋_GBK" w:cs="宋体"/>
          <w:kern w:val="0"/>
          <w:sz w:val="44"/>
          <w:szCs w:val="44"/>
          <w:highlight w:val="none"/>
        </w:rPr>
        <w:t>资金项目支出绩效评价</w:t>
      </w:r>
    </w:p>
    <w:p>
      <w:pPr>
        <w:spacing w:line="540" w:lineRule="exact"/>
        <w:jc w:val="center"/>
        <w:rPr>
          <w:rFonts w:ascii="方正小标宋_GBK" w:hAnsi="华文中宋" w:eastAsia="方正小标宋_GBK" w:cs="宋体"/>
          <w:kern w:val="0"/>
          <w:sz w:val="44"/>
          <w:szCs w:val="44"/>
          <w:highlight w:val="none"/>
        </w:rPr>
      </w:pPr>
      <w:r>
        <w:rPr>
          <w:rFonts w:hint="eastAsia" w:ascii="方正小标宋_GBK" w:hAnsi="华文中宋" w:eastAsia="方正小标宋_GBK" w:cs="宋体"/>
          <w:kern w:val="0"/>
          <w:sz w:val="44"/>
          <w:szCs w:val="44"/>
          <w:highlight w:val="none"/>
        </w:rPr>
        <w:t>报告</w:t>
      </w: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hAnsi="宋体" w:eastAsia="仿宋_GB2312" w:cs="宋体"/>
          <w:kern w:val="0"/>
          <w:sz w:val="32"/>
          <w:szCs w:val="32"/>
          <w:highlight w:val="none"/>
        </w:rPr>
      </w:pPr>
      <w:bookmarkStart w:id="2" w:name="_GoBack"/>
      <w:bookmarkEnd w:id="2"/>
      <w:r>
        <w:rPr>
          <w:rFonts w:hint="eastAsia" w:hAnsi="宋体" w:eastAsia="仿宋_GB2312" w:cs="宋体"/>
          <w:kern w:val="0"/>
          <w:sz w:val="32"/>
          <w:szCs w:val="32"/>
          <w:highlight w:val="none"/>
        </w:rPr>
        <w:t>（ 20</w:t>
      </w:r>
      <w:r>
        <w:rPr>
          <w:rFonts w:hint="eastAsia" w:hAnsi="宋体" w:eastAsia="仿宋_GB2312" w:cs="宋体"/>
          <w:kern w:val="0"/>
          <w:sz w:val="32"/>
          <w:szCs w:val="32"/>
          <w:highlight w:val="none"/>
          <w:lang w:val="en-US" w:eastAsia="zh-CN"/>
        </w:rPr>
        <w:t>20</w:t>
      </w:r>
      <w:r>
        <w:rPr>
          <w:rFonts w:hint="eastAsia" w:hAnsi="宋体" w:eastAsia="仿宋_GB2312" w:cs="宋体"/>
          <w:kern w:val="0"/>
          <w:sz w:val="32"/>
          <w:szCs w:val="32"/>
          <w:highlight w:val="none"/>
        </w:rPr>
        <w:t>年度）</w:t>
      </w: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rPr>
          <w:rFonts w:hAnsi="宋体" w:eastAsia="仿宋_GB2312" w:cs="宋体"/>
          <w:kern w:val="0"/>
          <w:sz w:val="32"/>
          <w:szCs w:val="32"/>
          <w:highlight w:val="none"/>
        </w:rPr>
      </w:pPr>
    </w:p>
    <w:p>
      <w:pPr>
        <w:spacing w:line="700" w:lineRule="exact"/>
        <w:ind w:firstLine="640" w:firstLineChars="200"/>
        <w:jc w:val="left"/>
        <w:rPr>
          <w:rFonts w:hint="default" w:hAnsi="宋体" w:eastAsia="仿宋_GB2312" w:cs="宋体"/>
          <w:kern w:val="0"/>
          <w:sz w:val="32"/>
          <w:szCs w:val="32"/>
          <w:highlight w:val="none"/>
          <w:lang w:val="en-US" w:eastAsia="zh-CN"/>
        </w:rPr>
      </w:pPr>
      <w:r>
        <w:rPr>
          <w:rFonts w:hint="eastAsia" w:hAnsi="宋体" w:eastAsia="仿宋_GB2312" w:cs="宋体"/>
          <w:kern w:val="0"/>
          <w:sz w:val="32"/>
          <w:szCs w:val="32"/>
          <w:highlight w:val="none"/>
        </w:rPr>
        <w:t>项目名称：生态效益补助项目</w:t>
      </w:r>
    </w:p>
    <w:p>
      <w:pPr>
        <w:spacing w:line="700" w:lineRule="exact"/>
        <w:ind w:firstLine="640" w:firstLineChars="200"/>
        <w:jc w:val="left"/>
        <w:rPr>
          <w:rFonts w:hint="default" w:hAnsi="宋体" w:eastAsia="仿宋_GB2312" w:cs="宋体"/>
          <w:kern w:val="0"/>
          <w:sz w:val="32"/>
          <w:szCs w:val="32"/>
          <w:highlight w:val="none"/>
          <w:lang w:val="en-US" w:eastAsia="zh-CN"/>
        </w:rPr>
      </w:pPr>
      <w:r>
        <w:rPr>
          <w:rFonts w:hint="eastAsia" w:hAnsi="宋体" w:eastAsia="仿宋_GB2312" w:cs="宋体"/>
          <w:kern w:val="0"/>
          <w:sz w:val="32"/>
          <w:szCs w:val="32"/>
          <w:highlight w:val="none"/>
        </w:rPr>
        <w:t>实施单位（公章）：塔城地区巴尔鲁克山自然保护区管理局</w:t>
      </w:r>
    </w:p>
    <w:p>
      <w:pPr>
        <w:spacing w:line="700" w:lineRule="exact"/>
        <w:ind w:firstLine="640" w:firstLineChars="200"/>
        <w:jc w:val="left"/>
        <w:rPr>
          <w:rFonts w:hint="default" w:hAnsi="宋体" w:eastAsia="仿宋_GB2312" w:cs="宋体"/>
          <w:kern w:val="0"/>
          <w:sz w:val="32"/>
          <w:szCs w:val="32"/>
          <w:highlight w:val="none"/>
          <w:lang w:val="en-US" w:eastAsia="zh-CN"/>
        </w:rPr>
      </w:pPr>
      <w:r>
        <w:rPr>
          <w:rFonts w:hint="eastAsia" w:hAnsi="宋体" w:eastAsia="仿宋_GB2312" w:cs="宋体"/>
          <w:kern w:val="0"/>
          <w:sz w:val="32"/>
          <w:szCs w:val="32"/>
          <w:highlight w:val="none"/>
        </w:rPr>
        <w:t>主管部门（公章）：</w:t>
      </w:r>
      <w:r>
        <w:rPr>
          <w:rFonts w:hint="eastAsia" w:hAnsi="宋体" w:eastAsia="仿宋_GB2312" w:cs="宋体"/>
          <w:kern w:val="0"/>
          <w:sz w:val="32"/>
          <w:szCs w:val="32"/>
          <w:highlight w:val="none"/>
          <w:lang w:val="en-US" w:eastAsia="zh-CN"/>
        </w:rPr>
        <w:t>塔城地区林业和草原局</w:t>
      </w:r>
    </w:p>
    <w:p>
      <w:pPr>
        <w:spacing w:line="700" w:lineRule="exact"/>
        <w:ind w:firstLine="640" w:firstLineChars="200"/>
        <w:jc w:val="left"/>
        <w:rPr>
          <w:rFonts w:hint="default" w:hAnsi="宋体" w:eastAsia="仿宋_GB2312" w:cs="宋体"/>
          <w:kern w:val="0"/>
          <w:sz w:val="32"/>
          <w:szCs w:val="32"/>
          <w:highlight w:val="none"/>
          <w:lang w:val="en-US" w:eastAsia="zh-CN"/>
        </w:rPr>
      </w:pPr>
      <w:r>
        <w:rPr>
          <w:rFonts w:hint="eastAsia" w:hAnsi="宋体" w:eastAsia="仿宋_GB2312" w:cs="宋体"/>
          <w:kern w:val="0"/>
          <w:sz w:val="32"/>
          <w:szCs w:val="32"/>
          <w:highlight w:val="none"/>
        </w:rPr>
        <w:t>项目负责人（签章）：</w:t>
      </w:r>
      <w:r>
        <w:rPr>
          <w:rFonts w:hint="eastAsia" w:hAnsi="宋体" w:eastAsia="仿宋_GB2312" w:cs="宋体"/>
          <w:kern w:val="0"/>
          <w:sz w:val="32"/>
          <w:szCs w:val="32"/>
          <w:highlight w:val="none"/>
          <w:lang w:val="en-US" w:eastAsia="zh-CN"/>
        </w:rPr>
        <w:t>阿尼瓦尔</w:t>
      </w:r>
    </w:p>
    <w:p>
      <w:pPr>
        <w:spacing w:line="700" w:lineRule="exact"/>
        <w:ind w:firstLine="640" w:firstLineChars="200"/>
        <w:jc w:val="left"/>
        <w:rPr>
          <w:rFonts w:hAnsi="宋体" w:eastAsia="仿宋_GB2312" w:cs="宋体"/>
          <w:kern w:val="0"/>
          <w:sz w:val="32"/>
          <w:szCs w:val="32"/>
          <w:highlight w:val="none"/>
        </w:rPr>
      </w:pPr>
      <w:r>
        <w:rPr>
          <w:rFonts w:hint="eastAsia" w:hAnsi="宋体" w:eastAsia="仿宋_GB2312" w:cs="宋体"/>
          <w:kern w:val="0"/>
          <w:sz w:val="32"/>
          <w:szCs w:val="32"/>
          <w:highlight w:val="none"/>
        </w:rPr>
        <w:t>填报时间：</w:t>
      </w:r>
      <w:r>
        <w:rPr>
          <w:rFonts w:hint="eastAsia" w:hAnsi="宋体" w:eastAsia="仿宋_GB2312" w:cs="宋体"/>
          <w:kern w:val="0"/>
          <w:sz w:val="32"/>
          <w:szCs w:val="32"/>
          <w:highlight w:val="none"/>
          <w:lang w:val="en-US" w:eastAsia="zh-CN"/>
        </w:rPr>
        <w:t>2021</w:t>
      </w:r>
      <w:r>
        <w:rPr>
          <w:rFonts w:hint="eastAsia" w:hAnsi="宋体" w:eastAsia="仿宋_GB2312" w:cs="宋体"/>
          <w:kern w:val="0"/>
          <w:sz w:val="32"/>
          <w:szCs w:val="32"/>
          <w:highlight w:val="none"/>
        </w:rPr>
        <w:t>年</w:t>
      </w:r>
      <w:r>
        <w:rPr>
          <w:rFonts w:hint="eastAsia" w:hAnsi="宋体" w:eastAsia="仿宋_GB2312" w:cs="宋体"/>
          <w:kern w:val="0"/>
          <w:sz w:val="32"/>
          <w:szCs w:val="32"/>
          <w:highlight w:val="none"/>
          <w:lang w:val="en-US" w:eastAsia="zh-CN"/>
        </w:rPr>
        <w:t>3</w:t>
      </w:r>
      <w:r>
        <w:rPr>
          <w:rFonts w:hint="eastAsia" w:hAnsi="宋体" w:eastAsia="仿宋_GB2312" w:cs="宋体"/>
          <w:kern w:val="0"/>
          <w:sz w:val="32"/>
          <w:szCs w:val="32"/>
          <w:highlight w:val="none"/>
        </w:rPr>
        <w:t>月</w:t>
      </w:r>
      <w:r>
        <w:rPr>
          <w:rFonts w:hint="eastAsia" w:hAnsi="宋体" w:eastAsia="仿宋_GB2312" w:cs="宋体"/>
          <w:kern w:val="0"/>
          <w:sz w:val="32"/>
          <w:szCs w:val="32"/>
          <w:highlight w:val="none"/>
          <w:lang w:val="en-US" w:eastAsia="zh-CN"/>
        </w:rPr>
        <w:t>1</w:t>
      </w:r>
      <w:r>
        <w:rPr>
          <w:rFonts w:hint="eastAsia" w:hAnsi="宋体" w:eastAsia="仿宋_GB2312" w:cs="宋体"/>
          <w:kern w:val="0"/>
          <w:sz w:val="32"/>
          <w:szCs w:val="32"/>
          <w:highlight w:val="none"/>
        </w:rPr>
        <w:t>日</w:t>
      </w:r>
    </w:p>
    <w:p>
      <w:pPr>
        <w:spacing w:line="540" w:lineRule="exact"/>
        <w:jc w:val="center"/>
        <w:rPr>
          <w:rFonts w:hAnsi="宋体" w:eastAsia="仿宋_GB2312" w:cs="宋体"/>
          <w:kern w:val="0"/>
          <w:sz w:val="32"/>
          <w:szCs w:val="32"/>
          <w:highlight w:val="none"/>
        </w:rPr>
      </w:pPr>
    </w:p>
    <w:p>
      <w:pPr>
        <w:spacing w:line="540" w:lineRule="exact"/>
        <w:rPr>
          <w:rStyle w:val="21"/>
          <w:rFonts w:ascii="黑体" w:hAnsi="黑体" w:eastAsia="黑体"/>
          <w:b w:val="0"/>
          <w:spacing w:val="-4"/>
          <w:sz w:val="32"/>
          <w:szCs w:val="32"/>
          <w:highlight w:val="none"/>
        </w:rPr>
      </w:pPr>
    </w:p>
    <w:p>
      <w:pPr>
        <w:spacing w:line="540" w:lineRule="exact"/>
        <w:ind w:firstLine="640"/>
        <w:rPr>
          <w:rStyle w:val="21"/>
          <w:rFonts w:ascii="黑体" w:hAnsi="黑体" w:eastAsia="黑体"/>
          <w:b w:val="0"/>
          <w:spacing w:val="-4"/>
          <w:sz w:val="32"/>
          <w:szCs w:val="32"/>
          <w:highlight w:val="none"/>
        </w:rPr>
      </w:pPr>
    </w:p>
    <w:p>
      <w:pPr>
        <w:spacing w:line="600" w:lineRule="exact"/>
        <w:rPr>
          <w:rFonts w:ascii="黑体" w:hAnsi="黑体" w:eastAsia="黑体" w:cs="黑体"/>
          <w:bCs/>
          <w:sz w:val="32"/>
          <w:szCs w:val="32"/>
          <w:highlight w:val="none"/>
        </w:rPr>
      </w:pPr>
      <w:r>
        <w:rPr>
          <w:rFonts w:hint="eastAsia" w:ascii="黑体" w:hAnsi="黑体" w:eastAsia="黑体" w:cs="黑体"/>
          <w:bCs/>
          <w:sz w:val="32"/>
          <w:szCs w:val="32"/>
          <w:highlight w:val="none"/>
        </w:rPr>
        <w:t>一、基本情况</w:t>
      </w:r>
    </w:p>
    <w:p>
      <w:pPr>
        <w:spacing w:line="60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（一）项目概况</w:t>
      </w:r>
    </w:p>
    <w:p>
      <w:p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1、项目背景</w:t>
      </w:r>
    </w:p>
    <w:p>
      <w:pPr>
        <w:spacing w:line="540" w:lineRule="exact"/>
        <w:ind w:firstLine="579" w:firstLineChars="18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森林生态效益补偿基金项目是国家对现有主要天然林进行补偿，是加强公益林资源管理的重要手段，是顺利开展公益林建设的重要保障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下达资金为</w:t>
      </w:r>
      <w:r>
        <w:rPr>
          <w:rFonts w:hint="eastAsia" w:ascii="仿宋_GB2312" w:hAnsi="仿宋_GB2312" w:eastAsia="仿宋_GB2312" w:cs="仿宋_GB2312"/>
          <w:sz w:val="32"/>
          <w:szCs w:val="32"/>
          <w:highlight w:val="none"/>
        </w:rPr>
        <w:t>316.05</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rPr>
        <w:t>主要用于按江河源头、自然保护区、湿地、水库等区域区划的公益林的国家级公益林管护、森林火灾预防与扑救、林业有害生物防治和监测、森林资源的定期定点监测等支出。</w:t>
      </w:r>
    </w:p>
    <w:p>
      <w:pPr>
        <w:spacing w:line="540" w:lineRule="exact"/>
        <w:ind w:firstLine="579" w:firstLineChars="18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fldData xml:space="preserve">RgA5ADAANgA3ADUARAA2AEEANQBDADQANABDADQARAA5ADYAMwBFADIAQwBFADUANwA4ADkAOQAz
ADIAOAA3AA==
</w:fldData>
        </w:fldChar>
      </w:r>
      <w:r>
        <w:rPr>
          <w:rFonts w:hint="eastAsia" w:ascii="仿宋_GB2312" w:hAnsi="仿宋_GB2312" w:eastAsia="仿宋_GB2312" w:cs="仿宋_GB2312"/>
          <w:sz w:val="32"/>
          <w:szCs w:val="32"/>
          <w:highlight w:val="none"/>
        </w:rPr>
        <w:instrText xml:space="preserve">Addin (一)项目实施风险因素分析</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实施森林效益补偿制制度，人力、物力，林木生长力，地表粗糙度，风速过大，沙尘暴等恶劣气候发生的频率高，使得公益林的防风固沙工作比较困难。</w:t>
      </w:r>
    </w:p>
    <w:p>
      <w:pPr>
        <w:spacing w:line="540" w:lineRule="exact"/>
        <w:ind w:firstLine="579" w:firstLineChars="18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公益林植被生长，植被种源，区域植被覆盖面积，地表的蒸腾作用，土壤质量，有着许多潜在威胁。</w:t>
      </w:r>
    </w:p>
    <w:p>
      <w:pPr>
        <w:spacing w:line="540" w:lineRule="exact"/>
        <w:ind w:firstLine="579" w:firstLineChars="181"/>
        <w:rPr>
          <w:rStyle w:val="21"/>
          <w:rFonts w:ascii="黑体" w:hAnsi="黑体" w:eastAsia="黑体"/>
          <w:bCs w:val="0"/>
          <w:spacing w:val="-4"/>
          <w:sz w:val="32"/>
          <w:szCs w:val="32"/>
          <w:highlight w:val="none"/>
        </w:rPr>
      </w:pP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提升保护区公益林管护的水平，锻炼技术队伍，提高工作能力，使保护区森林资源得以较好的回复，林分质量有所提高，植被覆盖增加，达到资源良性循环得目的。</w:t>
      </w:r>
    </w:p>
    <w:p>
      <w:pPr>
        <w:numPr>
          <w:ilvl w:val="0"/>
          <w:numId w:val="1"/>
        </w:num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项目主要内容及实施情况</w:t>
      </w:r>
    </w:p>
    <w:p>
      <w:pPr>
        <w:pStyle w:val="2"/>
        <w:ind w:firstLine="640" w:firstLineChars="200"/>
        <w:jc w:val="both"/>
        <w:rPr>
          <w:rStyle w:val="21"/>
          <w:rFonts w:hint="default" w:ascii="黑体" w:hAnsi="黑体" w:eastAsia="黑体" w:cs="Times New Roman"/>
          <w:b/>
          <w:bCs w:val="0"/>
          <w:spacing w:val="-4"/>
          <w:sz w:val="32"/>
          <w:szCs w:val="32"/>
          <w:highlight w:val="none"/>
          <w:lang w:val="en-US"/>
        </w:rPr>
      </w:pPr>
      <w:r>
        <w:rPr>
          <w:rFonts w:hint="eastAsia" w:ascii="仿宋_GB2312" w:hAnsi="仿宋_GB2312" w:eastAsia="仿宋_GB2312" w:cs="仿宋_GB2312"/>
          <w:b w:val="0"/>
          <w:bCs w:val="0"/>
          <w:kern w:val="2"/>
          <w:highlight w:val="none"/>
        </w:rPr>
        <w:t>项目主要内容：劳务报酬</w:t>
      </w:r>
      <w:r>
        <w:rPr>
          <w:rFonts w:hint="eastAsia" w:ascii="仿宋_GB2312" w:hAnsi="仿宋_GB2312" w:eastAsia="仿宋_GB2312" w:cs="仿宋_GB2312"/>
          <w:b w:val="0"/>
          <w:bCs w:val="0"/>
          <w:kern w:val="2"/>
          <w:highlight w:val="none"/>
          <w:lang w:eastAsia="zh-CN"/>
        </w:rPr>
        <w:t>，</w:t>
      </w:r>
      <w:r>
        <w:rPr>
          <w:rFonts w:hint="eastAsia" w:ascii="仿宋_GB2312" w:hAnsi="仿宋_GB2312" w:eastAsia="仿宋_GB2312" w:cs="仿宋_GB2312"/>
          <w:b w:val="0"/>
          <w:bCs w:val="0"/>
          <w:kern w:val="2"/>
          <w:highlight w:val="none"/>
          <w:lang w:val="en-US" w:eastAsia="zh-CN"/>
        </w:rPr>
        <w:t>管护员社保，日常生活经费。</w:t>
      </w:r>
    </w:p>
    <w:p>
      <w:pPr>
        <w:ind w:firstLine="640" w:firstLineChars="200"/>
        <w:rPr>
          <w:highlight w:val="none"/>
        </w:rPr>
      </w:pPr>
      <w:r>
        <w:rPr>
          <w:rFonts w:hint="eastAsia" w:ascii="仿宋_GB2312" w:hAnsi="仿宋_GB2312" w:eastAsia="仿宋_GB2312" w:cs="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4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本项目总投资316.05万元，其中：财政本级资金</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中央专项项目资金</w:t>
      </w:r>
      <w:r>
        <w:rPr>
          <w:rFonts w:hint="eastAsia" w:ascii="仿宋_GB2312" w:hAnsi="仿宋_GB2312" w:eastAsia="仿宋_GB2312" w:cs="仿宋_GB2312"/>
          <w:sz w:val="32"/>
          <w:szCs w:val="32"/>
          <w:highlight w:val="none"/>
        </w:rPr>
        <w:t>316.05</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rPr>
        <w:t>。项目实际支出</w:t>
      </w:r>
      <w:r>
        <w:rPr>
          <w:rFonts w:hint="eastAsia" w:ascii="仿宋_GB2312" w:hAnsi="仿宋_GB2312" w:eastAsia="仿宋_GB2312" w:cs="仿宋_GB2312"/>
          <w:sz w:val="32"/>
          <w:szCs w:val="32"/>
          <w:highlight w:val="none"/>
          <w:lang w:val="en-US" w:eastAsia="zh-CN"/>
        </w:rPr>
        <w:t>265.48</w:t>
      </w:r>
      <w:r>
        <w:rPr>
          <w:rFonts w:hint="eastAsia" w:ascii="仿宋_GB2312" w:hAnsi="仿宋_GB2312" w:eastAsia="仿宋_GB2312" w:cs="仿宋_GB2312"/>
          <w:sz w:val="32"/>
          <w:szCs w:val="32"/>
          <w:highlight w:val="none"/>
        </w:rPr>
        <w:t>万元，支出率为</w:t>
      </w:r>
      <w:r>
        <w:rPr>
          <w:rFonts w:hint="eastAsia" w:ascii="仿宋_GB2312" w:hAnsi="仿宋_GB2312" w:eastAsia="仿宋_GB2312" w:cs="仿宋_GB2312"/>
          <w:sz w:val="32"/>
          <w:szCs w:val="32"/>
          <w:highlight w:val="none"/>
          <w:lang w:val="en-US" w:eastAsia="zh-CN"/>
        </w:rPr>
        <w:t>84</w:t>
      </w:r>
      <w:r>
        <w:rPr>
          <w:rFonts w:hint="eastAsia" w:ascii="仿宋_GB2312" w:hAnsi="仿宋_GB2312" w:eastAsia="仿宋_GB2312" w:cs="仿宋_GB2312"/>
          <w:sz w:val="32"/>
          <w:szCs w:val="32"/>
          <w:highlight w:val="none"/>
        </w:rPr>
        <w:t>%。</w:t>
      </w:r>
    </w:p>
    <w:p>
      <w:p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3、资金投入和使用情况</w:t>
      </w:r>
    </w:p>
    <w:p>
      <w:pPr>
        <w:spacing w:line="600" w:lineRule="exact"/>
        <w:ind w:firstLine="641"/>
        <w:rPr>
          <w:rFonts w:ascii="仿宋_GB2312" w:hAnsi="仿宋_GB2312" w:eastAsia="仿宋_GB2312" w:cs="仿宋_GB2312"/>
          <w:sz w:val="20"/>
          <w:szCs w:val="20"/>
          <w:highlight w:val="none"/>
        </w:rPr>
      </w:pPr>
      <w:r>
        <w:rPr>
          <w:rFonts w:hint="eastAsia" w:ascii="仿宋_GB2312" w:hAnsi="仿宋_GB2312" w:eastAsia="仿宋_GB2312" w:cs="仿宋_GB2312"/>
          <w:sz w:val="32"/>
          <w:szCs w:val="32"/>
          <w:highlight w:val="none"/>
        </w:rPr>
        <w:t>（1）资金安排</w:t>
      </w:r>
    </w:p>
    <w:p>
      <w:pPr>
        <w:spacing w:line="540" w:lineRule="exact"/>
        <w:ind w:firstLine="579" w:firstLineChars="18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项目总投资316.05万元，按照《</w:t>
      </w:r>
      <w:r>
        <w:rPr>
          <w:rFonts w:hint="eastAsia" w:ascii="仿宋_GB2312" w:hAnsi="仿宋_GB2312" w:eastAsia="仿宋_GB2312" w:cs="仿宋_GB2312"/>
          <w:sz w:val="32"/>
          <w:szCs w:val="32"/>
          <w:highlight w:val="none"/>
          <w:lang w:val="en-US" w:eastAsia="zh-CN"/>
        </w:rPr>
        <w:t>专项</w:t>
      </w:r>
      <w:r>
        <w:rPr>
          <w:rFonts w:hint="eastAsia" w:ascii="仿宋_GB2312" w:hAnsi="仿宋_GB2312" w:eastAsia="仿宋_GB2312" w:cs="仿宋_GB2312"/>
          <w:sz w:val="32"/>
          <w:szCs w:val="32"/>
          <w:highlight w:val="none"/>
        </w:rPr>
        <w:t>资金管理办法》及单位财务制度等相关规定，资金支出符合</w:t>
      </w:r>
      <w:r>
        <w:rPr>
          <w:rFonts w:hint="eastAsia" w:ascii="仿宋_GB2312" w:hAnsi="仿宋_GB2312" w:eastAsia="仿宋_GB2312" w:cs="仿宋_GB2312"/>
          <w:sz w:val="32"/>
          <w:szCs w:val="32"/>
          <w:highlight w:val="none"/>
          <w:lang w:val="en-US" w:eastAsia="zh-CN"/>
        </w:rPr>
        <w:t>管理办法</w:t>
      </w:r>
      <w:r>
        <w:rPr>
          <w:rFonts w:hint="eastAsia" w:ascii="仿宋_GB2312" w:hAnsi="仿宋_GB2312" w:eastAsia="仿宋_GB2312" w:cs="仿宋_GB2312"/>
          <w:sz w:val="32"/>
          <w:szCs w:val="32"/>
          <w:highlight w:val="none"/>
        </w:rPr>
        <w:t>专项资金费用范围，做到了专款专用。在项目资金拨付和使用</w:t>
      </w:r>
      <w:r>
        <w:rPr>
          <w:rFonts w:hint="eastAsia" w:ascii="仿宋_GB2312" w:hAnsi="仿宋_GB2312" w:eastAsia="仿宋_GB2312" w:cs="仿宋_GB2312"/>
          <w:sz w:val="32"/>
          <w:szCs w:val="32"/>
          <w:highlight w:val="none"/>
        </w:rPr>
        <w:t>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专项</w:t>
      </w:r>
      <w:r>
        <w:rPr>
          <w:rFonts w:hint="eastAsia" w:ascii="仿宋_GB2312" w:hAnsi="仿宋_GB2312" w:eastAsia="仿宋_GB2312" w:cs="仿宋_GB2312"/>
          <w:sz w:val="32"/>
          <w:szCs w:val="32"/>
          <w:highlight w:val="none"/>
        </w:rPr>
        <w:t>资金的拨付程序，认真审核项目实施各阶段的相关材料和手续，根据项目实施进展情况拨付资金。</w:t>
      </w:r>
    </w:p>
    <w:p>
      <w:p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（2）预算资金来源及使用情况</w:t>
      </w:r>
      <w:bookmarkStart w:id="0" w:name="page10"/>
      <w:bookmarkEnd w:id="0"/>
    </w:p>
    <w:p>
      <w:pPr>
        <w:spacing w:line="60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项目预算资金来源于</w:t>
      </w:r>
      <w:r>
        <w:rPr>
          <w:rFonts w:hint="eastAsia" w:ascii="仿宋_GB2312" w:hAnsi="仿宋_GB2312" w:eastAsia="仿宋_GB2312" w:cs="仿宋_GB2312"/>
          <w:sz w:val="32"/>
          <w:szCs w:val="32"/>
          <w:highlight w:val="none"/>
          <w:lang w:val="en-US" w:eastAsia="zh-CN"/>
        </w:rPr>
        <w:t>塔地林草字[2020]51号</w:t>
      </w:r>
      <w:r>
        <w:rPr>
          <w:rFonts w:hint="eastAsia" w:ascii="仿宋_GB2312" w:hAnsi="仿宋_GB2312" w:eastAsia="仿宋_GB2312" w:cs="仿宋_GB2312"/>
          <w:sz w:val="32"/>
          <w:szCs w:val="32"/>
          <w:highlight w:val="none"/>
        </w:rPr>
        <w:t>文件中批复的资金，项目资金到位316.05万元，</w:t>
      </w:r>
      <w:r>
        <w:rPr>
          <w:rFonts w:hint="eastAsia" w:ascii="仿宋_GB2312" w:hAnsi="仿宋_GB2312" w:eastAsia="仿宋_GB2312" w:cs="仿宋_GB2312"/>
          <w:sz w:val="32"/>
          <w:szCs w:val="32"/>
          <w:highlight w:val="none"/>
        </w:rPr>
        <w:t>实际支出</w:t>
      </w:r>
      <w:r>
        <w:rPr>
          <w:rFonts w:hint="eastAsia" w:ascii="仿宋_GB2312" w:hAnsi="仿宋_GB2312" w:eastAsia="仿宋_GB2312" w:cs="仿宋_GB2312"/>
          <w:sz w:val="32"/>
          <w:szCs w:val="32"/>
          <w:highlight w:val="none"/>
          <w:lang w:val="en-US" w:eastAsia="zh-CN"/>
        </w:rPr>
        <w:t>265.48</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rPr>
        <w:t>用于</w:t>
      </w:r>
      <w:r>
        <w:rPr>
          <w:rFonts w:hint="eastAsia" w:ascii="仿宋_GB2312" w:hAnsi="仿宋_GB2312" w:eastAsia="仿宋_GB2312" w:cs="仿宋_GB2312"/>
          <w:color w:val="auto"/>
          <w:sz w:val="32"/>
          <w:szCs w:val="32"/>
          <w:highlight w:val="none"/>
          <w:lang w:val="en-US" w:eastAsia="zh-CN"/>
        </w:rPr>
        <w:t>1-12月工资，社保等，以及使用日常管护站生活经费，为了提高当地就业率和促进专项资金的综合科学性，社会性等工作。</w:t>
      </w:r>
    </w:p>
    <w:p>
      <w:pPr>
        <w:spacing w:line="60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（二）项目绩效目标</w:t>
      </w:r>
    </w:p>
    <w:p>
      <w:pPr>
        <w:spacing w:line="60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1、总体目标</w:t>
      </w:r>
    </w:p>
    <w:p>
      <w:pPr>
        <w:spacing w:line="60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提升保护区公益林管护的水平，锻炼技术队伍，提高工作能力，使保护区森林资源得以较好的回复，林分质量有所提高，植被覆盖增加，达到资源良性循环得目的。</w:t>
      </w:r>
    </w:p>
    <w:p>
      <w:pPr>
        <w:spacing w:line="600" w:lineRule="exact"/>
        <w:ind w:firstLine="641"/>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2、阶段性目标</w:t>
      </w:r>
    </w:p>
    <w:p>
      <w:p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（1）前期准备：根</w:t>
      </w:r>
      <w:r>
        <w:rPr>
          <w:rFonts w:hint="eastAsia" w:ascii="仿宋_GB2312" w:hAnsi="仿宋_GB2312" w:eastAsia="仿宋_GB2312" w:cs="仿宋_GB2312"/>
          <w:sz w:val="32"/>
          <w:szCs w:val="32"/>
          <w:highlight w:val="none"/>
        </w:rPr>
        <w:t>据《</w:t>
      </w:r>
      <w:r>
        <w:rPr>
          <w:rFonts w:hint="eastAsia" w:ascii="仿宋_GB2312" w:hAnsi="仿宋_GB2312" w:eastAsia="仿宋_GB2312" w:cs="仿宋_GB2312"/>
          <w:sz w:val="32"/>
          <w:szCs w:val="32"/>
          <w:highlight w:val="none"/>
          <w:lang w:val="en-US" w:eastAsia="zh-CN"/>
        </w:rPr>
        <w:t>实施方案</w:t>
      </w:r>
      <w:r>
        <w:rPr>
          <w:rFonts w:hint="eastAsia" w:ascii="仿宋_GB2312" w:hAnsi="仿宋_GB2312" w:eastAsia="仿宋_GB2312" w:cs="仿宋_GB2312"/>
          <w:sz w:val="32"/>
          <w:szCs w:val="32"/>
          <w:highlight w:val="none"/>
        </w:rPr>
        <w:t>方案》，通过制定项目实施方案，经项目负责人审核通过后，有序开展后续工程。</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实施</w:t>
      </w:r>
      <w:r>
        <w:rPr>
          <w:rFonts w:hint="eastAsia" w:ascii="仿宋_GB2312" w:hAnsi="仿宋_GB2312" w:eastAsia="仿宋_GB2312" w:cs="仿宋_GB2312"/>
          <w:sz w:val="32"/>
          <w:szCs w:val="32"/>
          <w:highlight w:val="none"/>
        </w:rPr>
        <w:t>方案》要求逐一进行项目部署安排，提高项目质量及效率性。</w:t>
      </w:r>
    </w:p>
    <w:p>
      <w:pPr>
        <w:spacing w:line="600" w:lineRule="exact"/>
        <w:ind w:firstLine="641"/>
        <w:rPr>
          <w:rFonts w:ascii="黑体" w:hAnsi="黑体" w:eastAsia="黑体"/>
          <w:sz w:val="32"/>
          <w:szCs w:val="32"/>
          <w:highlight w:val="none"/>
        </w:rPr>
      </w:pPr>
      <w:r>
        <w:rPr>
          <w:rFonts w:hint="eastAsia" w:ascii="黑体" w:hAnsi="黑体" w:eastAsia="黑体"/>
          <w:sz w:val="32"/>
          <w:szCs w:val="32"/>
          <w:highlight w:val="none"/>
        </w:rPr>
        <w:t>二、绩效评价工作开展情况</w:t>
      </w:r>
    </w:p>
    <w:p>
      <w:pPr>
        <w:spacing w:line="60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1、绩效评价的目的</w:t>
      </w:r>
    </w:p>
    <w:p>
      <w:p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项目在实施前向项目负责人提供财政支出绩效方面的资金管理信息，促进项目支出严格按照资金管理规定进行。</w:t>
      </w:r>
    </w:p>
    <w:p>
      <w:pPr>
        <w:spacing w:line="600" w:lineRule="exact"/>
        <w:ind w:left="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（2）项目绩效管理财政支出运行提供及时、有效的信息。</w:t>
      </w:r>
    </w:p>
    <w:p>
      <w:pPr>
        <w:spacing w:line="600" w:lineRule="exac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综合来看，通过开展有效的财政支出绩效评价管理，达到改进预算管理、控制节约成本，提高预算资金使用效益的目的。</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2、绩效评价的对象</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生态效益补助项目。</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3、绩效评价的范围</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从生态效益补助项目的决策、过程、产出、效益等方面进行评价。</w:t>
      </w:r>
    </w:p>
    <w:p>
      <w:pPr>
        <w:spacing w:line="600" w:lineRule="exact"/>
        <w:rPr>
          <w:rFonts w:ascii="仿宋_GB2312"/>
          <w:highlight w:val="none"/>
        </w:rPr>
      </w:pPr>
      <w:r>
        <w:rPr>
          <w:rFonts w:hint="eastAsia" w:ascii="楷体_GB2312" w:hAnsi="楷体_GB2312" w:eastAsia="楷体_GB2312" w:cs="楷体_GB2312"/>
          <w:b/>
          <w:bCs/>
          <w:sz w:val="32"/>
          <w:szCs w:val="32"/>
          <w:highlight w:val="none"/>
        </w:rPr>
        <w:t>（二）绩效评价原则、评价指标体系（详情见表1）、评价方法</w:t>
      </w:r>
      <w:r>
        <w:rPr>
          <w:rFonts w:hint="eastAsia" w:ascii="楷体_GB2312" w:hAnsi="楷体_GB2312" w:eastAsia="楷体_GB2312" w:cs="楷体_GB2312"/>
          <w:b/>
          <w:bCs/>
          <w:sz w:val="32"/>
          <w:szCs w:val="32"/>
          <w:highlight w:val="none"/>
        </w:rPr>
        <w:t>、评价标准。</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1、绩效评价原则</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本次项目绩效评价遵循以下基本原则：</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（1）科学公正。绩效评价应当运用科学合理的方法，按照规范的程序，对项目绩效进行客观、公正的反映。</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（3）激励约束。绩效评价结果应与预算安排、政策调整、改进管理实质性挂钩，体现奖优罚劣和激励相容导向，有效要安排、低效要压减、无效要问责。</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2、评价指标体系</w:t>
      </w:r>
    </w:p>
    <w:p>
      <w:pPr>
        <w:spacing w:line="600" w:lineRule="exact"/>
        <w:ind w:firstLine="641"/>
        <w:rPr>
          <w:rFonts w:ascii="宋体" w:hAnsi="宋体" w:cs="宋体"/>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（1）确定评价指标</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采用层次分析法，建立评价指标体系。绩效评价将指标分为项目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指标、项目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指标</w:t>
      </w:r>
      <w:r>
        <w:rPr>
          <w:rFonts w:hint="eastAsia" w:ascii="仿宋_GB2312" w:hAnsi="仿宋_GB2312" w:eastAsia="仿宋_GB2312" w:cs="仿宋_GB2312"/>
          <w:color w:val="000000"/>
          <w:spacing w:val="17"/>
          <w:sz w:val="32"/>
          <w:szCs w:val="32"/>
          <w:highlight w:val="none"/>
          <w:lang w:eastAsia="zh-CN"/>
        </w:rPr>
        <w:t>、</w:t>
      </w:r>
      <w:r>
        <w:rPr>
          <w:rFonts w:hint="eastAsia" w:ascii="仿宋_GB2312" w:hAnsi="仿宋_GB2312" w:eastAsia="仿宋_GB2312" w:cs="仿宋_GB2312"/>
          <w:color w:val="000000"/>
          <w:spacing w:val="17"/>
          <w:sz w:val="32"/>
          <w:szCs w:val="32"/>
          <w:highlight w:val="none"/>
        </w:rPr>
        <w:t>项目产出指标、项目效益指标四个维度</w:t>
      </w:r>
      <w:r>
        <w:rPr>
          <w:rFonts w:hint="eastAsia" w:ascii="仿宋_GB2312" w:hAnsi="仿宋_GB2312" w:eastAsia="仿宋_GB2312" w:cs="仿宋_GB2312"/>
          <w:color w:val="000000"/>
          <w:spacing w:val="17"/>
          <w:sz w:val="32"/>
          <w:szCs w:val="32"/>
          <w:highlight w:val="none"/>
        </w:rPr>
        <w:t>，最终形成一个由多个相互联系的指标组成的多层次指标体系。</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（2）确定权重</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w:t>
      </w:r>
      <w:r>
        <w:rPr>
          <w:rFonts w:hint="eastAsia" w:ascii="仿宋_GB2312" w:hAnsi="仿宋_GB2312" w:eastAsia="仿宋_GB2312" w:cs="仿宋_GB2312"/>
          <w:color w:val="000000"/>
          <w:spacing w:val="17"/>
          <w:sz w:val="32"/>
          <w:szCs w:val="32"/>
          <w:highlight w:val="none"/>
        </w:rPr>
        <w:t>指标体系中，项</w:t>
      </w:r>
      <w:r>
        <w:rPr>
          <w:rFonts w:hint="eastAsia" w:ascii="仿宋_GB2312" w:hAnsi="仿宋_GB2312" w:eastAsia="仿宋_GB2312" w:cs="仿宋_GB2312"/>
          <w:color w:val="000000"/>
          <w:spacing w:val="17"/>
          <w:sz w:val="32"/>
          <w:szCs w:val="32"/>
          <w:highlight w:val="none"/>
          <w:lang w:val="en-US" w:eastAsia="zh-CN"/>
        </w:rPr>
        <w:t>目决策</w:t>
      </w:r>
      <w:r>
        <w:rPr>
          <w:rFonts w:hint="eastAsia" w:ascii="仿宋_GB2312" w:hAnsi="仿宋_GB2312" w:eastAsia="仿宋_GB2312" w:cs="仿宋_GB2312"/>
          <w:color w:val="000000"/>
          <w:spacing w:val="17"/>
          <w:sz w:val="32"/>
          <w:szCs w:val="32"/>
          <w:highlight w:val="none"/>
        </w:rPr>
        <w:t>权重</w:t>
      </w:r>
      <w:r>
        <w:rPr>
          <w:rFonts w:hint="eastAsia" w:ascii="仿宋_GB2312" w:hAnsi="仿宋_GB2312" w:eastAsia="仿宋_GB2312" w:cs="仿宋_GB2312"/>
          <w:color w:val="000000"/>
          <w:spacing w:val="17"/>
          <w:sz w:val="32"/>
          <w:szCs w:val="32"/>
          <w:highlight w:val="none"/>
          <w:lang w:val="en-US" w:eastAsia="zh-CN"/>
        </w:rPr>
        <w:t>占5分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highlight w:val="none"/>
        </w:rPr>
        <w:t>。</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（3）确定</w:t>
      </w:r>
      <w:r>
        <w:rPr>
          <w:rFonts w:hint="eastAsia" w:ascii="仿宋_GB2312" w:hAnsi="仿宋_GB2312" w:eastAsia="仿宋_GB2312" w:cs="仿宋_GB2312"/>
          <w:color w:val="000000"/>
          <w:spacing w:val="17"/>
          <w:sz w:val="32"/>
          <w:szCs w:val="32"/>
          <w:highlight w:val="none"/>
        </w:rPr>
        <w:t>指标标准值</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具体评价指标体系详情见</w:t>
      </w:r>
      <w:r>
        <w:rPr>
          <w:rFonts w:hint="eastAsia" w:ascii="仿宋_GB2312" w:hAnsi="仿宋_GB2312" w:eastAsia="仿宋_GB2312" w:cs="仿宋_GB2312"/>
          <w:b w:val="0"/>
          <w:bCs w:val="0"/>
          <w:highlight w:val="none"/>
          <w:lang w:val="en-US" w:eastAsia="zh-CN"/>
        </w:rPr>
        <w:t>附件</w:t>
      </w:r>
      <w:r>
        <w:rPr>
          <w:rFonts w:hint="eastAsia" w:ascii="仿宋_GB2312" w:hAnsi="仿宋_GB2312" w:eastAsia="仿宋_GB2312" w:cs="仿宋_GB2312"/>
          <w:b w:val="0"/>
          <w:bCs w:val="0"/>
          <w:highlight w:val="none"/>
        </w:rPr>
        <w:t>1</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3、绩效评价方法</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（1）比较法</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最终验收情况与年度绩效目标对比、预算资金执行情况等相关因素进行比较。</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（2）因素分析法</w:t>
      </w:r>
    </w:p>
    <w:p>
      <w:pPr>
        <w:spacing w:line="60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rPr>
        <w:t>、绩效评价</w:t>
      </w:r>
      <w:r>
        <w:rPr>
          <w:rFonts w:hint="eastAsia" w:ascii="仿宋_GB2312" w:hAnsi="仿宋_GB2312" w:eastAsia="仿宋_GB2312" w:cs="仿宋_GB2312"/>
          <w:b w:val="0"/>
          <w:bCs w:val="0"/>
          <w:highlight w:val="none"/>
          <w:lang w:val="en-US" w:eastAsia="zh-CN"/>
        </w:rPr>
        <w:t>标准</w:t>
      </w:r>
    </w:p>
    <w:p>
      <w:pPr>
        <w:spacing w:line="600" w:lineRule="exact"/>
        <w:ind w:firstLine="641"/>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highlight w:val="none"/>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40" w:lineRule="exact"/>
        <w:ind w:left="0" w:firstLine="711" w:firstLineChars="200"/>
        <w:rPr>
          <w:rFonts w:hint="eastAsia" w:ascii="仿宋_GB2312" w:hAnsi="仿宋_GB2312" w:eastAsia="仿宋_GB2312" w:cs="仿宋_GB2312"/>
          <w:b w:val="0"/>
          <w:bCs w:val="0"/>
          <w:color w:val="000000"/>
          <w:spacing w:val="17"/>
          <w:kern w:val="2"/>
          <w:sz w:val="32"/>
          <w:szCs w:val="32"/>
          <w:highlight w:val="none"/>
          <w:lang w:val="en-US" w:eastAsia="zh-CN" w:bidi="ar-SA"/>
        </w:rPr>
      </w:pPr>
      <w:r>
        <w:rPr>
          <w:rFonts w:hint="eastAsia" w:ascii="仿宋_GB2312" w:hAnsi="仿宋_GB2312" w:eastAsia="仿宋_GB2312" w:cs="仿宋_GB2312"/>
          <w:b/>
          <w:bCs/>
          <w:color w:val="000000"/>
          <w:spacing w:val="17"/>
          <w:kern w:val="2"/>
          <w:sz w:val="32"/>
          <w:szCs w:val="32"/>
          <w:highlight w:val="none"/>
          <w:lang w:val="en-US" w:eastAsia="zh-CN" w:bidi="ar-SA"/>
        </w:rPr>
        <w:t>（三）绩效评价工作过程</w:t>
      </w:r>
      <w:r>
        <w:rPr>
          <w:rFonts w:hint="eastAsia" w:ascii="仿宋_GB2312" w:hAnsi="仿宋_GB2312" w:eastAsia="仿宋_GB2312" w:cs="仿宋_GB2312"/>
          <w:b w:val="0"/>
          <w:bCs w:val="0"/>
          <w:color w:val="000000"/>
          <w:spacing w:val="17"/>
          <w:kern w:val="2"/>
          <w:sz w:val="32"/>
          <w:szCs w:val="32"/>
          <w:highlight w:val="none"/>
          <w:lang w:val="en-US" w:eastAsia="zh-CN" w:bidi="ar-SA"/>
        </w:rPr>
        <w:t>。</w:t>
      </w:r>
    </w:p>
    <w:p>
      <w:pPr>
        <w:spacing w:line="60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60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600" w:lineRule="exact"/>
        <w:ind w:firstLine="641"/>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600" w:lineRule="exact"/>
        <w:ind w:firstLine="641"/>
        <w:rPr>
          <w:rFonts w:ascii="黑体" w:hAnsi="黑体" w:eastAsia="黑体" w:cs="黑体"/>
          <w:sz w:val="32"/>
          <w:szCs w:val="32"/>
          <w:highlight w:val="none"/>
        </w:rPr>
      </w:pPr>
      <w:r>
        <w:rPr>
          <w:rFonts w:hint="eastAsia" w:ascii="黑体" w:hAnsi="黑体" w:eastAsia="黑体" w:cs="黑体"/>
          <w:sz w:val="32"/>
          <w:szCs w:val="32"/>
          <w:highlight w:val="none"/>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60" w:line="600" w:lineRule="exact"/>
        <w:ind w:firstLine="641"/>
        <w:jc w:val="both"/>
        <w:textAlignment w:val="auto"/>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森林生态效益补偿资金</w:t>
      </w:r>
      <w:r>
        <w:rPr>
          <w:rFonts w:hint="eastAsia" w:ascii="仿宋_GB2312" w:hAnsi="仿宋_GB2312" w:eastAsia="仿宋_GB2312" w:cs="仿宋_GB2312"/>
          <w:b w:val="0"/>
          <w:bCs w:val="0"/>
          <w:highlight w:val="none"/>
        </w:rPr>
        <w:t>项目进行客观评价，最终评分结果：总得分为</w:t>
      </w:r>
      <w:r>
        <w:rPr>
          <w:rFonts w:hint="eastAsia" w:ascii="仿宋_GB2312" w:hAnsi="仿宋_GB2312" w:eastAsia="仿宋_GB2312" w:cs="仿宋_GB2312"/>
          <w:b w:val="0"/>
          <w:bCs w:val="0"/>
          <w:highlight w:val="none"/>
          <w:lang w:val="en-US" w:eastAsia="zh-CN"/>
        </w:rPr>
        <w:t>98.4</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100%。项目过程类指标权重为5分，得分为5 分，得分率为 100%。项目产出类指标权重为50分，得分为</w:t>
      </w:r>
      <w:r>
        <w:rPr>
          <w:rFonts w:hint="eastAsia" w:ascii="仿宋_GB2312" w:hAnsi="仿宋_GB2312" w:eastAsia="仿宋_GB2312" w:cs="仿宋_GB2312"/>
          <w:b w:val="0"/>
          <w:bCs w:val="0"/>
          <w:highlight w:val="none"/>
          <w:lang w:val="en-US" w:eastAsia="zh-CN"/>
        </w:rPr>
        <w:t>48.4</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97.6</w:t>
      </w:r>
      <w:r>
        <w:rPr>
          <w:rFonts w:hint="eastAsia" w:ascii="仿宋_GB2312" w:hAnsi="仿宋_GB2312" w:eastAsia="仿宋_GB2312" w:cs="仿宋_GB2312"/>
          <w:b w:val="0"/>
          <w:bCs w:val="0"/>
          <w:highlight w:val="none"/>
        </w:rPr>
        <w:t>%。项目效益类指标权重为40分，得分为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pStyle w:val="2"/>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表</w:t>
      </w:r>
      <w:r>
        <w:rPr>
          <w:rFonts w:hint="eastAsia" w:ascii="仿宋_GB2312" w:hAnsi="仿宋_GB2312" w:eastAsia="仿宋_GB2312" w:cs="仿宋_GB2312"/>
          <w:sz w:val="30"/>
          <w:szCs w:val="30"/>
          <w:highlight w:val="none"/>
          <w:lang w:val="en-US" w:eastAsia="zh-CN"/>
        </w:rPr>
        <w:t>1</w:t>
      </w:r>
      <w:r>
        <w:rPr>
          <w:rFonts w:hint="eastAsia" w:ascii="仿宋_GB2312" w:hAnsi="仿宋_GB2312" w:eastAsia="仿宋_GB2312" w:cs="仿宋_GB2312"/>
          <w:sz w:val="30"/>
          <w:szCs w:val="30"/>
          <w:highlight w:val="none"/>
        </w:rPr>
        <w:t>综合评分表</w:t>
      </w:r>
    </w:p>
    <w:p>
      <w:pPr>
        <w:rPr>
          <w:highlight w:val="none"/>
        </w:rPr>
      </w:pPr>
    </w:p>
    <w:tbl>
      <w:tblPr>
        <w:tblStyle w:val="23"/>
        <w:tblpPr w:leftFromText="180" w:rightFromText="180" w:vertAnchor="text" w:horzAnchor="page" w:tblpX="937" w:tblpY="71"/>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一级指标</w:t>
            </w:r>
          </w:p>
        </w:tc>
        <w:tc>
          <w:tcPr>
            <w:tcW w:w="990" w:type="dxa"/>
            <w:shd w:val="clear" w:color="auto" w:fill="BFBFBF"/>
            <w:vAlign w:val="center"/>
          </w:tcPr>
          <w:p>
            <w:pPr>
              <w:widowControl/>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分值</w:t>
            </w:r>
          </w:p>
        </w:tc>
        <w:tc>
          <w:tcPr>
            <w:tcW w:w="1283" w:type="dxa"/>
            <w:shd w:val="clear" w:color="auto" w:fill="BFBFBF"/>
            <w:vAlign w:val="center"/>
          </w:tcPr>
          <w:p>
            <w:pPr>
              <w:widowControl/>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二级指标</w:t>
            </w:r>
          </w:p>
        </w:tc>
        <w:tc>
          <w:tcPr>
            <w:tcW w:w="1707" w:type="dxa"/>
            <w:shd w:val="clear" w:color="auto" w:fill="BFBFBF"/>
            <w:vAlign w:val="center"/>
          </w:tcPr>
          <w:p>
            <w:pPr>
              <w:widowControl/>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三级指标</w:t>
            </w:r>
          </w:p>
        </w:tc>
        <w:tc>
          <w:tcPr>
            <w:tcW w:w="727" w:type="dxa"/>
            <w:shd w:val="clear" w:color="auto" w:fill="BFBFBF"/>
            <w:vAlign w:val="center"/>
          </w:tcPr>
          <w:p>
            <w:pPr>
              <w:widowControl/>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权重</w:t>
            </w:r>
          </w:p>
        </w:tc>
        <w:tc>
          <w:tcPr>
            <w:tcW w:w="1044"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目标值</w:t>
            </w:r>
          </w:p>
        </w:tc>
        <w:tc>
          <w:tcPr>
            <w:tcW w:w="924"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业绩值</w:t>
            </w:r>
          </w:p>
        </w:tc>
        <w:tc>
          <w:tcPr>
            <w:tcW w:w="1215"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得分率</w:t>
            </w:r>
          </w:p>
        </w:tc>
        <w:tc>
          <w:tcPr>
            <w:tcW w:w="960"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决策　</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项目立项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立项依据</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充分性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立项程序</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规范性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绩效目标</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绩效指标</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明确性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资金投入</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预算编制</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科学性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资金分配</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合理性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过程</w:t>
            </w:r>
          </w:p>
          <w:p>
            <w:pPr>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资金到位率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预算执行率</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84%</w:t>
            </w:r>
          </w:p>
        </w:tc>
        <w:tc>
          <w:tcPr>
            <w:tcW w:w="1215" w:type="dxa"/>
            <w:shd w:val="clear" w:color="auto"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84%</w:t>
            </w:r>
          </w:p>
        </w:tc>
        <w:tc>
          <w:tcPr>
            <w:tcW w:w="960"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0.84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资金管理</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资金使用</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合规性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组织实施</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管理制度</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健全性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制度执行</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有效性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eastAsia"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kern w:val="0"/>
                <w:sz w:val="22"/>
                <w:szCs w:val="22"/>
                <w:highlight w:val="none"/>
              </w:rPr>
              <w:t>50分</w:t>
            </w:r>
          </w:p>
        </w:tc>
        <w:tc>
          <w:tcPr>
            <w:tcW w:w="1283"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产出数量</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实际完成率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产出质量</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质量达标率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highlight w:val="none"/>
              </w:rPr>
            </w:pPr>
          </w:p>
        </w:tc>
        <w:tc>
          <w:tcPr>
            <w:tcW w:w="1283" w:type="dxa"/>
            <w:shd w:val="clear" w:color="auto" w:fill="FFFFFF"/>
            <w:vAlign w:val="center"/>
          </w:tcPr>
          <w:p>
            <w:pPr>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产出时效</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完成及时性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15</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产出成本</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成本节约率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88.4%</w:t>
            </w:r>
          </w:p>
        </w:tc>
        <w:tc>
          <w:tcPr>
            <w:tcW w:w="1215"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88.4%</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8.8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效益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40分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项目效益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实施效益</w:t>
            </w:r>
          </w:p>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（社会效益、经济效益、可持续效益）</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30</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highlight w:val="none"/>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满意度</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rPr>
              <w:t>10</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100%</w:t>
            </w:r>
          </w:p>
        </w:tc>
        <w:tc>
          <w:tcPr>
            <w:tcW w:w="924"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bidi="ar-SA"/>
              </w:rPr>
            </w:pPr>
            <w:r>
              <w:rPr>
                <w:rFonts w:hint="eastAsia" w:ascii="宋体" w:hAnsi="宋体" w:cs="宋体"/>
                <w:color w:val="000000"/>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5084" w:type="dxa"/>
            <w:gridSpan w:val="4"/>
            <w:shd w:val="clear" w:color="auto" w:fill="FFFFFF"/>
            <w:vAlign w:val="center"/>
          </w:tcPr>
          <w:p>
            <w:pPr>
              <w:widowControl/>
              <w:spacing w:line="0" w:lineRule="atLeast"/>
              <w:jc w:val="center"/>
              <w:rPr>
                <w:rFonts w:hint="eastAsia" w:ascii="宋体" w:hAnsi="宋体" w:cs="宋体"/>
                <w:color w:val="000000"/>
                <w:kern w:val="0"/>
                <w:sz w:val="22"/>
                <w:szCs w:val="22"/>
                <w:highlight w:val="none"/>
              </w:rPr>
            </w:pPr>
            <w:r>
              <w:rPr>
                <w:rFonts w:hint="eastAsia" w:ascii="宋体" w:hAnsi="宋体" w:cs="宋体"/>
                <w:color w:val="000000"/>
                <w:kern w:val="0"/>
                <w:sz w:val="22"/>
                <w:szCs w:val="22"/>
                <w:highlight w:val="none"/>
                <w:lang w:val="en-US" w:eastAsia="zh-CN"/>
              </w:rPr>
              <w:t>合计</w:t>
            </w:r>
          </w:p>
        </w:tc>
        <w:tc>
          <w:tcPr>
            <w:tcW w:w="727" w:type="dxa"/>
            <w:shd w:val="clear" w:color="000000" w:fill="FFFFFF"/>
            <w:vAlign w:val="center"/>
          </w:tcPr>
          <w:p>
            <w:pPr>
              <w:widowControl/>
              <w:spacing w:line="0" w:lineRule="atLeast"/>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100</w:t>
            </w:r>
          </w:p>
        </w:tc>
        <w:tc>
          <w:tcPr>
            <w:tcW w:w="1044" w:type="dxa"/>
            <w:shd w:val="clear" w:color="000000" w:fill="FFFFFF"/>
            <w:vAlign w:val="center"/>
          </w:tcPr>
          <w:p>
            <w:pPr>
              <w:widowControl/>
              <w:spacing w:line="0" w:lineRule="atLeast"/>
              <w:jc w:val="center"/>
              <w:rPr>
                <w:rFonts w:hint="eastAsia" w:ascii="宋体" w:hAnsi="宋体" w:cs="宋体"/>
                <w:color w:val="000000"/>
                <w:kern w:val="0"/>
                <w:sz w:val="22"/>
                <w:szCs w:val="22"/>
                <w:highlight w:val="none"/>
                <w:lang w:val="en-US" w:eastAsia="zh-CN"/>
              </w:rPr>
            </w:pPr>
          </w:p>
        </w:tc>
        <w:tc>
          <w:tcPr>
            <w:tcW w:w="924" w:type="dxa"/>
            <w:shd w:val="clear" w:color="000000" w:fill="FFFFFF"/>
            <w:vAlign w:val="center"/>
          </w:tcPr>
          <w:p>
            <w:pPr>
              <w:widowControl/>
              <w:spacing w:line="0" w:lineRule="atLeast"/>
              <w:jc w:val="center"/>
              <w:rPr>
                <w:rFonts w:hint="eastAsia" w:ascii="宋体" w:hAnsi="宋体" w:cs="宋体"/>
                <w:color w:val="000000"/>
                <w:kern w:val="0"/>
                <w:sz w:val="22"/>
                <w:szCs w:val="22"/>
                <w:highlight w:val="none"/>
                <w:lang w:val="en-US" w:eastAsia="zh-CN"/>
              </w:rPr>
            </w:pPr>
          </w:p>
        </w:tc>
        <w:tc>
          <w:tcPr>
            <w:tcW w:w="1215" w:type="dxa"/>
            <w:shd w:val="clear" w:color="000000" w:fill="FFFFFF"/>
            <w:vAlign w:val="center"/>
          </w:tcPr>
          <w:p>
            <w:pPr>
              <w:widowControl/>
              <w:spacing w:line="0" w:lineRule="atLeast"/>
              <w:jc w:val="center"/>
              <w:rPr>
                <w:rFonts w:hint="eastAsia" w:ascii="宋体" w:hAnsi="宋体" w:cs="宋体"/>
                <w:color w:val="000000"/>
                <w:kern w:val="0"/>
                <w:sz w:val="22"/>
                <w:szCs w:val="22"/>
                <w:highlight w:val="none"/>
                <w:lang w:val="en-US" w:eastAsia="zh-CN"/>
              </w:rPr>
            </w:pPr>
          </w:p>
        </w:tc>
        <w:tc>
          <w:tcPr>
            <w:tcW w:w="960" w:type="dxa"/>
            <w:shd w:val="clear" w:color="000000" w:fill="FFFFFF"/>
            <w:vAlign w:val="center"/>
          </w:tcPr>
          <w:p>
            <w:pPr>
              <w:widowControl/>
              <w:spacing w:line="0" w:lineRule="atLeast"/>
              <w:jc w:val="center"/>
              <w:rPr>
                <w:rFonts w:hint="default"/>
                <w:highlight w:val="none"/>
                <w:lang w:val="en-US" w:eastAsia="zh-CN"/>
              </w:rPr>
            </w:pPr>
            <w:r>
              <w:rPr>
                <w:rFonts w:hint="eastAsia"/>
                <w:highlight w:val="none"/>
                <w:lang w:val="en-US" w:eastAsia="zh-CN"/>
              </w:rPr>
              <w:t>96.2</w:t>
            </w:r>
          </w:p>
        </w:tc>
      </w:tr>
    </w:tbl>
    <w:p>
      <w:pPr>
        <w:spacing w:line="600" w:lineRule="exact"/>
        <w:ind w:firstLine="320" w:firstLineChars="100"/>
        <w:rPr>
          <w:rFonts w:hint="eastAsia" w:ascii="黑体" w:hAnsi="黑体" w:eastAsia="黑体"/>
          <w:sz w:val="32"/>
          <w:szCs w:val="32"/>
          <w:highlight w:val="none"/>
        </w:rPr>
      </w:pPr>
    </w:p>
    <w:p>
      <w:pPr>
        <w:spacing w:line="600" w:lineRule="exact"/>
        <w:ind w:firstLine="320" w:firstLineChars="100"/>
        <w:rPr>
          <w:rFonts w:ascii="黑体" w:hAnsi="黑体" w:eastAsia="黑体"/>
          <w:sz w:val="32"/>
          <w:szCs w:val="32"/>
          <w:highlight w:val="none"/>
        </w:rPr>
      </w:pPr>
      <w:r>
        <w:rPr>
          <w:rFonts w:hint="eastAsia" w:ascii="黑体" w:hAnsi="黑体" w:eastAsia="黑体"/>
          <w:sz w:val="32"/>
          <w:szCs w:val="32"/>
          <w:highlight w:val="none"/>
        </w:rPr>
        <w:t>四、绩效评价指标分析</w:t>
      </w:r>
    </w:p>
    <w:p>
      <w:pPr>
        <w:pStyle w:val="2"/>
        <w:keepNext w:val="0"/>
        <w:keepLines w:val="0"/>
        <w:pageBreakBefore w:val="0"/>
        <w:widowControl/>
        <w:kinsoku/>
        <w:wordWrap/>
        <w:overflowPunct/>
        <w:topLinePunct w:val="0"/>
        <w:autoSpaceDE/>
        <w:autoSpaceDN/>
        <w:bidi w:val="0"/>
        <w:adjustRightInd/>
        <w:snapToGrid/>
        <w:spacing w:before="0" w:after="0"/>
        <w:ind w:firstLine="321" w:firstLineChars="100"/>
        <w:jc w:val="both"/>
        <w:textAlignment w:val="auto"/>
        <w:rPr>
          <w:rFonts w:hint="eastAsia" w:ascii="楷体_GB2312" w:hAnsi="楷体_GB2312" w:eastAsia="楷体_GB2312" w:cs="楷体_GB2312"/>
          <w:highlight w:val="none"/>
        </w:rPr>
      </w:pPr>
      <w:r>
        <w:rPr>
          <w:rFonts w:hint="eastAsia" w:ascii="楷体_GB2312" w:hAnsi="楷体_GB2312" w:eastAsia="楷体_GB2312" w:cs="楷体_GB2312"/>
          <w:highlight w:val="none"/>
        </w:rPr>
        <w:t>（一）项目决策情况</w:t>
      </w:r>
    </w:p>
    <w:tbl>
      <w:tblPr>
        <w:tblStyle w:val="23"/>
        <w:tblW w:w="8522" w:type="dxa"/>
        <w:tblInd w:w="0" w:type="dxa"/>
        <w:tblLayout w:type="fixed"/>
        <w:tblCellMar>
          <w:top w:w="0" w:type="dxa"/>
          <w:left w:w="108" w:type="dxa"/>
          <w:bottom w:w="0" w:type="dxa"/>
          <w:right w:w="108" w:type="dxa"/>
        </w:tblCellMar>
      </w:tblPr>
      <w:tblGrid>
        <w:gridCol w:w="2515"/>
        <w:gridCol w:w="2269"/>
        <w:gridCol w:w="1986"/>
        <w:gridCol w:w="1752"/>
      </w:tblGrid>
      <w:tr>
        <w:tblPrEx>
          <w:tblLayout w:type="fixed"/>
          <w:tblCellMar>
            <w:top w:w="0" w:type="dxa"/>
            <w:left w:w="108" w:type="dxa"/>
            <w:bottom w:w="0" w:type="dxa"/>
            <w:right w:w="108" w:type="dxa"/>
          </w:tblCellMar>
        </w:tblPrEx>
        <w:trPr>
          <w:trHeight w:val="60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项目决策指标得分情况</w:t>
            </w:r>
          </w:p>
        </w:tc>
      </w:tr>
      <w:tr>
        <w:tblPrEx>
          <w:tblLayout w:type="fixed"/>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二级指标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tblPrEx>
          <w:tblLayout w:type="fixed"/>
          <w:tblCellMar>
            <w:top w:w="0" w:type="dxa"/>
            <w:left w:w="108" w:type="dxa"/>
            <w:bottom w:w="0" w:type="dxa"/>
            <w:right w:w="108" w:type="dxa"/>
          </w:tblCellMar>
        </w:tblPrEx>
        <w:trPr>
          <w:trHeight w:val="506"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项目</w:t>
            </w:r>
            <w:r>
              <w:rPr>
                <w:rFonts w:hint="eastAsia" w:ascii="仿宋_GB2312" w:hAnsi="仿宋_GB2312" w:eastAsia="仿宋_GB2312" w:cs="仿宋_GB2312"/>
                <w:color w:val="000000"/>
                <w:kern w:val="0"/>
                <w:sz w:val="32"/>
                <w:szCs w:val="32"/>
                <w:highlight w:val="none"/>
                <w:lang w:eastAsia="zh-CN"/>
              </w:rPr>
              <w:t>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1</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1</w:t>
            </w:r>
          </w:p>
        </w:tc>
      </w:tr>
      <w:tr>
        <w:tblPrEx>
          <w:tblLayout w:type="fixed"/>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2</w:t>
            </w:r>
          </w:p>
        </w:tc>
      </w:tr>
      <w:tr>
        <w:tblPrEx>
          <w:tblLayout w:type="fixed"/>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2</w:t>
            </w:r>
          </w:p>
        </w:tc>
      </w:tr>
      <w:tr>
        <w:tblPrEx>
          <w:tblLayout w:type="fixed"/>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  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5</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5</w:t>
            </w:r>
          </w:p>
        </w:tc>
      </w:tr>
    </w:tbl>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保护区林业国家级自然保护区中央补助资金的投入，提升保护区公益林管护的水平，锻炼技术队伍，提高工作能力，使保护区森林资源得以较好的回复，林分质量有所提高，植被覆盖增加，达到资源良性循环得目的。</w:t>
      </w:r>
    </w:p>
    <w:p>
      <w:pPr>
        <w:pStyle w:val="2"/>
        <w:keepNext w:val="0"/>
        <w:keepLines w:val="0"/>
        <w:pageBreakBefore w:val="0"/>
        <w:widowControl/>
        <w:kinsoku/>
        <w:wordWrap/>
        <w:overflowPunct/>
        <w:topLinePunct w:val="0"/>
        <w:autoSpaceDE/>
        <w:autoSpaceDN/>
        <w:bidi w:val="0"/>
        <w:adjustRightInd/>
        <w:snapToGrid/>
        <w:spacing w:before="0" w:after="0"/>
        <w:ind w:firstLine="321" w:firstLineChars="100"/>
        <w:jc w:val="both"/>
        <w:textAlignment w:val="auto"/>
        <w:rPr>
          <w:rFonts w:hint="eastAsia" w:ascii="楷体_GB2312" w:hAnsi="楷体_GB2312" w:eastAsia="楷体_GB2312" w:cs="楷体_GB2312"/>
          <w:highlight w:val="none"/>
        </w:rPr>
      </w:pPr>
      <w:r>
        <w:rPr>
          <w:rFonts w:hint="eastAsia" w:ascii="楷体_GB2312" w:hAnsi="楷体_GB2312" w:eastAsia="楷体_GB2312" w:cs="楷体_GB2312"/>
          <w:highlight w:val="none"/>
          <w:lang w:eastAsia="zh-CN"/>
        </w:rPr>
        <w:t>（二）</w:t>
      </w:r>
      <w:r>
        <w:rPr>
          <w:rFonts w:hint="eastAsia" w:ascii="楷体_GB2312" w:hAnsi="楷体_GB2312" w:eastAsia="楷体_GB2312" w:cs="楷体_GB2312"/>
          <w:highlight w:val="none"/>
        </w:rPr>
        <w:t>项目过程情况</w:t>
      </w:r>
    </w:p>
    <w:tbl>
      <w:tblPr>
        <w:tblStyle w:val="23"/>
        <w:tblW w:w="8522" w:type="dxa"/>
        <w:tblInd w:w="0" w:type="dxa"/>
        <w:tblLayout w:type="fixed"/>
        <w:tblCellMar>
          <w:top w:w="0" w:type="dxa"/>
          <w:left w:w="108" w:type="dxa"/>
          <w:bottom w:w="0" w:type="dxa"/>
          <w:right w:w="108" w:type="dxa"/>
        </w:tblCellMar>
      </w:tblPr>
      <w:tblGrid>
        <w:gridCol w:w="2190"/>
        <w:gridCol w:w="2367"/>
        <w:gridCol w:w="1946"/>
        <w:gridCol w:w="2019"/>
      </w:tblGrid>
      <w:tr>
        <w:tblPrEx>
          <w:tblLayout w:type="fixed"/>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color w:val="000000"/>
                <w:kern w:val="0"/>
                <w:sz w:val="32"/>
                <w:szCs w:val="32"/>
                <w:highlight w:val="none"/>
              </w:rPr>
            </w:pPr>
            <w:r>
              <w:rPr>
                <w:rFonts w:hint="eastAsia" w:ascii="仿宋_GB2312" w:hAnsi="仿宋_GB2312" w:eastAsia="仿宋_GB2312" w:cs="仿宋_GB2312"/>
                <w:b/>
                <w:bCs w:val="0"/>
                <w:sz w:val="32"/>
                <w:szCs w:val="32"/>
                <w:highlight w:val="none"/>
              </w:rPr>
              <w:t>项目</w:t>
            </w:r>
            <w:r>
              <w:rPr>
                <w:rFonts w:hint="eastAsia" w:ascii="仿宋_GB2312" w:hAnsi="仿宋_GB2312" w:eastAsia="仿宋_GB2312" w:cs="仿宋_GB2312"/>
                <w:b/>
                <w:bCs w:val="0"/>
                <w:sz w:val="32"/>
                <w:szCs w:val="32"/>
                <w:highlight w:val="none"/>
                <w:lang w:eastAsia="zh-CN"/>
              </w:rPr>
              <w:t>过程</w:t>
            </w:r>
            <w:r>
              <w:rPr>
                <w:rFonts w:hint="eastAsia" w:ascii="仿宋_GB2312" w:hAnsi="仿宋_GB2312" w:eastAsia="仿宋_GB2312" w:cs="仿宋_GB2312"/>
                <w:b/>
                <w:bCs w:val="0"/>
                <w:sz w:val="32"/>
                <w:szCs w:val="32"/>
                <w:highlight w:val="none"/>
              </w:rPr>
              <w:t>指标得分情况</w:t>
            </w:r>
          </w:p>
        </w:tc>
      </w:tr>
      <w:tr>
        <w:tblPrEx>
          <w:tblLayout w:type="fixed"/>
          <w:tblCellMar>
            <w:top w:w="0" w:type="dxa"/>
            <w:left w:w="108" w:type="dxa"/>
            <w:bottom w:w="0" w:type="dxa"/>
            <w:right w:w="108" w:type="dxa"/>
          </w:tblCellMar>
        </w:tblPrEx>
        <w:trPr>
          <w:trHeight w:val="510" w:hRule="exact"/>
          <w:tblHeader/>
        </w:trPr>
        <w:tc>
          <w:tcPr>
            <w:tcW w:w="2190"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三级指标</w:t>
            </w:r>
          </w:p>
        </w:tc>
        <w:tc>
          <w:tcPr>
            <w:tcW w:w="236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194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2019"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tblPrEx>
          <w:tblLayout w:type="fixed"/>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资金到位率</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w:t>
            </w:r>
          </w:p>
        </w:tc>
      </w:tr>
      <w:tr>
        <w:tblPrEx>
          <w:tblLayout w:type="fixed"/>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预算执行率</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84</w:t>
            </w:r>
            <w:r>
              <w:rPr>
                <w:rFonts w:hint="eastAsia" w:ascii="仿宋_GB2312" w:hAnsi="仿宋_GB2312" w:eastAsia="仿宋_GB2312" w:cs="仿宋_GB2312"/>
                <w:color w:val="000000"/>
                <w:kern w:val="0"/>
                <w:sz w:val="32"/>
                <w:szCs w:val="32"/>
                <w:highlight w:val="none"/>
              </w:rPr>
              <w:t>%</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rPr>
            </w:pPr>
            <w:r>
              <w:rPr>
                <w:rFonts w:hint="eastAsia" w:ascii="仿宋_GB2312" w:hAnsi="仿宋_GB2312" w:eastAsia="仿宋_GB2312" w:cs="仿宋_GB2312"/>
                <w:color w:val="000000"/>
                <w:kern w:val="0"/>
                <w:sz w:val="32"/>
                <w:szCs w:val="32"/>
                <w:highlight w:val="none"/>
                <w:lang w:val="en-US" w:eastAsia="zh-CN"/>
              </w:rPr>
              <w:t>0.84</w:t>
            </w:r>
          </w:p>
        </w:tc>
      </w:tr>
      <w:tr>
        <w:tblPrEx>
          <w:tblLayout w:type="fixed"/>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资金使用合规性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w:t>
            </w:r>
          </w:p>
        </w:tc>
      </w:tr>
      <w:tr>
        <w:tblPrEx>
          <w:tblLayout w:type="fixed"/>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sz w:val="32"/>
                <w:szCs w:val="32"/>
                <w:highlight w:val="none"/>
              </w:rPr>
              <w:t>管理制度健全性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1</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w:t>
            </w:r>
            <w:r>
              <w:rPr>
                <w:rFonts w:hint="eastAsia" w:ascii="仿宋_GB2312" w:hAnsi="仿宋_GB2312" w:eastAsia="仿宋_GB2312" w:cs="仿宋_GB2312"/>
                <w:color w:val="000000"/>
                <w:kern w:val="0"/>
                <w:sz w:val="32"/>
                <w:szCs w:val="32"/>
                <w:highlight w:val="none"/>
              </w:rPr>
              <w:t>0%</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1</w:t>
            </w:r>
          </w:p>
        </w:tc>
      </w:tr>
      <w:tr>
        <w:tblPrEx>
          <w:tblLayout w:type="fixed"/>
          <w:tblCellMar>
            <w:top w:w="0" w:type="dxa"/>
            <w:left w:w="108" w:type="dxa"/>
            <w:bottom w:w="0" w:type="dxa"/>
            <w:right w:w="108" w:type="dxa"/>
          </w:tblCellMar>
        </w:tblPrEx>
        <w:trPr>
          <w:trHeight w:val="510" w:hRule="exact"/>
        </w:trPr>
        <w:tc>
          <w:tcPr>
            <w:tcW w:w="2190"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制度执行有效性</w:t>
            </w:r>
          </w:p>
        </w:tc>
        <w:tc>
          <w:tcPr>
            <w:tcW w:w="236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1</w:t>
            </w:r>
          </w:p>
        </w:tc>
        <w:tc>
          <w:tcPr>
            <w:tcW w:w="194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100</w:t>
            </w:r>
            <w:r>
              <w:rPr>
                <w:rFonts w:hint="eastAsia" w:ascii="仿宋_GB2312" w:hAnsi="仿宋_GB2312" w:eastAsia="仿宋_GB2312" w:cs="仿宋_GB2312"/>
                <w:color w:val="000000"/>
                <w:kern w:val="0"/>
                <w:sz w:val="32"/>
                <w:szCs w:val="32"/>
                <w:highlight w:val="none"/>
              </w:rPr>
              <w:t>%</w:t>
            </w:r>
          </w:p>
        </w:tc>
        <w:tc>
          <w:tcPr>
            <w:tcW w:w="2019"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1</w:t>
            </w:r>
          </w:p>
        </w:tc>
      </w:tr>
      <w:tr>
        <w:tblPrEx>
          <w:tblLayout w:type="fixed"/>
          <w:tblCellMar>
            <w:top w:w="0" w:type="dxa"/>
            <w:left w:w="108" w:type="dxa"/>
            <w:bottom w:w="0" w:type="dxa"/>
            <w:right w:w="108" w:type="dxa"/>
          </w:tblCellMar>
        </w:tblPrEx>
        <w:trPr>
          <w:trHeight w:val="510" w:hRule="exact"/>
        </w:trPr>
        <w:tc>
          <w:tcPr>
            <w:tcW w:w="2190"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  计</w:t>
            </w:r>
          </w:p>
        </w:tc>
        <w:tc>
          <w:tcPr>
            <w:tcW w:w="236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lang w:val="en-US" w:eastAsia="zh-CN"/>
              </w:rPr>
              <w:t>5</w:t>
            </w:r>
          </w:p>
        </w:tc>
        <w:tc>
          <w:tcPr>
            <w:tcW w:w="194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96.8</w:t>
            </w:r>
            <w:r>
              <w:rPr>
                <w:rFonts w:hint="eastAsia" w:ascii="仿宋_GB2312" w:hAnsi="仿宋_GB2312" w:eastAsia="仿宋_GB2312" w:cs="仿宋_GB2312"/>
                <w:color w:val="000000"/>
                <w:kern w:val="0"/>
                <w:sz w:val="32"/>
                <w:szCs w:val="32"/>
                <w:highlight w:val="none"/>
              </w:rPr>
              <w:t>%</w:t>
            </w:r>
          </w:p>
        </w:tc>
        <w:tc>
          <w:tcPr>
            <w:tcW w:w="2019"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4.84</w:t>
            </w:r>
          </w:p>
        </w:tc>
      </w:tr>
    </w:tbl>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的到位率100%，执行率84%，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森林生态效益补偿资金主要用于公益林管护劳务补助，公共管护支出，制定管护人员劳务报酬标准，数量。加强国家级公益林管护质量，资金按相关规定支出，按“落实主体，维护权益，强化保护，科学利用”的总体要求</w:t>
      </w:r>
    </w:p>
    <w:p>
      <w:pPr>
        <w:pStyle w:val="2"/>
        <w:keepNext w:val="0"/>
        <w:keepLines w:val="0"/>
        <w:pageBreakBefore w:val="0"/>
        <w:widowControl/>
        <w:kinsoku/>
        <w:wordWrap/>
        <w:overflowPunct/>
        <w:topLinePunct w:val="0"/>
        <w:autoSpaceDE/>
        <w:autoSpaceDN/>
        <w:bidi w:val="0"/>
        <w:adjustRightInd/>
        <w:snapToGrid/>
        <w:spacing w:before="0" w:after="0"/>
        <w:ind w:firstLine="321" w:firstLineChars="100"/>
        <w:jc w:val="both"/>
        <w:textAlignment w:val="auto"/>
        <w:rPr>
          <w:rFonts w:hint="eastAsia" w:ascii="楷体_GB2312" w:hAnsi="楷体_GB2312" w:eastAsia="楷体_GB2312" w:cs="楷体_GB2312"/>
          <w:highlight w:val="none"/>
          <w:lang w:eastAsia="zh-CN"/>
        </w:rPr>
      </w:pPr>
      <w:r>
        <w:rPr>
          <w:rFonts w:hint="eastAsia" w:ascii="楷体_GB2312" w:hAnsi="楷体_GB2312" w:eastAsia="楷体_GB2312" w:cs="楷体_GB2312"/>
          <w:highlight w:val="none"/>
          <w:lang w:eastAsia="zh-CN"/>
        </w:rPr>
        <w:t>（</w:t>
      </w:r>
      <w:r>
        <w:rPr>
          <w:rFonts w:hint="eastAsia" w:ascii="楷体_GB2312" w:hAnsi="楷体_GB2312" w:eastAsia="楷体_GB2312" w:cs="楷体_GB2312"/>
          <w:highlight w:val="none"/>
          <w:lang w:val="en-US" w:eastAsia="zh-CN"/>
        </w:rPr>
        <w:t>三</w:t>
      </w:r>
      <w:r>
        <w:rPr>
          <w:rFonts w:hint="eastAsia" w:ascii="楷体_GB2312" w:hAnsi="楷体_GB2312" w:eastAsia="楷体_GB2312" w:cs="楷体_GB2312"/>
          <w:highlight w:val="none"/>
          <w:lang w:eastAsia="zh-CN"/>
        </w:rPr>
        <w:t>）项目产出</w:t>
      </w:r>
    </w:p>
    <w:p>
      <w:pPr>
        <w:pStyle w:val="19"/>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val="0"/>
          <w:sz w:val="32"/>
          <w:szCs w:val="32"/>
          <w:highlight w:val="none"/>
        </w:rPr>
      </w:pPr>
      <w:r>
        <w:rPr>
          <w:rFonts w:hint="eastAsia" w:ascii="仿宋_GB2312" w:hAnsi="仿宋_GB2312" w:eastAsia="仿宋_GB2312" w:cs="仿宋_GB2312"/>
          <w:b/>
          <w:bCs w:val="0"/>
          <w:sz w:val="32"/>
          <w:szCs w:val="32"/>
          <w:highlight w:val="none"/>
        </w:rPr>
        <w:t>项目</w:t>
      </w:r>
      <w:r>
        <w:rPr>
          <w:rFonts w:hint="eastAsia" w:ascii="仿宋_GB2312" w:hAnsi="仿宋_GB2312" w:eastAsia="仿宋_GB2312" w:cs="仿宋_GB2312"/>
          <w:b/>
          <w:bCs w:val="0"/>
          <w:sz w:val="32"/>
          <w:szCs w:val="32"/>
          <w:highlight w:val="none"/>
          <w:lang w:eastAsia="zh-CN"/>
        </w:rPr>
        <w:t>产出</w:t>
      </w:r>
      <w:r>
        <w:rPr>
          <w:rFonts w:hint="eastAsia" w:ascii="仿宋_GB2312" w:hAnsi="仿宋_GB2312" w:eastAsia="仿宋_GB2312" w:cs="仿宋_GB2312"/>
          <w:b/>
          <w:bCs w:val="0"/>
          <w:sz w:val="32"/>
          <w:szCs w:val="32"/>
          <w:highlight w:val="none"/>
        </w:rPr>
        <w:t>指标得分情况</w:t>
      </w:r>
    </w:p>
    <w:tbl>
      <w:tblPr>
        <w:tblStyle w:val="23"/>
        <w:tblW w:w="8473" w:type="dxa"/>
        <w:tblInd w:w="0" w:type="dxa"/>
        <w:tblLayout w:type="fixed"/>
        <w:tblCellMar>
          <w:top w:w="0" w:type="dxa"/>
          <w:left w:w="108" w:type="dxa"/>
          <w:bottom w:w="0" w:type="dxa"/>
          <w:right w:w="108" w:type="dxa"/>
        </w:tblCellMar>
      </w:tblPr>
      <w:tblGrid>
        <w:gridCol w:w="2517"/>
        <w:gridCol w:w="1986"/>
        <w:gridCol w:w="1984"/>
        <w:gridCol w:w="1986"/>
      </w:tblGrid>
      <w:tr>
        <w:tblPrEx>
          <w:tblLayout w:type="fixed"/>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5E988C"/>
                <w:kern w:val="0"/>
                <w:sz w:val="32"/>
                <w:szCs w:val="32"/>
                <w:highlight w:val="none"/>
              </w:rPr>
            </w:pPr>
            <w:r>
              <w:rPr>
                <w:rFonts w:hint="eastAsia" w:ascii="仿宋_GB2312" w:hAnsi="仿宋_GB2312" w:eastAsia="仿宋_GB2312" w:cs="仿宋_GB2312"/>
                <w:b/>
                <w:bCs/>
                <w:color w:val="000000"/>
                <w:kern w:val="0"/>
                <w:sz w:val="32"/>
                <w:szCs w:val="32"/>
                <w:highlight w:val="none"/>
              </w:rPr>
              <w:t>二级指标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tblPrEx>
          <w:tblLayout w:type="fixed"/>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产出数量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val="en-US" w:eastAsia="zh-CN"/>
              </w:rPr>
              <w:t>5</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val="en-US" w:eastAsia="zh-CN"/>
              </w:rPr>
              <w:t>5</w:t>
            </w:r>
          </w:p>
        </w:tc>
      </w:tr>
      <w:tr>
        <w:tblPrEx>
          <w:tblLayout w:type="fixed"/>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产出质量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产出时效</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15</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val="en-US" w:eastAsia="zh-CN"/>
              </w:rPr>
              <w:t>5</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产出成本</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88.4</w:t>
            </w:r>
            <w:r>
              <w:rPr>
                <w:rFonts w:hint="eastAsia" w:ascii="仿宋_GB2312" w:hAnsi="仿宋_GB2312" w:eastAsia="仿宋_GB2312" w:cs="仿宋_GB2312"/>
                <w:color w:val="000000"/>
                <w:kern w:val="0"/>
                <w:sz w:val="32"/>
                <w:szCs w:val="32"/>
                <w:highlight w:val="none"/>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8.8</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  计</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50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lang w:val="en-US" w:eastAsia="zh-CN"/>
              </w:rPr>
              <w:t>97.6</w:t>
            </w:r>
            <w:r>
              <w:rPr>
                <w:rFonts w:hint="eastAsia" w:ascii="仿宋_GB2312" w:hAnsi="仿宋_GB2312" w:eastAsia="仿宋_GB2312" w:cs="仿宋_GB2312"/>
                <w:color w:val="000000"/>
                <w:kern w:val="0"/>
                <w:sz w:val="32"/>
                <w:szCs w:val="32"/>
                <w:highlight w:val="none"/>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48.8</w:t>
            </w:r>
          </w:p>
        </w:tc>
      </w:tr>
    </w:tbl>
    <w:p>
      <w:pPr>
        <w:spacing w:line="540" w:lineRule="exact"/>
        <w:ind w:firstLine="640"/>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bCs w:val="0"/>
          <w:spacing w:val="-4"/>
          <w:sz w:val="32"/>
          <w:szCs w:val="32"/>
          <w:highlight w:val="none"/>
        </w:rPr>
        <w:t>数量指标方面：</w:t>
      </w:r>
      <w:r>
        <w:rPr>
          <w:rStyle w:val="21"/>
          <w:rFonts w:hint="eastAsia" w:ascii="仿宋_GB2312" w:hAnsi="仿宋_GB2312" w:eastAsia="仿宋_GB2312" w:cs="仿宋_GB2312"/>
          <w:b w:val="0"/>
          <w:bCs/>
          <w:spacing w:val="-4"/>
          <w:sz w:val="32"/>
          <w:szCs w:val="32"/>
          <w:highlight w:val="none"/>
          <w:lang w:val="en-US" w:eastAsia="zh-CN"/>
        </w:rPr>
        <w:t>劳务报酬，年度指标值为=50人，实际完成值为=50人，完成率100%；</w:t>
      </w:r>
    </w:p>
    <w:p>
      <w:pPr>
        <w:spacing w:line="540" w:lineRule="exact"/>
        <w:ind w:firstLine="640"/>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val="0"/>
          <w:bCs/>
          <w:spacing w:val="-4"/>
          <w:sz w:val="32"/>
          <w:szCs w:val="32"/>
          <w:highlight w:val="none"/>
          <w:lang w:val="en-US" w:eastAsia="zh-CN"/>
        </w:rPr>
        <w:t>社会保障（社保），年度指标值为=50人，实际完成值为=50人，完成率100%；</w:t>
      </w:r>
    </w:p>
    <w:p>
      <w:pPr>
        <w:spacing w:line="540" w:lineRule="exact"/>
        <w:ind w:firstLine="640"/>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val="0"/>
          <w:bCs/>
          <w:spacing w:val="-4"/>
          <w:sz w:val="32"/>
          <w:szCs w:val="32"/>
          <w:highlight w:val="none"/>
          <w:lang w:val="en-US" w:eastAsia="zh-CN"/>
        </w:rPr>
        <w:t>日常管护支出，年度指标值为=50人，实际完成值为=50人，完成率100%；</w:t>
      </w:r>
    </w:p>
    <w:p>
      <w:pPr>
        <w:spacing w:line="540" w:lineRule="exact"/>
        <w:ind w:firstLine="640"/>
        <w:rPr>
          <w:rStyle w:val="21"/>
          <w:rFonts w:hint="eastAsia" w:ascii="仿宋_GB2312" w:hAnsi="仿宋_GB2312" w:eastAsia="仿宋_GB2312" w:cs="仿宋_GB2312"/>
          <w:b w:val="0"/>
          <w:bCs/>
          <w:spacing w:val="-4"/>
          <w:sz w:val="32"/>
          <w:szCs w:val="32"/>
          <w:highlight w:val="none"/>
          <w:lang w:val="en-US" w:eastAsia="zh-CN"/>
        </w:rPr>
      </w:pPr>
      <w:r>
        <w:rPr>
          <w:rStyle w:val="51"/>
          <w:rFonts w:hint="eastAsia" w:ascii="仿宋_GB2312" w:hAnsi="仿宋_GB2312" w:eastAsia="仿宋_GB2312" w:cs="仿宋_GB2312"/>
          <w:b/>
          <w:bCs/>
          <w:color w:val="auto"/>
          <w:highlight w:val="none"/>
        </w:rPr>
        <w:t>质量指标方面：</w:t>
      </w:r>
      <w:r>
        <w:rPr>
          <w:rStyle w:val="21"/>
          <w:rFonts w:hint="eastAsia" w:ascii="仿宋_GB2312" w:hAnsi="仿宋_GB2312" w:eastAsia="仿宋_GB2312" w:cs="仿宋_GB2312"/>
          <w:b w:val="0"/>
          <w:bCs/>
          <w:spacing w:val="-4"/>
          <w:sz w:val="32"/>
          <w:szCs w:val="32"/>
          <w:highlight w:val="none"/>
          <w:lang w:val="en-US" w:eastAsia="zh-CN"/>
        </w:rPr>
        <w:t>资金使用合规率，年度指标值为=100%，实际完成值为=100%，完成率100%；</w:t>
      </w:r>
    </w:p>
    <w:p>
      <w:pPr>
        <w:spacing w:line="540" w:lineRule="exact"/>
        <w:ind w:firstLine="640"/>
        <w:rPr>
          <w:rStyle w:val="51"/>
          <w:rFonts w:hint="eastAsia" w:ascii="仿宋_GB2312" w:hAnsi="仿宋_GB2312" w:eastAsia="仿宋_GB2312" w:cs="仿宋_GB2312"/>
          <w:color w:val="auto"/>
          <w:highlight w:val="none"/>
          <w:lang w:val="en-US" w:eastAsia="zh-CN"/>
        </w:rPr>
      </w:pPr>
      <w:r>
        <w:rPr>
          <w:rStyle w:val="21"/>
          <w:rFonts w:hint="eastAsia" w:ascii="仿宋_GB2312" w:hAnsi="仿宋_GB2312" w:eastAsia="仿宋_GB2312" w:cs="仿宋_GB2312"/>
          <w:b w:val="0"/>
          <w:bCs/>
          <w:spacing w:val="-4"/>
          <w:sz w:val="32"/>
          <w:szCs w:val="32"/>
          <w:highlight w:val="none"/>
          <w:lang w:val="en-US" w:eastAsia="zh-CN"/>
        </w:rPr>
        <w:t>资金发放正确率，年度指标值为=100%，实际完成值为=100%，完成率100%；</w:t>
      </w:r>
    </w:p>
    <w:p>
      <w:pPr>
        <w:spacing w:line="540" w:lineRule="exact"/>
        <w:ind w:firstLine="640"/>
        <w:rPr>
          <w:rStyle w:val="21"/>
          <w:rFonts w:hint="eastAsia" w:ascii="仿宋_GB2312" w:hAnsi="仿宋_GB2312" w:eastAsia="仿宋_GB2312" w:cs="仿宋_GB2312"/>
          <w:b w:val="0"/>
          <w:bCs/>
          <w:spacing w:val="-4"/>
          <w:sz w:val="32"/>
          <w:szCs w:val="32"/>
          <w:highlight w:val="none"/>
          <w:lang w:val="en-US"/>
        </w:rPr>
      </w:pPr>
      <w:r>
        <w:rPr>
          <w:rStyle w:val="21"/>
          <w:rFonts w:hint="eastAsia" w:ascii="仿宋_GB2312" w:hAnsi="仿宋_GB2312" w:eastAsia="仿宋_GB2312" w:cs="仿宋_GB2312"/>
          <w:b/>
          <w:bCs w:val="0"/>
          <w:spacing w:val="-4"/>
          <w:sz w:val="32"/>
          <w:szCs w:val="32"/>
          <w:highlight w:val="none"/>
          <w:lang w:val="en-US" w:eastAsia="zh-CN"/>
        </w:rPr>
        <w:t>时效指标方面：</w:t>
      </w:r>
      <w:r>
        <w:rPr>
          <w:rStyle w:val="21"/>
          <w:rFonts w:hint="eastAsia" w:ascii="仿宋_GB2312" w:hAnsi="仿宋_GB2312" w:eastAsia="仿宋_GB2312" w:cs="仿宋_GB2312"/>
          <w:b w:val="0"/>
          <w:bCs/>
          <w:spacing w:val="-4"/>
          <w:sz w:val="32"/>
          <w:szCs w:val="32"/>
          <w:highlight w:val="none"/>
          <w:lang w:val="en-US" w:eastAsia="zh-CN"/>
        </w:rPr>
        <w:t>完成时间，年度指标值为=12月，实际完成值为=12月，完成率100%。</w:t>
      </w:r>
    </w:p>
    <w:p>
      <w:pPr>
        <w:spacing w:line="540" w:lineRule="exact"/>
        <w:ind w:firstLine="640"/>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bCs w:val="0"/>
          <w:spacing w:val="-4"/>
          <w:sz w:val="32"/>
          <w:szCs w:val="32"/>
          <w:highlight w:val="none"/>
          <w:lang w:val="en-US" w:eastAsia="zh-CN"/>
        </w:rPr>
        <w:t>成本指标方面：</w:t>
      </w:r>
      <w:r>
        <w:rPr>
          <w:rStyle w:val="21"/>
          <w:rFonts w:hint="eastAsia" w:ascii="仿宋_GB2312" w:hAnsi="仿宋_GB2312" w:eastAsia="仿宋_GB2312" w:cs="仿宋_GB2312"/>
          <w:b w:val="0"/>
          <w:bCs/>
          <w:spacing w:val="-4"/>
          <w:sz w:val="32"/>
          <w:szCs w:val="32"/>
          <w:highlight w:val="none"/>
          <w:lang w:val="en-US" w:eastAsia="zh-CN"/>
        </w:rPr>
        <w:t>劳务报酬 ，年度指标值为=183.02万元，实际完成值为=151.78万元，完成率82.9%；</w:t>
      </w:r>
    </w:p>
    <w:p>
      <w:pPr>
        <w:spacing w:line="540" w:lineRule="exact"/>
        <w:ind w:firstLine="640"/>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val="0"/>
          <w:bCs/>
          <w:spacing w:val="-4"/>
          <w:sz w:val="32"/>
          <w:szCs w:val="32"/>
          <w:highlight w:val="none"/>
          <w:lang w:val="en-US" w:eastAsia="zh-CN"/>
        </w:rPr>
        <w:t>社会保障（社保），年度指标值为=121.38万元，实际完成值为=100万元，完成率82.3%；</w:t>
      </w:r>
    </w:p>
    <w:p>
      <w:pPr>
        <w:spacing w:line="540" w:lineRule="exact"/>
        <w:ind w:firstLine="640"/>
        <w:rPr>
          <w:rStyle w:val="21"/>
          <w:rFonts w:hint="eastAsia" w:ascii="仿宋_GB2312" w:hAnsi="仿宋_GB2312" w:eastAsia="仿宋_GB2312" w:cs="仿宋_GB2312"/>
          <w:b w:val="0"/>
          <w:bCs/>
          <w:spacing w:val="-4"/>
          <w:sz w:val="32"/>
          <w:szCs w:val="32"/>
          <w:highlight w:val="none"/>
          <w:lang w:val="en-US" w:eastAsia="zh-CN"/>
        </w:rPr>
      </w:pPr>
      <w:r>
        <w:rPr>
          <w:rStyle w:val="21"/>
          <w:rFonts w:hint="eastAsia" w:ascii="仿宋_GB2312" w:hAnsi="仿宋_GB2312" w:eastAsia="仿宋_GB2312" w:cs="仿宋_GB2312"/>
          <w:b w:val="0"/>
          <w:bCs/>
          <w:spacing w:val="-4"/>
          <w:sz w:val="32"/>
          <w:szCs w:val="32"/>
          <w:highlight w:val="none"/>
          <w:lang w:val="en-US" w:eastAsia="zh-CN"/>
        </w:rPr>
        <w:t>日常管护，年度指标值为=11.65万元，实际完成值为=11.65万元，完成率100%。</w:t>
      </w:r>
    </w:p>
    <w:p>
      <w:pPr>
        <w:pStyle w:val="2"/>
        <w:keepNext w:val="0"/>
        <w:keepLines w:val="0"/>
        <w:pageBreakBefore w:val="0"/>
        <w:widowControl/>
        <w:kinsoku/>
        <w:wordWrap/>
        <w:overflowPunct/>
        <w:topLinePunct w:val="0"/>
        <w:autoSpaceDE/>
        <w:autoSpaceDN/>
        <w:bidi w:val="0"/>
        <w:adjustRightInd/>
        <w:snapToGrid/>
        <w:spacing w:before="0" w:after="0"/>
        <w:ind w:firstLine="321" w:firstLineChars="100"/>
        <w:jc w:val="both"/>
        <w:textAlignment w:val="auto"/>
        <w:rPr>
          <w:rFonts w:hint="eastAsia" w:ascii="楷体_GB2312" w:hAnsi="楷体_GB2312" w:eastAsia="楷体_GB2312" w:cs="楷体_GB2312"/>
          <w:highlight w:val="none"/>
          <w:lang w:eastAsia="zh-CN"/>
        </w:rPr>
      </w:pPr>
      <w:r>
        <w:rPr>
          <w:rFonts w:hint="eastAsia" w:ascii="楷体_GB2312" w:hAnsi="楷体_GB2312" w:eastAsia="楷体_GB2312" w:cs="楷体_GB2312"/>
          <w:highlight w:val="none"/>
          <w:lang w:eastAsia="zh-CN"/>
        </w:rPr>
        <w:t>（</w:t>
      </w:r>
      <w:r>
        <w:rPr>
          <w:rFonts w:hint="eastAsia" w:ascii="楷体_GB2312" w:hAnsi="楷体_GB2312" w:eastAsia="楷体_GB2312" w:cs="楷体_GB2312"/>
          <w:highlight w:val="none"/>
          <w:lang w:val="en-US" w:eastAsia="zh-CN"/>
        </w:rPr>
        <w:t>四</w:t>
      </w:r>
      <w:r>
        <w:rPr>
          <w:rFonts w:hint="eastAsia" w:ascii="楷体_GB2312" w:hAnsi="楷体_GB2312" w:eastAsia="楷体_GB2312" w:cs="楷体_GB2312"/>
          <w:highlight w:val="none"/>
          <w:lang w:eastAsia="zh-CN"/>
        </w:rPr>
        <w:t>）效益情况</w:t>
      </w:r>
    </w:p>
    <w:p>
      <w:pPr>
        <w:pStyle w:val="19"/>
        <w:pageBreakBefore w:val="0"/>
        <w:kinsoku/>
        <w:wordWrap/>
        <w:overflowPunct/>
        <w:topLinePunct w:val="0"/>
        <w:autoSpaceDE/>
        <w:autoSpaceDN/>
        <w:bidi w:val="0"/>
        <w:adjustRightInd/>
        <w:spacing w:line="560" w:lineRule="exact"/>
        <w:jc w:val="center"/>
        <w:rPr>
          <w:rFonts w:hint="eastAsia" w:ascii="仿宋_GB2312" w:hAnsi="仿宋_GB2312" w:eastAsia="仿宋_GB2312" w:cs="仿宋_GB2312"/>
          <w:b/>
          <w:bCs w:val="0"/>
          <w:sz w:val="32"/>
          <w:szCs w:val="32"/>
          <w:highlight w:val="none"/>
        </w:rPr>
      </w:pPr>
      <w:r>
        <w:rPr>
          <w:rFonts w:hint="eastAsia" w:ascii="仿宋_GB2312" w:hAnsi="仿宋_GB2312" w:eastAsia="仿宋_GB2312" w:cs="仿宋_GB2312"/>
          <w:b/>
          <w:bCs w:val="0"/>
          <w:sz w:val="32"/>
          <w:szCs w:val="32"/>
          <w:highlight w:val="none"/>
        </w:rPr>
        <w:t>项目</w:t>
      </w:r>
      <w:r>
        <w:rPr>
          <w:rFonts w:hint="eastAsia" w:ascii="仿宋_GB2312" w:hAnsi="仿宋_GB2312" w:eastAsia="仿宋_GB2312" w:cs="仿宋_GB2312"/>
          <w:b/>
          <w:bCs w:val="0"/>
          <w:sz w:val="32"/>
          <w:szCs w:val="32"/>
          <w:highlight w:val="none"/>
          <w:lang w:eastAsia="zh-CN"/>
        </w:rPr>
        <w:t>效益</w:t>
      </w:r>
      <w:r>
        <w:rPr>
          <w:rFonts w:hint="eastAsia" w:ascii="仿宋_GB2312" w:hAnsi="仿宋_GB2312" w:eastAsia="仿宋_GB2312" w:cs="仿宋_GB2312"/>
          <w:b/>
          <w:bCs w:val="0"/>
          <w:sz w:val="32"/>
          <w:szCs w:val="32"/>
          <w:highlight w:val="none"/>
        </w:rPr>
        <w:t>指标得分情况</w:t>
      </w:r>
    </w:p>
    <w:tbl>
      <w:tblPr>
        <w:tblStyle w:val="23"/>
        <w:tblW w:w="8473" w:type="dxa"/>
        <w:tblInd w:w="0" w:type="dxa"/>
        <w:tblLayout w:type="fixed"/>
        <w:tblCellMar>
          <w:top w:w="0" w:type="dxa"/>
          <w:left w:w="108" w:type="dxa"/>
          <w:bottom w:w="0" w:type="dxa"/>
          <w:right w:w="108" w:type="dxa"/>
        </w:tblCellMar>
      </w:tblPr>
      <w:tblGrid>
        <w:gridCol w:w="2517"/>
        <w:gridCol w:w="1986"/>
        <w:gridCol w:w="1984"/>
        <w:gridCol w:w="1986"/>
      </w:tblGrid>
      <w:tr>
        <w:tblPrEx>
          <w:tblLayout w:type="fixed"/>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5E988C"/>
                <w:kern w:val="0"/>
                <w:sz w:val="32"/>
                <w:szCs w:val="32"/>
                <w:highlight w:val="none"/>
              </w:rPr>
            </w:pPr>
            <w:r>
              <w:rPr>
                <w:rFonts w:hint="eastAsia" w:ascii="仿宋_GB2312" w:hAnsi="仿宋_GB2312" w:eastAsia="仿宋_GB2312" w:cs="仿宋_GB2312"/>
                <w:b/>
                <w:bCs/>
                <w:color w:val="000000"/>
                <w:kern w:val="0"/>
                <w:sz w:val="32"/>
                <w:szCs w:val="32"/>
                <w:highlight w:val="none"/>
                <w:lang w:eastAsia="zh-CN"/>
              </w:rPr>
              <w:t>三</w:t>
            </w:r>
            <w:r>
              <w:rPr>
                <w:rFonts w:hint="eastAsia" w:ascii="仿宋_GB2312" w:hAnsi="仿宋_GB2312" w:eastAsia="仿宋_GB2312" w:cs="仿宋_GB2312"/>
                <w:b/>
                <w:bCs/>
                <w:color w:val="000000"/>
                <w:kern w:val="0"/>
                <w:sz w:val="32"/>
                <w:szCs w:val="32"/>
                <w:highlight w:val="none"/>
              </w:rPr>
              <w:t>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rPr>
              <w:t>实际得分</w:t>
            </w:r>
          </w:p>
        </w:tc>
      </w:tr>
      <w:tr>
        <w:tblPrEx>
          <w:tblLayout w:type="fixed"/>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Style w:val="51"/>
                <w:rFonts w:hint="eastAsia" w:ascii="仿宋_GB2312" w:hAnsi="仿宋_GB2312" w:eastAsia="仿宋_GB2312" w:cs="仿宋_GB2312"/>
                <w:b/>
                <w:bCs/>
                <w:color w:val="auto"/>
                <w:highlight w:val="none"/>
              </w:rPr>
              <w:t>社会效益</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val="en-US" w:eastAsia="zh-CN"/>
              </w:rPr>
              <w:t>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lang w:eastAsia="zh-CN"/>
              </w:rPr>
            </w:pPr>
            <w:r>
              <w:rPr>
                <w:rFonts w:hint="eastAsia" w:ascii="仿宋_GB2312" w:hAnsi="仿宋_GB2312" w:eastAsia="仿宋_GB2312" w:cs="仿宋_GB2312"/>
                <w:color w:val="000000"/>
                <w:kern w:val="0"/>
                <w:sz w:val="32"/>
                <w:szCs w:val="32"/>
                <w:highlight w:val="none"/>
              </w:rPr>
              <w:t>1</w:t>
            </w:r>
            <w:r>
              <w:rPr>
                <w:rFonts w:hint="eastAsia" w:ascii="仿宋_GB2312" w:hAnsi="仿宋_GB2312" w:eastAsia="仿宋_GB2312" w:cs="仿宋_GB2312"/>
                <w:color w:val="000000"/>
                <w:kern w:val="0"/>
                <w:sz w:val="32"/>
                <w:szCs w:val="32"/>
                <w:highlight w:val="none"/>
                <w:lang w:val="en-US" w:eastAsia="zh-CN"/>
              </w:rPr>
              <w:t>0</w:t>
            </w:r>
          </w:p>
        </w:tc>
      </w:tr>
      <w:tr>
        <w:tblPrEx>
          <w:tblLayout w:type="fixed"/>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Style w:val="51"/>
                <w:rFonts w:hint="eastAsia" w:ascii="仿宋_GB2312" w:hAnsi="仿宋_GB2312" w:eastAsia="仿宋_GB2312" w:cs="仿宋_GB2312"/>
                <w:b/>
                <w:bCs/>
                <w:color w:val="auto"/>
                <w:highlight w:val="none"/>
                <w:lang w:val="en-US" w:eastAsia="zh-CN"/>
              </w:rPr>
              <w:t>生态效益</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Style w:val="51"/>
                <w:rFonts w:hint="eastAsia" w:ascii="仿宋_GB2312" w:hAnsi="仿宋_GB2312" w:eastAsia="仿宋_GB2312" w:cs="仿宋_GB2312"/>
                <w:b/>
                <w:bCs/>
                <w:color w:val="auto"/>
                <w:highlight w:val="none"/>
              </w:rPr>
              <w:t>可持续影响</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Style w:val="51"/>
                <w:rFonts w:hint="eastAsia" w:ascii="仿宋_GB2312" w:hAnsi="仿宋_GB2312" w:eastAsia="仿宋_GB2312" w:cs="仿宋_GB2312"/>
                <w:b/>
                <w:bCs/>
                <w:color w:val="auto"/>
                <w:highlight w:val="none"/>
              </w:rPr>
              <w:t>满意度</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10</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合  计</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仿宋_GB2312" w:hAnsi="仿宋_GB2312" w:eastAsia="仿宋_GB2312" w:cs="仿宋_GB2312"/>
                <w:color w:val="000000"/>
                <w:kern w:val="0"/>
                <w:sz w:val="32"/>
                <w:szCs w:val="32"/>
                <w:highlight w:val="none"/>
              </w:rPr>
            </w:pPr>
            <w:r>
              <w:rPr>
                <w:rFonts w:hint="eastAsia" w:ascii="仿宋_GB2312" w:hAnsi="仿宋_GB2312" w:eastAsia="仿宋_GB2312" w:cs="仿宋_GB2312"/>
                <w:color w:val="000000"/>
                <w:kern w:val="0"/>
                <w:sz w:val="32"/>
                <w:szCs w:val="32"/>
                <w:highlight w:val="none"/>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default"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40</w:t>
            </w:r>
          </w:p>
        </w:tc>
      </w:tr>
    </w:tbl>
    <w:p>
      <w:pPr>
        <w:spacing w:line="540" w:lineRule="exact"/>
        <w:ind w:firstLine="640"/>
        <w:rPr>
          <w:rStyle w:val="51"/>
          <w:rFonts w:hint="eastAsia" w:ascii="仿宋_GB2312" w:hAnsi="仿宋_GB2312" w:eastAsia="仿宋_GB2312" w:cs="仿宋_GB2312"/>
          <w:color w:val="auto"/>
          <w:highlight w:val="none"/>
          <w:lang w:val="en-US"/>
        </w:rPr>
      </w:pPr>
      <w:r>
        <w:rPr>
          <w:rStyle w:val="51"/>
          <w:rFonts w:hint="eastAsia" w:ascii="仿宋_GB2312" w:hAnsi="仿宋_GB2312" w:eastAsia="仿宋_GB2312" w:cs="仿宋_GB2312"/>
          <w:b/>
          <w:bCs/>
          <w:color w:val="auto"/>
          <w:highlight w:val="none"/>
        </w:rPr>
        <w:t>社会效益指标方面：</w:t>
      </w:r>
      <w:r>
        <w:rPr>
          <w:rStyle w:val="51"/>
          <w:rFonts w:hint="eastAsia" w:ascii="仿宋_GB2312" w:hAnsi="仿宋_GB2312" w:eastAsia="仿宋_GB2312" w:cs="仿宋_GB2312"/>
          <w:color w:val="auto"/>
          <w:highlight w:val="none"/>
        </w:rPr>
        <w:t>加强森林生态建设，促进森林生态发展，年度指标值为=100%，实际完成值为=100%</w:t>
      </w:r>
      <w:r>
        <w:rPr>
          <w:rStyle w:val="21"/>
          <w:rFonts w:hint="eastAsia" w:ascii="仿宋_GB2312" w:hAnsi="仿宋_GB2312" w:eastAsia="仿宋_GB2312" w:cs="仿宋_GB2312"/>
          <w:b w:val="0"/>
          <w:bCs/>
          <w:spacing w:val="-4"/>
          <w:sz w:val="32"/>
          <w:szCs w:val="32"/>
          <w:highlight w:val="none"/>
          <w:lang w:val="en-US" w:eastAsia="zh-CN"/>
        </w:rPr>
        <w:t>，完成率100%；</w:t>
      </w:r>
    </w:p>
    <w:p>
      <w:pPr>
        <w:spacing w:line="540" w:lineRule="exact"/>
        <w:ind w:firstLine="640"/>
        <w:rPr>
          <w:rStyle w:val="51"/>
          <w:rFonts w:hint="eastAsia" w:ascii="仿宋_GB2312" w:hAnsi="仿宋_GB2312" w:eastAsia="仿宋_GB2312" w:cs="仿宋_GB2312"/>
          <w:color w:val="auto"/>
          <w:highlight w:val="none"/>
          <w:lang w:val="en-US" w:eastAsia="zh-CN"/>
        </w:rPr>
      </w:pPr>
      <w:r>
        <w:rPr>
          <w:rStyle w:val="51"/>
          <w:rFonts w:hint="eastAsia" w:ascii="仿宋_GB2312" w:hAnsi="仿宋_GB2312" w:eastAsia="仿宋_GB2312" w:cs="仿宋_GB2312"/>
          <w:b/>
          <w:bCs/>
          <w:color w:val="auto"/>
          <w:highlight w:val="none"/>
          <w:lang w:val="en-US" w:eastAsia="zh-CN"/>
        </w:rPr>
        <w:t>生态效益指标方面：</w:t>
      </w:r>
      <w:r>
        <w:rPr>
          <w:rStyle w:val="51"/>
          <w:rFonts w:hint="eastAsia" w:ascii="仿宋_GB2312" w:hAnsi="仿宋_GB2312" w:eastAsia="仿宋_GB2312" w:cs="仿宋_GB2312"/>
          <w:color w:val="auto"/>
          <w:highlight w:val="none"/>
        </w:rPr>
        <w:t>国家公益林生态环境改善，年度指标值为=100%，实际完成值为=100%</w:t>
      </w:r>
      <w:r>
        <w:rPr>
          <w:rStyle w:val="21"/>
          <w:rFonts w:hint="eastAsia" w:ascii="仿宋_GB2312" w:hAnsi="仿宋_GB2312" w:eastAsia="仿宋_GB2312" w:cs="仿宋_GB2312"/>
          <w:b w:val="0"/>
          <w:bCs/>
          <w:spacing w:val="-4"/>
          <w:sz w:val="32"/>
          <w:szCs w:val="32"/>
          <w:highlight w:val="none"/>
          <w:lang w:val="en-US" w:eastAsia="zh-CN"/>
        </w:rPr>
        <w:t>，完成率100%；</w:t>
      </w:r>
    </w:p>
    <w:p>
      <w:pPr>
        <w:spacing w:line="540" w:lineRule="exact"/>
        <w:ind w:firstLine="640"/>
        <w:rPr>
          <w:rStyle w:val="51"/>
          <w:rFonts w:hint="eastAsia" w:ascii="仿宋_GB2312" w:hAnsi="仿宋_GB2312" w:eastAsia="仿宋_GB2312" w:cs="仿宋_GB2312"/>
          <w:color w:val="auto"/>
          <w:highlight w:val="none"/>
          <w:lang w:val="en-US" w:eastAsia="zh-CN"/>
        </w:rPr>
      </w:pPr>
      <w:r>
        <w:rPr>
          <w:rStyle w:val="51"/>
          <w:rFonts w:hint="eastAsia" w:ascii="仿宋_GB2312" w:hAnsi="仿宋_GB2312" w:eastAsia="仿宋_GB2312" w:cs="仿宋_GB2312"/>
          <w:b/>
          <w:bCs/>
          <w:color w:val="auto"/>
          <w:highlight w:val="none"/>
        </w:rPr>
        <w:t>可持续影响指标方面：</w:t>
      </w:r>
      <w:r>
        <w:rPr>
          <w:rStyle w:val="51"/>
          <w:rFonts w:hint="eastAsia" w:ascii="仿宋_GB2312" w:hAnsi="仿宋_GB2312" w:eastAsia="仿宋_GB2312" w:cs="仿宋_GB2312"/>
          <w:color w:val="auto"/>
          <w:highlight w:val="none"/>
        </w:rPr>
        <w:t>改善森林环境，年度指标值为长期，实际完成值为长期</w:t>
      </w:r>
      <w:r>
        <w:rPr>
          <w:rStyle w:val="21"/>
          <w:rFonts w:hint="eastAsia" w:ascii="仿宋_GB2312" w:hAnsi="仿宋_GB2312" w:eastAsia="仿宋_GB2312" w:cs="仿宋_GB2312"/>
          <w:b w:val="0"/>
          <w:bCs/>
          <w:spacing w:val="-4"/>
          <w:sz w:val="32"/>
          <w:szCs w:val="32"/>
          <w:highlight w:val="none"/>
          <w:lang w:val="en-US" w:eastAsia="zh-CN"/>
        </w:rPr>
        <w:t>，完成率100%；</w:t>
      </w:r>
    </w:p>
    <w:p>
      <w:pPr>
        <w:spacing w:line="540" w:lineRule="exact"/>
        <w:ind w:firstLine="640"/>
        <w:rPr>
          <w:rStyle w:val="51"/>
          <w:rFonts w:hint="eastAsia" w:ascii="仿宋_GB2312" w:hAnsi="仿宋_GB2312" w:eastAsia="仿宋_GB2312" w:cs="仿宋_GB2312"/>
          <w:color w:val="auto"/>
          <w:highlight w:val="none"/>
          <w:lang w:val="en-US"/>
        </w:rPr>
      </w:pPr>
      <w:r>
        <w:rPr>
          <w:rStyle w:val="51"/>
          <w:rFonts w:hint="eastAsia" w:ascii="仿宋_GB2312" w:hAnsi="仿宋_GB2312" w:eastAsia="仿宋_GB2312" w:cs="仿宋_GB2312"/>
          <w:b/>
          <w:bCs/>
          <w:color w:val="auto"/>
          <w:highlight w:val="none"/>
        </w:rPr>
        <w:t>满意度指标方面：</w:t>
      </w:r>
      <w:r>
        <w:rPr>
          <w:rStyle w:val="51"/>
          <w:rFonts w:hint="eastAsia" w:ascii="仿宋_GB2312" w:hAnsi="仿宋_GB2312" w:eastAsia="仿宋_GB2312" w:cs="仿宋_GB2312"/>
          <w:color w:val="auto"/>
          <w:highlight w:val="none"/>
        </w:rPr>
        <w:t>管护员满意度，年度指标值为=100%，实际完成值为=100%</w:t>
      </w:r>
      <w:r>
        <w:rPr>
          <w:rStyle w:val="21"/>
          <w:rFonts w:hint="eastAsia" w:ascii="仿宋_GB2312" w:hAnsi="仿宋_GB2312" w:eastAsia="仿宋_GB2312" w:cs="仿宋_GB2312"/>
          <w:b w:val="0"/>
          <w:bCs/>
          <w:spacing w:val="-4"/>
          <w:sz w:val="32"/>
          <w:szCs w:val="32"/>
          <w:highlight w:val="none"/>
          <w:lang w:val="en-US" w:eastAsia="zh-CN"/>
        </w:rPr>
        <w:t>，完成率100%。</w:t>
      </w:r>
    </w:p>
    <w:p>
      <w:pPr>
        <w:spacing w:line="600" w:lineRule="exact"/>
        <w:ind w:firstLine="641"/>
        <w:rPr>
          <w:rStyle w:val="51"/>
          <w:color w:val="auto"/>
          <w:highlight w:val="none"/>
        </w:rPr>
      </w:pPr>
      <w:r>
        <w:rPr>
          <w:rFonts w:hint="eastAsia" w:ascii="黑体" w:hAnsi="黑体" w:eastAsia="黑体"/>
          <w:sz w:val="32"/>
          <w:szCs w:val="32"/>
          <w:highlight w:val="none"/>
        </w:rPr>
        <w:t>五、主要经验及做法、存在的问题及原因分析</w:t>
      </w:r>
    </w:p>
    <w:p>
      <w:pPr>
        <w:spacing w:line="540" w:lineRule="exact"/>
        <w:ind w:firstLine="567" w:firstLineChars="181"/>
        <w:rPr>
          <w:rFonts w:ascii="楷体" w:hAnsi="楷体" w:eastAsia="楷体"/>
          <w:b/>
          <w:spacing w:val="-4"/>
          <w:sz w:val="32"/>
          <w:szCs w:val="32"/>
          <w:highlight w:val="none"/>
        </w:rPr>
      </w:pPr>
      <w:r>
        <w:rPr>
          <w:rFonts w:hint="eastAsia" w:ascii="楷体" w:hAnsi="楷体" w:eastAsia="楷体"/>
          <w:b/>
          <w:spacing w:val="-4"/>
          <w:sz w:val="32"/>
          <w:szCs w:val="32"/>
          <w:highlight w:val="none"/>
        </w:rPr>
        <w:t>（一）主要经验及做法</w:t>
      </w:r>
    </w:p>
    <w:p>
      <w:pPr>
        <w:spacing w:line="600" w:lineRule="exact"/>
        <w:ind w:firstLine="641"/>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绩效目标进行资金使用，严格按照项目管理制度和规范来进行资金使用范围，凭证真实，合规，完整审批手续齐全，严格按照相关程序执行，为确保项目顺利进行，提前做好项目规划。在项目实施过程中做好定期监督检查，严格按照项目管理规范进行，严格落实把关，按照项目资金使用范围做好审核工作，资金主要用于管护员工资和日常生活经费。</w:t>
      </w:r>
    </w:p>
    <w:p>
      <w:pPr>
        <w:spacing w:line="600" w:lineRule="exact"/>
        <w:ind w:firstLine="641"/>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主管单位，财政局等等职能部门全面审核专项资金，确保专项资金项目有效实施，在支付时主管单位开展财务联席会议来确保专项资金正规，规范，程序等主要做法来进行项目正常运行。</w:t>
      </w:r>
    </w:p>
    <w:p>
      <w:pPr>
        <w:keepNext/>
        <w:keepLines/>
        <w:numPr>
          <w:ilvl w:val="0"/>
          <w:numId w:val="4"/>
        </w:numPr>
        <w:spacing w:line="600" w:lineRule="exact"/>
        <w:ind w:firstLine="641"/>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rPr>
        <w:t>存在的问题及原因分析</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1、存在的问题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ascii="仿宋" w:hAnsi="仿宋" w:eastAsia="仿宋" w:cs="仿宋"/>
          <w:i w:val="0"/>
          <w:caps w:val="0"/>
          <w:color w:val="000000"/>
          <w:spacing w:val="0"/>
          <w:sz w:val="32"/>
          <w:szCs w:val="32"/>
          <w:highlight w:val="none"/>
          <w:shd w:val="clear" w:fill="FFFFFF"/>
        </w:rPr>
        <w:t>随着</w:t>
      </w:r>
      <w:r>
        <w:rPr>
          <w:rFonts w:hint="eastAsia" w:ascii="仿宋" w:hAnsi="仿宋" w:eastAsia="仿宋" w:cs="仿宋"/>
          <w:i w:val="0"/>
          <w:caps w:val="0"/>
          <w:color w:val="000000"/>
          <w:spacing w:val="0"/>
          <w:sz w:val="32"/>
          <w:szCs w:val="32"/>
          <w:highlight w:val="none"/>
          <w:shd w:val="clear" w:fill="FFFFFF"/>
          <w:lang w:val="en-US" w:eastAsia="zh-CN"/>
        </w:rPr>
        <w:t>项目的增多，任务有艰巨，</w:t>
      </w:r>
      <w:r>
        <w:rPr>
          <w:rFonts w:hint="eastAsia" w:ascii="仿宋_GB2312" w:hAnsi="仿宋_GB2312" w:eastAsia="仿宋_GB2312" w:cs="仿宋_GB2312"/>
          <w:color w:val="000000"/>
          <w:sz w:val="32"/>
          <w:szCs w:val="32"/>
          <w:highlight w:val="none"/>
          <w:lang w:val="en-US" w:eastAsia="zh-CN"/>
        </w:rPr>
        <w:t>项目资金拨付下达的时间较晚，在项目支出方面主要是当年来不及支出，在项目支出方面主要是当年来不及支出，项目当年不能够及时完成。</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2、原因分析</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加强</w:t>
      </w:r>
      <w:r>
        <w:rPr>
          <w:rFonts w:hint="eastAsia" w:ascii="仿宋_GB2312" w:hAnsi="仿宋_GB2312" w:eastAsia="仿宋_GB2312" w:cs="仿宋_GB2312"/>
          <w:color w:val="000000"/>
          <w:sz w:val="32"/>
          <w:szCs w:val="32"/>
          <w:highlight w:val="none"/>
          <w:lang w:val="en-US" w:eastAsia="zh-CN"/>
        </w:rPr>
        <w:t>项目资金能够在当年的年初下达，确保项目资金能够做到当年及时支付，全部项目及时完成。</w:t>
      </w:r>
    </w:p>
    <w:p>
      <w:pPr>
        <w:numPr>
          <w:ilvl w:val="0"/>
          <w:numId w:val="5"/>
        </w:numPr>
        <w:spacing w:line="600" w:lineRule="exact"/>
        <w:ind w:firstLine="641"/>
        <w:rPr>
          <w:rFonts w:ascii="黑体" w:hAnsi="黑体" w:eastAsia="黑体"/>
          <w:sz w:val="32"/>
          <w:szCs w:val="32"/>
          <w:highlight w:val="none"/>
        </w:rPr>
      </w:pPr>
      <w:r>
        <w:rPr>
          <w:rFonts w:hint="eastAsia" w:ascii="黑体" w:hAnsi="黑体" w:eastAsia="黑体"/>
          <w:sz w:val="32"/>
          <w:szCs w:val="32"/>
          <w:highlight w:val="none"/>
        </w:rPr>
        <w:t>有关建议</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1、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spacing w:line="600" w:lineRule="exact"/>
        <w:ind w:firstLine="641"/>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numPr>
          <w:ilvl w:val="0"/>
          <w:numId w:val="5"/>
        </w:numPr>
        <w:spacing w:line="600" w:lineRule="exact"/>
        <w:ind w:firstLine="641"/>
        <w:rPr>
          <w:rFonts w:ascii="黑体" w:hAnsi="黑体" w:eastAsia="黑体"/>
          <w:sz w:val="32"/>
          <w:szCs w:val="32"/>
          <w:highlight w:val="none"/>
        </w:rPr>
      </w:pPr>
      <w:r>
        <w:rPr>
          <w:rFonts w:hint="eastAsia" w:ascii="黑体" w:hAnsi="黑体" w:eastAsia="黑体"/>
          <w:sz w:val="32"/>
          <w:szCs w:val="32"/>
          <w:highlight w:val="none"/>
        </w:rPr>
        <w:t>其他需要说</w:t>
      </w:r>
      <w:bookmarkStart w:id="1" w:name="page8"/>
      <w:bookmarkEnd w:id="1"/>
      <w:r>
        <w:rPr>
          <w:rFonts w:hint="eastAsia" w:ascii="黑体" w:hAnsi="黑体" w:eastAsia="黑体"/>
          <w:sz w:val="32"/>
          <w:szCs w:val="32"/>
          <w:highlight w:val="none"/>
        </w:rPr>
        <w:t>明的问题</w:t>
      </w:r>
    </w:p>
    <w:p>
      <w:pPr>
        <w:spacing w:line="54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pPr>
        <w:keepNext w:val="0"/>
        <w:keepLines w:val="0"/>
        <w:widowControl/>
        <w:suppressLineNumbers w:val="0"/>
        <w:jc w:val="center"/>
        <w:textAlignment w:val="center"/>
        <w:rPr>
          <w:rFonts w:hint="default" w:ascii="Arial" w:hAnsi="Arial" w:eastAsia="宋体" w:cs="Arial"/>
          <w:i w:val="0"/>
          <w:color w:val="000000"/>
          <w:kern w:val="0"/>
          <w:sz w:val="20"/>
          <w:szCs w:val="20"/>
          <w:highlight w:val="none"/>
          <w:u w:val="none"/>
          <w:lang w:val="en-US" w:eastAsia="zh-CN" w:bidi="ar"/>
        </w:rPr>
        <w:sectPr>
          <w:footerReference r:id="rId3" w:type="default"/>
          <w:pgSz w:w="11906" w:h="16838"/>
          <w:pgMar w:top="1440" w:right="1558" w:bottom="1440" w:left="1800" w:header="851" w:footer="992" w:gutter="0"/>
          <w:cols w:space="425" w:num="1"/>
          <w:docGrid w:type="lines" w:linePitch="312" w:charSpace="0"/>
        </w:sectPr>
      </w:pPr>
    </w:p>
    <w:tbl>
      <w:tblPr>
        <w:tblStyle w:val="23"/>
        <w:tblW w:w="9176" w:type="dxa"/>
        <w:tblInd w:w="96" w:type="dxa"/>
        <w:shd w:val="clear" w:color="auto" w:fill="auto"/>
        <w:tblLayout w:type="fixed"/>
        <w:tblCellMar>
          <w:top w:w="0" w:type="dxa"/>
          <w:left w:w="108" w:type="dxa"/>
          <w:bottom w:w="0" w:type="dxa"/>
          <w:right w:w="108" w:type="dxa"/>
        </w:tblCellMar>
      </w:tblPr>
      <w:tblGrid>
        <w:gridCol w:w="864"/>
        <w:gridCol w:w="672"/>
        <w:gridCol w:w="1000"/>
        <w:gridCol w:w="920"/>
        <w:gridCol w:w="1440"/>
        <w:gridCol w:w="1250"/>
        <w:gridCol w:w="1690"/>
        <w:gridCol w:w="1340"/>
      </w:tblGrid>
      <w:tr>
        <w:tblPrEx>
          <w:shd w:val="clear" w:color="auto" w:fill="auto"/>
          <w:tblLayout w:type="fixed"/>
          <w:tblCellMar>
            <w:top w:w="0" w:type="dxa"/>
            <w:left w:w="108" w:type="dxa"/>
            <w:bottom w:w="0" w:type="dxa"/>
            <w:right w:w="108" w:type="dxa"/>
          </w:tblCellMar>
        </w:tblPrEx>
        <w:trPr>
          <w:trHeight w:val="409" w:hRule="atLeast"/>
        </w:trPr>
        <w:tc>
          <w:tcPr>
            <w:tcW w:w="9176"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tblPrEx>
          <w:tblLayout w:type="fixed"/>
          <w:tblCellMar>
            <w:top w:w="0" w:type="dxa"/>
            <w:left w:w="108" w:type="dxa"/>
            <w:bottom w:w="0" w:type="dxa"/>
            <w:right w:w="108" w:type="dxa"/>
          </w:tblCellMar>
        </w:tblPrEx>
        <w:trPr>
          <w:trHeight w:val="409" w:hRule="atLeast"/>
        </w:trPr>
        <w:tc>
          <w:tcPr>
            <w:tcW w:w="9176"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highlight w:val="none"/>
                <w:u w:val="none"/>
              </w:rPr>
            </w:pPr>
            <w:r>
              <w:rPr>
                <w:rFonts w:hint="eastAsia" w:ascii="宋体" w:hAnsi="宋体" w:eastAsia="宋体" w:cs="宋体"/>
                <w:i w:val="0"/>
                <w:iCs w:val="0"/>
                <w:color w:val="000000"/>
                <w:kern w:val="0"/>
                <w:sz w:val="32"/>
                <w:szCs w:val="32"/>
                <w:highlight w:val="none"/>
                <w:u w:val="none"/>
                <w:lang w:val="en-US" w:eastAsia="zh-CN" w:bidi="ar"/>
              </w:rPr>
              <w:t>（   2020 年度）</w:t>
            </w:r>
          </w:p>
        </w:tc>
      </w:tr>
      <w:tr>
        <w:tblPrEx>
          <w:tblLayout w:type="fixed"/>
          <w:tblCellMar>
            <w:top w:w="0" w:type="dxa"/>
            <w:left w:w="108" w:type="dxa"/>
            <w:bottom w:w="0" w:type="dxa"/>
            <w:right w:w="108" w:type="dxa"/>
          </w:tblCellMar>
        </w:tblPrEx>
        <w:trPr>
          <w:trHeight w:val="270" w:hRule="atLeast"/>
        </w:trPr>
        <w:tc>
          <w:tcPr>
            <w:tcW w:w="9176" w:type="dxa"/>
            <w:gridSpan w:val="8"/>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r>
      <w:tr>
        <w:tblPrEx>
          <w:tblLayout w:type="fixed"/>
          <w:tblCellMar>
            <w:top w:w="0" w:type="dxa"/>
            <w:left w:w="108" w:type="dxa"/>
            <w:bottom w:w="0" w:type="dxa"/>
            <w:right w:w="108" w:type="dxa"/>
          </w:tblCellMar>
        </w:tblPrEx>
        <w:trPr>
          <w:trHeight w:val="270" w:hRule="atLeast"/>
        </w:trPr>
        <w:tc>
          <w:tcPr>
            <w:tcW w:w="1536"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项目名称</w:t>
            </w:r>
          </w:p>
        </w:tc>
        <w:tc>
          <w:tcPr>
            <w:tcW w:w="76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2020年第一批中央财政林业改革发展资金（森林生态效益补偿补助）项目</w:t>
            </w:r>
          </w:p>
        </w:tc>
      </w:tr>
      <w:tr>
        <w:tblPrEx>
          <w:tblLayout w:type="fixed"/>
          <w:tblCellMar>
            <w:top w:w="0" w:type="dxa"/>
            <w:left w:w="108" w:type="dxa"/>
            <w:bottom w:w="0" w:type="dxa"/>
            <w:right w:w="108" w:type="dxa"/>
          </w:tblCellMar>
        </w:tblPrEx>
        <w:trPr>
          <w:trHeight w:val="270" w:hRule="atLeast"/>
        </w:trPr>
        <w:tc>
          <w:tcPr>
            <w:tcW w:w="1536"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主管部门</w:t>
            </w:r>
          </w:p>
        </w:tc>
        <w:tc>
          <w:tcPr>
            <w:tcW w:w="33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实施单位</w:t>
            </w:r>
          </w:p>
        </w:tc>
        <w:tc>
          <w:tcPr>
            <w:tcW w:w="3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塔城地区巴尔鲁克山自然保护区管理局</w:t>
            </w:r>
          </w:p>
        </w:tc>
      </w:tr>
      <w:tr>
        <w:tblPrEx>
          <w:tblLayout w:type="fixed"/>
          <w:tblCellMar>
            <w:top w:w="0" w:type="dxa"/>
            <w:left w:w="108" w:type="dxa"/>
            <w:bottom w:w="0" w:type="dxa"/>
            <w:right w:w="108" w:type="dxa"/>
          </w:tblCellMar>
        </w:tblPrEx>
        <w:trPr>
          <w:trHeight w:val="392" w:hRule="atLeast"/>
        </w:trPr>
        <w:tc>
          <w:tcPr>
            <w:tcW w:w="1536" w:type="dxa"/>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项目资金</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（万元）</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Arial" w:hAnsi="Arial" w:cs="Arial"/>
                <w:i w:val="0"/>
                <w:iCs w:val="0"/>
                <w:color w:val="000000"/>
                <w:sz w:val="20"/>
                <w:szCs w:val="20"/>
                <w:highlight w:val="none"/>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年初预算数</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全年预算数</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全年执行数</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执行率</w:t>
            </w:r>
          </w:p>
        </w:tc>
      </w:tr>
      <w:tr>
        <w:tblPrEx>
          <w:tblLayout w:type="fixed"/>
          <w:tblCellMar>
            <w:top w:w="0" w:type="dxa"/>
            <w:left w:w="108" w:type="dxa"/>
            <w:bottom w:w="0" w:type="dxa"/>
            <w:right w:w="108" w:type="dxa"/>
          </w:tblCellMar>
        </w:tblPrEx>
        <w:trPr>
          <w:trHeight w:val="433" w:hRule="atLeast"/>
        </w:trPr>
        <w:tc>
          <w:tcPr>
            <w:tcW w:w="1536"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年度资金总额</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316.05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316.05</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263.44</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83.35%</w:t>
            </w:r>
          </w:p>
        </w:tc>
      </w:tr>
      <w:tr>
        <w:tblPrEx>
          <w:tblLayout w:type="fixed"/>
          <w:tblCellMar>
            <w:top w:w="0" w:type="dxa"/>
            <w:left w:w="108" w:type="dxa"/>
            <w:bottom w:w="0" w:type="dxa"/>
            <w:right w:w="108" w:type="dxa"/>
          </w:tblCellMar>
        </w:tblPrEx>
        <w:trPr>
          <w:trHeight w:val="433" w:hRule="atLeast"/>
        </w:trPr>
        <w:tc>
          <w:tcPr>
            <w:tcW w:w="1536"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其中：当年财政拨款</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316.05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316.05</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263.44</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Layout w:type="fixed"/>
          <w:tblCellMar>
            <w:top w:w="0" w:type="dxa"/>
            <w:left w:w="108" w:type="dxa"/>
            <w:bottom w:w="0" w:type="dxa"/>
            <w:right w:w="108" w:type="dxa"/>
          </w:tblCellMar>
        </w:tblPrEx>
        <w:trPr>
          <w:trHeight w:val="433" w:hRule="atLeast"/>
        </w:trPr>
        <w:tc>
          <w:tcPr>
            <w:tcW w:w="1536"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上年结转资金</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Layout w:type="fixed"/>
          <w:tblCellMar>
            <w:top w:w="0" w:type="dxa"/>
            <w:left w:w="108" w:type="dxa"/>
            <w:bottom w:w="0" w:type="dxa"/>
            <w:right w:w="108" w:type="dxa"/>
          </w:tblCellMar>
        </w:tblPrEx>
        <w:trPr>
          <w:trHeight w:val="270" w:hRule="atLeast"/>
        </w:trPr>
        <w:tc>
          <w:tcPr>
            <w:tcW w:w="1536"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其他资金</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tblPrEx>
          <w:tblLayout w:type="fixed"/>
          <w:tblCellMar>
            <w:top w:w="0" w:type="dxa"/>
            <w:left w:w="108" w:type="dxa"/>
            <w:bottom w:w="0" w:type="dxa"/>
            <w:right w:w="108" w:type="dxa"/>
          </w:tblCellMar>
        </w:tblPrEx>
        <w:trPr>
          <w:trHeight w:val="433"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年度总体目标</w:t>
            </w:r>
          </w:p>
        </w:tc>
        <w:tc>
          <w:tcPr>
            <w:tcW w:w="5282"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预期目标</w:t>
            </w:r>
          </w:p>
        </w:tc>
        <w:tc>
          <w:tcPr>
            <w:tcW w:w="3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实际完成情况</w:t>
            </w:r>
          </w:p>
        </w:tc>
      </w:tr>
      <w:tr>
        <w:tblPrEx>
          <w:tblLayout w:type="fixed"/>
          <w:tblCellMar>
            <w:top w:w="0" w:type="dxa"/>
            <w:left w:w="108" w:type="dxa"/>
            <w:bottom w:w="0" w:type="dxa"/>
            <w:right w:w="108" w:type="dxa"/>
          </w:tblCellMar>
        </w:tblPrEx>
        <w:trPr>
          <w:trHeight w:val="676"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5282"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提升保护区公益林管护的水平，锻炼技术队伍，提高工作能力，使保护区森林资源得以较好的回复，林分质量有所提高，植被覆盖增加，达到资源良性循环得目的。</w:t>
            </w:r>
          </w:p>
        </w:tc>
        <w:tc>
          <w:tcPr>
            <w:tcW w:w="3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提升保护区公益林管护的水平，锻炼技术队伍，提高工作能力，使保护区森林资源得以较好的回复，林分质量有所提高，植被覆盖增加，达到资源良性循环得目的。</w:t>
            </w:r>
          </w:p>
        </w:tc>
      </w:tr>
      <w:tr>
        <w:tblPrEx>
          <w:tblLayout w:type="fixed"/>
          <w:tblCellMar>
            <w:top w:w="0" w:type="dxa"/>
            <w:left w:w="108" w:type="dxa"/>
            <w:bottom w:w="0" w:type="dxa"/>
            <w:right w:w="108" w:type="dxa"/>
          </w:tblCellMar>
        </w:tblPrEx>
        <w:trPr>
          <w:trHeight w:val="32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2360" w:type="dxa"/>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年度指标值</w:t>
            </w:r>
          </w:p>
        </w:tc>
        <w:tc>
          <w:tcPr>
            <w:tcW w:w="169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实际完成值</w:t>
            </w:r>
          </w:p>
        </w:tc>
        <w:tc>
          <w:tcPr>
            <w:tcW w:w="134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偏差原因分析及改进措施</w:t>
            </w: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360" w:type="dxa"/>
            <w:gridSpan w:val="2"/>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2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6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34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32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年度绩效指标完成情况</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劳务报酬</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=50人</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50人</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社会保障（社保）</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=50人</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50人</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日常管护支出</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=50人</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50人</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资金使用合规率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资金发放正确率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完成时间</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=12月</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12月</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劳务报酬 </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=183.02万元</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51.78</w:t>
            </w:r>
            <w:r>
              <w:rPr>
                <w:rFonts w:hint="eastAsia" w:ascii="宋体" w:hAnsi="宋体" w:eastAsia="宋体" w:cs="宋体"/>
                <w:i w:val="0"/>
                <w:iCs w:val="0"/>
                <w:color w:val="000000"/>
                <w:kern w:val="0"/>
                <w:sz w:val="18"/>
                <w:szCs w:val="18"/>
                <w:highlight w:val="none"/>
                <w:u w:val="none"/>
                <w:lang w:val="en-US" w:eastAsia="zh-CN" w:bidi="ar"/>
              </w:rPr>
              <w:t>万元</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结余工资用于管护员发放</w:t>
            </w:r>
            <w:r>
              <w:rPr>
                <w:rFonts w:hint="eastAsia" w:ascii="宋体" w:hAnsi="宋体" w:cs="宋体"/>
                <w:i w:val="0"/>
                <w:iCs w:val="0"/>
                <w:color w:val="000000"/>
                <w:sz w:val="18"/>
                <w:szCs w:val="18"/>
                <w:highlight w:val="none"/>
                <w:u w:val="none"/>
                <w:lang w:val="en-US" w:eastAsia="zh-CN"/>
              </w:rPr>
              <w:t>2021年1-4月工资</w:t>
            </w: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社会保障（社保） </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=121.38万元</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r>
              <w:rPr>
                <w:rFonts w:hint="eastAsia" w:ascii="宋体" w:hAnsi="宋体" w:cs="宋体"/>
                <w:i w:val="0"/>
                <w:iCs w:val="0"/>
                <w:color w:val="000000"/>
                <w:kern w:val="0"/>
                <w:sz w:val="18"/>
                <w:szCs w:val="18"/>
                <w:highlight w:val="none"/>
                <w:u w:val="none"/>
                <w:lang w:val="en-US" w:eastAsia="zh-CN" w:bidi="ar"/>
              </w:rPr>
              <w:t>00</w:t>
            </w:r>
            <w:r>
              <w:rPr>
                <w:rFonts w:hint="eastAsia" w:ascii="宋体" w:hAnsi="宋体" w:eastAsia="宋体" w:cs="宋体"/>
                <w:i w:val="0"/>
                <w:iCs w:val="0"/>
                <w:color w:val="000000"/>
                <w:kern w:val="0"/>
                <w:sz w:val="18"/>
                <w:szCs w:val="18"/>
                <w:highlight w:val="none"/>
                <w:u w:val="none"/>
                <w:lang w:val="en-US" w:eastAsia="zh-CN" w:bidi="ar"/>
              </w:rPr>
              <w:t>万元</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结余工资用于管护员发放</w:t>
            </w:r>
            <w:r>
              <w:rPr>
                <w:rFonts w:hint="eastAsia" w:ascii="宋体" w:hAnsi="宋体" w:cs="宋体"/>
                <w:i w:val="0"/>
                <w:iCs w:val="0"/>
                <w:color w:val="000000"/>
                <w:sz w:val="18"/>
                <w:szCs w:val="18"/>
                <w:highlight w:val="none"/>
                <w:u w:val="none"/>
                <w:lang w:val="en-US" w:eastAsia="zh-CN"/>
              </w:rPr>
              <w:t>2021年1-4月工资</w:t>
            </w:r>
          </w:p>
        </w:tc>
      </w:tr>
      <w:tr>
        <w:tblPrEx>
          <w:tblLayout w:type="fixed"/>
          <w:tblCellMar>
            <w:top w:w="0" w:type="dxa"/>
            <w:left w:w="108" w:type="dxa"/>
            <w:bottom w:w="0" w:type="dxa"/>
            <w:right w:w="108" w:type="dxa"/>
          </w:tblCellMar>
        </w:tblPrEx>
        <w:trPr>
          <w:trHeight w:val="32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日常管护</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=11.65万元</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11.65</w:t>
            </w:r>
            <w:r>
              <w:rPr>
                <w:rFonts w:hint="eastAsia" w:ascii="宋体" w:hAnsi="宋体" w:eastAsia="宋体" w:cs="宋体"/>
                <w:i w:val="0"/>
                <w:iCs w:val="0"/>
                <w:color w:val="000000"/>
                <w:kern w:val="0"/>
                <w:sz w:val="18"/>
                <w:szCs w:val="18"/>
                <w:highlight w:val="none"/>
                <w:u w:val="none"/>
                <w:lang w:val="en-US" w:eastAsia="zh-CN" w:bidi="ar"/>
              </w:rPr>
              <w:t>万元</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432"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加强森林生态建设，促进森林生态发展</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432"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国家公益林生态环境改善</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432"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改善森林环境</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长期</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长期</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r>
        <w:tblPrEx>
          <w:tblLayout w:type="fixed"/>
          <w:tblCellMar>
            <w:top w:w="0" w:type="dxa"/>
            <w:left w:w="108" w:type="dxa"/>
            <w:bottom w:w="0" w:type="dxa"/>
            <w:right w:w="108" w:type="dxa"/>
          </w:tblCellMar>
        </w:tblPrEx>
        <w:trPr>
          <w:trHeight w:val="648"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服务对象满意度指标</w:t>
            </w:r>
          </w:p>
        </w:tc>
        <w:tc>
          <w:tcPr>
            <w:tcW w:w="2360"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管护员满意度</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1340" w:type="dxa"/>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rPr>
            </w:pPr>
          </w:p>
        </w:tc>
      </w:tr>
    </w:tbl>
    <w:p>
      <w:pPr>
        <w:rPr>
          <w:rFonts w:hint="eastAsia" w:ascii="黑体" w:hAnsi="黑体" w:eastAsia="黑体"/>
          <w:sz w:val="32"/>
          <w:szCs w:val="32"/>
          <w:highlight w:val="none"/>
        </w:rPr>
      </w:pPr>
    </w:p>
    <w:p>
      <w:pPr>
        <w:pStyle w:val="2"/>
        <w:jc w:val="both"/>
        <w:rPr>
          <w:highlight w:val="none"/>
        </w:rPr>
        <w:sectPr>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highlight w:val="none"/>
          <w:lang w:val="en-US" w:eastAsia="zh-CN"/>
        </w:rPr>
      </w:pPr>
      <w:r>
        <w:rPr>
          <w:rFonts w:hint="eastAsia" w:ascii="仿宋_GB2312"/>
          <w:bCs/>
          <w:sz w:val="32"/>
          <w:szCs w:val="32"/>
          <w:highlight w:val="none"/>
          <w:lang w:val="en-US" w:eastAsia="zh-CN"/>
        </w:rPr>
        <w:t>附件1</w:t>
      </w:r>
    </w:p>
    <w:tbl>
      <w:tblPr>
        <w:tblStyle w:val="2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highlight w:val="none"/>
                <w:lang w:val="en-US" w:eastAsia="zh-CN"/>
              </w:rPr>
            </w:pPr>
            <w:r>
              <w:rPr>
                <w:rFonts w:hint="eastAsia" w:ascii="宋体" w:hAnsi="宋体" w:cs="宋体"/>
                <w:b/>
                <w:bCs/>
                <w:color w:val="000000"/>
                <w:kern w:val="0"/>
                <w:sz w:val="22"/>
                <w:szCs w:val="22"/>
                <w:highlight w:val="none"/>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立项依据</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①项目立项是否符合国家法律法规、国民经济发展规划和相关政策；</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②项目立项是否符合行业发展规划和政策要求；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③项目立项是否与部门职责范围相符，属于部门履职所需；</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④项目是否属于公共财政支持范围，是否符合中央、地方事权支出责任划分原则；</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eastAsia" w:ascii="宋体" w:hAnsi="宋体" w:eastAsia="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立项程序</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①项目是否按照规定的程序申请设立；</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②审批文件、材料是否符合相关要求；</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eastAsia" w:ascii="宋体" w:hAnsi="宋体" w:eastAsia="宋体" w:cs="宋体"/>
                <w:color w:val="000000"/>
                <w:kern w:val="0"/>
                <w:sz w:val="22"/>
                <w:szCs w:val="22"/>
                <w:highlight w:val="none"/>
              </w:rPr>
            </w:pPr>
            <w:r>
              <w:rPr>
                <w:rFonts w:hint="eastAsia" w:ascii="宋体" w:hAnsi="宋体" w:cs="宋体"/>
                <w:color w:val="000000"/>
                <w:kern w:val="0"/>
                <w:sz w:val="22"/>
                <w:szCs w:val="22"/>
                <w:highlight w:val="none"/>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（如未设定预算绩效目标，也可考核其他工作任务目标）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①项目是否有绩效目标；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②项目绩效目标与实际工作内容是否具有相关性；</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③项目预期产出效益和效果是否符合正常的业绩水平；</w:t>
            </w:r>
          </w:p>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绩效指标</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①是否将项目绩效目标细化分解为具体的绩效指标；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②是否通过清晰、可衡量的指标值予以体现；</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③是否与项目目标任务数或计划数相对应。</w:t>
            </w:r>
            <w:r>
              <w:rPr>
                <w:rFonts w:hint="eastAsia" w:ascii="宋体" w:hAnsi="宋体" w:eastAsia="宋体" w:cs="宋体"/>
                <w:color w:val="000000"/>
                <w:kern w:val="0"/>
                <w:sz w:val="22"/>
                <w:szCs w:val="22"/>
                <w:highlight w:val="none"/>
              </w:rPr>
              <w:br w:type="textWrapping"/>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资金投入</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预算编制</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①预算编制是否经过科学论证；</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②预算内容与项目内容是否匹配；</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③预算额度测算依据是否充分，是否按照标准编制；</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④预算确定的项目投资额或资金量是否与工作任务相匹配。</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资金分配</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①预算资金分配依据是否充分；</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资金到位率=（实际到位资金/预算资金）×100%。</w:t>
            </w:r>
          </w:p>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实际到位资金：一定时期（本年度或项目期）内落实到具体项目的资金。</w:t>
            </w:r>
          </w:p>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预算执行率=（实际支出资金/实际到位资金）×100%。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资金使用</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①是否符合国家财经法规和财务管理制度以及有关专项资金管理办法的规定；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②资金的拨付是否有完整的审批程序和手续；</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③是否符合项目预算批复或合同规定的用途；</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④是否存在截留、挤占、挪用、虚列支出等情况。</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组织实施</w:t>
            </w:r>
          </w:p>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管理制度</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①是否已制定或具有相应的财务和业务管理制度；</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②财务和业务管理制度是否合法、合规、完整。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评价要点：</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①是否遵守相关法律法规和相关管理规定；</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②项目调整及支出调整手续是否完备；</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③项目合同书、验收报告、技术鉴定等资料是否齐全并及时归档；</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④项目实施的人员条件、场地设备、信息支撑等是否落实到位。</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实际完成率=（实际产出数/计划产出数）×100%。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实际产出数：一定时期（本年度或项目期）内项目实际产出的产品或提供的服务数量。</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实际完成时间：项目实施单位完成该项目实际所耗用的时间。</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成本节约率=[（计划成本-实际成本）/计划成本]×100%。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实际成本：项目实施单位如期、保质、保量完成既定工作目标实际所耗费的支出。</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10</w:t>
            </w:r>
          </w:p>
        </w:tc>
      </w:tr>
    </w:tbl>
    <w:p>
      <w:pPr>
        <w:pStyle w:val="2"/>
        <w:rPr>
          <w:rFonts w:hint="default"/>
          <w:highlight w:val="none"/>
          <w:lang w:val="en-US" w:eastAsia="zh-CN"/>
        </w:rPr>
      </w:pPr>
    </w:p>
    <w:p>
      <w:pPr>
        <w:rPr>
          <w:highlight w:val="none"/>
        </w:rPr>
      </w:pPr>
    </w:p>
    <w:p>
      <w:pPr>
        <w:spacing w:line="540" w:lineRule="exact"/>
        <w:ind w:firstLine="640"/>
        <w:rPr>
          <w:rStyle w:val="21"/>
          <w:rFonts w:ascii="黑体" w:hAnsi="黑体" w:eastAsia="黑体"/>
          <w:bCs w:val="0"/>
          <w:spacing w:val="-4"/>
          <w:sz w:val="32"/>
          <w:szCs w:val="32"/>
          <w:highlight w:val="none"/>
        </w:rPr>
      </w:pPr>
    </w:p>
    <w:p>
      <w:pPr>
        <w:spacing w:line="540" w:lineRule="exact"/>
        <w:ind w:firstLine="640"/>
        <w:rPr>
          <w:rStyle w:val="21"/>
          <w:rFonts w:ascii="黑体" w:hAnsi="黑体" w:eastAsia="黑体"/>
          <w:bCs w:val="0"/>
          <w:spacing w:val="-4"/>
          <w:sz w:val="32"/>
          <w:szCs w:val="32"/>
          <w:highlight w:val="none"/>
        </w:rPr>
      </w:pPr>
    </w:p>
    <w:p>
      <w:pPr>
        <w:spacing w:line="540" w:lineRule="exact"/>
        <w:ind w:firstLine="640"/>
        <w:rPr>
          <w:rStyle w:val="21"/>
          <w:rFonts w:ascii="黑体" w:hAnsi="黑体" w:eastAsia="黑体"/>
          <w:bCs w:val="0"/>
          <w:spacing w:val="-4"/>
          <w:sz w:val="32"/>
          <w:szCs w:val="32"/>
          <w:highlight w:val="none"/>
        </w:rPr>
      </w:pPr>
    </w:p>
    <w:p>
      <w:pPr>
        <w:spacing w:line="540" w:lineRule="exact"/>
        <w:ind w:firstLine="640"/>
        <w:rPr>
          <w:rStyle w:val="21"/>
          <w:rFonts w:ascii="黑体" w:hAnsi="黑体" w:eastAsia="黑体"/>
          <w:bCs w:val="0"/>
          <w:spacing w:val="-4"/>
          <w:sz w:val="32"/>
          <w:szCs w:val="32"/>
          <w:highlight w:val="none"/>
        </w:rPr>
      </w:pPr>
    </w:p>
    <w:p>
      <w:pPr>
        <w:spacing w:line="540" w:lineRule="exact"/>
        <w:ind w:firstLine="640"/>
        <w:rPr>
          <w:rStyle w:val="21"/>
          <w:rFonts w:ascii="黑体" w:hAnsi="黑体" w:eastAsia="黑体"/>
          <w:bCs w:val="0"/>
          <w:spacing w:val="-4"/>
          <w:sz w:val="32"/>
          <w:szCs w:val="32"/>
          <w:highlight w:val="none"/>
        </w:rPr>
      </w:pPr>
    </w:p>
    <w:p>
      <w:pPr>
        <w:spacing w:line="540" w:lineRule="exact"/>
        <w:ind w:firstLine="640"/>
        <w:rPr>
          <w:rStyle w:val="21"/>
          <w:rFonts w:ascii="黑体" w:hAnsi="黑体" w:eastAsia="黑体"/>
          <w:bCs w:val="0"/>
          <w:spacing w:val="-4"/>
          <w:sz w:val="32"/>
          <w:szCs w:val="32"/>
          <w:highlight w:val="none"/>
        </w:rPr>
      </w:pPr>
    </w:p>
    <w:p>
      <w:pPr>
        <w:spacing w:line="540" w:lineRule="exact"/>
        <w:rPr>
          <w:rStyle w:val="21"/>
          <w:rFonts w:ascii="仿宋" w:hAnsi="仿宋" w:eastAsia="仿宋"/>
          <w:b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2</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59867C1"/>
    <w:rsid w:val="066D6EAA"/>
    <w:rsid w:val="08C662D4"/>
    <w:rsid w:val="09BD4D95"/>
    <w:rsid w:val="0A081A09"/>
    <w:rsid w:val="0B02311D"/>
    <w:rsid w:val="0E6A21EE"/>
    <w:rsid w:val="0F6A1432"/>
    <w:rsid w:val="0F8D41CB"/>
    <w:rsid w:val="11C75270"/>
    <w:rsid w:val="11F80181"/>
    <w:rsid w:val="12231CAA"/>
    <w:rsid w:val="12637CC3"/>
    <w:rsid w:val="12E657C5"/>
    <w:rsid w:val="14557309"/>
    <w:rsid w:val="167C7687"/>
    <w:rsid w:val="168B3546"/>
    <w:rsid w:val="1A2374E0"/>
    <w:rsid w:val="1C317CE2"/>
    <w:rsid w:val="1C506F8C"/>
    <w:rsid w:val="1DD45808"/>
    <w:rsid w:val="1DED42AC"/>
    <w:rsid w:val="20005763"/>
    <w:rsid w:val="20FB313D"/>
    <w:rsid w:val="220B4804"/>
    <w:rsid w:val="225D7482"/>
    <w:rsid w:val="246F6528"/>
    <w:rsid w:val="282475E3"/>
    <w:rsid w:val="299D1E6A"/>
    <w:rsid w:val="2C6100C1"/>
    <w:rsid w:val="30C52BAE"/>
    <w:rsid w:val="3264220D"/>
    <w:rsid w:val="362D69F4"/>
    <w:rsid w:val="367E5861"/>
    <w:rsid w:val="3924651E"/>
    <w:rsid w:val="3963178C"/>
    <w:rsid w:val="39861916"/>
    <w:rsid w:val="3A961861"/>
    <w:rsid w:val="415D7696"/>
    <w:rsid w:val="41CC2676"/>
    <w:rsid w:val="46B21672"/>
    <w:rsid w:val="46FC7BE0"/>
    <w:rsid w:val="4F552460"/>
    <w:rsid w:val="4FCC6863"/>
    <w:rsid w:val="500A214A"/>
    <w:rsid w:val="522D604D"/>
    <w:rsid w:val="5297585E"/>
    <w:rsid w:val="52AD7D6F"/>
    <w:rsid w:val="5549519D"/>
    <w:rsid w:val="5557596B"/>
    <w:rsid w:val="572A46A2"/>
    <w:rsid w:val="5B596DFC"/>
    <w:rsid w:val="5DF03945"/>
    <w:rsid w:val="60B11051"/>
    <w:rsid w:val="637C2815"/>
    <w:rsid w:val="65292C7F"/>
    <w:rsid w:val="68A77233"/>
    <w:rsid w:val="6C7E3893"/>
    <w:rsid w:val="741C31E2"/>
    <w:rsid w:val="75901439"/>
    <w:rsid w:val="799526A5"/>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First Indent"/>
    <w:basedOn w:val="13"/>
    <w:qFormat/>
    <w:uiPriority w:val="0"/>
    <w:pPr>
      <w:spacing w:after="0"/>
      <w:ind w:firstLine="200" w:firstLineChars="200"/>
    </w:pPr>
  </w:style>
  <w:style w:type="paragraph" w:styleId="13">
    <w:name w:val="Body Text"/>
    <w:basedOn w:val="1"/>
    <w:qFormat/>
    <w:uiPriority w:val="0"/>
    <w:pPr>
      <w:spacing w:after="120"/>
    </w:pPr>
  </w:style>
  <w:style w:type="paragraph" w:styleId="14">
    <w:name w:val="annotation text"/>
    <w:basedOn w:val="1"/>
    <w:semiHidden/>
    <w:unhideWhenUsed/>
    <w:qFormat/>
    <w:uiPriority w:val="99"/>
    <w:pPr>
      <w:jc w:val="left"/>
    </w:pPr>
  </w:style>
  <w:style w:type="paragraph" w:styleId="15">
    <w:name w:val="Balloon Text"/>
    <w:basedOn w:val="1"/>
    <w:link w:val="49"/>
    <w:semiHidden/>
    <w:unhideWhenUsed/>
    <w:qFormat/>
    <w:uiPriority w:val="99"/>
    <w:rPr>
      <w:sz w:val="18"/>
      <w:szCs w:val="18"/>
    </w:rPr>
  </w:style>
  <w:style w:type="paragraph" w:styleId="16">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9">
    <w:name w:val="footnote text"/>
    <w:basedOn w:val="1"/>
    <w:qFormat/>
    <w:uiPriority w:val="0"/>
    <w:pPr>
      <w:snapToGrid w:val="0"/>
      <w:jc w:val="left"/>
    </w:pPr>
    <w:rPr>
      <w:sz w:val="18"/>
      <w:szCs w:val="18"/>
    </w:r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4">
    <w:name w:val="标题 1 字符"/>
    <w:basedOn w:val="20"/>
    <w:link w:val="3"/>
    <w:qFormat/>
    <w:uiPriority w:val="9"/>
    <w:rPr>
      <w:rFonts w:asciiTheme="majorHAnsi" w:hAnsiTheme="majorHAnsi" w:eastAsiaTheme="majorEastAsia"/>
      <w:b/>
      <w:bCs/>
      <w:kern w:val="32"/>
      <w:sz w:val="32"/>
      <w:szCs w:val="32"/>
    </w:rPr>
  </w:style>
  <w:style w:type="character" w:customStyle="1" w:styleId="25">
    <w:name w:val="标题 2 字符"/>
    <w:basedOn w:val="20"/>
    <w:link w:val="4"/>
    <w:semiHidden/>
    <w:qFormat/>
    <w:uiPriority w:val="9"/>
    <w:rPr>
      <w:rFonts w:asciiTheme="majorHAnsi" w:hAnsiTheme="majorHAnsi" w:eastAsiaTheme="majorEastAsia"/>
      <w:b/>
      <w:bCs/>
      <w:i/>
      <w:iCs/>
      <w:sz w:val="28"/>
      <w:szCs w:val="28"/>
    </w:rPr>
  </w:style>
  <w:style w:type="character" w:customStyle="1" w:styleId="26">
    <w:name w:val="标题 3 字符"/>
    <w:basedOn w:val="20"/>
    <w:link w:val="5"/>
    <w:semiHidden/>
    <w:qFormat/>
    <w:uiPriority w:val="9"/>
    <w:rPr>
      <w:rFonts w:asciiTheme="majorHAnsi" w:hAnsiTheme="majorHAnsi" w:eastAsiaTheme="majorEastAsia"/>
      <w:b/>
      <w:bCs/>
      <w:sz w:val="26"/>
      <w:szCs w:val="26"/>
    </w:rPr>
  </w:style>
  <w:style w:type="character" w:customStyle="1" w:styleId="27">
    <w:name w:val="标题 4 字符"/>
    <w:basedOn w:val="20"/>
    <w:link w:val="6"/>
    <w:semiHidden/>
    <w:qFormat/>
    <w:uiPriority w:val="9"/>
    <w:rPr>
      <w:b/>
      <w:bCs/>
      <w:sz w:val="28"/>
      <w:szCs w:val="28"/>
    </w:rPr>
  </w:style>
  <w:style w:type="character" w:customStyle="1" w:styleId="28">
    <w:name w:val="标题 5 字符"/>
    <w:basedOn w:val="20"/>
    <w:link w:val="7"/>
    <w:semiHidden/>
    <w:qFormat/>
    <w:uiPriority w:val="9"/>
    <w:rPr>
      <w:b/>
      <w:bCs/>
      <w:i/>
      <w:iCs/>
      <w:sz w:val="26"/>
      <w:szCs w:val="26"/>
    </w:rPr>
  </w:style>
  <w:style w:type="character" w:customStyle="1" w:styleId="29">
    <w:name w:val="标题 6 字符"/>
    <w:basedOn w:val="20"/>
    <w:link w:val="8"/>
    <w:semiHidden/>
    <w:qFormat/>
    <w:uiPriority w:val="9"/>
    <w:rPr>
      <w:b/>
      <w:bCs/>
    </w:rPr>
  </w:style>
  <w:style w:type="character" w:customStyle="1" w:styleId="30">
    <w:name w:val="标题 7 字符"/>
    <w:basedOn w:val="20"/>
    <w:link w:val="9"/>
    <w:semiHidden/>
    <w:qFormat/>
    <w:uiPriority w:val="9"/>
    <w:rPr>
      <w:sz w:val="24"/>
      <w:szCs w:val="24"/>
    </w:rPr>
  </w:style>
  <w:style w:type="character" w:customStyle="1" w:styleId="31">
    <w:name w:val="标题 8 字符"/>
    <w:basedOn w:val="20"/>
    <w:link w:val="10"/>
    <w:semiHidden/>
    <w:qFormat/>
    <w:uiPriority w:val="9"/>
    <w:rPr>
      <w:i/>
      <w:iCs/>
      <w:sz w:val="24"/>
      <w:szCs w:val="24"/>
    </w:rPr>
  </w:style>
  <w:style w:type="character" w:customStyle="1" w:styleId="32">
    <w:name w:val="标题 9 字符"/>
    <w:basedOn w:val="20"/>
    <w:link w:val="11"/>
    <w:semiHidden/>
    <w:qFormat/>
    <w:uiPriority w:val="9"/>
    <w:rPr>
      <w:rFonts w:asciiTheme="majorHAnsi" w:hAnsiTheme="majorHAnsi" w:eastAsiaTheme="majorEastAsia"/>
    </w:rPr>
  </w:style>
  <w:style w:type="character" w:customStyle="1" w:styleId="33">
    <w:name w:val="标题 字符"/>
    <w:basedOn w:val="20"/>
    <w:link w:val="2"/>
    <w:qFormat/>
    <w:uiPriority w:val="10"/>
    <w:rPr>
      <w:rFonts w:asciiTheme="majorHAnsi" w:hAnsiTheme="majorHAnsi" w:eastAsiaTheme="majorEastAsia"/>
      <w:b/>
      <w:bCs/>
      <w:kern w:val="28"/>
      <w:sz w:val="32"/>
      <w:szCs w:val="32"/>
    </w:rPr>
  </w:style>
  <w:style w:type="character" w:customStyle="1" w:styleId="34">
    <w:name w:val="副标题 字符"/>
    <w:basedOn w:val="20"/>
    <w:link w:val="18"/>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0"/>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qFormat/>
    <w:uiPriority w:val="31"/>
    <w:rPr>
      <w:sz w:val="24"/>
      <w:szCs w:val="24"/>
      <w:u w:val="single"/>
    </w:rPr>
  </w:style>
  <w:style w:type="character" w:customStyle="1" w:styleId="44">
    <w:name w:val="明显参考1"/>
    <w:basedOn w:val="20"/>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0"/>
    <w:link w:val="17"/>
    <w:qFormat/>
    <w:uiPriority w:val="99"/>
    <w:rPr>
      <w:rFonts w:ascii="Calibri" w:hAnsi="Calibri" w:eastAsia="宋体"/>
      <w:kern w:val="2"/>
      <w:sz w:val="18"/>
      <w:szCs w:val="18"/>
    </w:rPr>
  </w:style>
  <w:style w:type="character" w:customStyle="1" w:styleId="48">
    <w:name w:val="页脚 字符"/>
    <w:basedOn w:val="20"/>
    <w:link w:val="16"/>
    <w:qFormat/>
    <w:uiPriority w:val="99"/>
    <w:rPr>
      <w:rFonts w:ascii="Calibri" w:hAnsi="Calibri" w:eastAsia="宋体"/>
      <w:kern w:val="2"/>
      <w:sz w:val="18"/>
      <w:szCs w:val="18"/>
    </w:rPr>
  </w:style>
  <w:style w:type="character" w:customStyle="1" w:styleId="49">
    <w:name w:val="批注框文本 字符"/>
    <w:basedOn w:val="20"/>
    <w:link w:val="15"/>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闻政-正文段落文字"/>
    <w:basedOn w:val="1"/>
    <w:qFormat/>
    <w:uiPriority w:val="3"/>
    <w:pPr>
      <w:spacing w:line="500" w:lineRule="exact"/>
      <w:ind w:firstLine="200"/>
    </w:pPr>
    <w:rPr>
      <w:rFonts w:ascii="Times New Roman" w:hAnsi="Times New Roman" w:cs="Times New Roman"/>
      <w:kern w:val="0"/>
      <w:szCs w:val="28"/>
    </w:rPr>
  </w:style>
  <w:style w:type="character" w:customStyle="1" w:styleId="53">
    <w:name w:val="font41"/>
    <w:basedOn w:val="20"/>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TotalTime>
  <ScaleCrop>false</ScaleCrop>
  <LinksUpToDate>false</LinksUpToDate>
  <CharactersWithSpaces>8963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2021-06-01T03:03:06Z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KSOSaveFontToCloudKey">
    <vt:lpwstr>390855185_btnclosed</vt:lpwstr>
  </property>
  <property fmtid="{D5CDD505-2E9C-101B-9397-08002B2CF9AE}" pid="4" name="ICV">
    <vt:lpwstr>1035149AB6494E92B90DF11CE5ACEDD2</vt:lpwstr>
  </property>
</Properties>
</file>