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b/>
          <w:kern w:val="0"/>
          <w:sz w:val="52"/>
          <w:szCs w:val="52"/>
        </w:rPr>
      </w:pPr>
    </w:p>
    <w:p>
      <w:pPr>
        <w:snapToGrid w:val="0"/>
        <w:spacing w:line="540" w:lineRule="exact"/>
        <w:jc w:val="center"/>
        <w:rPr>
          <w:rFonts w:hint="eastAsia" w:ascii="方正小标宋简体" w:hAnsi="方正小标宋简体" w:eastAsia="方正小标宋简体" w:cs="方正小标宋简体"/>
          <w:kern w:val="0"/>
          <w:sz w:val="48"/>
          <w:szCs w:val="48"/>
        </w:rPr>
      </w:pPr>
      <w:r>
        <w:rPr>
          <w:rFonts w:hint="eastAsia" w:ascii="方正小标宋简体" w:hAnsi="方正小标宋简体" w:eastAsia="方正小标宋简体" w:cs="方正小标宋简体"/>
          <w:kern w:val="0"/>
          <w:sz w:val="48"/>
          <w:szCs w:val="48"/>
        </w:rPr>
        <w:t>塔城地区工业和信息化局工业领域招商引资项目支出绩效评价报告</w:t>
      </w: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w:t>
      </w:r>
      <w:r>
        <w:rPr>
          <w:rFonts w:hint="eastAsia" w:ascii="仿宋_GB2312" w:hAnsi="仿宋_GB2312" w:eastAsia="仿宋_GB2312" w:cs="仿宋_GB2312"/>
          <w:kern w:val="0"/>
          <w:sz w:val="36"/>
          <w:szCs w:val="36"/>
          <w:lang w:val="en-US" w:eastAsia="zh-CN"/>
        </w:rPr>
        <w:t>20</w:t>
      </w:r>
      <w:r>
        <w:rPr>
          <w:rFonts w:hint="eastAsia" w:ascii="仿宋_GB2312" w:hAnsi="仿宋_GB2312" w:eastAsia="仿宋_GB2312" w:cs="仿宋_GB2312"/>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pStyle w:val="13"/>
        <w:rPr>
          <w:rFonts w:hAnsi="宋体" w:eastAsia="仿宋_GB2312" w:cs="宋体"/>
          <w:kern w:val="0"/>
          <w:sz w:val="30"/>
          <w:szCs w:val="30"/>
        </w:rPr>
      </w:pPr>
    </w:p>
    <w:p>
      <w:pPr>
        <w:spacing w:line="540" w:lineRule="exact"/>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60" w:lineRule="exact"/>
        <w:ind w:firstLine="1440" w:firstLineChars="400"/>
        <w:jc w:val="both"/>
        <w:textAlignment w:val="auto"/>
        <w:rPr>
          <w:rFonts w:hint="default" w:hAnsi="宋体" w:eastAsia="仿宋_GB2312" w:cs="宋体"/>
          <w:kern w:val="0"/>
          <w:sz w:val="36"/>
          <w:szCs w:val="36"/>
          <w:lang w:val="en-US" w:eastAsia="zh-CN"/>
        </w:rPr>
      </w:pPr>
      <w:r>
        <w:rPr>
          <w:rFonts w:hint="eastAsia" w:hAnsi="宋体" w:eastAsia="仿宋_GB2312" w:cs="宋体"/>
          <w:kern w:val="0"/>
          <w:sz w:val="36"/>
          <w:szCs w:val="36"/>
        </w:rPr>
        <w:t>项目名称：工业领域招商引资项目</w:t>
      </w:r>
    </w:p>
    <w:p>
      <w:pPr>
        <w:keepNext w:val="0"/>
        <w:keepLines w:val="0"/>
        <w:pageBreakBefore w:val="0"/>
        <w:widowControl w:val="0"/>
        <w:kinsoku/>
        <w:wordWrap/>
        <w:overflowPunct/>
        <w:topLinePunct w:val="0"/>
        <w:autoSpaceDE/>
        <w:autoSpaceDN/>
        <w:bidi w:val="0"/>
        <w:adjustRightInd/>
        <w:snapToGrid/>
        <w:spacing w:line="560" w:lineRule="exact"/>
        <w:ind w:firstLine="720" w:firstLineChars="200"/>
        <w:jc w:val="center"/>
        <w:textAlignment w:val="auto"/>
        <w:rPr>
          <w:rFonts w:hint="default" w:hAnsi="宋体" w:eastAsia="仿宋_GB2312" w:cs="宋体"/>
          <w:kern w:val="0"/>
          <w:sz w:val="36"/>
          <w:szCs w:val="36"/>
          <w:lang w:val="en-US" w:eastAsia="zh-CN"/>
        </w:rPr>
      </w:pP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实施单位（公章）：塔城地区工业和信息化局</w:t>
      </w:r>
    </w:p>
    <w:p>
      <w:pPr>
        <w:keepNext w:val="0"/>
        <w:keepLines w:val="0"/>
        <w:pageBreakBefore w:val="0"/>
        <w:widowControl w:val="0"/>
        <w:kinsoku/>
        <w:wordWrap/>
        <w:overflowPunct/>
        <w:topLinePunct w:val="0"/>
        <w:autoSpaceDE/>
        <w:autoSpaceDN/>
        <w:bidi w:val="0"/>
        <w:adjustRightInd/>
        <w:snapToGrid/>
        <w:spacing w:line="560" w:lineRule="exact"/>
        <w:ind w:firstLine="1440" w:firstLineChars="400"/>
        <w:jc w:val="both"/>
        <w:textAlignment w:val="auto"/>
        <w:rPr>
          <w:rFonts w:hint="eastAsia" w:ascii="Times New Roman" w:eastAsia="方正仿宋_GBK" w:cs="Times New Roman"/>
          <w:kern w:val="0"/>
          <w:sz w:val="36"/>
          <w:szCs w:val="36"/>
          <w:lang w:val="en-US"/>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rPr>
        <w:t>刘益生</w:t>
      </w:r>
    </w:p>
    <w:p>
      <w:pPr>
        <w:pStyle w:val="13"/>
        <w:keepNext w:val="0"/>
        <w:keepLines w:val="0"/>
        <w:pageBreakBefore w:val="0"/>
        <w:widowControl w:val="0"/>
        <w:kinsoku/>
        <w:wordWrap/>
        <w:overflowPunct/>
        <w:topLinePunct w:val="0"/>
        <w:autoSpaceDE/>
        <w:autoSpaceDN/>
        <w:bidi w:val="0"/>
        <w:adjustRightInd/>
        <w:snapToGrid/>
        <w:spacing w:after="0" w:line="560" w:lineRule="exact"/>
        <w:ind w:firstLine="1440" w:firstLineChars="400"/>
        <w:jc w:val="both"/>
        <w:textAlignment w:val="auto"/>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2021</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22"/>
          <w:rFonts w:ascii="黑体" w:hAnsi="黑体" w:eastAsia="黑体"/>
          <w:b w:val="0"/>
          <w:spacing w:val="-4"/>
          <w:sz w:val="32"/>
          <w:szCs w:val="32"/>
        </w:rPr>
      </w:pPr>
    </w:p>
    <w:p>
      <w:pPr>
        <w:spacing w:line="540" w:lineRule="exact"/>
        <w:rPr>
          <w:rStyle w:val="22"/>
          <w:rFonts w:ascii="黑体" w:hAnsi="黑体" w:eastAsia="黑体"/>
          <w:b w:val="0"/>
          <w:spacing w:val="-4"/>
          <w:sz w:val="32"/>
          <w:szCs w:val="32"/>
        </w:rPr>
      </w:pPr>
    </w:p>
    <w:p>
      <w:pPr>
        <w:rPr>
          <w:rFonts w:hint="eastAsia" w:ascii="方正黑体_GBK" w:hAnsi="方正黑体_GBK" w:eastAsia="方正黑体_GBK" w:cs="方正黑体_GBK"/>
          <w:sz w:val="30"/>
          <w:szCs w:val="30"/>
          <w:lang w:val="en-US" w:eastAsia="zh-CN"/>
        </w:rPr>
      </w:pPr>
      <w:r>
        <w:rPr>
          <w:rFonts w:hint="eastAsia" w:ascii="方正黑体_GBK" w:hAnsi="方正黑体_GBK" w:eastAsia="方正黑体_GBK" w:cs="方正黑体_GBK"/>
          <w:sz w:val="30"/>
          <w:szCs w:val="30"/>
          <w:lang w:val="en-US" w:eastAsia="zh-CN"/>
        </w:rPr>
        <w:br w:type="page"/>
      </w:r>
    </w:p>
    <w:p>
      <w:pPr>
        <w:keepNext w:val="0"/>
        <w:keepLines w:val="0"/>
        <w:pageBreakBefore w:val="0"/>
        <w:kinsoku/>
        <w:wordWrap/>
        <w:overflowPunct/>
        <w:topLinePunct w:val="0"/>
        <w:autoSpaceDE/>
        <w:autoSpaceDN/>
        <w:bidi w:val="0"/>
        <w:spacing w:line="560" w:lineRule="exact"/>
        <w:rPr>
          <w:rFonts w:hint="eastAsia" w:ascii="黑体" w:hAnsi="黑体" w:eastAsia="黑体" w:cs="黑体"/>
          <w:b/>
          <w:bCs/>
          <w:sz w:val="30"/>
          <w:szCs w:val="30"/>
        </w:rPr>
      </w:pPr>
      <w:r>
        <w:rPr>
          <w:rFonts w:hint="eastAsia" w:ascii="黑体" w:hAnsi="黑体" w:eastAsia="黑体" w:cs="黑体"/>
          <w:b/>
          <w:bCs/>
          <w:sz w:val="30"/>
          <w:szCs w:val="30"/>
        </w:rPr>
        <w:t>一、基本情况</w:t>
      </w:r>
    </w:p>
    <w:p>
      <w:pPr>
        <w:keepNext w:val="0"/>
        <w:keepLines w:val="0"/>
        <w:pageBreakBefore w:val="0"/>
        <w:kinsoku/>
        <w:wordWrap/>
        <w:overflowPunct/>
        <w:topLinePunct w:val="0"/>
        <w:autoSpaceDE/>
        <w:autoSpaceDN/>
        <w:bidi w:val="0"/>
        <w:spacing w:line="56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keepNext w:val="0"/>
        <w:keepLines w:val="0"/>
        <w:pageBreakBefore w:val="0"/>
        <w:kinsoku/>
        <w:wordWrap/>
        <w:overflowPunct/>
        <w:topLinePunct w:val="0"/>
        <w:autoSpaceDE/>
        <w:autoSpaceDN/>
        <w:bidi w:val="0"/>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（1）项目实施的政策背景</w:t>
      </w:r>
    </w:p>
    <w:p>
      <w:pPr>
        <w:pStyle w:val="52"/>
        <w:keepNext w:val="0"/>
        <w:keepLines w:val="0"/>
        <w:pageBreakBefore w:val="0"/>
        <w:kinsoku/>
        <w:wordWrap/>
        <w:overflowPunct/>
        <w:topLinePunct w:val="0"/>
        <w:autoSpaceDE/>
        <w:autoSpaceDN/>
        <w:bidi w:val="0"/>
        <w:spacing w:line="560" w:lineRule="exact"/>
        <w:ind w:firstLine="584"/>
        <w:rPr>
          <w:rFonts w:hint="eastAsia" w:ascii="仿宋_GB2312" w:hAnsi="仿宋_GB2312" w:eastAsia="仿宋_GB2312" w:cs="仿宋_GB2312"/>
          <w:spacing w:val="-4"/>
          <w:sz w:val="32"/>
          <w:szCs w:val="32"/>
          <w:lang w:eastAsia="zh-CN"/>
        </w:rPr>
      </w:pPr>
      <w:r>
        <w:rPr>
          <w:rFonts w:hint="eastAsia" w:ascii="仿宋_GB2312" w:hAnsi="仿宋_GB2312" w:eastAsia="仿宋_GB2312" w:cs="仿宋_GB2312"/>
          <w:spacing w:val="-4"/>
          <w:sz w:val="32"/>
          <w:szCs w:val="32"/>
          <w:lang w:eastAsia="zh-CN"/>
        </w:rPr>
        <w:t>一是国家实施</w:t>
      </w:r>
      <w:r>
        <w:rPr>
          <w:rFonts w:hint="eastAsia" w:ascii="仿宋_GB2312" w:hAnsi="仿宋_GB2312" w:cs="仿宋_GB2312"/>
          <w:spacing w:val="-4"/>
          <w:sz w:val="32"/>
          <w:szCs w:val="32"/>
          <w:lang w:eastAsia="zh-CN"/>
        </w:rPr>
        <w:t>“一带一路”</w:t>
      </w:r>
      <w:bookmarkStart w:id="2" w:name="_GoBack"/>
      <w:bookmarkEnd w:id="2"/>
      <w:r>
        <w:rPr>
          <w:rFonts w:hint="eastAsia" w:ascii="仿宋_GB2312" w:hAnsi="仿宋_GB2312" w:eastAsia="仿宋_GB2312" w:cs="仿宋_GB2312"/>
          <w:spacing w:val="-4"/>
          <w:sz w:val="32"/>
          <w:szCs w:val="32"/>
          <w:lang w:eastAsia="zh-CN"/>
        </w:rPr>
        <w:t>政策，塔城地区处于新疆丝绸之路经济带核心区</w:t>
      </w:r>
      <w:r>
        <w:rPr>
          <w:rFonts w:hint="eastAsia" w:ascii="仿宋_GB2312" w:hAnsi="仿宋_GB2312" w:cs="仿宋_GB2312"/>
          <w:spacing w:val="-4"/>
          <w:sz w:val="32"/>
          <w:szCs w:val="32"/>
          <w:lang w:eastAsia="zh-CN"/>
        </w:rPr>
        <w:t>的</w:t>
      </w:r>
      <w:r>
        <w:rPr>
          <w:rFonts w:hint="eastAsia" w:ascii="仿宋_GB2312" w:hAnsi="仿宋_GB2312" w:eastAsia="仿宋_GB2312" w:cs="仿宋_GB2312"/>
          <w:spacing w:val="-4"/>
          <w:sz w:val="32"/>
          <w:szCs w:val="32"/>
          <w:lang w:eastAsia="zh-CN"/>
        </w:rPr>
        <w:t>地理位置，面临外部形势要求、内在发展需要攀升的形势。</w:t>
      </w:r>
    </w:p>
    <w:p>
      <w:pPr>
        <w:pStyle w:val="52"/>
        <w:keepNext w:val="0"/>
        <w:keepLines w:val="0"/>
        <w:pageBreakBefore w:val="0"/>
        <w:kinsoku/>
        <w:wordWrap/>
        <w:overflowPunct/>
        <w:topLinePunct w:val="0"/>
        <w:autoSpaceDE/>
        <w:autoSpaceDN/>
        <w:bidi w:val="0"/>
        <w:spacing w:line="560" w:lineRule="exact"/>
        <w:ind w:firstLine="584"/>
        <w:rPr>
          <w:rFonts w:hint="eastAsia" w:ascii="仿宋_GB2312" w:hAnsi="仿宋_GB2312" w:eastAsia="仿宋_GB2312" w:cs="仿宋_GB2312"/>
          <w:spacing w:val="-4"/>
          <w:sz w:val="32"/>
          <w:szCs w:val="32"/>
          <w:lang w:eastAsia="zh-CN"/>
        </w:rPr>
      </w:pPr>
      <w:r>
        <w:rPr>
          <w:rFonts w:hint="eastAsia" w:ascii="仿宋_GB2312" w:hAnsi="仿宋_GB2312" w:eastAsia="仿宋_GB2312" w:cs="仿宋_GB2312"/>
          <w:spacing w:val="-4"/>
          <w:sz w:val="32"/>
          <w:szCs w:val="32"/>
          <w:lang w:eastAsia="zh-CN"/>
        </w:rPr>
        <w:t>二是国家实施脱贫攻坚政策进入倒计时阶段，人民群众迫切想要改善生产生活环境的内生动力要求经济上有</w:t>
      </w:r>
      <w:r>
        <w:rPr>
          <w:rFonts w:hint="eastAsia" w:ascii="仿宋_GB2312" w:hAnsi="仿宋_GB2312" w:cs="仿宋_GB2312"/>
          <w:spacing w:val="-4"/>
          <w:sz w:val="32"/>
          <w:szCs w:val="32"/>
          <w:lang w:eastAsia="zh-CN"/>
        </w:rPr>
        <w:t>更</w:t>
      </w:r>
      <w:r>
        <w:rPr>
          <w:rFonts w:hint="eastAsia" w:ascii="仿宋_GB2312" w:hAnsi="仿宋_GB2312" w:eastAsia="仿宋_GB2312" w:cs="仿宋_GB2312"/>
          <w:spacing w:val="-4"/>
          <w:sz w:val="32"/>
          <w:szCs w:val="32"/>
          <w:lang w:eastAsia="zh-CN"/>
        </w:rPr>
        <w:t>好的改善。</w:t>
      </w:r>
    </w:p>
    <w:p>
      <w:pPr>
        <w:pStyle w:val="52"/>
        <w:keepNext w:val="0"/>
        <w:keepLines w:val="0"/>
        <w:pageBreakBefore w:val="0"/>
        <w:kinsoku/>
        <w:wordWrap/>
        <w:overflowPunct/>
        <w:topLinePunct w:val="0"/>
        <w:autoSpaceDE/>
        <w:autoSpaceDN/>
        <w:bidi w:val="0"/>
        <w:spacing w:line="560" w:lineRule="exact"/>
        <w:ind w:firstLine="584"/>
        <w:rPr>
          <w:rFonts w:hint="default" w:ascii="Times New Roman" w:hAnsi="Times New Roman" w:eastAsia="仿宋_GB2312" w:cs="Times New Roman"/>
          <w:spacing w:val="-4"/>
          <w:sz w:val="32"/>
          <w:szCs w:val="32"/>
          <w:lang w:val="en-US" w:eastAsia="zh-CN"/>
        </w:rPr>
      </w:pPr>
      <w:r>
        <w:rPr>
          <w:rFonts w:hint="eastAsia" w:ascii="仿宋_GB2312" w:hAnsi="仿宋_GB2312" w:eastAsia="仿宋_GB2312" w:cs="仿宋_GB2312"/>
          <w:spacing w:val="-4"/>
          <w:sz w:val="32"/>
          <w:szCs w:val="32"/>
          <w:lang w:eastAsia="zh-CN"/>
        </w:rPr>
        <w:t>三是在国家投资专注民生、基本建设领域的背景下，塔城地区各县（市）想要发展，面临自筹资金的压力；地区内的塔城、乌苏等地企业及部分单位连续</w:t>
      </w:r>
      <w:r>
        <w:rPr>
          <w:rFonts w:hint="eastAsia" w:ascii="仿宋_GB2312" w:hAnsi="仿宋_GB2312" w:eastAsia="仿宋_GB2312" w:cs="仿宋_GB2312"/>
          <w:spacing w:val="-4"/>
          <w:sz w:val="32"/>
          <w:szCs w:val="32"/>
          <w:lang w:val="en-US" w:eastAsia="zh-CN"/>
        </w:rPr>
        <w:t>3个月给职工发不了工资，或是轮流排班发工资，引起群众不满；2020年突如其来的</w:t>
      </w:r>
      <w:r>
        <w:rPr>
          <w:rFonts w:hint="eastAsia" w:ascii="仿宋_GB2312" w:hAnsi="仿宋_GB2312" w:cs="仿宋_GB2312"/>
          <w:spacing w:val="-4"/>
          <w:sz w:val="32"/>
          <w:szCs w:val="32"/>
          <w:lang w:val="en-US" w:eastAsia="zh-CN"/>
        </w:rPr>
        <w:t>传染病防治</w:t>
      </w:r>
      <w:r>
        <w:rPr>
          <w:rFonts w:hint="eastAsia" w:ascii="仿宋_GB2312" w:hAnsi="仿宋_GB2312" w:eastAsia="仿宋_GB2312" w:cs="仿宋_GB2312"/>
          <w:spacing w:val="-4"/>
          <w:sz w:val="32"/>
          <w:szCs w:val="32"/>
          <w:lang w:val="en-US" w:eastAsia="zh-CN"/>
        </w:rPr>
        <w:t>防控压力，致使一些自由职业者面临长时间无处挣钱，生活难以为继的境地。地区安定局面要求全地区必须加快经济发展</w:t>
      </w:r>
      <w:r>
        <w:rPr>
          <w:rFonts w:hint="default" w:ascii="Times New Roman" w:hAnsi="Times New Roman" w:eastAsia="仿宋_GB2312" w:cs="Times New Roman"/>
          <w:spacing w:val="-4"/>
          <w:sz w:val="32"/>
          <w:szCs w:val="32"/>
          <w:lang w:val="en-US" w:eastAsia="zh-CN"/>
        </w:rPr>
        <w:t>步伐，解决民生</w:t>
      </w:r>
      <w:r>
        <w:rPr>
          <w:rFonts w:hint="eastAsia" w:cs="Times New Roman"/>
          <w:spacing w:val="-4"/>
          <w:sz w:val="32"/>
          <w:szCs w:val="32"/>
          <w:lang w:val="en-US" w:eastAsia="zh-CN"/>
        </w:rPr>
        <w:t>、发展</w:t>
      </w:r>
      <w:r>
        <w:rPr>
          <w:rFonts w:hint="default" w:ascii="Times New Roman" w:hAnsi="Times New Roman" w:eastAsia="仿宋_GB2312" w:cs="Times New Roman"/>
          <w:spacing w:val="-4"/>
          <w:sz w:val="32"/>
          <w:szCs w:val="32"/>
          <w:lang w:val="en-US" w:eastAsia="zh-CN"/>
        </w:rPr>
        <w:t>问题。</w:t>
      </w:r>
    </w:p>
    <w:p>
      <w:pPr>
        <w:keepNext w:val="0"/>
        <w:keepLines w:val="0"/>
        <w:pageBreakBefore w:val="0"/>
        <w:kinsoku/>
        <w:wordWrap/>
        <w:overflowPunct/>
        <w:topLinePunct w:val="0"/>
        <w:autoSpaceDE/>
        <w:autoSpaceDN/>
        <w:bidi w:val="0"/>
        <w:spacing w:line="560" w:lineRule="exact"/>
        <w:ind w:firstLine="640" w:firstLineChars="200"/>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w:t>
      </w:r>
      <w:r>
        <w:rPr>
          <w:rFonts w:hint="default" w:ascii="仿宋_GB2312" w:hAnsi="仿宋_GB2312" w:eastAsia="仿宋_GB2312" w:cs="仿宋_GB2312"/>
          <w:kern w:val="0"/>
          <w:sz w:val="32"/>
          <w:szCs w:val="32"/>
          <w:lang w:val="en-US" w:eastAsia="zh-CN"/>
        </w:rPr>
        <w:t>项</w:t>
      </w:r>
      <w:r>
        <w:rPr>
          <w:rFonts w:hint="default" w:ascii="仿宋_GB2312" w:hAnsi="仿宋_GB2312" w:eastAsia="仿宋_GB2312" w:cs="仿宋_GB2312"/>
          <w:kern w:val="0"/>
          <w:sz w:val="32"/>
          <w:szCs w:val="32"/>
        </w:rPr>
        <w:t>目实施的历史概况</w:t>
      </w:r>
    </w:p>
    <w:p>
      <w:pPr>
        <w:pStyle w:val="52"/>
        <w:keepNext w:val="0"/>
        <w:keepLines w:val="0"/>
        <w:pageBreakBefore w:val="0"/>
        <w:kinsoku/>
        <w:wordWrap/>
        <w:overflowPunct/>
        <w:topLinePunct w:val="0"/>
        <w:autoSpaceDE/>
        <w:autoSpaceDN/>
        <w:bidi w:val="0"/>
        <w:spacing w:line="560" w:lineRule="exact"/>
        <w:ind w:firstLine="584"/>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地区工信局经2019年2月地区机构改革后，新增招商引资和经济技术协作职能，主要开展</w:t>
      </w:r>
      <w:r>
        <w:rPr>
          <w:rFonts w:hint="eastAsia" w:ascii="仿宋_GB2312" w:hAnsi="仿宋_GB2312" w:eastAsia="仿宋_GB2312" w:cs="仿宋_GB2312"/>
          <w:spacing w:val="-4"/>
          <w:sz w:val="32"/>
          <w:szCs w:val="32"/>
          <w:lang w:eastAsia="zh-CN"/>
        </w:rPr>
        <w:t>工业领域招商引资工作。</w:t>
      </w:r>
    </w:p>
    <w:p>
      <w:pPr>
        <w:keepNext w:val="0"/>
        <w:keepLines w:val="0"/>
        <w:pageBreakBefore w:val="0"/>
        <w:numPr>
          <w:ilvl w:val="0"/>
          <w:numId w:val="1"/>
        </w:numPr>
        <w:kinsoku/>
        <w:wordWrap/>
        <w:overflowPunct/>
        <w:topLinePunct w:val="0"/>
        <w:autoSpaceDE/>
        <w:autoSpaceDN/>
        <w:bidi w:val="0"/>
        <w:spacing w:line="560" w:lineRule="exact"/>
        <w:ind w:firstLine="641"/>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项目主要内容及实施情况</w:t>
      </w:r>
    </w:p>
    <w:p>
      <w:pPr>
        <w:keepNext w:val="0"/>
        <w:keepLines w:val="0"/>
        <w:pageBreakBefore w:val="0"/>
        <w:kinsoku/>
        <w:wordWrap/>
        <w:overflowPunct/>
        <w:topLinePunct w:val="0"/>
        <w:autoSpaceDE/>
        <w:autoSpaceDN/>
        <w:bidi w:val="0"/>
        <w:adjustRightInd w:val="0"/>
        <w:snapToGrid w:val="0"/>
        <w:spacing w:line="560" w:lineRule="exact"/>
        <w:ind w:firstLine="640"/>
        <w:rPr>
          <w:rFonts w:hint="default" w:ascii="Times New Roman" w:hAnsi="Times New Roman" w:eastAsia="仿宋_GB2312" w:cs="Times New Roman"/>
          <w:spacing w:val="-4"/>
          <w:sz w:val="32"/>
          <w:szCs w:val="32"/>
        </w:rPr>
      </w:pPr>
      <w:r>
        <w:rPr>
          <w:rFonts w:hint="default" w:ascii="Times New Roman" w:hAnsi="Times New Roman" w:eastAsia="仿宋_GB2312" w:cs="Times New Roman"/>
          <w:spacing w:val="-4"/>
          <w:sz w:val="32"/>
          <w:szCs w:val="32"/>
        </w:rPr>
        <w:t>一是贯彻执行国家、自治区人民政府和行署有关工业和信息化领域招商引资开展外引内联，发展横向经济技术合作，拓展市场的方针政策，并根据有关政策，负责拟定上报地区推动横向经济联合与协作的优惠条件、规定、办法、措施，经批准后，组织实施；了解国内外横向经济联合与协作的发展情况，组织交流和推广协作经验，协同有关部门负责横向经济协作与联合项目的咨询、论证、中介服务；</w:t>
      </w:r>
    </w:p>
    <w:p>
      <w:pPr>
        <w:keepNext w:val="0"/>
        <w:keepLines w:val="0"/>
        <w:pageBreakBefore w:val="0"/>
        <w:kinsoku/>
        <w:wordWrap/>
        <w:overflowPunct/>
        <w:topLinePunct w:val="0"/>
        <w:autoSpaceDE/>
        <w:autoSpaceDN/>
        <w:bidi w:val="0"/>
        <w:adjustRightInd w:val="0"/>
        <w:snapToGrid w:val="0"/>
        <w:spacing w:line="56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pacing w:val="-4"/>
          <w:sz w:val="32"/>
          <w:szCs w:val="32"/>
        </w:rPr>
        <w:t>二是加强与各地、州、市的联系、协调，推动地区横向经济联合与协作，组织协调地区间经济技术协作交流活动；根据地区统一规划，负责指导和协调区内外跨地区、跨行业、跨部门横向经济技术联合与协作、科技成果转化、物资协作和智力开发；负责资金、物资、技术、人才等方面协作联</w:t>
      </w:r>
      <w:r>
        <w:rPr>
          <w:rFonts w:hint="eastAsia" w:eastAsia="仿宋_GB2312" w:cs="Times New Roman"/>
          <w:spacing w:val="-4"/>
          <w:sz w:val="32"/>
          <w:szCs w:val="32"/>
          <w:lang w:eastAsia="zh-CN"/>
        </w:rPr>
        <w:t>动</w:t>
      </w:r>
      <w:r>
        <w:rPr>
          <w:rFonts w:hint="default" w:ascii="Times New Roman" w:hAnsi="Times New Roman" w:eastAsia="仿宋_GB2312" w:cs="Times New Roman"/>
          <w:spacing w:val="-4"/>
          <w:sz w:val="32"/>
          <w:szCs w:val="32"/>
        </w:rPr>
        <w:t>的协调和洽谈工作；负责同兄弟地市及友好地</w:t>
      </w:r>
      <w:r>
        <w:rPr>
          <w:rFonts w:hint="eastAsia" w:eastAsia="仿宋_GB2312" w:cs="Times New Roman"/>
          <w:spacing w:val="-4"/>
          <w:sz w:val="32"/>
          <w:szCs w:val="32"/>
          <w:lang w:eastAsia="zh-CN"/>
        </w:rPr>
        <w:t>市的联络</w:t>
      </w:r>
      <w:r>
        <w:rPr>
          <w:rFonts w:hint="default" w:ascii="Times New Roman" w:hAnsi="Times New Roman" w:eastAsia="仿宋_GB2312" w:cs="Times New Roman"/>
          <w:spacing w:val="-4"/>
          <w:sz w:val="32"/>
          <w:szCs w:val="32"/>
        </w:rPr>
        <w:t>、业务协调工作，商谈经济技术联合与协作事宜，指导地区驻外办事机构的经济技术协作及招商引资业务工作；承办局领导交办的其他事项。</w:t>
      </w:r>
    </w:p>
    <w:p>
      <w:pPr>
        <w:keepNext w:val="0"/>
        <w:keepLines w:val="0"/>
        <w:pageBreakBefore w:val="0"/>
        <w:numPr>
          <w:ilvl w:val="0"/>
          <w:numId w:val="1"/>
        </w:numPr>
        <w:kinsoku/>
        <w:wordWrap/>
        <w:overflowPunct/>
        <w:topLinePunct w:val="0"/>
        <w:autoSpaceDE/>
        <w:autoSpaceDN/>
        <w:bidi w:val="0"/>
        <w:spacing w:line="560" w:lineRule="exact"/>
        <w:ind w:firstLine="641"/>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资金投入和使用情况</w:t>
      </w:r>
    </w:p>
    <w:p>
      <w:pPr>
        <w:keepNext w:val="0"/>
        <w:keepLines w:val="0"/>
        <w:pageBreakBefore w:val="0"/>
        <w:kinsoku/>
        <w:wordWrap/>
        <w:overflowPunct/>
        <w:topLinePunct w:val="0"/>
        <w:autoSpaceDE/>
        <w:autoSpaceDN/>
        <w:bidi w:val="0"/>
        <w:spacing w:line="560" w:lineRule="exact"/>
        <w:ind w:firstLine="64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（1）资金安排</w:t>
      </w:r>
    </w:p>
    <w:p>
      <w:pPr>
        <w:keepNext w:val="0"/>
        <w:keepLines w:val="0"/>
        <w:pageBreakBefore w:val="0"/>
        <w:kinsoku/>
        <w:wordWrap/>
        <w:overflowPunct/>
        <w:topLinePunct w:val="0"/>
        <w:autoSpaceDE/>
        <w:autoSpaceDN/>
        <w:bidi w:val="0"/>
        <w:adjustRightInd w:val="0"/>
        <w:snapToGrid w:val="0"/>
        <w:spacing w:line="560" w:lineRule="exact"/>
        <w:ind w:firstLine="640"/>
        <w:rPr>
          <w:rFonts w:hint="default" w:ascii="Times New Roman" w:hAnsi="Times New Roman" w:eastAsia="仿宋_GB2312" w:cs="Times New Roman"/>
          <w:spacing w:val="-4"/>
          <w:sz w:val="32"/>
          <w:szCs w:val="32"/>
        </w:rPr>
      </w:pPr>
      <w:r>
        <w:rPr>
          <w:rFonts w:hint="default" w:ascii="Times New Roman" w:hAnsi="Times New Roman" w:eastAsia="仿宋_GB2312" w:cs="Times New Roman"/>
          <w:spacing w:val="-4"/>
          <w:sz w:val="32"/>
          <w:szCs w:val="32"/>
        </w:rPr>
        <w:t>项目总投</w:t>
      </w:r>
      <w:r>
        <w:rPr>
          <w:rFonts w:hint="eastAsia" w:ascii="仿宋_GB2312" w:hAnsi="仿宋_GB2312" w:eastAsia="仿宋_GB2312" w:cs="仿宋_GB2312"/>
          <w:spacing w:val="-4"/>
          <w:sz w:val="32"/>
          <w:szCs w:val="32"/>
        </w:rPr>
        <w:t>资</w:t>
      </w:r>
      <w:r>
        <w:rPr>
          <w:rFonts w:hint="eastAsia" w:ascii="仿宋_GB2312" w:hAnsi="仿宋_GB2312" w:eastAsia="仿宋_GB2312" w:cs="仿宋_GB2312"/>
          <w:spacing w:val="-4"/>
          <w:sz w:val="32"/>
          <w:szCs w:val="32"/>
          <w:lang w:val="en-US" w:eastAsia="zh-CN"/>
        </w:rPr>
        <w:t>19.34</w:t>
      </w:r>
      <w:r>
        <w:rPr>
          <w:rFonts w:hint="eastAsia" w:ascii="仿宋_GB2312" w:hAnsi="仿宋_GB2312" w:eastAsia="仿宋_GB2312" w:cs="仿宋_GB2312"/>
          <w:spacing w:val="-4"/>
          <w:sz w:val="32"/>
          <w:szCs w:val="32"/>
        </w:rPr>
        <w:t>万元</w:t>
      </w:r>
      <w:r>
        <w:rPr>
          <w:rFonts w:hint="default" w:ascii="Times New Roman" w:hAnsi="Times New Roman" w:eastAsia="仿宋_GB2312" w:cs="Times New Roman"/>
          <w:spacing w:val="-4"/>
          <w:sz w:val="32"/>
          <w:szCs w:val="32"/>
        </w:rPr>
        <w:t>，按照《</w:t>
      </w:r>
      <w:r>
        <w:rPr>
          <w:rFonts w:hint="default" w:ascii="Times New Roman" w:hAnsi="Times New Roman" w:eastAsia="仿宋_GB2312" w:cs="Times New Roman"/>
          <w:spacing w:val="-4"/>
          <w:sz w:val="32"/>
          <w:szCs w:val="32"/>
          <w:lang w:eastAsia="zh-CN"/>
        </w:rPr>
        <w:t>专项</w:t>
      </w:r>
      <w:r>
        <w:rPr>
          <w:rFonts w:hint="default" w:ascii="Times New Roman" w:hAnsi="Times New Roman" w:eastAsia="仿宋_GB2312" w:cs="Times New Roman"/>
          <w:spacing w:val="-4"/>
          <w:sz w:val="32"/>
          <w:szCs w:val="32"/>
        </w:rPr>
        <w:t>资金管理办法》及单位财务制度等相关规定，资金支出符合</w:t>
      </w:r>
      <w:r>
        <w:rPr>
          <w:rFonts w:hint="default" w:ascii="Times New Roman" w:hAnsi="Times New Roman" w:eastAsia="仿宋_GB2312" w:cs="Times New Roman"/>
          <w:spacing w:val="-4"/>
          <w:sz w:val="32"/>
          <w:szCs w:val="32"/>
          <w:lang w:eastAsia="zh-CN"/>
        </w:rPr>
        <w:t>工业领域招商</w:t>
      </w:r>
      <w:r>
        <w:rPr>
          <w:rFonts w:hint="default" w:ascii="Times New Roman" w:hAnsi="Times New Roman" w:eastAsia="仿宋_GB2312" w:cs="Times New Roman"/>
          <w:spacing w:val="-4"/>
          <w:sz w:val="32"/>
          <w:szCs w:val="32"/>
        </w:rPr>
        <w:t>专项资金费用范围，做到了专款专用。在项目资金拨付和使用过程中，为确保项目资金的安全性，提高项目资金使用效率，严格遵循</w:t>
      </w:r>
      <w:r>
        <w:rPr>
          <w:rFonts w:hint="default" w:ascii="Times New Roman" w:hAnsi="Times New Roman" w:eastAsia="仿宋_GB2312" w:cs="Times New Roman"/>
          <w:spacing w:val="-4"/>
          <w:sz w:val="32"/>
          <w:szCs w:val="32"/>
          <w:lang w:eastAsia="zh-CN"/>
        </w:rPr>
        <w:t>专项</w:t>
      </w:r>
      <w:r>
        <w:rPr>
          <w:rFonts w:hint="default" w:ascii="Times New Roman" w:hAnsi="Times New Roman" w:eastAsia="仿宋_GB2312" w:cs="Times New Roman"/>
          <w:spacing w:val="-4"/>
          <w:sz w:val="32"/>
          <w:szCs w:val="32"/>
        </w:rPr>
        <w:t>资金的拨付程序，认真审核项目实施各阶段的相关材料和手续，根据项目实施进展情况拨付资金。</w:t>
      </w:r>
    </w:p>
    <w:p>
      <w:pPr>
        <w:keepNext w:val="0"/>
        <w:keepLines w:val="0"/>
        <w:pageBreakBefore w:val="0"/>
        <w:kinsoku/>
        <w:wordWrap/>
        <w:overflowPunct/>
        <w:topLinePunct w:val="0"/>
        <w:autoSpaceDE/>
        <w:autoSpaceDN/>
        <w:bidi w:val="0"/>
        <w:adjustRightInd w:val="0"/>
        <w:snapToGrid w:val="0"/>
        <w:spacing w:line="560" w:lineRule="exact"/>
        <w:ind w:firstLine="640"/>
        <w:rPr>
          <w:rFonts w:hint="default" w:ascii="Times New Roman" w:hAnsi="Times New Roman" w:eastAsia="仿宋_GB2312" w:cs="Times New Roman"/>
          <w:spacing w:val="-4"/>
          <w:sz w:val="32"/>
          <w:szCs w:val="32"/>
        </w:rPr>
      </w:pPr>
      <w:r>
        <w:rPr>
          <w:rFonts w:hint="default" w:ascii="Times New Roman" w:hAnsi="Times New Roman" w:eastAsia="仿宋_GB2312" w:cs="Times New Roman"/>
          <w:spacing w:val="-4"/>
          <w:sz w:val="32"/>
          <w:szCs w:val="32"/>
        </w:rPr>
        <w:t>（2）预算资金来源及使用情况</w:t>
      </w:r>
      <w:bookmarkStart w:id="0" w:name="page10"/>
      <w:bookmarkEnd w:id="0"/>
    </w:p>
    <w:p>
      <w:pPr>
        <w:keepNext w:val="0"/>
        <w:keepLines w:val="0"/>
        <w:pageBreakBefore w:val="0"/>
        <w:kinsoku/>
        <w:wordWrap/>
        <w:overflowPunct/>
        <w:topLinePunct w:val="0"/>
        <w:autoSpaceDE/>
        <w:autoSpaceDN/>
        <w:bidi w:val="0"/>
        <w:adjustRightInd w:val="0"/>
        <w:snapToGrid w:val="0"/>
        <w:spacing w:line="560" w:lineRule="exact"/>
        <w:ind w:firstLine="640"/>
        <w:rPr>
          <w:rFonts w:hint="eastAsia" w:ascii="仿宋_GB2312" w:hAnsi="仿宋_GB2312" w:eastAsia="仿宋_GB2312" w:cs="仿宋_GB2312"/>
          <w:spacing w:val="-4"/>
          <w:sz w:val="32"/>
          <w:szCs w:val="32"/>
        </w:rPr>
      </w:pPr>
      <w:r>
        <w:rPr>
          <w:rFonts w:hint="default" w:ascii="Times New Roman" w:hAnsi="Times New Roman" w:eastAsia="仿宋_GB2312" w:cs="Times New Roman"/>
          <w:spacing w:val="-4"/>
          <w:sz w:val="32"/>
          <w:szCs w:val="32"/>
        </w:rPr>
        <w:t>项目预算资金来</w:t>
      </w:r>
      <w:r>
        <w:rPr>
          <w:rFonts w:hint="eastAsia" w:ascii="仿宋_GB2312" w:hAnsi="仿宋_GB2312" w:eastAsia="仿宋_GB2312" w:cs="仿宋_GB2312"/>
          <w:spacing w:val="-4"/>
          <w:sz w:val="32"/>
          <w:szCs w:val="32"/>
        </w:rPr>
        <w:t>源于</w:t>
      </w:r>
      <w:r>
        <w:rPr>
          <w:rFonts w:hint="eastAsia" w:ascii="仿宋_GB2312" w:hAnsi="仿宋_GB2312" w:eastAsia="仿宋_GB2312" w:cs="仿宋_GB2312"/>
          <w:spacing w:val="-4"/>
          <w:sz w:val="32"/>
          <w:szCs w:val="32"/>
          <w:lang w:eastAsia="zh-CN"/>
        </w:rPr>
        <w:t>地方财政</w:t>
      </w:r>
      <w:r>
        <w:rPr>
          <w:rFonts w:hint="eastAsia" w:ascii="仿宋_GB2312" w:hAnsi="仿宋_GB2312" w:eastAsia="仿宋_GB2312" w:cs="仿宋_GB2312"/>
          <w:spacing w:val="-4"/>
          <w:sz w:val="32"/>
          <w:szCs w:val="32"/>
        </w:rPr>
        <w:t>的资金，项目资金到位</w:t>
      </w:r>
      <w:r>
        <w:rPr>
          <w:rFonts w:hint="eastAsia" w:ascii="仿宋_GB2312" w:hAnsi="仿宋_GB2312" w:eastAsia="仿宋_GB2312" w:cs="仿宋_GB2312"/>
          <w:spacing w:val="-4"/>
          <w:sz w:val="32"/>
          <w:szCs w:val="32"/>
          <w:lang w:val="en-US" w:eastAsia="zh-CN"/>
        </w:rPr>
        <w:t>20</w:t>
      </w:r>
      <w:r>
        <w:rPr>
          <w:rFonts w:hint="eastAsia" w:ascii="仿宋_GB2312" w:hAnsi="仿宋_GB2312" w:eastAsia="仿宋_GB2312" w:cs="仿宋_GB2312"/>
          <w:spacing w:val="-4"/>
          <w:sz w:val="32"/>
          <w:szCs w:val="32"/>
        </w:rPr>
        <w:t>万元，</w:t>
      </w:r>
      <w:r>
        <w:rPr>
          <w:rFonts w:hint="eastAsia" w:ascii="仿宋_GB2312" w:hAnsi="仿宋_GB2312" w:eastAsia="仿宋_GB2312" w:cs="仿宋_GB2312"/>
          <w:spacing w:val="-4"/>
          <w:sz w:val="32"/>
          <w:szCs w:val="32"/>
          <w:lang w:val="en-US" w:eastAsia="zh-CN"/>
        </w:rPr>
        <w:t>实际支出</w:t>
      </w:r>
      <w:r>
        <w:rPr>
          <w:rFonts w:hint="eastAsia" w:ascii="仿宋_GB2312" w:hAnsi="仿宋_GB2312" w:eastAsia="仿宋_GB2312" w:cs="仿宋_GB2312"/>
          <w:spacing w:val="-4"/>
          <w:sz w:val="32"/>
          <w:szCs w:val="32"/>
        </w:rPr>
        <w:t>19.34万元</w:t>
      </w:r>
      <w:r>
        <w:rPr>
          <w:rFonts w:hint="eastAsia" w:ascii="仿宋_GB2312" w:hAnsi="仿宋_GB2312" w:eastAsia="仿宋_GB2312" w:cs="仿宋_GB2312"/>
          <w:spacing w:val="-4"/>
          <w:sz w:val="32"/>
          <w:szCs w:val="32"/>
          <w:lang w:eastAsia="zh-CN"/>
        </w:rPr>
        <w:t>，</w:t>
      </w:r>
      <w:r>
        <w:rPr>
          <w:rFonts w:hint="eastAsia" w:ascii="仿宋_GB2312" w:hAnsi="仿宋_GB2312" w:eastAsia="仿宋_GB2312" w:cs="仿宋_GB2312"/>
          <w:spacing w:val="-4"/>
          <w:sz w:val="32"/>
          <w:szCs w:val="32"/>
        </w:rPr>
        <w:t>用于支付项目实施进程中的各项费用。</w:t>
      </w:r>
    </w:p>
    <w:p>
      <w:pPr>
        <w:keepNext w:val="0"/>
        <w:keepLines w:val="0"/>
        <w:pageBreakBefore w:val="0"/>
        <w:kinsoku/>
        <w:wordWrap/>
        <w:overflowPunct/>
        <w:topLinePunct w:val="0"/>
        <w:autoSpaceDE/>
        <w:autoSpaceDN/>
        <w:bidi w:val="0"/>
        <w:spacing w:line="560" w:lineRule="exact"/>
        <w:ind w:firstLine="641"/>
        <w:rPr>
          <w:rFonts w:hint="eastAsia" w:ascii="楷体" w:hAnsi="楷体" w:eastAsia="楷体" w:cs="楷体"/>
          <w:b/>
          <w:bCs/>
          <w:sz w:val="32"/>
          <w:szCs w:val="32"/>
        </w:rPr>
      </w:pPr>
      <w:r>
        <w:rPr>
          <w:rFonts w:hint="eastAsia" w:ascii="楷体" w:hAnsi="楷体" w:eastAsia="楷体" w:cs="楷体"/>
          <w:b/>
          <w:bCs/>
          <w:sz w:val="32"/>
          <w:szCs w:val="32"/>
        </w:rPr>
        <w:t>（二）项目绩效目标</w:t>
      </w:r>
    </w:p>
    <w:p>
      <w:pPr>
        <w:keepNext w:val="0"/>
        <w:keepLines w:val="0"/>
        <w:pageBreakBefore w:val="0"/>
        <w:kinsoku/>
        <w:wordWrap/>
        <w:overflowPunct/>
        <w:topLinePunct w:val="0"/>
        <w:autoSpaceDE/>
        <w:autoSpaceDN/>
        <w:bidi w:val="0"/>
        <w:spacing w:line="560" w:lineRule="exact"/>
        <w:ind w:firstLine="641"/>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1、总体目标</w:t>
      </w:r>
    </w:p>
    <w:p>
      <w:pPr>
        <w:keepNext w:val="0"/>
        <w:keepLines w:val="0"/>
        <w:pageBreakBefore w:val="0"/>
        <w:kinsoku/>
        <w:wordWrap/>
        <w:overflowPunct/>
        <w:topLinePunct w:val="0"/>
        <w:autoSpaceDE/>
        <w:autoSpaceDN/>
        <w:bidi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lang w:bidi="en-US"/>
        </w:rPr>
        <w:t>为投资企业办实事，对塔城地区经济发展负责。活动经费</w:t>
      </w:r>
      <w:r>
        <w:rPr>
          <w:rFonts w:hint="default" w:ascii="Times New Roman" w:hAnsi="Times New Roman" w:eastAsia="仿宋_GB2312" w:cs="Times New Roman"/>
          <w:sz w:val="32"/>
          <w:szCs w:val="32"/>
        </w:rPr>
        <w:t>主要用于全年组织外出招商引资活动；参加自治区要求的各类会议、展会进行推介、洽谈，搜寻、挖掘目标客户；帮助企业在落地塔城过程办理各类手续工作；不定期到县（市）开展调研，主动了解服</w:t>
      </w:r>
      <w:r>
        <w:rPr>
          <w:rFonts w:hint="eastAsia" w:ascii="仿宋_GB2312" w:hAnsi="仿宋_GB2312" w:eastAsia="仿宋_GB2312" w:cs="仿宋_GB2312"/>
          <w:sz w:val="32"/>
          <w:szCs w:val="32"/>
        </w:rPr>
        <w:t>务和解决投资企业落地过程中的困难问题，落实执行各类工业招商引资新建项目10项以上，到位资金额</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0亿元以上，同时严格控制“三高”项目进塔城，增加社会新的就业岗位，促进塔城地区同各地商会及省内外办事处的融合交</w:t>
      </w:r>
      <w:r>
        <w:rPr>
          <w:rFonts w:hint="default" w:ascii="Times New Roman" w:hAnsi="Times New Roman" w:eastAsia="仿宋_GB2312" w:cs="Times New Roman"/>
          <w:sz w:val="32"/>
          <w:szCs w:val="32"/>
        </w:rPr>
        <w:t>流，切实扩大塔城地区影响力，提高投资企业的满意度，促进地区经济良好有序发展</w:t>
      </w:r>
      <w:r>
        <w:rPr>
          <w:rFonts w:hint="default" w:ascii="Times New Roman" w:hAnsi="Times New Roman" w:eastAsia="仿宋_GB2312" w:cs="Times New Roman"/>
          <w:kern w:val="0"/>
          <w:sz w:val="32"/>
          <w:szCs w:val="32"/>
          <w:lang w:bidi="en-US"/>
        </w:rPr>
        <w:t>。</w:t>
      </w:r>
    </w:p>
    <w:p>
      <w:pPr>
        <w:keepNext w:val="0"/>
        <w:keepLines w:val="0"/>
        <w:pageBreakBefore w:val="0"/>
        <w:kinsoku/>
        <w:wordWrap/>
        <w:overflowPunct/>
        <w:topLinePunct w:val="0"/>
        <w:autoSpaceDE/>
        <w:autoSpaceDN/>
        <w:bidi w:val="0"/>
        <w:spacing w:line="560" w:lineRule="exact"/>
        <w:ind w:firstLine="641"/>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2、阶段性目标</w:t>
      </w:r>
    </w:p>
    <w:p>
      <w:pPr>
        <w:keepNext w:val="0"/>
        <w:keepLines w:val="0"/>
        <w:pageBreakBefore w:val="0"/>
        <w:kinsoku/>
        <w:wordWrap/>
        <w:overflowPunct/>
        <w:topLinePunct w:val="0"/>
        <w:autoSpaceDE/>
        <w:autoSpaceDN/>
        <w:bidi w:val="0"/>
        <w:spacing w:line="560" w:lineRule="exact"/>
        <w:ind w:firstLine="641"/>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（1）前期准备：根据《</w:t>
      </w:r>
      <w:r>
        <w:rPr>
          <w:rFonts w:hint="default" w:ascii="Times New Roman" w:hAnsi="Times New Roman" w:eastAsia="仿宋_GB2312" w:cs="Times New Roman"/>
          <w:sz w:val="32"/>
          <w:szCs w:val="32"/>
          <w:highlight w:val="none"/>
          <w:lang w:eastAsia="zh-CN"/>
        </w:rPr>
        <w:t>工业招商引资工作</w:t>
      </w:r>
      <w:r>
        <w:rPr>
          <w:rFonts w:hint="default" w:ascii="Times New Roman" w:hAnsi="Times New Roman" w:eastAsia="仿宋_GB2312" w:cs="Times New Roman"/>
          <w:sz w:val="32"/>
          <w:szCs w:val="32"/>
          <w:highlight w:val="none"/>
        </w:rPr>
        <w:t>方案》，通过制定项目实施方案，经项目负责人审核通过后，有序开展后续</w:t>
      </w:r>
      <w:r>
        <w:rPr>
          <w:rFonts w:hint="eastAsia" w:eastAsia="仿宋_GB2312" w:cs="Times New Roman"/>
          <w:sz w:val="32"/>
          <w:szCs w:val="32"/>
          <w:highlight w:val="none"/>
          <w:lang w:eastAsia="zh-CN"/>
        </w:rPr>
        <w:t>工作</w:t>
      </w:r>
      <w:r>
        <w:rPr>
          <w:rFonts w:hint="default" w:ascii="Times New Roman" w:hAnsi="Times New Roman" w:eastAsia="仿宋_GB2312" w:cs="Times New Roman"/>
          <w:sz w:val="32"/>
          <w:szCs w:val="32"/>
          <w:highlight w:val="none"/>
        </w:rPr>
        <w:t>。</w:t>
      </w:r>
    </w:p>
    <w:p>
      <w:pPr>
        <w:keepNext w:val="0"/>
        <w:keepLines w:val="0"/>
        <w:pageBreakBefore w:val="0"/>
        <w:kinsoku/>
        <w:wordWrap/>
        <w:overflowPunct/>
        <w:topLinePunct w:val="0"/>
        <w:autoSpaceDE/>
        <w:autoSpaceDN/>
        <w:bidi w:val="0"/>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（2）组织实施：资金一到位，立即根据项目要求实施项目。项目责任人按照《</w:t>
      </w:r>
      <w:r>
        <w:rPr>
          <w:rFonts w:hint="default" w:ascii="Times New Roman" w:hAnsi="Times New Roman" w:eastAsia="仿宋_GB2312" w:cs="Times New Roman"/>
          <w:sz w:val="32"/>
          <w:szCs w:val="32"/>
          <w:highlight w:val="none"/>
          <w:lang w:eastAsia="zh-CN"/>
        </w:rPr>
        <w:t>工业招商引资工作</w:t>
      </w:r>
      <w:r>
        <w:rPr>
          <w:rFonts w:hint="default" w:ascii="Times New Roman" w:hAnsi="Times New Roman" w:eastAsia="仿宋_GB2312" w:cs="Times New Roman"/>
          <w:sz w:val="32"/>
          <w:szCs w:val="32"/>
          <w:highlight w:val="none"/>
        </w:rPr>
        <w:t>方案》要求逐一进行项目部署安排，提高项目质量及效率。</w:t>
      </w:r>
    </w:p>
    <w:p>
      <w:pPr>
        <w:keepNext w:val="0"/>
        <w:keepLines w:val="0"/>
        <w:pageBreakBefore w:val="0"/>
        <w:kinsoku/>
        <w:wordWrap/>
        <w:overflowPunct/>
        <w:topLinePunct w:val="0"/>
        <w:autoSpaceDE/>
        <w:autoSpaceDN/>
        <w:bidi w:val="0"/>
        <w:spacing w:line="560" w:lineRule="exact"/>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二、绩效评价工作开展情况</w:t>
      </w:r>
    </w:p>
    <w:p>
      <w:pPr>
        <w:keepNext w:val="0"/>
        <w:keepLines w:val="0"/>
        <w:pageBreakBefore w:val="0"/>
        <w:kinsoku/>
        <w:wordWrap/>
        <w:overflowPunct/>
        <w:topLinePunct w:val="0"/>
        <w:autoSpaceDE/>
        <w:autoSpaceDN/>
        <w:bidi w:val="0"/>
        <w:spacing w:line="56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2"/>
        <w:keepNext w:val="0"/>
        <w:keepLines w:val="0"/>
        <w:pageBreakBefore w:val="0"/>
        <w:widowControl w:val="0"/>
        <w:kinsoku/>
        <w:wordWrap/>
        <w:overflowPunct/>
        <w:topLinePunct w:val="0"/>
        <w:autoSpaceDE/>
        <w:autoSpaceDN/>
        <w:bidi w:val="0"/>
        <w:spacing w:before="0" w:after="0" w:line="56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的科学性、促进财政支持社会经济目标实现的重要保证。</w:t>
      </w:r>
    </w:p>
    <w:p>
      <w:pPr>
        <w:keepNext w:val="0"/>
        <w:keepLines w:val="0"/>
        <w:pageBreakBefore w:val="0"/>
        <w:numPr>
          <w:ilvl w:val="0"/>
          <w:numId w:val="2"/>
        </w:numPr>
        <w:kinsoku/>
        <w:wordWrap/>
        <w:overflowPunct/>
        <w:topLinePunct w:val="0"/>
        <w:autoSpaceDE/>
        <w:autoSpaceDN/>
        <w:bidi w:val="0"/>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keepNext w:val="0"/>
        <w:keepLines w:val="0"/>
        <w:pageBreakBefore w:val="0"/>
        <w:kinsoku/>
        <w:wordWrap/>
        <w:overflowPunct/>
        <w:topLinePunct w:val="0"/>
        <w:autoSpaceDE/>
        <w:autoSpaceDN/>
        <w:bidi w:val="0"/>
        <w:spacing w:line="560" w:lineRule="exact"/>
        <w:ind w:left="641"/>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节约成本，提高预算资金使用效益的目的。</w:t>
      </w:r>
    </w:p>
    <w:p>
      <w:pPr>
        <w:pStyle w:val="2"/>
        <w:keepNext w:val="0"/>
        <w:keepLines w:val="0"/>
        <w:pageBreakBefore w:val="0"/>
        <w:widowControl w:val="0"/>
        <w:kinsoku/>
        <w:wordWrap/>
        <w:overflowPunct/>
        <w:topLinePunct w:val="0"/>
        <w:autoSpaceDE/>
        <w:autoSpaceDN/>
        <w:bidi w:val="0"/>
        <w:spacing w:before="0" w:after="0" w:line="56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2、绩效评价的对象</w:t>
      </w:r>
    </w:p>
    <w:p>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工业领域招商引资项目。</w:t>
      </w:r>
    </w:p>
    <w:p>
      <w:pPr>
        <w:pStyle w:val="2"/>
        <w:keepNext w:val="0"/>
        <w:keepLines w:val="0"/>
        <w:pageBreakBefore w:val="0"/>
        <w:widowControl w:val="0"/>
        <w:kinsoku/>
        <w:wordWrap/>
        <w:overflowPunct/>
        <w:topLinePunct w:val="0"/>
        <w:autoSpaceDE/>
        <w:autoSpaceDN/>
        <w:bidi w:val="0"/>
        <w:spacing w:before="0" w:after="0" w:line="56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3、绩效评价的范围</w:t>
      </w:r>
    </w:p>
    <w:p>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从工业领域招商引资项目的决策、过程、产出、效益等方面进行评价。</w:t>
      </w:r>
    </w:p>
    <w:p>
      <w:pPr>
        <w:keepNext w:val="0"/>
        <w:keepLines w:val="0"/>
        <w:pageBreakBefore w:val="0"/>
        <w:kinsoku/>
        <w:wordWrap/>
        <w:overflowPunct/>
        <w:topLinePunct w:val="0"/>
        <w:autoSpaceDE/>
        <w:autoSpaceDN/>
        <w:bidi w:val="0"/>
        <w:spacing w:line="560" w:lineRule="exact"/>
        <w:ind w:firstLine="641"/>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pStyle w:val="2"/>
        <w:keepNext w:val="0"/>
        <w:keepLines w:val="0"/>
        <w:pageBreakBefore w:val="0"/>
        <w:widowControl w:val="0"/>
        <w:kinsoku/>
        <w:wordWrap/>
        <w:overflowPunct/>
        <w:topLinePunct w:val="0"/>
        <w:autoSpaceDE/>
        <w:autoSpaceDN/>
        <w:bidi w:val="0"/>
        <w:spacing w:before="0" w:after="0" w:line="56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1、绩效评价原则</w:t>
      </w:r>
    </w:p>
    <w:p>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2"/>
        <w:keepNext w:val="0"/>
        <w:keepLines w:val="0"/>
        <w:pageBreakBefore w:val="0"/>
        <w:kinsoku/>
        <w:wordWrap/>
        <w:overflowPunct/>
        <w:topLinePunct w:val="0"/>
        <w:autoSpaceDE/>
        <w:autoSpaceDN/>
        <w:bidi w:val="0"/>
        <w:spacing w:before="0" w:after="0" w:line="56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2"/>
        <w:keepNext w:val="0"/>
        <w:keepLines w:val="0"/>
        <w:pageBreakBefore w:val="0"/>
        <w:kinsoku/>
        <w:wordWrap/>
        <w:overflowPunct/>
        <w:topLinePunct w:val="0"/>
        <w:autoSpaceDE/>
        <w:autoSpaceDN/>
        <w:bidi w:val="0"/>
        <w:spacing w:before="0" w:after="0" w:line="56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2"/>
        <w:keepNext w:val="0"/>
        <w:keepLines w:val="0"/>
        <w:pageBreakBefore w:val="0"/>
        <w:widowControl w:val="0"/>
        <w:kinsoku/>
        <w:wordWrap/>
        <w:overflowPunct/>
        <w:topLinePunct w:val="0"/>
        <w:autoSpaceDE/>
        <w:autoSpaceDN/>
        <w:bidi w:val="0"/>
        <w:spacing w:before="0" w:after="0" w:line="56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pPr>
        <w:keepNext w:val="0"/>
        <w:keepLines w:val="0"/>
        <w:pageBreakBefore w:val="0"/>
        <w:kinsoku/>
        <w:wordWrap/>
        <w:overflowPunct/>
        <w:topLinePunct w:val="0"/>
        <w:autoSpaceDE/>
        <w:autoSpaceDN/>
        <w:bidi w:val="0"/>
        <w:spacing w:line="560" w:lineRule="exact"/>
        <w:ind w:firstLine="641"/>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color w:val="000000"/>
          <w:spacing w:val="17"/>
          <w:sz w:val="32"/>
          <w:szCs w:val="32"/>
          <w:highlight w:val="yellow"/>
        </w:rPr>
      </w:pPr>
      <w:r>
        <w:rPr>
          <w:rFonts w:hint="eastAsia" w:ascii="仿宋_GB2312" w:hAnsi="仿宋_GB2312" w:eastAsia="仿宋_GB2312" w:cs="仿宋_GB2312"/>
          <w:color w:val="000000"/>
          <w:spacing w:val="17"/>
          <w:sz w:val="32"/>
          <w:szCs w:val="32"/>
        </w:rPr>
        <w:t>确定各个指标相对于项目总体绩效的权重分值。在绩效评价指标体系中，项</w:t>
      </w:r>
      <w:r>
        <w:rPr>
          <w:rFonts w:hint="eastAsia" w:ascii="仿宋_GB2312" w:hAnsi="仿宋_GB2312" w:eastAsia="仿宋_GB2312" w:cs="仿宋_GB2312"/>
          <w:color w:val="000000"/>
          <w:spacing w:val="17"/>
          <w:sz w:val="32"/>
          <w:szCs w:val="32"/>
          <w:lang w:val="en-US" w:eastAsia="zh-CN"/>
        </w:rPr>
        <w:t>目决策</w:t>
      </w:r>
      <w:r>
        <w:rPr>
          <w:rFonts w:hint="eastAsia" w:ascii="仿宋_GB2312" w:hAnsi="仿宋_GB2312" w:eastAsia="仿宋_GB2312" w:cs="仿宋_GB2312"/>
          <w:color w:val="000000"/>
          <w:spacing w:val="17"/>
          <w:sz w:val="32"/>
          <w:szCs w:val="32"/>
        </w:rPr>
        <w:t>权重</w:t>
      </w:r>
      <w:r>
        <w:rPr>
          <w:rFonts w:hint="eastAsia" w:ascii="仿宋_GB2312" w:hAnsi="仿宋_GB2312" w:eastAsia="仿宋_GB2312" w:cs="仿宋_GB2312"/>
          <w:color w:val="000000"/>
          <w:spacing w:val="17"/>
          <w:sz w:val="32"/>
          <w:szCs w:val="32"/>
          <w:highlight w:val="none"/>
          <w:lang w:val="en-US" w:eastAsia="zh-CN"/>
        </w:rPr>
        <w:t>占5分</w:t>
      </w:r>
      <w:r>
        <w:rPr>
          <w:rFonts w:hint="eastAsia" w:ascii="仿宋_GB2312" w:hAnsi="仿宋_GB2312" w:eastAsia="仿宋_GB2312" w:cs="仿宋_GB2312"/>
          <w:color w:val="000000"/>
          <w:spacing w:val="17"/>
          <w:sz w:val="32"/>
          <w:szCs w:val="32"/>
          <w:highlight w:val="none"/>
        </w:rPr>
        <w:t>，项目</w:t>
      </w:r>
      <w:r>
        <w:rPr>
          <w:rFonts w:hint="eastAsia" w:ascii="仿宋_GB2312" w:hAnsi="仿宋_GB2312" w:eastAsia="仿宋_GB2312" w:cs="仿宋_GB2312"/>
          <w:color w:val="000000"/>
          <w:spacing w:val="17"/>
          <w:sz w:val="32"/>
          <w:szCs w:val="32"/>
          <w:highlight w:val="none"/>
          <w:lang w:val="en-US" w:eastAsia="zh-CN"/>
        </w:rPr>
        <w:t>过程</w:t>
      </w:r>
      <w:r>
        <w:rPr>
          <w:rFonts w:hint="eastAsia" w:ascii="仿宋_GB2312" w:hAnsi="仿宋_GB2312" w:eastAsia="仿宋_GB2312" w:cs="仿宋_GB2312"/>
          <w:color w:val="000000"/>
          <w:spacing w:val="17"/>
          <w:sz w:val="32"/>
          <w:szCs w:val="32"/>
          <w:highlight w:val="none"/>
        </w:rPr>
        <w:t>权重占</w:t>
      </w:r>
      <w:r>
        <w:rPr>
          <w:rFonts w:hint="eastAsia" w:ascii="仿宋_GB2312" w:hAnsi="仿宋_GB2312" w:eastAsia="仿宋_GB2312" w:cs="仿宋_GB2312"/>
          <w:color w:val="000000"/>
          <w:spacing w:val="17"/>
          <w:sz w:val="32"/>
          <w:szCs w:val="32"/>
          <w:highlight w:val="none"/>
          <w:lang w:val="en-US" w:eastAsia="zh-CN"/>
        </w:rPr>
        <w:t>5分</w:t>
      </w:r>
      <w:r>
        <w:rPr>
          <w:rFonts w:hint="eastAsia" w:ascii="仿宋_GB2312" w:hAnsi="仿宋_GB2312" w:eastAsia="仿宋_GB2312" w:cs="仿宋_GB2312"/>
          <w:color w:val="000000"/>
          <w:spacing w:val="17"/>
          <w:sz w:val="32"/>
          <w:szCs w:val="32"/>
          <w:highlight w:val="none"/>
        </w:rPr>
        <w:t>，项目产出权重值占</w:t>
      </w:r>
      <w:r>
        <w:rPr>
          <w:rFonts w:hint="eastAsia" w:ascii="仿宋_GB2312" w:hAnsi="仿宋_GB2312" w:eastAsia="仿宋_GB2312" w:cs="仿宋_GB2312"/>
          <w:color w:val="000000"/>
          <w:spacing w:val="17"/>
          <w:sz w:val="32"/>
          <w:szCs w:val="32"/>
          <w:highlight w:val="none"/>
          <w:lang w:val="en-US" w:eastAsia="zh-CN"/>
        </w:rPr>
        <w:t>50分</w:t>
      </w:r>
      <w:r>
        <w:rPr>
          <w:rFonts w:hint="eastAsia" w:ascii="仿宋_GB2312" w:hAnsi="仿宋_GB2312" w:eastAsia="仿宋_GB2312" w:cs="仿宋_GB2312"/>
          <w:color w:val="000000"/>
          <w:spacing w:val="17"/>
          <w:sz w:val="32"/>
          <w:szCs w:val="32"/>
          <w:highlight w:val="none"/>
        </w:rPr>
        <w:t>，项目效益权重值占</w:t>
      </w:r>
      <w:r>
        <w:rPr>
          <w:rFonts w:hint="eastAsia" w:ascii="仿宋_GB2312" w:hAnsi="仿宋_GB2312" w:eastAsia="仿宋_GB2312" w:cs="仿宋_GB2312"/>
          <w:color w:val="000000"/>
          <w:spacing w:val="17"/>
          <w:sz w:val="32"/>
          <w:szCs w:val="32"/>
          <w:highlight w:val="none"/>
          <w:lang w:val="en-US" w:eastAsia="zh-CN"/>
        </w:rPr>
        <w:t>40分</w:t>
      </w:r>
      <w:r>
        <w:rPr>
          <w:rFonts w:hint="eastAsia" w:ascii="仿宋_GB2312" w:hAnsi="仿宋_GB2312" w:eastAsia="仿宋_GB2312" w:cs="仿宋_GB2312"/>
          <w:color w:val="000000"/>
          <w:spacing w:val="17"/>
          <w:sz w:val="32"/>
          <w:szCs w:val="32"/>
          <w:highlight w:val="none"/>
        </w:rPr>
        <w:t>。</w:t>
      </w:r>
    </w:p>
    <w:p>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keepNext w:val="0"/>
        <w:keepLines w:val="0"/>
        <w:pageBreakBefore w:val="0"/>
        <w:kinsoku/>
        <w:wordWrap/>
        <w:overflowPunct/>
        <w:topLinePunct w:val="0"/>
        <w:autoSpaceDE/>
        <w:autoSpaceDN/>
        <w:bidi w:val="0"/>
        <w:spacing w:before="0" w:after="0" w:line="560" w:lineRule="exact"/>
        <w:ind w:firstLine="708" w:firstLineChars="200"/>
        <w:jc w:val="both"/>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w:t>
      </w:r>
      <w:r>
        <w:rPr>
          <w:rFonts w:hint="eastAsia" w:ascii="仿宋_GB2312" w:hAnsi="仿宋_GB2312" w:eastAsia="仿宋_GB2312" w:cs="仿宋_GB2312"/>
          <w:b w:val="0"/>
          <w:bCs w:val="0"/>
          <w:color w:val="000000"/>
          <w:spacing w:val="17"/>
          <w:kern w:val="2"/>
          <w:lang w:eastAsia="zh-CN"/>
        </w:rPr>
        <w:t>－</w:t>
      </w:r>
      <w:r>
        <w:rPr>
          <w:rFonts w:hint="eastAsia" w:ascii="仿宋_GB2312" w:hAnsi="仿宋_GB2312" w:eastAsia="仿宋_GB2312" w:cs="仿宋_GB2312"/>
          <w:b w:val="0"/>
          <w:bCs w:val="0"/>
          <w:color w:val="000000"/>
          <w:spacing w:val="17"/>
          <w:kern w:val="2"/>
        </w:rPr>
        <w:t>100分（含90分）对应的评分结果级别为优，80-90分（含80分）对应的评分结果级别为良，60-80分（含60分）对应的评分结果级别为中，60分以下对应的评分结果级别为差。</w:t>
      </w:r>
    </w:p>
    <w:p>
      <w:pPr>
        <w:pStyle w:val="2"/>
        <w:keepNext w:val="0"/>
        <w:keepLines w:val="0"/>
        <w:pageBreakBefore w:val="0"/>
        <w:widowControl w:val="0"/>
        <w:kinsoku/>
        <w:wordWrap/>
        <w:overflowPunct/>
        <w:topLinePunct w:val="0"/>
        <w:autoSpaceDE/>
        <w:autoSpaceDN/>
        <w:bidi w:val="0"/>
        <w:spacing w:before="0" w:after="0" w:line="560" w:lineRule="exact"/>
        <w:ind w:firstLine="708" w:firstLineChars="200"/>
        <w:jc w:val="both"/>
        <w:outlineLvl w:val="9"/>
        <w:rPr>
          <w:rFonts w:hint="eastAsia"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rPr>
        <w:t>具体评价指标体系详情见</w:t>
      </w:r>
      <w:r>
        <w:rPr>
          <w:rFonts w:hint="eastAsia" w:ascii="仿宋_GB2312" w:hAnsi="仿宋_GB2312" w:eastAsia="仿宋_GB2312" w:cs="仿宋_GB2312"/>
          <w:b w:val="0"/>
          <w:bCs w:val="0"/>
          <w:color w:val="000000"/>
          <w:spacing w:val="17"/>
          <w:lang w:val="en-US" w:eastAsia="zh-CN"/>
        </w:rPr>
        <w:t>附件</w:t>
      </w:r>
      <w:r>
        <w:rPr>
          <w:rFonts w:hint="eastAsia" w:ascii="仿宋_GB2312" w:hAnsi="仿宋_GB2312" w:eastAsia="仿宋_GB2312" w:cs="仿宋_GB2312"/>
          <w:b w:val="0"/>
          <w:bCs w:val="0"/>
          <w:color w:val="000000"/>
          <w:spacing w:val="17"/>
        </w:rPr>
        <w:t>1</w:t>
      </w:r>
    </w:p>
    <w:p>
      <w:pPr>
        <w:pStyle w:val="2"/>
        <w:keepNext w:val="0"/>
        <w:keepLines w:val="0"/>
        <w:pageBreakBefore w:val="0"/>
        <w:widowControl w:val="0"/>
        <w:kinsoku/>
        <w:wordWrap/>
        <w:overflowPunct/>
        <w:topLinePunct w:val="0"/>
        <w:autoSpaceDE/>
        <w:autoSpaceDN/>
        <w:bidi w:val="0"/>
        <w:spacing w:before="0" w:after="0" w:line="56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3、绩效评价方法</w:t>
      </w:r>
    </w:p>
    <w:p>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keepNext w:val="0"/>
        <w:keepLines w:val="0"/>
        <w:pageBreakBefore w:val="0"/>
        <w:kinsoku/>
        <w:wordWrap/>
        <w:overflowPunct/>
        <w:topLinePunct w:val="0"/>
        <w:autoSpaceDE/>
        <w:autoSpaceDN/>
        <w:bidi w:val="0"/>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keepNext w:val="0"/>
        <w:keepLines w:val="0"/>
        <w:pageBreakBefore w:val="0"/>
        <w:kinsoku/>
        <w:wordWrap/>
        <w:overflowPunct/>
        <w:topLinePunct w:val="0"/>
        <w:autoSpaceDE/>
        <w:autoSpaceDN/>
        <w:bidi w:val="0"/>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keepNext w:val="0"/>
        <w:keepLines w:val="0"/>
        <w:pageBreakBefore w:val="0"/>
        <w:kinsoku/>
        <w:wordWrap/>
        <w:overflowPunct/>
        <w:topLinePunct w:val="0"/>
        <w:autoSpaceDE/>
        <w:autoSpaceDN/>
        <w:bidi w:val="0"/>
        <w:spacing w:line="560" w:lineRule="exact"/>
        <w:ind w:firstLine="641"/>
        <w:rPr>
          <w:rFonts w:hint="eastAsia" w:ascii="仿宋_GB2312" w:hAnsi="仿宋_GB2312" w:eastAsia="仿宋_GB2312" w:cs="仿宋_GB2312"/>
          <w:b/>
          <w:bCs/>
          <w:color w:val="000000"/>
          <w:spacing w:val="17"/>
          <w:sz w:val="32"/>
          <w:szCs w:val="32"/>
          <w:lang w:val="en-US" w:eastAsia="zh-CN"/>
        </w:rPr>
      </w:pPr>
      <w:r>
        <w:rPr>
          <w:rFonts w:hint="eastAsia" w:ascii="仿宋_GB2312" w:hAnsi="仿宋_GB2312" w:eastAsia="仿宋_GB2312" w:cs="仿宋_GB2312"/>
          <w:b/>
          <w:bCs/>
          <w:color w:val="000000"/>
          <w:spacing w:val="17"/>
          <w:sz w:val="32"/>
          <w:szCs w:val="32"/>
          <w:lang w:val="en-US" w:eastAsia="zh-CN"/>
        </w:rPr>
        <w:t>4</w:t>
      </w:r>
      <w:r>
        <w:rPr>
          <w:rFonts w:hint="eastAsia" w:ascii="仿宋_GB2312" w:hAnsi="仿宋_GB2312" w:eastAsia="仿宋_GB2312" w:cs="仿宋_GB2312"/>
          <w:b/>
          <w:bCs/>
          <w:color w:val="000000"/>
          <w:spacing w:val="17"/>
          <w:sz w:val="32"/>
          <w:szCs w:val="32"/>
        </w:rPr>
        <w:t>、绩效评价</w:t>
      </w:r>
      <w:r>
        <w:rPr>
          <w:rFonts w:hint="eastAsia" w:ascii="仿宋_GB2312" w:hAnsi="仿宋_GB2312" w:eastAsia="仿宋_GB2312" w:cs="仿宋_GB2312"/>
          <w:b/>
          <w:bCs/>
          <w:color w:val="000000"/>
          <w:spacing w:val="17"/>
          <w:sz w:val="32"/>
          <w:szCs w:val="32"/>
          <w:lang w:val="en-US" w:eastAsia="zh-CN"/>
        </w:rPr>
        <w:t>标准</w:t>
      </w:r>
    </w:p>
    <w:p>
      <w:pPr>
        <w:keepNext w:val="0"/>
        <w:keepLines w:val="0"/>
        <w:pageBreakBefore w:val="0"/>
        <w:kinsoku/>
        <w:wordWrap/>
        <w:overflowPunct/>
        <w:topLinePunct w:val="0"/>
        <w:autoSpaceDE/>
        <w:autoSpaceDN/>
        <w:bidi w:val="0"/>
        <w:spacing w:line="560" w:lineRule="exact"/>
        <w:ind w:firstLine="641"/>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rPr>
        <w:t>绩效评价标准通常包括计划标准、行业标准、历史标准等，用于对绩效指标完成情况进行比较。</w:t>
      </w:r>
      <w:r>
        <w:rPr>
          <w:rFonts w:hint="eastAsia" w:ascii="仿宋_GB2312" w:hAnsi="仿宋_GB2312" w:eastAsia="仿宋_GB2312" w:cs="仿宋_GB2312"/>
          <w:color w:val="000000"/>
          <w:spacing w:val="17"/>
          <w:sz w:val="32"/>
          <w:szCs w:val="32"/>
          <w:highlight w:val="none"/>
        </w:rPr>
        <w:t>本次评价主要采用了计划标准和行业标准。</w:t>
      </w:r>
    </w:p>
    <w:p>
      <w:pPr>
        <w:keepNext w:val="0"/>
        <w:keepLines w:val="0"/>
        <w:pageBreakBefore w:val="0"/>
        <w:kinsoku/>
        <w:wordWrap/>
        <w:overflowPunct/>
        <w:topLinePunct w:val="0"/>
        <w:autoSpaceDE/>
        <w:autoSpaceDN/>
        <w:bidi w:val="0"/>
        <w:spacing w:line="560" w:lineRule="exact"/>
        <w:ind w:firstLine="641"/>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（三）绩效评价工作过程</w:t>
      </w:r>
    </w:p>
    <w:p>
      <w:pPr>
        <w:keepNext w:val="0"/>
        <w:keepLines w:val="0"/>
        <w:pageBreakBefore w:val="0"/>
        <w:kinsoku/>
        <w:wordWrap/>
        <w:overflowPunct/>
        <w:topLinePunct w:val="0"/>
        <w:autoSpaceDE/>
        <w:autoSpaceDN/>
        <w:bidi w:val="0"/>
        <w:spacing w:line="560" w:lineRule="exact"/>
        <w:ind w:firstLine="641"/>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1、前期准备。首先成立评价工作组，开展前期调研；其次明确项目绩效目标，设计绩效评价指标体系并确定绩效评价方法；接着确定现场和非现场评价范围，设计资料清单；最后制定评价实施方案并进行论证。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kinsoku/>
        <w:wordWrap/>
        <w:overflowPunct/>
        <w:topLinePunct w:val="0"/>
        <w:autoSpaceDE/>
        <w:autoSpaceDN/>
        <w:bidi w:val="0"/>
        <w:spacing w:line="560" w:lineRule="exact"/>
        <w:ind w:firstLine="641"/>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2、组织实施。制定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kinsoku/>
        <w:wordWrap/>
        <w:overflowPunct/>
        <w:topLinePunct w:val="0"/>
        <w:autoSpaceDE/>
        <w:autoSpaceDN/>
        <w:bidi w:val="0"/>
        <w:spacing w:line="560" w:lineRule="exact"/>
        <w:ind w:firstLine="641"/>
      </w:pPr>
      <w:r>
        <w:rPr>
          <w:rFonts w:hint="default" w:ascii="仿宋_GB2312" w:hAnsi="仿宋_GB2312" w:eastAsia="仿宋_GB2312" w:cs="仿宋_GB2312"/>
          <w:color w:val="000000"/>
          <w:spacing w:val="17"/>
          <w:sz w:val="32"/>
          <w:szCs w:val="32"/>
          <w:lang w:val="en-US" w:eastAsia="zh-CN"/>
        </w:rPr>
        <w:t>3、分析评价。根据收集梳理的资料围绕项目立项、资金落实、业务管理、财务管理、项目产出、项目效益等内容，对已确定的绩效评价指标进行详细全面的分析评价，逐项打分并形成绩效评价最终结果。</w:t>
      </w:r>
    </w:p>
    <w:p>
      <w:pPr>
        <w:keepNext w:val="0"/>
        <w:keepLines w:val="0"/>
        <w:pageBreakBefore w:val="0"/>
        <w:kinsoku/>
        <w:wordWrap/>
        <w:overflowPunct/>
        <w:topLinePunct w:val="0"/>
        <w:autoSpaceDE/>
        <w:autoSpaceDN/>
        <w:bidi w:val="0"/>
        <w:spacing w:line="560" w:lineRule="exact"/>
        <w:ind w:firstLine="602" w:firstLineChars="200"/>
        <w:rPr>
          <w:rFonts w:hint="eastAsia" w:ascii="黑体" w:hAnsi="黑体" w:eastAsia="黑体" w:cs="黑体"/>
          <w:b/>
          <w:bCs/>
          <w:sz w:val="30"/>
          <w:szCs w:val="30"/>
        </w:rPr>
      </w:pPr>
      <w:r>
        <w:rPr>
          <w:rFonts w:hint="eastAsia" w:ascii="黑体" w:hAnsi="黑体" w:eastAsia="黑体" w:cs="黑体"/>
          <w:b/>
          <w:bCs/>
          <w:sz w:val="30"/>
          <w:szCs w:val="30"/>
          <w:lang w:eastAsia="zh-CN"/>
        </w:rPr>
        <w:t>三、</w:t>
      </w:r>
      <w:r>
        <w:rPr>
          <w:rFonts w:hint="eastAsia" w:ascii="黑体" w:hAnsi="黑体" w:eastAsia="黑体" w:cs="黑体"/>
          <w:b/>
          <w:bCs/>
          <w:sz w:val="30"/>
          <w:szCs w:val="30"/>
        </w:rPr>
        <w:t>综合评价情况及评价结论（附相关评分表）</w:t>
      </w:r>
    </w:p>
    <w:p>
      <w:pPr>
        <w:pStyle w:val="2"/>
        <w:keepNext w:val="0"/>
        <w:keepLines w:val="0"/>
        <w:pageBreakBefore w:val="0"/>
        <w:widowControl w:val="0"/>
        <w:kinsoku/>
        <w:wordWrap/>
        <w:overflowPunct/>
        <w:topLinePunct w:val="0"/>
        <w:autoSpaceDE/>
        <w:autoSpaceDN/>
        <w:bidi w:val="0"/>
        <w:spacing w:before="0" w:after="0" w:line="560" w:lineRule="exact"/>
        <w:ind w:firstLine="641"/>
        <w:jc w:val="both"/>
        <w:outlineLvl w:val="9"/>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对工业领域招商引资资金项目进行客观评价，最终评分结果：总得分为 9</w:t>
      </w:r>
      <w:r>
        <w:rPr>
          <w:rFonts w:hint="eastAsia" w:ascii="仿宋_GB2312" w:hAnsi="仿宋_GB2312" w:eastAsia="仿宋_GB2312" w:cs="仿宋_GB2312"/>
          <w:b w:val="0"/>
          <w:bCs w:val="0"/>
          <w:highlight w:val="none"/>
          <w:lang w:val="en-US" w:eastAsia="zh-CN"/>
        </w:rPr>
        <w:t>7.67</w:t>
      </w:r>
      <w:r>
        <w:rPr>
          <w:rFonts w:hint="eastAsia" w:ascii="仿宋_GB2312" w:hAnsi="仿宋_GB2312" w:eastAsia="仿宋_GB2312" w:cs="仿宋_GB2312"/>
          <w:b w:val="0"/>
          <w:bCs w:val="0"/>
          <w:highlight w:val="none"/>
        </w:rPr>
        <w:t>分，属于“优”。其中，项目决策类指标权重为5分，得分为 5分，得分率为 100%。项目过程类指标权重为5分，得分为5 分，得分率为 100%。项目产出类指标权重为50分，得分为</w:t>
      </w:r>
      <w:r>
        <w:rPr>
          <w:rFonts w:hint="eastAsia" w:ascii="仿宋_GB2312" w:hAnsi="仿宋_GB2312" w:eastAsia="仿宋_GB2312" w:cs="仿宋_GB2312"/>
          <w:b w:val="0"/>
          <w:bCs w:val="0"/>
          <w:highlight w:val="none"/>
          <w:lang w:val="en-US" w:eastAsia="zh-CN"/>
        </w:rPr>
        <w:t>49.67</w:t>
      </w:r>
      <w:r>
        <w:rPr>
          <w:rFonts w:hint="eastAsia" w:ascii="仿宋_GB2312" w:hAnsi="仿宋_GB2312" w:eastAsia="仿宋_GB2312" w:cs="仿宋_GB2312"/>
          <w:b w:val="0"/>
          <w:bCs w:val="0"/>
          <w:highlight w:val="none"/>
        </w:rPr>
        <w:t>分，得分率为</w:t>
      </w:r>
      <w:r>
        <w:rPr>
          <w:rFonts w:hint="eastAsia" w:ascii="仿宋_GB2312" w:hAnsi="仿宋_GB2312" w:eastAsia="仿宋_GB2312" w:cs="仿宋_GB2312"/>
          <w:b w:val="0"/>
          <w:bCs w:val="0"/>
          <w:highlight w:val="none"/>
          <w:lang w:val="en-US" w:eastAsia="zh-CN"/>
        </w:rPr>
        <w:t>99.34</w:t>
      </w:r>
      <w:r>
        <w:rPr>
          <w:rFonts w:hint="eastAsia" w:ascii="仿宋_GB2312" w:hAnsi="仿宋_GB2312" w:eastAsia="仿宋_GB2312" w:cs="仿宋_GB2312"/>
          <w:b w:val="0"/>
          <w:bCs w:val="0"/>
          <w:highlight w:val="none"/>
        </w:rPr>
        <w:t>%。项目效益类指标权重为40分，得分为38分，得分率为95%。</w:t>
      </w:r>
    </w:p>
    <w:p>
      <w:pPr>
        <w:pStyle w:val="2"/>
        <w:keepNext w:val="0"/>
        <w:keepLines w:val="0"/>
        <w:pageBreakBefore w:val="0"/>
        <w:widowControl w:val="0"/>
        <w:kinsoku/>
        <w:wordWrap/>
        <w:overflowPunct/>
        <w:topLinePunct w:val="0"/>
        <w:autoSpaceDE/>
        <w:autoSpaceDN/>
        <w:bidi w:val="0"/>
        <w:spacing w:before="0" w:after="0" w:line="560" w:lineRule="exact"/>
        <w:ind w:firstLine="641"/>
        <w:jc w:val="both"/>
        <w:outlineLvl w:val="9"/>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“地区工业招商引资工作专项经费项目”从20</w:t>
      </w:r>
      <w:r>
        <w:rPr>
          <w:rFonts w:hint="eastAsia" w:ascii="仿宋_GB2312" w:hAnsi="仿宋_GB2312" w:eastAsia="仿宋_GB2312" w:cs="仿宋_GB2312"/>
          <w:b w:val="0"/>
          <w:bCs w:val="0"/>
          <w:highlight w:val="none"/>
          <w:lang w:val="en-US" w:eastAsia="zh-CN"/>
        </w:rPr>
        <w:t>20</w:t>
      </w:r>
      <w:r>
        <w:rPr>
          <w:rFonts w:hint="eastAsia" w:ascii="仿宋_GB2312" w:hAnsi="仿宋_GB2312" w:eastAsia="仿宋_GB2312" w:cs="仿宋_GB2312"/>
          <w:b w:val="0"/>
          <w:bCs w:val="0"/>
          <w:highlight w:val="none"/>
        </w:rPr>
        <w:t>年开始，从项目的完成情况看，项目工作能按照各项实施方案的时间节点完成，项目资金预算执行率为100%；从项目的效果看，项目自20</w:t>
      </w:r>
      <w:r>
        <w:rPr>
          <w:rFonts w:hint="eastAsia" w:ascii="仿宋_GB2312" w:hAnsi="仿宋_GB2312" w:eastAsia="仿宋_GB2312" w:cs="仿宋_GB2312"/>
          <w:b w:val="0"/>
          <w:bCs w:val="0"/>
          <w:highlight w:val="none"/>
          <w:lang w:val="en-US" w:eastAsia="zh-CN"/>
        </w:rPr>
        <w:t>20</w:t>
      </w:r>
      <w:r>
        <w:rPr>
          <w:rFonts w:hint="eastAsia" w:ascii="仿宋_GB2312" w:hAnsi="仿宋_GB2312" w:eastAsia="仿宋_GB2312" w:cs="仿宋_GB2312"/>
          <w:b w:val="0"/>
          <w:bCs w:val="0"/>
          <w:highlight w:val="none"/>
        </w:rPr>
        <w:t>年实施以来，解决了投资企业的相关诉求，总体实施效果较佳。</w:t>
      </w:r>
    </w:p>
    <w:p>
      <w:pPr>
        <w:pStyle w:val="2"/>
        <w:keepNext w:val="0"/>
        <w:keepLines w:val="0"/>
        <w:pageBreakBefore w:val="0"/>
        <w:widowControl w:val="0"/>
        <w:kinsoku/>
        <w:wordWrap/>
        <w:overflowPunct/>
        <w:topLinePunct w:val="0"/>
        <w:autoSpaceDE/>
        <w:autoSpaceDN/>
        <w:bidi w:val="0"/>
        <w:spacing w:before="0" w:after="0" w:line="560" w:lineRule="exact"/>
        <w:ind w:firstLine="641"/>
        <w:jc w:val="both"/>
        <w:outlineLvl w:val="9"/>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运用由项目组制订</w:t>
      </w:r>
      <w:r>
        <w:rPr>
          <w:rFonts w:hint="eastAsia" w:ascii="仿宋_GB2312" w:hAnsi="仿宋_GB2312" w:eastAsia="仿宋_GB2312" w:cs="仿宋_GB2312"/>
          <w:b w:val="0"/>
          <w:bCs w:val="0"/>
          <w:highlight w:val="none"/>
          <w:lang w:eastAsia="zh-CN"/>
        </w:rPr>
        <w:t>的</w:t>
      </w:r>
      <w:r>
        <w:rPr>
          <w:rFonts w:hint="eastAsia" w:ascii="仿宋_GB2312" w:hAnsi="仿宋_GB2312" w:eastAsia="仿宋_GB2312" w:cs="仿宋_GB2312"/>
          <w:b w:val="0"/>
          <w:bCs w:val="0"/>
          <w:highlight w:val="none"/>
        </w:rPr>
        <w:t>评价指标体系及评分标准，通过数据采集、问卷调查及访谈，对“地区工业招商引资工作专项经费项目”进行客观评价，最终评分结果：总得分为9</w:t>
      </w:r>
      <w:r>
        <w:rPr>
          <w:rFonts w:hint="eastAsia" w:ascii="仿宋_GB2312" w:hAnsi="仿宋_GB2312" w:eastAsia="仿宋_GB2312" w:cs="仿宋_GB2312"/>
          <w:b w:val="0"/>
          <w:bCs w:val="0"/>
          <w:highlight w:val="none"/>
          <w:lang w:val="en-US" w:eastAsia="zh-CN"/>
        </w:rPr>
        <w:t>7.67</w:t>
      </w:r>
      <w:r>
        <w:rPr>
          <w:rFonts w:hint="eastAsia" w:ascii="仿宋_GB2312" w:hAnsi="仿宋_GB2312" w:eastAsia="仿宋_GB2312" w:cs="仿宋_GB2312"/>
          <w:b w:val="0"/>
          <w:bCs w:val="0"/>
          <w:highlight w:val="none"/>
        </w:rPr>
        <w:t>分，属于“优秀”。</w:t>
      </w:r>
    </w:p>
    <w:p>
      <w:pPr>
        <w:pStyle w:val="2"/>
        <w:keepNext w:val="0"/>
        <w:keepLines w:val="0"/>
        <w:pageBreakBefore w:val="0"/>
        <w:kinsoku/>
        <w:wordWrap/>
        <w:overflowPunct/>
        <w:topLinePunct w:val="0"/>
        <w:autoSpaceDE/>
        <w:autoSpaceDN/>
        <w:bidi w:val="0"/>
        <w:spacing w:before="0" w:after="0" w:line="56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p>
    <w:p>
      <w:pPr>
        <w:keepNext w:val="0"/>
        <w:keepLines w:val="0"/>
        <w:pageBreakBefore w:val="0"/>
        <w:kinsoku/>
        <w:wordWrap/>
        <w:overflowPunct/>
        <w:topLinePunct w:val="0"/>
        <w:autoSpaceDE/>
        <w:autoSpaceDN/>
        <w:bidi w:val="0"/>
        <w:spacing w:line="560" w:lineRule="exact"/>
      </w:pPr>
    </w:p>
    <w:tbl>
      <w:tblPr>
        <w:tblStyle w:val="20"/>
        <w:tblpPr w:leftFromText="180" w:rightFromText="180" w:vertAnchor="text" w:horzAnchor="page" w:tblpX="1607" w:tblpY="-67"/>
        <w:tblOverlap w:val="never"/>
        <w:tblW w:w="9363"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52"/>
        <w:gridCol w:w="651"/>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852"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b/>
                <w:bCs/>
                <w:color w:val="000000"/>
                <w:kern w:val="0"/>
                <w:sz w:val="22"/>
                <w:szCs w:val="22"/>
              </w:rPr>
            </w:pPr>
            <w:r>
              <w:rPr>
                <w:rFonts w:hint="eastAsia" w:ascii="宋体" w:hAnsi="宋体" w:cs="宋体"/>
                <w:b/>
                <w:bCs/>
                <w:color w:val="000000"/>
                <w:kern w:val="0"/>
                <w:sz w:val="22"/>
                <w:szCs w:val="22"/>
              </w:rPr>
              <w:t>一级</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指标</w:t>
            </w:r>
          </w:p>
        </w:tc>
        <w:tc>
          <w:tcPr>
            <w:tcW w:w="651"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5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决策　</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tc>
        <w:tc>
          <w:tcPr>
            <w:tcW w:w="651"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w:t>
            </w: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项目立项　</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立项依据</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充分性</w:t>
            </w:r>
          </w:p>
        </w:tc>
        <w:tc>
          <w:tcPr>
            <w:tcW w:w="727" w:type="dxa"/>
            <w:shd w:val="clear" w:color="auto"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1044" w:type="dxa"/>
            <w:shd w:val="clear" w:color="auto"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924" w:type="dxa"/>
            <w:shd w:val="clear" w:color="auto"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1215" w:type="dxa"/>
            <w:shd w:val="clear" w:color="auto" w:fill="FFFFFF"/>
            <w:vAlign w:val="center"/>
          </w:tcPr>
          <w:p>
            <w:pPr>
              <w:keepNext w:val="0"/>
              <w:keepLines w:val="0"/>
              <w:pageBreakBefore w:val="0"/>
              <w:widowControl/>
              <w:kinsoku/>
              <w:wordWrap/>
              <w:overflowPunct/>
              <w:topLinePunct w:val="0"/>
              <w:autoSpaceDE/>
              <w:autoSpaceDN/>
              <w:bidi w:val="0"/>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5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651"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立项程序</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规范性</w:t>
            </w:r>
          </w:p>
        </w:tc>
        <w:tc>
          <w:tcPr>
            <w:tcW w:w="727" w:type="dxa"/>
            <w:shd w:val="clear" w:color="auto"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1044" w:type="dxa"/>
            <w:shd w:val="clear" w:color="auto"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924" w:type="dxa"/>
            <w:shd w:val="clear" w:color="auto"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1215" w:type="dxa"/>
            <w:shd w:val="clear" w:color="auto"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5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651"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绩效目标　</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绩效目标</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5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651"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绩效指标</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明确性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5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651"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资金投入</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预算编制</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科学性</w:t>
            </w:r>
          </w:p>
        </w:tc>
        <w:tc>
          <w:tcPr>
            <w:tcW w:w="727" w:type="dxa"/>
            <w:shd w:val="clear" w:color="auto"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auto"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auto"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auto"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5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651"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资金分配</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727" w:type="dxa"/>
            <w:shd w:val="clear" w:color="auto"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auto"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auto"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auto"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0" w:hRule="atLeast"/>
        </w:trPr>
        <w:tc>
          <w:tcPr>
            <w:tcW w:w="85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过程</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tc>
        <w:tc>
          <w:tcPr>
            <w:tcW w:w="651"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w:t>
            </w: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资金到位率</w:t>
            </w:r>
          </w:p>
        </w:tc>
        <w:tc>
          <w:tcPr>
            <w:tcW w:w="727"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7" w:hRule="atLeast"/>
        </w:trPr>
        <w:tc>
          <w:tcPr>
            <w:tcW w:w="85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651"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预算执行率</w:t>
            </w:r>
          </w:p>
        </w:tc>
        <w:tc>
          <w:tcPr>
            <w:tcW w:w="727" w:type="dxa"/>
            <w:shd w:val="clear" w:color="auto"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1044" w:type="dxa"/>
            <w:shd w:val="clear" w:color="auto"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924" w:type="dxa"/>
            <w:shd w:val="clear" w:color="auto"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w:t>
            </w:r>
          </w:p>
        </w:tc>
        <w:tc>
          <w:tcPr>
            <w:tcW w:w="1215" w:type="dxa"/>
            <w:shd w:val="clear" w:color="auto"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lang w:val="en-US" w:eastAsia="zh-CN"/>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eastAsia="宋体" w:cs="宋体"/>
                <w:color w:val="000000"/>
                <w:kern w:val="0"/>
                <w:sz w:val="18"/>
                <w:szCs w:val="18"/>
                <w:highlight w:val="none"/>
                <w:lang w:val="en-US" w:eastAsia="zh-CN" w:bidi="ar-SA"/>
              </w:rPr>
            </w:pPr>
            <w:r>
              <w:rPr>
                <w:rFonts w:hint="eastAsia" w:ascii="宋体" w:hAnsi="宋体" w:cs="宋体"/>
                <w:color w:val="000000"/>
                <w:kern w:val="0"/>
                <w:sz w:val="18"/>
                <w:szCs w:val="18"/>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5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651"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资金使用</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合规性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5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651"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组织实施</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管理制度</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健全性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5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651"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制度执行</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有效性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4" w:hRule="atLeast"/>
        </w:trPr>
        <w:tc>
          <w:tcPr>
            <w:tcW w:w="85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w:t>
            </w:r>
          </w:p>
        </w:tc>
        <w:tc>
          <w:tcPr>
            <w:tcW w:w="651"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50</w:t>
            </w: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产出数量</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实际完成率</w:t>
            </w:r>
          </w:p>
        </w:tc>
        <w:tc>
          <w:tcPr>
            <w:tcW w:w="727"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924"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5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651"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产出质量</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质量达标率</w:t>
            </w:r>
          </w:p>
        </w:tc>
        <w:tc>
          <w:tcPr>
            <w:tcW w:w="727"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924"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5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651"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产出时效</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完成及时性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924"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w:t>
            </w:r>
            <w:r>
              <w:rPr>
                <w:rFonts w:hint="eastAsia" w:ascii="宋体" w:hAnsi="宋体" w:cs="宋体"/>
                <w:color w:val="000000"/>
                <w:kern w:val="0"/>
                <w:sz w:val="18"/>
                <w:szCs w:val="18"/>
                <w:lang w:val="en-US" w:eastAsia="zh-CN"/>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5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651"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产出成本</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成本节约率</w:t>
            </w:r>
          </w:p>
        </w:tc>
        <w:tc>
          <w:tcPr>
            <w:tcW w:w="727"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924"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9.67</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96.7%</w:t>
            </w:r>
          </w:p>
        </w:tc>
        <w:tc>
          <w:tcPr>
            <w:tcW w:w="960"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9.67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trPr>
        <w:tc>
          <w:tcPr>
            <w:tcW w:w="85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效益　</w:t>
            </w:r>
          </w:p>
        </w:tc>
        <w:tc>
          <w:tcPr>
            <w:tcW w:w="651"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40</w:t>
            </w: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项目效益　</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实施效益</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（社会效益、经济效益、</w:t>
            </w:r>
            <w:r>
              <w:rPr>
                <w:rFonts w:hint="eastAsia" w:ascii="宋体" w:hAnsi="宋体" w:cs="宋体"/>
                <w:color w:val="000000"/>
                <w:kern w:val="0"/>
                <w:sz w:val="18"/>
                <w:szCs w:val="18"/>
                <w:lang w:val="en-US" w:eastAsia="zh-CN"/>
              </w:rPr>
              <w:t>生态效益、</w:t>
            </w:r>
            <w:r>
              <w:rPr>
                <w:rFonts w:hint="eastAsia" w:ascii="宋体" w:hAnsi="宋体" w:cs="宋体"/>
                <w:color w:val="000000"/>
                <w:kern w:val="0"/>
                <w:sz w:val="18"/>
                <w:szCs w:val="18"/>
              </w:rPr>
              <w:t>可持续效益）</w:t>
            </w:r>
          </w:p>
        </w:tc>
        <w:tc>
          <w:tcPr>
            <w:tcW w:w="727" w:type="dxa"/>
            <w:shd w:val="clear" w:color="auto"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044" w:type="dxa"/>
            <w:shd w:val="clear" w:color="auto"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924" w:type="dxa"/>
            <w:shd w:val="clear" w:color="auto"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215" w:type="dxa"/>
            <w:shd w:val="clear" w:color="auto"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85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651"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满意度</w:t>
            </w:r>
          </w:p>
        </w:tc>
        <w:tc>
          <w:tcPr>
            <w:tcW w:w="727"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924"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8</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80%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8</w:t>
            </w:r>
          </w:p>
        </w:tc>
      </w:tr>
    </w:tbl>
    <w:p>
      <w:pPr>
        <w:pStyle w:val="2"/>
        <w:keepNext w:val="0"/>
        <w:keepLines w:val="0"/>
        <w:pageBreakBefore w:val="0"/>
        <w:kinsoku/>
        <w:wordWrap/>
        <w:overflowPunct/>
        <w:topLinePunct w:val="0"/>
        <w:autoSpaceDE/>
        <w:autoSpaceDN/>
        <w:bidi w:val="0"/>
        <w:spacing w:before="0" w:after="0" w:line="560" w:lineRule="exact"/>
        <w:jc w:val="both"/>
        <w:rPr>
          <w:rFonts w:hint="eastAsia"/>
        </w:rPr>
      </w:pPr>
    </w:p>
    <w:p>
      <w:pPr>
        <w:keepNext w:val="0"/>
        <w:keepLines w:val="0"/>
        <w:pageBreakBefore w:val="0"/>
        <w:kinsoku/>
        <w:wordWrap/>
        <w:overflowPunct/>
        <w:topLinePunct w:val="0"/>
        <w:autoSpaceDE/>
        <w:autoSpaceDN/>
        <w:bidi w:val="0"/>
        <w:spacing w:line="560" w:lineRule="exact"/>
        <w:ind w:firstLine="904" w:firstLineChars="300"/>
        <w:rPr>
          <w:rFonts w:hint="eastAsia" w:ascii="黑体" w:hAnsi="黑体" w:eastAsia="黑体" w:cs="黑体"/>
          <w:b/>
          <w:bCs/>
          <w:sz w:val="30"/>
          <w:szCs w:val="30"/>
        </w:rPr>
      </w:pPr>
      <w:r>
        <w:rPr>
          <w:rFonts w:hint="eastAsia" w:ascii="黑体" w:hAnsi="黑体" w:eastAsia="黑体" w:cs="黑体"/>
          <w:b/>
          <w:bCs/>
          <w:sz w:val="30"/>
          <w:szCs w:val="30"/>
        </w:rPr>
        <w:t>四、绩效评价指标分析</w:t>
      </w:r>
    </w:p>
    <w:p>
      <w:pPr>
        <w:pStyle w:val="2"/>
        <w:keepNext w:val="0"/>
        <w:keepLines w:val="0"/>
        <w:pageBreakBefore w:val="0"/>
        <w:kinsoku/>
        <w:wordWrap/>
        <w:overflowPunct/>
        <w:topLinePunct w:val="0"/>
        <w:autoSpaceDE/>
        <w:autoSpaceDN/>
        <w:bidi w:val="0"/>
        <w:spacing w:before="0" w:after="0" w:line="560" w:lineRule="exact"/>
        <w:ind w:firstLine="643" w:firstLineChars="200"/>
        <w:jc w:val="both"/>
        <w:rPr>
          <w:rFonts w:hint="eastAsia" w:ascii="楷体_GB2312" w:hAnsi="楷体_GB2312" w:eastAsia="楷体_GB2312" w:cs="楷体_GB2312"/>
        </w:rPr>
      </w:pPr>
      <w:r>
        <w:rPr>
          <w:rFonts w:hint="eastAsia" w:ascii="楷体_GB2312" w:hAnsi="楷体_GB2312" w:eastAsia="楷体_GB2312" w:cs="楷体_GB2312"/>
        </w:rPr>
        <w:t>（一）项目决策情况</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Style w:val="51"/>
          <w:rFonts w:hint="eastAsia"/>
          <w:b w:val="0"/>
          <w:bCs w:val="0"/>
          <w:color w:val="auto"/>
          <w:kern w:val="2"/>
          <w:lang w:val="en-US" w:eastAsia="zh-CN" w:bidi="ar-SA"/>
        </w:rPr>
      </w:pPr>
      <w:r>
        <w:rPr>
          <w:rStyle w:val="51"/>
          <w:rFonts w:hint="eastAsia"/>
          <w:b w:val="0"/>
          <w:bCs w:val="0"/>
          <w:color w:val="auto"/>
          <w:kern w:val="2"/>
          <w:lang w:val="en-US" w:eastAsia="zh-CN" w:bidi="ar-SA"/>
        </w:rPr>
        <w:t>项目决策指标从立项依据充分性、绩效目标、预算编制、资金分配合理性等方面对项目立项是否符合法律法规、相关政策、发展规划以及部门职责，用以反映和考核项目立项依据情况进行考察，立项依据充分。项目决策指标得分情况如表所示。</w:t>
      </w:r>
    </w:p>
    <w:p>
      <w:pPr>
        <w:keepNext w:val="0"/>
        <w:keepLines w:val="0"/>
        <w:pageBreakBefore w:val="0"/>
        <w:kinsoku/>
        <w:wordWrap/>
        <w:overflowPunct/>
        <w:topLinePunct w:val="0"/>
        <w:autoSpaceDE/>
        <w:autoSpaceDN/>
        <w:bidi w:val="0"/>
        <w:spacing w:line="560" w:lineRule="exact"/>
        <w:ind w:firstLine="600" w:firstLineChars="200"/>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项目决策指标得分情况</w:t>
      </w:r>
    </w:p>
    <w:tbl>
      <w:tblPr>
        <w:tblStyle w:val="20"/>
        <w:tblW w:w="8864" w:type="dxa"/>
        <w:tblInd w:w="0" w:type="dxa"/>
        <w:tblLayout w:type="fixed"/>
        <w:tblCellMar>
          <w:top w:w="0" w:type="dxa"/>
          <w:left w:w="0" w:type="dxa"/>
          <w:bottom w:w="0" w:type="dxa"/>
          <w:right w:w="0" w:type="dxa"/>
        </w:tblCellMar>
      </w:tblPr>
      <w:tblGrid>
        <w:gridCol w:w="2215"/>
        <w:gridCol w:w="2215"/>
        <w:gridCol w:w="2216"/>
        <w:gridCol w:w="2218"/>
      </w:tblGrid>
      <w:tr>
        <w:tblPrEx>
          <w:tblCellMar>
            <w:top w:w="0" w:type="dxa"/>
            <w:left w:w="0" w:type="dxa"/>
            <w:bottom w:w="0" w:type="dxa"/>
            <w:right w:w="0" w:type="dxa"/>
          </w:tblCellMar>
        </w:tblPrEx>
        <w:trPr>
          <w:trHeight w:val="312" w:hRule="atLeast"/>
        </w:trPr>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ind w:firstLine="560" w:firstLineChars="200"/>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rPr>
              <w:t>三级指标</w:t>
            </w:r>
          </w:p>
        </w:tc>
        <w:tc>
          <w:tcPr>
            <w:tcW w:w="221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ascii="仿宋" w:hAnsi="仿宋" w:eastAsia="仿宋" w:cs="仿宋"/>
                <w:color w:val="000000"/>
                <w:sz w:val="28"/>
                <w:szCs w:val="28"/>
                <w:highlight w:val="none"/>
              </w:rPr>
            </w:pPr>
            <w:r>
              <w:rPr>
                <w:rFonts w:hint="eastAsia" w:ascii="仿宋" w:hAnsi="仿宋" w:eastAsia="仿宋" w:cs="仿宋"/>
                <w:color w:val="000000"/>
                <w:kern w:val="0"/>
                <w:sz w:val="28"/>
                <w:szCs w:val="28"/>
                <w:highlight w:val="none"/>
              </w:rPr>
              <w:t>权重</w:t>
            </w:r>
          </w:p>
        </w:tc>
        <w:tc>
          <w:tcPr>
            <w:tcW w:w="221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ascii="仿宋" w:hAnsi="仿宋" w:eastAsia="仿宋" w:cs="仿宋"/>
                <w:color w:val="000000"/>
                <w:sz w:val="28"/>
                <w:szCs w:val="28"/>
                <w:highlight w:val="none"/>
              </w:rPr>
            </w:pPr>
            <w:r>
              <w:rPr>
                <w:rFonts w:hint="eastAsia" w:ascii="仿宋" w:hAnsi="仿宋" w:eastAsia="仿宋" w:cs="仿宋"/>
                <w:color w:val="000000"/>
                <w:kern w:val="0"/>
                <w:sz w:val="28"/>
                <w:szCs w:val="28"/>
                <w:highlight w:val="none"/>
              </w:rPr>
              <w:t>得分率</w:t>
            </w:r>
          </w:p>
        </w:tc>
        <w:tc>
          <w:tcPr>
            <w:tcW w:w="221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ascii="仿宋" w:hAnsi="仿宋" w:eastAsia="仿宋" w:cs="仿宋"/>
                <w:color w:val="000000"/>
                <w:sz w:val="28"/>
                <w:szCs w:val="28"/>
                <w:highlight w:val="none"/>
              </w:rPr>
            </w:pPr>
            <w:r>
              <w:rPr>
                <w:rFonts w:hint="eastAsia" w:ascii="仿宋" w:hAnsi="仿宋" w:eastAsia="仿宋" w:cs="仿宋"/>
                <w:color w:val="000000"/>
                <w:kern w:val="0"/>
                <w:sz w:val="28"/>
                <w:szCs w:val="28"/>
                <w:highlight w:val="none"/>
              </w:rPr>
              <w:t>实际得分</w:t>
            </w:r>
          </w:p>
        </w:tc>
      </w:tr>
      <w:tr>
        <w:tblPrEx>
          <w:tblCellMar>
            <w:top w:w="0" w:type="dxa"/>
            <w:left w:w="0" w:type="dxa"/>
            <w:bottom w:w="0" w:type="dxa"/>
            <w:right w:w="0" w:type="dxa"/>
          </w:tblCellMar>
        </w:tblPrEx>
        <w:trPr>
          <w:trHeight w:val="432" w:hRule="atLeast"/>
        </w:trPr>
        <w:tc>
          <w:tcPr>
            <w:tcW w:w="2215" w:type="dxa"/>
            <w:tcBorders>
              <w:top w:val="single" w:color="000000" w:sz="4" w:space="0"/>
              <w:left w:val="single" w:color="000000" w:sz="4" w:space="0"/>
              <w:bottom w:val="nil"/>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立项依据充分性</w:t>
            </w:r>
          </w:p>
        </w:tc>
        <w:tc>
          <w:tcPr>
            <w:tcW w:w="221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1</w:t>
            </w:r>
          </w:p>
        </w:tc>
        <w:tc>
          <w:tcPr>
            <w:tcW w:w="22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rPr>
              <w:t>100%</w:t>
            </w:r>
          </w:p>
        </w:tc>
        <w:tc>
          <w:tcPr>
            <w:tcW w:w="221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1</w:t>
            </w:r>
          </w:p>
        </w:tc>
      </w:tr>
      <w:tr>
        <w:tblPrEx>
          <w:tblCellMar>
            <w:top w:w="0" w:type="dxa"/>
            <w:left w:w="0" w:type="dxa"/>
            <w:bottom w:w="0" w:type="dxa"/>
            <w:right w:w="0" w:type="dxa"/>
          </w:tblCellMar>
        </w:tblPrEx>
        <w:trPr>
          <w:trHeight w:val="312" w:hRule="atLeast"/>
        </w:trPr>
        <w:tc>
          <w:tcPr>
            <w:tcW w:w="221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绩效目标明确性</w:t>
            </w:r>
          </w:p>
        </w:tc>
        <w:tc>
          <w:tcPr>
            <w:tcW w:w="221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1</w:t>
            </w:r>
          </w:p>
        </w:tc>
        <w:tc>
          <w:tcPr>
            <w:tcW w:w="22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rPr>
              <w:t>100%</w:t>
            </w:r>
          </w:p>
        </w:tc>
        <w:tc>
          <w:tcPr>
            <w:tcW w:w="221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1</w:t>
            </w:r>
          </w:p>
        </w:tc>
      </w:tr>
      <w:tr>
        <w:tblPrEx>
          <w:tblCellMar>
            <w:top w:w="0" w:type="dxa"/>
            <w:left w:w="0" w:type="dxa"/>
            <w:bottom w:w="0" w:type="dxa"/>
            <w:right w:w="0" w:type="dxa"/>
          </w:tblCellMar>
        </w:tblPrEx>
        <w:trPr>
          <w:trHeight w:val="312" w:hRule="atLeast"/>
        </w:trPr>
        <w:tc>
          <w:tcPr>
            <w:tcW w:w="221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绩效指标合理性</w:t>
            </w:r>
          </w:p>
        </w:tc>
        <w:tc>
          <w:tcPr>
            <w:tcW w:w="221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1</w:t>
            </w:r>
          </w:p>
        </w:tc>
        <w:tc>
          <w:tcPr>
            <w:tcW w:w="22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rPr>
              <w:t>100%</w:t>
            </w:r>
          </w:p>
        </w:tc>
        <w:tc>
          <w:tcPr>
            <w:tcW w:w="221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1</w:t>
            </w:r>
          </w:p>
        </w:tc>
      </w:tr>
      <w:tr>
        <w:tblPrEx>
          <w:tblCellMar>
            <w:top w:w="0" w:type="dxa"/>
            <w:left w:w="0" w:type="dxa"/>
            <w:bottom w:w="0" w:type="dxa"/>
            <w:right w:w="0" w:type="dxa"/>
          </w:tblCellMar>
        </w:tblPrEx>
        <w:trPr>
          <w:trHeight w:val="312" w:hRule="atLeast"/>
        </w:trPr>
        <w:tc>
          <w:tcPr>
            <w:tcW w:w="221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预算编制科学性</w:t>
            </w:r>
          </w:p>
        </w:tc>
        <w:tc>
          <w:tcPr>
            <w:tcW w:w="221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1</w:t>
            </w:r>
          </w:p>
        </w:tc>
        <w:tc>
          <w:tcPr>
            <w:tcW w:w="22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100%</w:t>
            </w:r>
          </w:p>
        </w:tc>
        <w:tc>
          <w:tcPr>
            <w:tcW w:w="221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1</w:t>
            </w:r>
          </w:p>
        </w:tc>
      </w:tr>
      <w:tr>
        <w:tblPrEx>
          <w:tblCellMar>
            <w:top w:w="0" w:type="dxa"/>
            <w:left w:w="0" w:type="dxa"/>
            <w:bottom w:w="0" w:type="dxa"/>
            <w:right w:w="0" w:type="dxa"/>
          </w:tblCellMar>
        </w:tblPrEx>
        <w:trPr>
          <w:trHeight w:val="432" w:hRule="atLeast"/>
        </w:trPr>
        <w:tc>
          <w:tcPr>
            <w:tcW w:w="221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资金分配合理性</w:t>
            </w:r>
          </w:p>
        </w:tc>
        <w:tc>
          <w:tcPr>
            <w:tcW w:w="221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1</w:t>
            </w:r>
          </w:p>
        </w:tc>
        <w:tc>
          <w:tcPr>
            <w:tcW w:w="22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rPr>
              <w:t>100%</w:t>
            </w:r>
          </w:p>
        </w:tc>
        <w:tc>
          <w:tcPr>
            <w:tcW w:w="221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1</w:t>
            </w:r>
          </w:p>
        </w:tc>
      </w:tr>
      <w:tr>
        <w:tblPrEx>
          <w:tblCellMar>
            <w:top w:w="0" w:type="dxa"/>
            <w:left w:w="0" w:type="dxa"/>
            <w:bottom w:w="0" w:type="dxa"/>
            <w:right w:w="0" w:type="dxa"/>
          </w:tblCellMar>
        </w:tblPrEx>
        <w:trPr>
          <w:trHeight w:val="312" w:hRule="atLeast"/>
        </w:trPr>
        <w:tc>
          <w:tcPr>
            <w:tcW w:w="221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合计</w:t>
            </w:r>
          </w:p>
        </w:tc>
        <w:tc>
          <w:tcPr>
            <w:tcW w:w="221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5</w:t>
            </w:r>
          </w:p>
        </w:tc>
        <w:tc>
          <w:tcPr>
            <w:tcW w:w="22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100%</w:t>
            </w:r>
          </w:p>
        </w:tc>
        <w:tc>
          <w:tcPr>
            <w:tcW w:w="221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5</w:t>
            </w:r>
          </w:p>
        </w:tc>
      </w:tr>
    </w:tbl>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Style w:val="51"/>
          <w:rFonts w:hint="eastAsia"/>
          <w:b w:val="0"/>
          <w:bCs w:val="0"/>
          <w:color w:val="auto"/>
          <w:kern w:val="2"/>
          <w:lang w:val="en-US" w:eastAsia="zh-CN" w:bidi="ar-SA"/>
        </w:rPr>
      </w:pPr>
      <w:r>
        <w:rPr>
          <w:rStyle w:val="51"/>
          <w:rFonts w:hint="eastAsia"/>
          <w:b w:val="0"/>
          <w:bCs w:val="0"/>
          <w:color w:val="auto"/>
          <w:kern w:val="2"/>
          <w:lang w:val="en-US" w:eastAsia="zh-CN" w:bidi="ar-SA"/>
        </w:rPr>
        <w:t>预算编制科学性扣分说明：1、工业招商引资是机构改革后首次在工信局设立开展的工作，预算编制无前期参考价值及借鉴之处，从设计之初即存在缺乏合理性及科学性的问题；2、我单位首次申报预算总额为80万元，下达资金20万元，申报资金和落实资金方面差距很大，导致很多工作设想及开展情况受限，也导致预算的科学性不够。</w:t>
      </w:r>
    </w:p>
    <w:p>
      <w:pPr>
        <w:pStyle w:val="2"/>
        <w:keepNext w:val="0"/>
        <w:keepLines w:val="0"/>
        <w:pageBreakBefore w:val="0"/>
        <w:kinsoku/>
        <w:wordWrap/>
        <w:overflowPunct/>
        <w:topLinePunct w:val="0"/>
        <w:autoSpaceDE/>
        <w:autoSpaceDN/>
        <w:bidi w:val="0"/>
        <w:spacing w:before="0" w:after="0" w:line="560" w:lineRule="exact"/>
        <w:ind w:firstLine="643" w:firstLineChars="200"/>
        <w:jc w:val="both"/>
        <w:rPr>
          <w:rFonts w:hint="eastAsia" w:ascii="楷体_GB2312" w:hAnsi="楷体_GB2312" w:eastAsia="楷体_GB2312" w:cs="楷体_GB2312"/>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二</w:t>
      </w:r>
      <w:r>
        <w:rPr>
          <w:rFonts w:hint="eastAsia" w:ascii="楷体_GB2312" w:hAnsi="楷体_GB2312" w:eastAsia="楷体_GB2312" w:cs="楷体_GB2312"/>
          <w:lang w:eastAsia="zh-CN"/>
        </w:rPr>
        <w:t>）</w:t>
      </w:r>
      <w:r>
        <w:rPr>
          <w:rFonts w:hint="eastAsia" w:ascii="楷体_GB2312" w:hAnsi="楷体_GB2312" w:eastAsia="楷体_GB2312" w:cs="楷体_GB2312"/>
        </w:rPr>
        <w:t>项目过程情况</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Style w:val="51"/>
          <w:rFonts w:hint="eastAsia"/>
          <w:b w:val="0"/>
          <w:bCs w:val="0"/>
          <w:color w:val="auto"/>
          <w:kern w:val="2"/>
          <w:lang w:val="en-US" w:eastAsia="zh-CN" w:bidi="ar-SA"/>
        </w:rPr>
      </w:pPr>
      <w:r>
        <w:rPr>
          <w:rStyle w:val="51"/>
          <w:rFonts w:hint="eastAsia"/>
          <w:b w:val="0"/>
          <w:bCs w:val="0"/>
          <w:color w:val="auto"/>
          <w:kern w:val="2"/>
          <w:lang w:val="en-US" w:eastAsia="zh-CN" w:bidi="ar-SA"/>
        </w:rPr>
        <w:t>项目过程指标从资金到位率、预算执行率、资金使用合规性、制度执行等方面对项目的管理情况进行考察，得分率100%。项目决策指标得分情况如表所示。</w:t>
      </w:r>
    </w:p>
    <w:p>
      <w:pPr>
        <w:keepNext w:val="0"/>
        <w:keepLines w:val="0"/>
        <w:pageBreakBefore w:val="0"/>
        <w:kinsoku/>
        <w:wordWrap/>
        <w:overflowPunct/>
        <w:topLinePunct w:val="0"/>
        <w:autoSpaceDE/>
        <w:autoSpaceDN/>
        <w:bidi w:val="0"/>
        <w:spacing w:line="560" w:lineRule="exact"/>
        <w:ind w:firstLine="560" w:firstLineChars="200"/>
        <w:jc w:val="center"/>
        <w:rPr>
          <w:rFonts w:hint="eastAsia" w:ascii="仿宋" w:hAnsi="仿宋" w:eastAsia="仿宋" w:cs="仿宋"/>
          <w:color w:val="000000"/>
          <w:kern w:val="0"/>
          <w:sz w:val="28"/>
          <w:szCs w:val="28"/>
        </w:rPr>
      </w:pPr>
    </w:p>
    <w:p>
      <w:pPr>
        <w:keepNext w:val="0"/>
        <w:keepLines w:val="0"/>
        <w:pageBreakBefore w:val="0"/>
        <w:kinsoku/>
        <w:wordWrap/>
        <w:overflowPunct/>
        <w:topLinePunct w:val="0"/>
        <w:autoSpaceDE/>
        <w:autoSpaceDN/>
        <w:bidi w:val="0"/>
        <w:spacing w:line="560" w:lineRule="exact"/>
        <w:ind w:firstLine="560" w:firstLineChars="200"/>
        <w:jc w:val="center"/>
        <w:rPr>
          <w:rFonts w:ascii="仿宋" w:hAnsi="仿宋" w:eastAsia="仿宋" w:cs="仿宋"/>
          <w:color w:val="000000"/>
          <w:kern w:val="0"/>
          <w:sz w:val="28"/>
          <w:szCs w:val="28"/>
        </w:rPr>
      </w:pPr>
      <w:r>
        <w:rPr>
          <w:rFonts w:hint="eastAsia" w:ascii="仿宋" w:hAnsi="仿宋" w:eastAsia="仿宋" w:cs="仿宋"/>
          <w:color w:val="000000"/>
          <w:kern w:val="0"/>
          <w:sz w:val="28"/>
          <w:szCs w:val="28"/>
        </w:rPr>
        <w:t>项目过程指标得分情况</w:t>
      </w:r>
    </w:p>
    <w:tbl>
      <w:tblPr>
        <w:tblStyle w:val="20"/>
        <w:tblW w:w="8863" w:type="dxa"/>
        <w:tblInd w:w="0" w:type="dxa"/>
        <w:tblLayout w:type="fixed"/>
        <w:tblCellMar>
          <w:top w:w="0" w:type="dxa"/>
          <w:left w:w="0" w:type="dxa"/>
          <w:bottom w:w="0" w:type="dxa"/>
          <w:right w:w="0" w:type="dxa"/>
        </w:tblCellMar>
      </w:tblPr>
      <w:tblGrid>
        <w:gridCol w:w="2536"/>
        <w:gridCol w:w="2109"/>
        <w:gridCol w:w="2109"/>
        <w:gridCol w:w="2109"/>
      </w:tblGrid>
      <w:tr>
        <w:tblPrEx>
          <w:tblCellMar>
            <w:top w:w="0" w:type="dxa"/>
            <w:left w:w="0" w:type="dxa"/>
            <w:bottom w:w="0" w:type="dxa"/>
            <w:right w:w="0" w:type="dxa"/>
          </w:tblCellMar>
        </w:tblPrEx>
        <w:trPr>
          <w:trHeight w:val="450" w:hRule="atLeast"/>
        </w:trPr>
        <w:tc>
          <w:tcPr>
            <w:tcW w:w="25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ind w:firstLine="560" w:firstLineChars="200"/>
              <w:jc w:val="both"/>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rPr>
              <w:t>三级指标</w:t>
            </w:r>
          </w:p>
        </w:tc>
        <w:tc>
          <w:tcPr>
            <w:tcW w:w="210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rPr>
              <w:t>权重</w:t>
            </w:r>
          </w:p>
        </w:tc>
        <w:tc>
          <w:tcPr>
            <w:tcW w:w="210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rPr>
              <w:t>得分率</w:t>
            </w:r>
          </w:p>
        </w:tc>
        <w:tc>
          <w:tcPr>
            <w:tcW w:w="210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rPr>
              <w:t>实际得分</w:t>
            </w:r>
          </w:p>
        </w:tc>
      </w:tr>
      <w:tr>
        <w:tblPrEx>
          <w:tblCellMar>
            <w:top w:w="0" w:type="dxa"/>
            <w:left w:w="0" w:type="dxa"/>
            <w:bottom w:w="0" w:type="dxa"/>
            <w:right w:w="0" w:type="dxa"/>
          </w:tblCellMar>
        </w:tblPrEx>
        <w:trPr>
          <w:trHeight w:val="312" w:hRule="atLeast"/>
        </w:trPr>
        <w:tc>
          <w:tcPr>
            <w:tcW w:w="25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资金到位率</w:t>
            </w:r>
          </w:p>
        </w:tc>
        <w:tc>
          <w:tcPr>
            <w:tcW w:w="210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1</w:t>
            </w:r>
          </w:p>
        </w:tc>
        <w:tc>
          <w:tcPr>
            <w:tcW w:w="210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ind w:right="560"/>
              <w:jc w:val="center"/>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rPr>
              <w:t>100%</w:t>
            </w:r>
          </w:p>
        </w:tc>
        <w:tc>
          <w:tcPr>
            <w:tcW w:w="210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lang w:val="en-US" w:eastAsia="zh-CN"/>
              </w:rPr>
              <w:t>1</w:t>
            </w:r>
          </w:p>
        </w:tc>
      </w:tr>
      <w:tr>
        <w:tblPrEx>
          <w:tblCellMar>
            <w:top w:w="0" w:type="dxa"/>
            <w:left w:w="0" w:type="dxa"/>
            <w:bottom w:w="0" w:type="dxa"/>
            <w:right w:w="0" w:type="dxa"/>
          </w:tblCellMar>
        </w:tblPrEx>
        <w:trPr>
          <w:trHeight w:val="615" w:hRule="atLeast"/>
        </w:trPr>
        <w:tc>
          <w:tcPr>
            <w:tcW w:w="25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预算执行率</w:t>
            </w:r>
          </w:p>
        </w:tc>
        <w:tc>
          <w:tcPr>
            <w:tcW w:w="210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highlight w:val="yellow"/>
                <w:lang w:val="en-US" w:eastAsia="zh-CN"/>
              </w:rPr>
            </w:pPr>
            <w:r>
              <w:rPr>
                <w:rFonts w:hint="eastAsia" w:ascii="宋体" w:hAnsi="宋体" w:eastAsia="宋体" w:cs="宋体"/>
                <w:color w:val="000000"/>
                <w:sz w:val="18"/>
                <w:szCs w:val="18"/>
                <w:highlight w:val="none"/>
                <w:lang w:val="en-US" w:eastAsia="zh-CN"/>
              </w:rPr>
              <w:t>1</w:t>
            </w:r>
          </w:p>
        </w:tc>
        <w:tc>
          <w:tcPr>
            <w:tcW w:w="210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ind w:right="560" w:rightChars="0"/>
              <w:jc w:val="center"/>
              <w:textAlignment w:val="center"/>
              <w:rPr>
                <w:rFonts w:hint="eastAsia" w:ascii="宋体" w:hAnsi="宋体" w:eastAsia="宋体" w:cs="宋体"/>
                <w:color w:val="000000"/>
                <w:sz w:val="18"/>
                <w:szCs w:val="18"/>
                <w:highlight w:val="yellow"/>
              </w:rPr>
            </w:pPr>
            <w:r>
              <w:rPr>
                <w:rFonts w:hint="eastAsia" w:ascii="宋体" w:hAnsi="宋体" w:eastAsia="宋体" w:cs="宋体"/>
                <w:color w:val="000000"/>
                <w:kern w:val="0"/>
                <w:sz w:val="18"/>
                <w:szCs w:val="18"/>
                <w:highlight w:val="none"/>
              </w:rPr>
              <w:t>100%</w:t>
            </w:r>
          </w:p>
        </w:tc>
        <w:tc>
          <w:tcPr>
            <w:tcW w:w="210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highlight w:val="yellow"/>
                <w:lang w:val="en-US"/>
              </w:rPr>
            </w:pPr>
            <w:r>
              <w:rPr>
                <w:rFonts w:hint="eastAsia" w:ascii="宋体" w:hAnsi="宋体" w:eastAsia="宋体" w:cs="宋体"/>
                <w:color w:val="000000"/>
                <w:sz w:val="18"/>
                <w:szCs w:val="18"/>
                <w:highlight w:val="none"/>
                <w:lang w:val="en-US" w:eastAsia="zh-CN"/>
              </w:rPr>
              <w:t>1</w:t>
            </w:r>
          </w:p>
        </w:tc>
      </w:tr>
      <w:tr>
        <w:tblPrEx>
          <w:tblCellMar>
            <w:top w:w="0" w:type="dxa"/>
            <w:left w:w="0" w:type="dxa"/>
            <w:bottom w:w="0" w:type="dxa"/>
            <w:right w:w="0" w:type="dxa"/>
          </w:tblCellMar>
        </w:tblPrEx>
        <w:trPr>
          <w:trHeight w:val="432" w:hRule="atLeast"/>
        </w:trPr>
        <w:tc>
          <w:tcPr>
            <w:tcW w:w="25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资金使用合规性</w:t>
            </w:r>
          </w:p>
        </w:tc>
        <w:tc>
          <w:tcPr>
            <w:tcW w:w="210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1</w:t>
            </w:r>
          </w:p>
        </w:tc>
        <w:tc>
          <w:tcPr>
            <w:tcW w:w="210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ind w:right="560"/>
              <w:jc w:val="center"/>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rPr>
              <w:t>100%</w:t>
            </w:r>
          </w:p>
        </w:tc>
        <w:tc>
          <w:tcPr>
            <w:tcW w:w="210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lang w:val="en-US" w:eastAsia="zh-CN"/>
              </w:rPr>
              <w:t>1</w:t>
            </w:r>
          </w:p>
        </w:tc>
      </w:tr>
      <w:tr>
        <w:tblPrEx>
          <w:tblCellMar>
            <w:top w:w="0" w:type="dxa"/>
            <w:left w:w="0" w:type="dxa"/>
            <w:bottom w:w="0" w:type="dxa"/>
            <w:right w:w="0" w:type="dxa"/>
          </w:tblCellMar>
        </w:tblPrEx>
        <w:trPr>
          <w:trHeight w:val="432" w:hRule="atLeast"/>
        </w:trPr>
        <w:tc>
          <w:tcPr>
            <w:tcW w:w="25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管理制度健全性</w:t>
            </w:r>
          </w:p>
        </w:tc>
        <w:tc>
          <w:tcPr>
            <w:tcW w:w="210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1</w:t>
            </w:r>
          </w:p>
        </w:tc>
        <w:tc>
          <w:tcPr>
            <w:tcW w:w="210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ind w:right="560" w:rightChars="0"/>
              <w:jc w:val="center"/>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rPr>
              <w:t>100%</w:t>
            </w:r>
          </w:p>
        </w:tc>
        <w:tc>
          <w:tcPr>
            <w:tcW w:w="210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lang w:val="en-US" w:eastAsia="zh-CN"/>
              </w:rPr>
              <w:t>1</w:t>
            </w:r>
          </w:p>
        </w:tc>
      </w:tr>
      <w:tr>
        <w:tblPrEx>
          <w:tblCellMar>
            <w:top w:w="0" w:type="dxa"/>
            <w:left w:w="0" w:type="dxa"/>
            <w:bottom w:w="0" w:type="dxa"/>
            <w:right w:w="0" w:type="dxa"/>
          </w:tblCellMar>
        </w:tblPrEx>
        <w:trPr>
          <w:trHeight w:val="432" w:hRule="atLeast"/>
        </w:trPr>
        <w:tc>
          <w:tcPr>
            <w:tcW w:w="25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rPr>
              <w:t>制度执行有效性</w:t>
            </w:r>
          </w:p>
        </w:tc>
        <w:tc>
          <w:tcPr>
            <w:tcW w:w="210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1</w:t>
            </w:r>
          </w:p>
        </w:tc>
        <w:tc>
          <w:tcPr>
            <w:tcW w:w="210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ind w:right="560" w:rightChars="0"/>
              <w:jc w:val="center"/>
              <w:textAlignment w:val="center"/>
              <w:rPr>
                <w:rFonts w:hint="eastAsia" w:ascii="宋体" w:hAnsi="宋体" w:eastAsia="宋体" w:cs="宋体"/>
                <w:color w:val="000000"/>
                <w:kern w:val="2"/>
                <w:sz w:val="18"/>
                <w:szCs w:val="18"/>
                <w:highlight w:val="none"/>
                <w:lang w:val="en-US" w:eastAsia="zh-CN" w:bidi="ar-SA"/>
              </w:rPr>
            </w:pPr>
            <w:r>
              <w:rPr>
                <w:rFonts w:hint="eastAsia" w:ascii="宋体" w:hAnsi="宋体" w:eastAsia="宋体" w:cs="宋体"/>
                <w:color w:val="000000"/>
                <w:kern w:val="0"/>
                <w:sz w:val="18"/>
                <w:szCs w:val="18"/>
                <w:highlight w:val="none"/>
              </w:rPr>
              <w:t>100%</w:t>
            </w:r>
          </w:p>
        </w:tc>
        <w:tc>
          <w:tcPr>
            <w:tcW w:w="210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jc w:val="center"/>
              <w:textAlignment w:val="center"/>
              <w:rPr>
                <w:rFonts w:hint="eastAsia"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lang w:val="en-US" w:eastAsia="zh-CN"/>
              </w:rPr>
              <w:t>1</w:t>
            </w:r>
          </w:p>
        </w:tc>
      </w:tr>
      <w:tr>
        <w:tblPrEx>
          <w:tblCellMar>
            <w:top w:w="0" w:type="dxa"/>
            <w:left w:w="0" w:type="dxa"/>
            <w:bottom w:w="0" w:type="dxa"/>
            <w:right w:w="0" w:type="dxa"/>
          </w:tblCellMar>
        </w:tblPrEx>
        <w:trPr>
          <w:trHeight w:val="432" w:hRule="atLeast"/>
        </w:trPr>
        <w:tc>
          <w:tcPr>
            <w:tcW w:w="253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ind w:firstLine="360" w:firstLineChars="200"/>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合计</w:t>
            </w:r>
          </w:p>
        </w:tc>
        <w:tc>
          <w:tcPr>
            <w:tcW w:w="210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ind w:right="560"/>
              <w:jc w:val="center"/>
              <w:textAlignment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5</w:t>
            </w:r>
          </w:p>
        </w:tc>
        <w:tc>
          <w:tcPr>
            <w:tcW w:w="210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ind w:right="560"/>
              <w:jc w:val="center"/>
              <w:textAlignment w:val="center"/>
              <w:rPr>
                <w:rFonts w:hint="eastAsia" w:ascii="宋体" w:hAnsi="宋体" w:eastAsia="宋体" w:cs="宋体"/>
                <w:color w:val="000000"/>
                <w:sz w:val="18"/>
                <w:szCs w:val="18"/>
                <w:highlight w:val="none"/>
              </w:rPr>
            </w:pPr>
            <w:r>
              <w:rPr>
                <w:rFonts w:hint="eastAsia" w:ascii="宋体" w:hAnsi="宋体" w:eastAsia="宋体" w:cs="宋体"/>
                <w:color w:val="000000"/>
                <w:kern w:val="0"/>
                <w:sz w:val="18"/>
                <w:szCs w:val="18"/>
                <w:highlight w:val="none"/>
              </w:rPr>
              <w:t>100%</w:t>
            </w:r>
          </w:p>
        </w:tc>
        <w:tc>
          <w:tcPr>
            <w:tcW w:w="210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spacing w:line="560" w:lineRule="exact"/>
              <w:ind w:right="560" w:rightChars="0"/>
              <w:jc w:val="center"/>
              <w:textAlignment w:val="center"/>
              <w:rPr>
                <w:rFonts w:hint="eastAsia" w:ascii="宋体" w:hAnsi="宋体" w:eastAsia="宋体" w:cs="宋体"/>
                <w:color w:val="000000"/>
                <w:sz w:val="18"/>
                <w:szCs w:val="18"/>
                <w:highlight w:val="none"/>
                <w:lang w:val="en-US"/>
              </w:rPr>
            </w:pPr>
            <w:r>
              <w:rPr>
                <w:rFonts w:hint="eastAsia" w:ascii="宋体" w:hAnsi="宋体" w:eastAsia="宋体" w:cs="宋体"/>
                <w:color w:val="000000"/>
                <w:sz w:val="18"/>
                <w:szCs w:val="18"/>
                <w:highlight w:val="none"/>
                <w:lang w:val="en-US" w:eastAsia="zh-CN"/>
              </w:rPr>
              <w:t>5</w:t>
            </w:r>
          </w:p>
        </w:tc>
      </w:tr>
    </w:tbl>
    <w:p>
      <w:pPr>
        <w:pStyle w:val="2"/>
        <w:keepNext w:val="0"/>
        <w:keepLines w:val="0"/>
        <w:pageBreakBefore w:val="0"/>
        <w:kinsoku/>
        <w:wordWrap/>
        <w:overflowPunct/>
        <w:topLinePunct w:val="0"/>
        <w:autoSpaceDE/>
        <w:autoSpaceDN/>
        <w:bidi w:val="0"/>
        <w:spacing w:before="0" w:after="0" w:line="560" w:lineRule="exact"/>
        <w:ind w:firstLine="643" w:firstLineChars="200"/>
        <w:jc w:val="both"/>
        <w:rPr>
          <w:rFonts w:hint="eastAsia" w:ascii="楷体_GB2312" w:hAnsi="楷体_GB2312" w:eastAsia="楷体_GB2312" w:cs="楷体_GB2312"/>
          <w:lang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三</w:t>
      </w:r>
      <w:r>
        <w:rPr>
          <w:rFonts w:hint="eastAsia" w:ascii="楷体_GB2312" w:hAnsi="楷体_GB2312" w:eastAsia="楷体_GB2312" w:cs="楷体_GB2312"/>
          <w:lang w:eastAsia="zh-CN"/>
        </w:rPr>
        <w:t>）项目产出</w:t>
      </w:r>
    </w:p>
    <w:p>
      <w:pPr>
        <w:keepNext w:val="0"/>
        <w:keepLines w:val="0"/>
        <w:pageBreakBefore w:val="0"/>
        <w:kinsoku/>
        <w:wordWrap/>
        <w:overflowPunct/>
        <w:topLinePunct w:val="0"/>
        <w:autoSpaceDE/>
        <w:autoSpaceDN/>
        <w:bidi w:val="0"/>
        <w:spacing w:line="560" w:lineRule="exact"/>
        <w:ind w:firstLine="624" w:firstLineChars="200"/>
        <w:rPr>
          <w:rFonts w:hint="eastAsia" w:ascii="仿宋_GB2312" w:hAnsi="仿宋_GB2312" w:eastAsia="仿宋_GB2312" w:cs="仿宋_GB2312"/>
          <w:sz w:val="32"/>
          <w:szCs w:val="32"/>
        </w:rPr>
      </w:pPr>
      <w:r>
        <w:rPr>
          <w:rStyle w:val="22"/>
          <w:rFonts w:hint="eastAsia" w:ascii="仿宋" w:hAnsi="仿宋" w:eastAsia="仿宋" w:cs="仿宋"/>
          <w:b w:val="0"/>
          <w:bCs/>
          <w:spacing w:val="-4"/>
          <w:sz w:val="32"/>
          <w:szCs w:val="32"/>
          <w:highlight w:val="none"/>
        </w:rPr>
        <w:t>数量指标方面：</w:t>
      </w:r>
      <w:r>
        <w:rPr>
          <w:rFonts w:hint="eastAsia" w:ascii="仿宋_GB2312" w:hAnsi="仿宋_GB2312" w:eastAsia="仿宋_GB2312" w:cs="仿宋_GB2312"/>
          <w:sz w:val="32"/>
          <w:szCs w:val="32"/>
          <w:lang w:val="en-US" w:eastAsia="zh-CN"/>
        </w:rPr>
        <w:t>引进工业领域招商引资到位资金</w:t>
      </w:r>
      <w:r>
        <w:rPr>
          <w:rFonts w:hint="eastAsia" w:ascii="仿宋_GB2312" w:hAnsi="仿宋_GB2312" w:eastAsia="仿宋_GB2312" w:cs="仿宋_GB2312"/>
          <w:sz w:val="32"/>
          <w:szCs w:val="32"/>
        </w:rPr>
        <w:t>，预期指标值</w:t>
      </w:r>
      <w:r>
        <w:rPr>
          <w:rFonts w:hint="eastAsia" w:ascii="仿宋_GB2312" w:hAnsi="仿宋_GB2312" w:eastAsia="仿宋_GB2312" w:cs="仿宋_GB2312"/>
          <w:sz w:val="32"/>
          <w:szCs w:val="32"/>
          <w:lang w:val="en-US" w:eastAsia="zh-CN"/>
        </w:rPr>
        <w:t>≥20亿元</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24.83亿元</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124.15%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highlight w:val="none"/>
          <w:lang w:eastAsia="zh-CN"/>
        </w:rPr>
        <w:t>权重</w:t>
      </w:r>
      <w:r>
        <w:rPr>
          <w:rStyle w:val="51"/>
          <w:rFonts w:hint="eastAsia" w:eastAsia="仿宋_GB2312"/>
          <w:color w:val="auto"/>
          <w:lang w:val="en-US" w:eastAsia="zh-CN"/>
        </w:rPr>
        <w:t>10</w:t>
      </w:r>
      <w:r>
        <w:rPr>
          <w:rFonts w:hint="eastAsia" w:ascii="仿宋_GB2312" w:hAnsi="仿宋_GB2312" w:eastAsia="仿宋_GB2312" w:cs="仿宋_GB2312"/>
          <w:sz w:val="32"/>
          <w:szCs w:val="32"/>
          <w:highlight w:val="none"/>
          <w:lang w:eastAsia="zh-CN"/>
        </w:rPr>
        <w:t>分，得分</w:t>
      </w:r>
      <w:r>
        <w:rPr>
          <w:rStyle w:val="51"/>
          <w:rFonts w:hint="eastAsia" w:eastAsia="仿宋_GB2312"/>
          <w:color w:val="auto"/>
          <w:lang w:val="en-US" w:eastAsia="zh-CN"/>
        </w:rPr>
        <w:t>10</w:t>
      </w:r>
      <w:r>
        <w:rPr>
          <w:rFonts w:hint="eastAsia" w:ascii="仿宋_GB2312" w:hAnsi="仿宋_GB2312" w:eastAsia="仿宋_GB2312" w:cs="仿宋_GB2312"/>
          <w:sz w:val="32"/>
          <w:szCs w:val="32"/>
          <w:highlight w:val="none"/>
          <w:lang w:val="en-US" w:eastAsia="zh-CN"/>
        </w:rPr>
        <w:t>分，得分率</w:t>
      </w:r>
      <w:r>
        <w:rPr>
          <w:rFonts w:hint="eastAsia" w:ascii="仿宋_GB2312" w:hAnsi="仿宋_GB2312" w:eastAsia="仿宋_GB2312" w:cs="仿宋_GB2312"/>
          <w:sz w:val="32"/>
          <w:szCs w:val="32"/>
          <w:highlight w:val="none"/>
        </w:rPr>
        <w:t>100%</w:t>
      </w:r>
      <w:r>
        <w:rPr>
          <w:rFonts w:hint="eastAsia" w:ascii="仿宋_GB2312" w:hAnsi="仿宋_GB2312" w:eastAsia="仿宋_GB2312" w:cs="仿宋_GB2312"/>
          <w:sz w:val="32"/>
          <w:szCs w:val="32"/>
          <w:highlight w:val="none"/>
          <w:lang w:eastAsia="zh-CN"/>
        </w:rPr>
        <w:t>；</w:t>
      </w:r>
    </w:p>
    <w:p>
      <w:pPr>
        <w:pStyle w:val="18"/>
        <w:keepNext w:val="0"/>
        <w:keepLines w:val="0"/>
        <w:pageBreakBefore w:val="0"/>
        <w:widowControl/>
        <w:kinsoku/>
        <w:wordWrap/>
        <w:overflowPunct/>
        <w:topLinePunct w:val="0"/>
        <w:autoSpaceDE/>
        <w:autoSpaceDN/>
        <w:bidi w:val="0"/>
        <w:spacing w:before="0" w:beforeAutospacing="0" w:after="0" w:afterAutospacing="0" w:line="560" w:lineRule="exact"/>
        <w:ind w:firstLine="643"/>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组织全地区外出开展工业招商活动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预期指标值≥1次，指标完成值</w:t>
      </w:r>
      <w:r>
        <w:rPr>
          <w:rFonts w:hint="eastAsia" w:ascii="仿宋_GB2312" w:hAnsi="仿宋_GB2312" w:eastAsia="仿宋_GB2312" w:cs="仿宋_GB2312"/>
          <w:sz w:val="32"/>
          <w:szCs w:val="32"/>
          <w:lang w:val="en-US" w:eastAsia="zh-CN"/>
        </w:rPr>
        <w:t>3次</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300%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highlight w:val="none"/>
          <w:lang w:eastAsia="zh-CN"/>
        </w:rPr>
        <w:t>权重</w:t>
      </w:r>
      <w:r>
        <w:rPr>
          <w:rStyle w:val="51"/>
          <w:rFonts w:hint="eastAsia" w:eastAsia="仿宋_GB2312"/>
          <w:color w:val="auto"/>
          <w:lang w:val="en-US" w:eastAsia="zh-CN"/>
        </w:rPr>
        <w:t>10</w:t>
      </w:r>
      <w:r>
        <w:rPr>
          <w:rFonts w:hint="eastAsia" w:ascii="仿宋_GB2312" w:hAnsi="仿宋_GB2312" w:eastAsia="仿宋_GB2312" w:cs="仿宋_GB2312"/>
          <w:sz w:val="32"/>
          <w:szCs w:val="32"/>
          <w:highlight w:val="none"/>
          <w:lang w:eastAsia="zh-CN"/>
        </w:rPr>
        <w:t>分，得分</w:t>
      </w:r>
      <w:r>
        <w:rPr>
          <w:rStyle w:val="51"/>
          <w:rFonts w:hint="eastAsia" w:eastAsia="仿宋_GB2312"/>
          <w:color w:val="auto"/>
          <w:lang w:val="en-US" w:eastAsia="zh-CN"/>
        </w:rPr>
        <w:t>10</w:t>
      </w:r>
      <w:r>
        <w:rPr>
          <w:rFonts w:hint="eastAsia" w:ascii="仿宋_GB2312" w:hAnsi="仿宋_GB2312" w:eastAsia="仿宋_GB2312" w:cs="仿宋_GB2312"/>
          <w:sz w:val="32"/>
          <w:szCs w:val="32"/>
          <w:highlight w:val="none"/>
          <w:lang w:val="en-US" w:eastAsia="zh-CN"/>
        </w:rPr>
        <w:t>分，得分率</w:t>
      </w:r>
      <w:r>
        <w:rPr>
          <w:rFonts w:hint="eastAsia" w:ascii="仿宋_GB2312" w:hAnsi="仿宋_GB2312" w:eastAsia="仿宋_GB2312" w:cs="仿宋_GB2312"/>
          <w:sz w:val="32"/>
          <w:szCs w:val="32"/>
          <w:highlight w:val="none"/>
        </w:rPr>
        <w:t>100%</w:t>
      </w:r>
      <w:r>
        <w:rPr>
          <w:rFonts w:hint="eastAsia" w:ascii="仿宋_GB2312" w:hAnsi="仿宋_GB2312" w:eastAsia="仿宋_GB2312" w:cs="仿宋_GB2312"/>
          <w:sz w:val="32"/>
          <w:szCs w:val="32"/>
          <w:highlight w:val="none"/>
          <w:lang w:eastAsia="zh-CN"/>
        </w:rPr>
        <w:t>；</w:t>
      </w:r>
    </w:p>
    <w:p>
      <w:pPr>
        <w:pStyle w:val="18"/>
        <w:keepNext w:val="0"/>
        <w:keepLines w:val="0"/>
        <w:pageBreakBefore w:val="0"/>
        <w:widowControl/>
        <w:kinsoku/>
        <w:wordWrap/>
        <w:overflowPunct/>
        <w:topLinePunct w:val="0"/>
        <w:autoSpaceDE/>
        <w:autoSpaceDN/>
        <w:bidi w:val="0"/>
        <w:spacing w:before="0" w:beforeAutospacing="0" w:after="0" w:afterAutospacing="0" w:line="560" w:lineRule="exact"/>
        <w:ind w:firstLine="643"/>
        <w:jc w:val="both"/>
        <w:rPr>
          <w:rFonts w:hint="eastAsia" w:ascii="仿宋_GB2312" w:hAnsi="仿宋_GB2312" w:eastAsia="仿宋_GB2312" w:cs="仿宋_GB2312"/>
          <w:sz w:val="32"/>
          <w:szCs w:val="32"/>
        </w:rPr>
      </w:pPr>
      <w:r>
        <w:rPr>
          <w:rStyle w:val="51"/>
          <w:rFonts w:hint="eastAsia"/>
          <w:color w:val="auto"/>
          <w:highlight w:val="none"/>
        </w:rPr>
        <w:t>质量指标方面：</w:t>
      </w:r>
      <w:r>
        <w:rPr>
          <w:rStyle w:val="51"/>
          <w:rFonts w:hint="eastAsia" w:eastAsia="仿宋_GB2312"/>
          <w:color w:val="auto"/>
          <w:highlight w:val="none"/>
          <w:lang w:eastAsia="zh-CN"/>
        </w:rPr>
        <w:t>组织新项目签约</w:t>
      </w:r>
      <w:r>
        <w:rPr>
          <w:rFonts w:hint="eastAsia" w:ascii="仿宋_GB2312" w:hAnsi="仿宋_GB2312" w:eastAsia="仿宋_GB2312" w:cs="仿宋_GB2312"/>
          <w:sz w:val="32"/>
          <w:szCs w:val="32"/>
        </w:rPr>
        <w:t>，预期指标值</w:t>
      </w:r>
      <w:r>
        <w:rPr>
          <w:rFonts w:hint="eastAsia" w:ascii="仿宋_GB2312" w:hAnsi="仿宋_GB2312" w:eastAsia="仿宋_GB2312" w:cs="仿宋_GB2312"/>
          <w:sz w:val="32"/>
          <w:szCs w:val="32"/>
          <w:lang w:val="en-US" w:eastAsia="zh-CN"/>
        </w:rPr>
        <w:t>10项</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32项</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320%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highlight w:val="none"/>
          <w:lang w:eastAsia="zh-CN"/>
        </w:rPr>
        <w:t>权重</w:t>
      </w:r>
      <w:r>
        <w:rPr>
          <w:rStyle w:val="51"/>
          <w:rFonts w:hint="eastAsia" w:eastAsia="仿宋_GB2312"/>
          <w:color w:val="auto"/>
          <w:lang w:val="en-US" w:eastAsia="zh-CN"/>
        </w:rPr>
        <w:t>10</w:t>
      </w:r>
      <w:r>
        <w:rPr>
          <w:rFonts w:hint="eastAsia" w:ascii="仿宋_GB2312" w:hAnsi="仿宋_GB2312" w:eastAsia="仿宋_GB2312" w:cs="仿宋_GB2312"/>
          <w:sz w:val="32"/>
          <w:szCs w:val="32"/>
          <w:highlight w:val="none"/>
          <w:lang w:eastAsia="zh-CN"/>
        </w:rPr>
        <w:t>分，得分</w:t>
      </w:r>
      <w:r>
        <w:rPr>
          <w:rStyle w:val="51"/>
          <w:rFonts w:hint="eastAsia" w:eastAsia="仿宋_GB2312"/>
          <w:color w:val="auto"/>
          <w:lang w:val="en-US" w:eastAsia="zh-CN"/>
        </w:rPr>
        <w:t>10</w:t>
      </w:r>
      <w:r>
        <w:rPr>
          <w:rFonts w:hint="eastAsia" w:ascii="仿宋_GB2312" w:hAnsi="仿宋_GB2312" w:eastAsia="仿宋_GB2312" w:cs="仿宋_GB2312"/>
          <w:sz w:val="32"/>
          <w:szCs w:val="32"/>
          <w:highlight w:val="none"/>
          <w:lang w:val="en-US" w:eastAsia="zh-CN"/>
        </w:rPr>
        <w:t>分，得分率</w:t>
      </w:r>
      <w:r>
        <w:rPr>
          <w:rFonts w:hint="eastAsia" w:ascii="仿宋_GB2312" w:hAnsi="仿宋_GB2312" w:eastAsia="仿宋_GB2312" w:cs="仿宋_GB2312"/>
          <w:sz w:val="32"/>
          <w:szCs w:val="32"/>
          <w:highlight w:val="none"/>
        </w:rPr>
        <w:t>100%</w:t>
      </w:r>
      <w:r>
        <w:rPr>
          <w:rFonts w:hint="eastAsia" w:ascii="仿宋_GB2312" w:hAnsi="仿宋_GB2312" w:eastAsia="仿宋_GB2312" w:cs="仿宋_GB2312"/>
          <w:sz w:val="32"/>
          <w:szCs w:val="32"/>
          <w:highlight w:val="none"/>
          <w:lang w:eastAsia="zh-CN"/>
        </w:rPr>
        <w:t>；</w:t>
      </w:r>
    </w:p>
    <w:p>
      <w:pPr>
        <w:pStyle w:val="18"/>
        <w:keepNext w:val="0"/>
        <w:keepLines w:val="0"/>
        <w:pageBreakBefore w:val="0"/>
        <w:widowControl/>
        <w:kinsoku/>
        <w:wordWrap/>
        <w:overflowPunct/>
        <w:topLinePunct w:val="0"/>
        <w:autoSpaceDE/>
        <w:autoSpaceDN/>
        <w:bidi w:val="0"/>
        <w:spacing w:before="0" w:beforeAutospacing="0" w:after="0" w:afterAutospacing="0" w:line="560" w:lineRule="exact"/>
        <w:ind w:firstLine="643"/>
        <w:jc w:val="both"/>
        <w:rPr>
          <w:rFonts w:hint="eastAsia" w:ascii="仿宋_GB2312" w:hAnsi="仿宋_GB2312" w:eastAsia="仿宋_GB2312" w:cs="仿宋_GB2312"/>
          <w:sz w:val="32"/>
          <w:szCs w:val="32"/>
        </w:rPr>
      </w:pPr>
      <w:r>
        <w:rPr>
          <w:rStyle w:val="51"/>
          <w:rFonts w:hint="eastAsia"/>
          <w:color w:val="auto"/>
          <w:highlight w:val="none"/>
          <w:lang w:val="en-US" w:eastAsia="zh-CN"/>
        </w:rPr>
        <w:t>时效指标方面：2020年全年</w:t>
      </w:r>
      <w:r>
        <w:rPr>
          <w:rFonts w:hint="eastAsia" w:ascii="仿宋_GB2312" w:hAnsi="仿宋_GB2312" w:eastAsia="仿宋_GB2312" w:cs="仿宋_GB2312"/>
          <w:sz w:val="32"/>
          <w:szCs w:val="32"/>
        </w:rPr>
        <w:t>，预期指标值</w:t>
      </w:r>
      <w:r>
        <w:rPr>
          <w:rFonts w:hint="eastAsia" w:ascii="仿宋_GB2312" w:hAnsi="仿宋_GB2312" w:eastAsia="仿宋_GB2312" w:cs="仿宋_GB2312"/>
          <w:sz w:val="32"/>
          <w:szCs w:val="32"/>
          <w:lang w:val="en-US" w:eastAsia="zh-CN"/>
        </w:rPr>
        <w:t>12月31日</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12月30日</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highlight w:val="none"/>
          <w:lang w:eastAsia="zh-CN"/>
        </w:rPr>
        <w:t>权重</w:t>
      </w:r>
      <w:r>
        <w:rPr>
          <w:rStyle w:val="51"/>
          <w:rFonts w:hint="eastAsia" w:eastAsia="仿宋_GB2312"/>
          <w:color w:val="auto"/>
          <w:lang w:val="en-US" w:eastAsia="zh-CN"/>
        </w:rPr>
        <w:t>10</w:t>
      </w:r>
      <w:r>
        <w:rPr>
          <w:rFonts w:hint="eastAsia" w:ascii="仿宋_GB2312" w:hAnsi="仿宋_GB2312" w:eastAsia="仿宋_GB2312" w:cs="仿宋_GB2312"/>
          <w:sz w:val="32"/>
          <w:szCs w:val="32"/>
          <w:highlight w:val="none"/>
          <w:lang w:eastAsia="zh-CN"/>
        </w:rPr>
        <w:t>分，得分</w:t>
      </w:r>
      <w:r>
        <w:rPr>
          <w:rStyle w:val="51"/>
          <w:rFonts w:hint="eastAsia" w:eastAsia="仿宋_GB2312"/>
          <w:color w:val="auto"/>
          <w:lang w:val="en-US" w:eastAsia="zh-CN"/>
        </w:rPr>
        <w:t>10</w:t>
      </w:r>
      <w:r>
        <w:rPr>
          <w:rFonts w:hint="eastAsia" w:ascii="仿宋_GB2312" w:hAnsi="仿宋_GB2312" w:eastAsia="仿宋_GB2312" w:cs="仿宋_GB2312"/>
          <w:sz w:val="32"/>
          <w:szCs w:val="32"/>
          <w:highlight w:val="none"/>
          <w:lang w:val="en-US" w:eastAsia="zh-CN"/>
        </w:rPr>
        <w:t>分，得分率</w:t>
      </w:r>
      <w:r>
        <w:rPr>
          <w:rFonts w:hint="eastAsia" w:ascii="仿宋_GB2312" w:hAnsi="仿宋_GB2312" w:eastAsia="仿宋_GB2312" w:cs="仿宋_GB2312"/>
          <w:sz w:val="32"/>
          <w:szCs w:val="32"/>
          <w:highlight w:val="none"/>
        </w:rPr>
        <w:t>100%</w:t>
      </w:r>
      <w:r>
        <w:rPr>
          <w:rFonts w:hint="eastAsia" w:ascii="仿宋_GB2312" w:hAnsi="仿宋_GB2312" w:eastAsia="仿宋_GB2312" w:cs="仿宋_GB2312"/>
          <w:sz w:val="32"/>
          <w:szCs w:val="32"/>
          <w:highlight w:val="none"/>
          <w:lang w:eastAsia="zh-CN"/>
        </w:rPr>
        <w:t>；</w:t>
      </w:r>
    </w:p>
    <w:p>
      <w:pPr>
        <w:keepNext w:val="0"/>
        <w:keepLines w:val="0"/>
        <w:pageBreakBefore w:val="0"/>
        <w:kinsoku/>
        <w:wordWrap/>
        <w:overflowPunct/>
        <w:topLinePunct w:val="0"/>
        <w:autoSpaceDE/>
        <w:autoSpaceDN/>
        <w:bidi w:val="0"/>
        <w:spacing w:line="560" w:lineRule="exact"/>
        <w:ind w:firstLine="640"/>
        <w:rPr>
          <w:rFonts w:hint="eastAsia" w:ascii="仿宋_GB2312" w:hAnsi="仿宋_GB2312" w:eastAsia="仿宋_GB2312" w:cs="仿宋_GB2312"/>
          <w:sz w:val="32"/>
          <w:szCs w:val="32"/>
        </w:rPr>
      </w:pPr>
      <w:r>
        <w:rPr>
          <w:rStyle w:val="51"/>
          <w:rFonts w:hint="eastAsia"/>
          <w:b w:val="0"/>
          <w:bCs w:val="0"/>
          <w:color w:val="auto"/>
          <w:highlight w:val="none"/>
          <w:lang w:val="en-US" w:eastAsia="zh-CN"/>
        </w:rPr>
        <w:t>成本指标方面：</w:t>
      </w:r>
      <w:r>
        <w:rPr>
          <w:rFonts w:hint="eastAsia" w:ascii="仿宋_GB2312" w:hAnsi="仿宋_GB2312" w:eastAsia="仿宋_GB2312" w:cs="仿宋_GB2312"/>
          <w:sz w:val="32"/>
          <w:szCs w:val="32"/>
          <w:lang w:eastAsia="zh-CN"/>
        </w:rPr>
        <w:t>全年开展工业招商引资工作成本</w:t>
      </w:r>
      <w:r>
        <w:rPr>
          <w:rFonts w:hint="eastAsia" w:ascii="仿宋_GB2312" w:hAnsi="仿宋_GB2312" w:eastAsia="仿宋_GB2312" w:cs="仿宋_GB2312"/>
          <w:sz w:val="32"/>
          <w:szCs w:val="32"/>
        </w:rPr>
        <w:t>，预期指标值</w:t>
      </w:r>
      <w:r>
        <w:rPr>
          <w:rFonts w:hint="eastAsia" w:ascii="仿宋_GB2312" w:hAnsi="仿宋_GB2312" w:eastAsia="仿宋_GB2312" w:cs="仿宋_GB2312"/>
          <w:sz w:val="32"/>
          <w:szCs w:val="32"/>
          <w:lang w:val="en-US" w:eastAsia="zh-CN"/>
        </w:rPr>
        <w:t>≤20万元</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19.34万元</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96.7%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highlight w:val="none"/>
          <w:lang w:eastAsia="zh-CN"/>
        </w:rPr>
        <w:t>权重</w:t>
      </w:r>
      <w:r>
        <w:rPr>
          <w:rStyle w:val="51"/>
          <w:rFonts w:hint="eastAsia" w:eastAsia="仿宋_GB2312"/>
          <w:color w:val="auto"/>
          <w:lang w:val="en-US" w:eastAsia="zh-CN"/>
        </w:rPr>
        <w:t>10</w:t>
      </w:r>
      <w:r>
        <w:rPr>
          <w:rFonts w:hint="eastAsia" w:ascii="仿宋_GB2312" w:hAnsi="仿宋_GB2312" w:eastAsia="仿宋_GB2312" w:cs="仿宋_GB2312"/>
          <w:sz w:val="32"/>
          <w:szCs w:val="32"/>
          <w:highlight w:val="none"/>
          <w:lang w:eastAsia="zh-CN"/>
        </w:rPr>
        <w:t>分，得分</w:t>
      </w:r>
      <w:r>
        <w:rPr>
          <w:rStyle w:val="51"/>
          <w:rFonts w:hint="eastAsia" w:eastAsia="仿宋_GB2312"/>
          <w:color w:val="auto"/>
          <w:lang w:val="en-US" w:eastAsia="zh-CN"/>
        </w:rPr>
        <w:t>9.67</w:t>
      </w:r>
      <w:r>
        <w:rPr>
          <w:rFonts w:hint="eastAsia" w:ascii="仿宋_GB2312" w:hAnsi="仿宋_GB2312" w:eastAsia="仿宋_GB2312" w:cs="仿宋_GB2312"/>
          <w:sz w:val="32"/>
          <w:szCs w:val="32"/>
          <w:highlight w:val="none"/>
          <w:lang w:val="en-US" w:eastAsia="zh-CN"/>
        </w:rPr>
        <w:t>分，得分率96.7</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keepNext w:val="0"/>
        <w:keepLines w:val="0"/>
        <w:pageBreakBefore w:val="0"/>
        <w:kinsoku/>
        <w:wordWrap/>
        <w:overflowPunct/>
        <w:topLinePunct w:val="0"/>
        <w:autoSpaceDE/>
        <w:autoSpaceDN/>
        <w:bidi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项目产出指标从</w:t>
      </w:r>
      <w:r>
        <w:rPr>
          <w:rFonts w:hint="eastAsia" w:ascii="仿宋_GB2312" w:hAnsi="仿宋_GB2312" w:eastAsia="仿宋_GB2312" w:cs="仿宋_GB2312"/>
          <w:color w:val="000000"/>
          <w:kern w:val="0"/>
          <w:sz w:val="32"/>
          <w:szCs w:val="32"/>
        </w:rPr>
        <w:t>产出数量、产出质量、产出时效、产出成本等</w:t>
      </w:r>
      <w:r>
        <w:rPr>
          <w:rFonts w:hint="eastAsia" w:ascii="仿宋_GB2312" w:hAnsi="仿宋_GB2312" w:eastAsia="仿宋_GB2312" w:cs="仿宋_GB2312"/>
          <w:sz w:val="32"/>
          <w:szCs w:val="32"/>
        </w:rPr>
        <w:t>方面对项目的管理情况进行考察，项目</w:t>
      </w:r>
      <w:r>
        <w:rPr>
          <w:rFonts w:hint="eastAsia" w:ascii="仿宋_GB2312" w:hAnsi="仿宋_GB2312" w:eastAsia="仿宋_GB2312" w:cs="仿宋_GB2312"/>
          <w:sz w:val="32"/>
          <w:szCs w:val="32"/>
          <w:lang w:val="en-US" w:eastAsia="zh-CN"/>
        </w:rPr>
        <w:t>产出</w:t>
      </w:r>
      <w:r>
        <w:rPr>
          <w:rFonts w:hint="eastAsia" w:ascii="仿宋_GB2312" w:hAnsi="仿宋_GB2312" w:eastAsia="仿宋_GB2312" w:cs="仿宋_GB2312"/>
          <w:sz w:val="32"/>
          <w:szCs w:val="32"/>
        </w:rPr>
        <w:t>类指标</w:t>
      </w:r>
      <w:r>
        <w:rPr>
          <w:rFonts w:hint="eastAsia" w:ascii="仿宋_GB2312" w:hAnsi="仿宋_GB2312" w:eastAsia="仿宋_GB2312" w:cs="仿宋_GB2312"/>
          <w:color w:val="auto"/>
          <w:sz w:val="32"/>
          <w:szCs w:val="32"/>
        </w:rPr>
        <w:t>分值</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rPr>
        <w:t>分，实际得分</w:t>
      </w:r>
      <w:r>
        <w:rPr>
          <w:rFonts w:hint="eastAsia" w:ascii="仿宋_GB2312" w:hAnsi="仿宋_GB2312" w:eastAsia="仿宋_GB2312" w:cs="仿宋_GB2312"/>
          <w:color w:val="auto"/>
          <w:sz w:val="32"/>
          <w:szCs w:val="32"/>
          <w:lang w:val="en-US" w:eastAsia="zh-CN"/>
        </w:rPr>
        <w:t>49.67</w:t>
      </w:r>
      <w:r>
        <w:rPr>
          <w:rFonts w:hint="eastAsia" w:ascii="仿宋_GB2312" w:hAnsi="仿宋_GB2312" w:eastAsia="仿宋_GB2312" w:cs="仿宋_GB2312"/>
          <w:color w:val="auto"/>
          <w:sz w:val="32"/>
          <w:szCs w:val="32"/>
        </w:rPr>
        <w:t>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得分率</w:t>
      </w:r>
      <w:r>
        <w:rPr>
          <w:rFonts w:hint="eastAsia" w:ascii="仿宋_GB2312" w:hAnsi="仿宋_GB2312" w:eastAsia="仿宋_GB2312" w:cs="仿宋_GB2312"/>
          <w:sz w:val="32"/>
          <w:szCs w:val="32"/>
          <w:lang w:val="en-US" w:eastAsia="zh-CN"/>
        </w:rPr>
        <w:t>99.34</w:t>
      </w:r>
      <w:r>
        <w:rPr>
          <w:rFonts w:hint="eastAsia" w:ascii="仿宋_GB2312" w:hAnsi="仿宋_GB2312" w:eastAsia="仿宋_GB2312" w:cs="仿宋_GB2312"/>
          <w:sz w:val="32"/>
          <w:szCs w:val="32"/>
        </w:rPr>
        <w:t>%。</w:t>
      </w:r>
    </w:p>
    <w:p>
      <w:pPr>
        <w:pStyle w:val="2"/>
        <w:keepNext w:val="0"/>
        <w:keepLines w:val="0"/>
        <w:pageBreakBefore w:val="0"/>
        <w:kinsoku/>
        <w:wordWrap/>
        <w:overflowPunct/>
        <w:topLinePunct w:val="0"/>
        <w:autoSpaceDE/>
        <w:autoSpaceDN/>
        <w:bidi w:val="0"/>
        <w:spacing w:before="0" w:after="0" w:line="560" w:lineRule="exact"/>
        <w:ind w:firstLine="643" w:firstLineChars="200"/>
        <w:jc w:val="both"/>
        <w:rPr>
          <w:rFonts w:hint="eastAsia" w:ascii="楷体_GB2312" w:hAnsi="楷体_GB2312" w:eastAsia="楷体_GB2312" w:cs="楷体_GB2312"/>
          <w:lang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四</w:t>
      </w:r>
      <w:r>
        <w:rPr>
          <w:rFonts w:hint="eastAsia" w:ascii="楷体_GB2312" w:hAnsi="楷体_GB2312" w:eastAsia="楷体_GB2312" w:cs="楷体_GB2312"/>
          <w:lang w:eastAsia="zh-CN"/>
        </w:rPr>
        <w:t>）效益情况</w:t>
      </w:r>
    </w:p>
    <w:p>
      <w:pPr>
        <w:keepNext w:val="0"/>
        <w:keepLines w:val="0"/>
        <w:pageBreakBefore w:val="0"/>
        <w:kinsoku/>
        <w:wordWrap/>
        <w:overflowPunct/>
        <w:topLinePunct w:val="0"/>
        <w:autoSpaceDE/>
        <w:autoSpaceDN/>
        <w:bidi w:val="0"/>
        <w:spacing w:line="560" w:lineRule="exact"/>
        <w:ind w:firstLine="640" w:firstLineChars="200"/>
        <w:rPr>
          <w:rFonts w:hint="eastAsia" w:ascii="仿宋_GB2312" w:hAnsi="仿宋_GB2312" w:eastAsia="仿宋_GB2312" w:cs="仿宋_GB2312"/>
          <w:sz w:val="32"/>
          <w:szCs w:val="32"/>
          <w:lang w:eastAsia="zh-CN"/>
        </w:rPr>
      </w:pPr>
      <w:r>
        <w:rPr>
          <w:rStyle w:val="51"/>
          <w:rFonts w:hint="eastAsia"/>
          <w:color w:val="auto"/>
        </w:rPr>
        <w:t>社会效益指标方</w:t>
      </w:r>
      <w:r>
        <w:rPr>
          <w:rFonts w:hint="eastAsia" w:ascii="仿宋_GB2312" w:hAnsi="仿宋_GB2312" w:eastAsia="仿宋_GB2312" w:cs="仿宋_GB2312"/>
          <w:sz w:val="32"/>
          <w:szCs w:val="32"/>
        </w:rPr>
        <w:t>面：实现新增就业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预期指标值≥100人，</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600人</w:t>
      </w:r>
      <w:r>
        <w:rPr>
          <w:rFonts w:hint="eastAsia" w:ascii="仿宋_GB2312" w:hAnsi="仿宋_GB2312" w:eastAsia="仿宋_GB2312" w:cs="仿宋_GB2312"/>
          <w:sz w:val="32"/>
          <w:szCs w:val="32"/>
          <w:lang w:eastAsia="zh-CN"/>
        </w:rPr>
        <w:t>。权重</w:t>
      </w:r>
      <w:r>
        <w:rPr>
          <w:rStyle w:val="51"/>
          <w:rFonts w:hint="eastAsia" w:eastAsia="仿宋_GB2312"/>
          <w:color w:val="auto"/>
          <w:lang w:val="en-US" w:eastAsia="zh-CN"/>
        </w:rPr>
        <w:t>7.5</w:t>
      </w:r>
      <w:r>
        <w:rPr>
          <w:rFonts w:hint="eastAsia" w:ascii="仿宋_GB2312" w:hAnsi="仿宋_GB2312" w:eastAsia="仿宋_GB2312" w:cs="仿宋_GB2312"/>
          <w:sz w:val="32"/>
          <w:szCs w:val="32"/>
          <w:lang w:eastAsia="zh-CN"/>
        </w:rPr>
        <w:t>分，得分</w:t>
      </w:r>
      <w:r>
        <w:rPr>
          <w:rStyle w:val="51"/>
          <w:rFonts w:hint="eastAsia" w:eastAsia="仿宋_GB2312"/>
          <w:color w:val="auto"/>
          <w:lang w:val="en-US" w:eastAsia="zh-CN"/>
        </w:rPr>
        <w:t>7.5</w:t>
      </w:r>
      <w:r>
        <w:rPr>
          <w:rFonts w:hint="eastAsia" w:ascii="仿宋_GB2312" w:hAnsi="仿宋_GB2312" w:eastAsia="仿宋_GB2312" w:cs="仿宋_GB2312"/>
          <w:sz w:val="32"/>
          <w:szCs w:val="32"/>
          <w:lang w:val="en-US" w:eastAsia="zh-CN"/>
        </w:rPr>
        <w:t>分，得分率</w:t>
      </w:r>
      <w:r>
        <w:rPr>
          <w:rFonts w:hint="eastAsia" w:ascii="仿宋_GB2312" w:hAnsi="仿宋_GB2312" w:eastAsia="仿宋_GB2312" w:cs="仿宋_GB2312"/>
          <w:sz w:val="32"/>
          <w:szCs w:val="32"/>
        </w:rPr>
        <w:t>100%</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lang w:val="en-US" w:eastAsia="zh-CN"/>
        </w:rPr>
        <w:t>生态效益</w:t>
      </w:r>
      <w:r>
        <w:rPr>
          <w:rFonts w:hint="eastAsia" w:ascii="仿宋_GB2312" w:hAnsi="仿宋_GB2312" w:eastAsia="仿宋_GB2312" w:cs="仿宋_GB2312"/>
          <w:sz w:val="32"/>
          <w:szCs w:val="32"/>
        </w:rPr>
        <w:t>指标方面：严禁“三高”项目进塔城</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预期指标值=0，</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lang w:eastAsia="zh-CN"/>
        </w:rPr>
        <w:t>。权重</w:t>
      </w:r>
      <w:r>
        <w:rPr>
          <w:rStyle w:val="51"/>
          <w:rFonts w:hint="eastAsia" w:eastAsia="仿宋_GB2312"/>
          <w:color w:val="auto"/>
          <w:lang w:val="en-US" w:eastAsia="zh-CN"/>
        </w:rPr>
        <w:t>7.5</w:t>
      </w:r>
      <w:r>
        <w:rPr>
          <w:rFonts w:hint="eastAsia" w:ascii="仿宋_GB2312" w:hAnsi="仿宋_GB2312" w:eastAsia="仿宋_GB2312" w:cs="仿宋_GB2312"/>
          <w:sz w:val="32"/>
          <w:szCs w:val="32"/>
          <w:highlight w:val="none"/>
          <w:lang w:eastAsia="zh-CN"/>
        </w:rPr>
        <w:t>分，得分</w:t>
      </w:r>
      <w:r>
        <w:rPr>
          <w:rStyle w:val="51"/>
          <w:rFonts w:hint="eastAsia" w:eastAsia="仿宋_GB2312"/>
          <w:color w:val="auto"/>
          <w:lang w:val="en-US" w:eastAsia="zh-CN"/>
        </w:rPr>
        <w:t>7.5</w:t>
      </w:r>
      <w:r>
        <w:rPr>
          <w:rFonts w:hint="eastAsia" w:ascii="仿宋_GB2312" w:hAnsi="仿宋_GB2312" w:eastAsia="仿宋_GB2312" w:cs="仿宋_GB2312"/>
          <w:sz w:val="32"/>
          <w:szCs w:val="32"/>
          <w:highlight w:val="none"/>
          <w:lang w:val="en-US" w:eastAsia="zh-CN"/>
        </w:rPr>
        <w:t>分，得分率</w:t>
      </w:r>
      <w:r>
        <w:rPr>
          <w:rFonts w:hint="eastAsia" w:ascii="仿宋_GB2312" w:hAnsi="仿宋_GB2312" w:eastAsia="仿宋_GB2312" w:cs="仿宋_GB2312"/>
          <w:sz w:val="32"/>
          <w:szCs w:val="32"/>
          <w:highlight w:val="none"/>
        </w:rPr>
        <w:t>100%</w:t>
      </w:r>
      <w:r>
        <w:rPr>
          <w:rFonts w:hint="eastAsia" w:ascii="仿宋_GB2312" w:hAnsi="仿宋_GB2312" w:eastAsia="仿宋_GB2312" w:cs="仿宋_GB2312"/>
          <w:sz w:val="32"/>
          <w:szCs w:val="32"/>
          <w:highlight w:val="none"/>
          <w:lang w:eastAsia="zh-CN"/>
        </w:rPr>
        <w:t>；</w:t>
      </w:r>
    </w:p>
    <w:p>
      <w:pPr>
        <w:keepNext w:val="0"/>
        <w:keepLines w:val="0"/>
        <w:pageBreakBefore w:val="0"/>
        <w:kinsoku/>
        <w:wordWrap/>
        <w:overflowPunct/>
        <w:topLinePunct w:val="0"/>
        <w:autoSpaceDE/>
        <w:autoSpaceDN/>
        <w:bidi w:val="0"/>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满意度指标方面：服务对象满意度</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预期指标值≥95%，</w:t>
      </w:r>
      <w:r>
        <w:rPr>
          <w:rFonts w:hint="eastAsia" w:ascii="仿宋_GB2312" w:hAnsi="仿宋_GB2312" w:eastAsia="仿宋_GB2312" w:cs="仿宋_GB2312"/>
          <w:sz w:val="32"/>
          <w:szCs w:val="32"/>
          <w:highlight w:val="none"/>
        </w:rPr>
        <w:t>指标完成值90</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eastAsia="zh-CN"/>
        </w:rPr>
        <w:t>。权重</w:t>
      </w:r>
      <w:r>
        <w:rPr>
          <w:rFonts w:hint="eastAsia" w:ascii="仿宋_GB2312" w:hAnsi="仿宋_GB2312" w:eastAsia="仿宋_GB2312" w:cs="仿宋_GB2312"/>
          <w:sz w:val="32"/>
          <w:szCs w:val="32"/>
          <w:highlight w:val="none"/>
          <w:lang w:val="en-US" w:eastAsia="zh-CN"/>
        </w:rPr>
        <w:t>10</w:t>
      </w:r>
      <w:r>
        <w:rPr>
          <w:rFonts w:hint="eastAsia" w:ascii="仿宋_GB2312" w:hAnsi="仿宋_GB2312" w:eastAsia="仿宋_GB2312" w:cs="仿宋_GB2312"/>
          <w:sz w:val="32"/>
          <w:szCs w:val="32"/>
          <w:highlight w:val="none"/>
          <w:lang w:eastAsia="zh-CN"/>
        </w:rPr>
        <w:t>分，实际得分</w:t>
      </w:r>
      <w:r>
        <w:rPr>
          <w:rFonts w:hint="eastAsia" w:ascii="仿宋_GB2312" w:hAnsi="仿宋_GB2312" w:eastAsia="仿宋_GB2312" w:cs="仿宋_GB2312"/>
          <w:sz w:val="32"/>
          <w:szCs w:val="32"/>
          <w:highlight w:val="none"/>
          <w:lang w:val="en-US" w:eastAsia="zh-CN"/>
        </w:rPr>
        <w:t>8分，得分率94.74</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pPr>
        <w:keepNext w:val="0"/>
        <w:keepLines w:val="0"/>
        <w:pageBreakBefore w:val="0"/>
        <w:kinsoku/>
        <w:wordWrap/>
        <w:overflowPunct/>
        <w:topLinePunct w:val="0"/>
        <w:autoSpaceDE/>
        <w:autoSpaceDN/>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项目绩效主要从项目</w:t>
      </w:r>
      <w:r>
        <w:rPr>
          <w:rFonts w:hint="eastAsia" w:ascii="仿宋_GB2312" w:hAnsi="仿宋_GB2312" w:eastAsia="仿宋_GB2312" w:cs="仿宋_GB2312"/>
          <w:sz w:val="32"/>
          <w:szCs w:val="32"/>
          <w:lang w:eastAsia="zh-CN"/>
        </w:rPr>
        <w:t>经济</w:t>
      </w:r>
      <w:r>
        <w:rPr>
          <w:rFonts w:hint="eastAsia" w:ascii="仿宋_GB2312" w:hAnsi="仿宋_GB2312" w:eastAsia="仿宋_GB2312" w:cs="仿宋_GB2312"/>
          <w:sz w:val="32"/>
          <w:szCs w:val="32"/>
        </w:rPr>
        <w:t>效益</w:t>
      </w:r>
      <w:r>
        <w:rPr>
          <w:rFonts w:hint="eastAsia" w:ascii="仿宋_GB2312" w:hAnsi="仿宋_GB2312" w:eastAsia="仿宋_GB2312" w:cs="仿宋_GB2312"/>
          <w:sz w:val="32"/>
          <w:szCs w:val="32"/>
          <w:lang w:eastAsia="zh-CN"/>
        </w:rPr>
        <w:t>、社会效益、</w:t>
      </w:r>
      <w:r>
        <w:rPr>
          <w:rFonts w:hint="eastAsia" w:ascii="仿宋_GB2312" w:hAnsi="仿宋_GB2312" w:eastAsia="仿宋_GB2312" w:cs="仿宋_GB2312"/>
          <w:sz w:val="32"/>
          <w:szCs w:val="32"/>
          <w:lang w:val="en-US" w:eastAsia="zh-CN"/>
        </w:rPr>
        <w:t>生态效益、</w:t>
      </w:r>
      <w:r>
        <w:rPr>
          <w:rFonts w:hint="eastAsia" w:ascii="仿宋_GB2312" w:hAnsi="仿宋_GB2312" w:eastAsia="仿宋_GB2312" w:cs="仿宋_GB2312"/>
          <w:sz w:val="32"/>
          <w:szCs w:val="32"/>
          <w:lang w:eastAsia="zh-CN"/>
        </w:rPr>
        <w:t>可持续影响指标</w:t>
      </w:r>
      <w:r>
        <w:rPr>
          <w:rFonts w:hint="eastAsia" w:ascii="仿宋_GB2312" w:hAnsi="仿宋_GB2312" w:eastAsia="仿宋_GB2312" w:cs="仿宋_GB2312"/>
          <w:sz w:val="32"/>
          <w:szCs w:val="32"/>
        </w:rPr>
        <w:t>及满意度</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个方面对项目的绩效情况进行评价。项目绩效类指标</w:t>
      </w:r>
      <w:r>
        <w:rPr>
          <w:rFonts w:hint="eastAsia" w:ascii="仿宋_GB2312" w:hAnsi="仿宋_GB2312" w:eastAsia="仿宋_GB2312" w:cs="仿宋_GB2312"/>
          <w:color w:val="auto"/>
          <w:sz w:val="32"/>
          <w:szCs w:val="32"/>
        </w:rPr>
        <w:t>分值</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0分，实际得分</w:t>
      </w:r>
      <w:r>
        <w:rPr>
          <w:rFonts w:hint="eastAsia" w:ascii="仿宋_GB2312" w:hAnsi="仿宋_GB2312" w:eastAsia="仿宋_GB2312" w:cs="仿宋_GB2312"/>
          <w:color w:val="auto"/>
          <w:sz w:val="32"/>
          <w:szCs w:val="32"/>
          <w:lang w:val="en-US" w:eastAsia="zh-CN"/>
        </w:rPr>
        <w:t>38</w:t>
      </w:r>
      <w:r>
        <w:rPr>
          <w:rFonts w:hint="eastAsia" w:ascii="仿宋_GB2312" w:hAnsi="仿宋_GB2312" w:eastAsia="仿宋_GB2312" w:cs="仿宋_GB2312"/>
          <w:color w:val="auto"/>
          <w:sz w:val="32"/>
          <w:szCs w:val="32"/>
        </w:rPr>
        <w:t>分。</w:t>
      </w:r>
    </w:p>
    <w:p>
      <w:pPr>
        <w:keepNext w:val="0"/>
        <w:keepLines w:val="0"/>
        <w:pageBreakBefore w:val="0"/>
        <w:kinsoku/>
        <w:wordWrap/>
        <w:overflowPunct/>
        <w:topLinePunct w:val="0"/>
        <w:autoSpaceDE/>
        <w:autoSpaceDN/>
        <w:bidi w:val="0"/>
        <w:spacing w:line="560" w:lineRule="exact"/>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五、主要经验及做法、存在的问题及原因分析</w:t>
      </w:r>
    </w:p>
    <w:p>
      <w:pPr>
        <w:keepNext w:val="0"/>
        <w:keepLines w:val="0"/>
        <w:pageBreakBefore w:val="0"/>
        <w:kinsoku/>
        <w:wordWrap/>
        <w:overflowPunct/>
        <w:topLinePunct w:val="0"/>
        <w:autoSpaceDE/>
        <w:autoSpaceDN/>
        <w:bidi w:val="0"/>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（一）主要经验及做法</w:t>
      </w:r>
    </w:p>
    <w:p>
      <w:pPr>
        <w:keepNext w:val="0"/>
        <w:keepLines w:val="0"/>
        <w:pageBreakBefore w:val="0"/>
        <w:kinsoku/>
        <w:wordWrap/>
        <w:overflowPunct/>
        <w:topLinePunct w:val="0"/>
        <w:autoSpaceDE/>
        <w:autoSpaceDN/>
        <w:bidi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w:t>
      </w:r>
      <w:r>
        <w:rPr>
          <w:rFonts w:hint="eastAsia" w:ascii="仿宋_GB2312" w:hAnsi="仿宋_GB2312" w:eastAsia="仿宋_GB2312" w:cs="仿宋_GB2312"/>
          <w:sz w:val="32"/>
          <w:szCs w:val="32"/>
          <w:lang w:eastAsia="zh-CN"/>
        </w:rPr>
        <w:t>到</w:t>
      </w:r>
      <w:r>
        <w:rPr>
          <w:rFonts w:hint="eastAsia" w:ascii="仿宋_GB2312" w:hAnsi="仿宋_GB2312" w:eastAsia="仿宋_GB2312" w:cs="仿宋_GB2312"/>
          <w:sz w:val="32"/>
          <w:szCs w:val="32"/>
        </w:rPr>
        <w:t>实处。在项目完成后，做好受益群众民意调查及项目防范工作。</w:t>
      </w:r>
    </w:p>
    <w:p>
      <w:pPr>
        <w:pStyle w:val="2"/>
        <w:keepNext w:val="0"/>
        <w:keepLines w:val="0"/>
        <w:pageBreakBefore w:val="0"/>
        <w:kinsoku/>
        <w:wordWrap/>
        <w:overflowPunct/>
        <w:topLinePunct w:val="0"/>
        <w:autoSpaceDE/>
        <w:autoSpaceDN/>
        <w:bidi w:val="0"/>
        <w:spacing w:before="0" w:after="0" w:line="560" w:lineRule="exact"/>
        <w:ind w:firstLine="640" w:firstLineChars="200"/>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从事中监督和事后检查稽核相结合的监督制度上来，形成多环节全过程的监督管理格局，尽早发现问题，早解决问题。</w:t>
      </w:r>
    </w:p>
    <w:p>
      <w:pPr>
        <w:keepNext w:val="0"/>
        <w:keepLines w:val="0"/>
        <w:pageBreakBefore w:val="0"/>
        <w:kinsoku/>
        <w:wordWrap/>
        <w:overflowPunct/>
        <w:topLinePunct w:val="0"/>
        <w:autoSpaceDE/>
        <w:autoSpaceDN/>
        <w:bidi w:val="0"/>
        <w:spacing w:line="56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lang w:eastAsia="zh-CN"/>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lang w:eastAsia="zh-CN"/>
        </w:rPr>
        <w:t>）</w:t>
      </w:r>
      <w:r>
        <w:rPr>
          <w:rFonts w:hint="eastAsia" w:ascii="楷体" w:hAnsi="楷体" w:eastAsia="楷体"/>
          <w:b/>
          <w:spacing w:val="-4"/>
          <w:sz w:val="32"/>
          <w:szCs w:val="32"/>
        </w:rPr>
        <w:t>存在的问题及原因分析</w:t>
      </w:r>
    </w:p>
    <w:p>
      <w:pPr>
        <w:pStyle w:val="2"/>
        <w:keepNext w:val="0"/>
        <w:keepLines w:val="0"/>
        <w:pageBreakBefore w:val="0"/>
        <w:numPr>
          <w:ilvl w:val="0"/>
          <w:numId w:val="3"/>
        </w:numPr>
        <w:kinsoku/>
        <w:wordWrap/>
        <w:overflowPunct/>
        <w:topLinePunct w:val="0"/>
        <w:autoSpaceDE/>
        <w:autoSpaceDN/>
        <w:bidi w:val="0"/>
        <w:spacing w:before="0" w:after="0" w:line="560" w:lineRule="exact"/>
        <w:ind w:firstLine="643" w:firstLineChars="200"/>
        <w:jc w:val="both"/>
        <w:rPr>
          <w:rFonts w:hint="eastAsia" w:ascii="仿宋_GB2312" w:hAnsi="仿宋_GB2312" w:eastAsia="仿宋_GB2312" w:cs="仿宋_GB2312"/>
          <w:b/>
          <w:bCs/>
          <w:kern w:val="2"/>
        </w:rPr>
      </w:pPr>
      <w:r>
        <w:rPr>
          <w:rFonts w:hint="eastAsia" w:ascii="仿宋_GB2312" w:hAnsi="仿宋_GB2312" w:eastAsia="仿宋_GB2312" w:cs="仿宋_GB2312"/>
          <w:b/>
          <w:bCs/>
          <w:kern w:val="2"/>
        </w:rPr>
        <w:t>存在的问题</w:t>
      </w:r>
    </w:p>
    <w:p>
      <w:pPr>
        <w:keepNext w:val="0"/>
        <w:keepLines w:val="0"/>
        <w:pageBreakBefore w:val="0"/>
        <w:kinsoku/>
        <w:wordWrap/>
        <w:overflowPunct/>
        <w:topLinePunct w:val="0"/>
        <w:autoSpaceDE/>
        <w:autoSpaceDN/>
        <w:bidi w:val="0"/>
        <w:spacing w:line="560" w:lineRule="exact"/>
        <w:rPr>
          <w:rFonts w:hint="default" w:eastAsia="仿宋_GB2312"/>
          <w:lang w:val="en-US" w:eastAsia="zh-CN"/>
        </w:rPr>
      </w:pPr>
      <w:r>
        <w:rPr>
          <w:rFonts w:hint="eastAsia" w:ascii="仿宋_GB2312" w:hAnsi="仿宋_GB2312" w:eastAsia="仿宋_GB2312" w:cs="仿宋_GB2312"/>
          <w:b w:val="0"/>
          <w:bCs w:val="0"/>
          <w:kern w:val="2"/>
          <w:lang w:val="en-US" w:eastAsia="zh-CN"/>
        </w:rPr>
        <w:t xml:space="preserve">    </w:t>
      </w:r>
      <w:r>
        <w:rPr>
          <w:rFonts w:hint="eastAsia" w:ascii="仿宋_GB2312" w:hAnsi="仿宋_GB2312" w:eastAsia="仿宋_GB2312" w:cs="仿宋_GB2312"/>
          <w:kern w:val="2"/>
          <w:sz w:val="32"/>
          <w:szCs w:val="32"/>
          <w:lang w:val="en-US" w:eastAsia="zh-CN" w:bidi="ar-SA"/>
        </w:rPr>
        <w:t xml:space="preserve">  今年以来，受全国传染病防治影响，计划中众多外出招商活动场所未能按计划按期开展；部分投资企业计划来塔城实地考察，与地区领导当面洽谈等在不同程度上都受到了影响，未能及时推进。</w:t>
      </w:r>
    </w:p>
    <w:p>
      <w:pPr>
        <w:keepNext w:val="0"/>
        <w:keepLines w:val="0"/>
        <w:pageBreakBefore w:val="0"/>
        <w:numPr>
          <w:ilvl w:val="0"/>
          <w:numId w:val="3"/>
        </w:numPr>
        <w:kinsoku/>
        <w:wordWrap/>
        <w:overflowPunct/>
        <w:topLinePunct w:val="0"/>
        <w:autoSpaceDE/>
        <w:autoSpaceDN/>
        <w:bidi w:val="0"/>
        <w:spacing w:line="560" w:lineRule="exact"/>
        <w:ind w:left="0" w:leftChars="0"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原因分析</w:t>
      </w:r>
    </w:p>
    <w:p>
      <w:pPr>
        <w:pStyle w:val="13"/>
        <w:keepNext w:val="0"/>
        <w:keepLines w:val="0"/>
        <w:pageBreakBefore w:val="0"/>
        <w:numPr>
          <w:ilvl w:val="0"/>
          <w:numId w:val="0"/>
        </w:numPr>
        <w:kinsoku/>
        <w:wordWrap/>
        <w:overflowPunct/>
        <w:topLinePunct w:val="0"/>
        <w:autoSpaceDE/>
        <w:autoSpaceDN/>
        <w:bidi w:val="0"/>
        <w:spacing w:after="0" w:line="560" w:lineRule="exact"/>
        <w:ind w:firstLine="640" w:firstLineChars="200"/>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主要是受2020年全国及新疆范围内传染病防治影响。</w:t>
      </w:r>
    </w:p>
    <w:p>
      <w:pPr>
        <w:keepNext w:val="0"/>
        <w:keepLines w:val="0"/>
        <w:pageBreakBefore w:val="0"/>
        <w:kinsoku/>
        <w:wordWrap/>
        <w:overflowPunct/>
        <w:topLinePunct w:val="0"/>
        <w:autoSpaceDE/>
        <w:autoSpaceDN/>
        <w:bidi w:val="0"/>
        <w:spacing w:line="560" w:lineRule="exact"/>
        <w:ind w:firstLine="602" w:firstLineChars="200"/>
        <w:rPr>
          <w:rFonts w:hint="eastAsia" w:ascii="黑体" w:hAnsi="黑体" w:eastAsia="黑体" w:cs="黑体"/>
          <w:b/>
          <w:bCs/>
          <w:sz w:val="30"/>
          <w:szCs w:val="30"/>
        </w:rPr>
      </w:pPr>
      <w:r>
        <w:rPr>
          <w:rFonts w:hint="eastAsia" w:ascii="黑体" w:hAnsi="黑体" w:eastAsia="黑体" w:cs="黑体"/>
          <w:b/>
          <w:bCs/>
          <w:sz w:val="30"/>
          <w:szCs w:val="30"/>
          <w:lang w:eastAsia="zh-CN"/>
        </w:rPr>
        <w:t>六、</w:t>
      </w:r>
      <w:r>
        <w:rPr>
          <w:rFonts w:hint="eastAsia" w:ascii="黑体" w:hAnsi="黑体" w:eastAsia="黑体" w:cs="黑体"/>
          <w:b/>
          <w:bCs/>
          <w:sz w:val="30"/>
          <w:szCs w:val="30"/>
        </w:rPr>
        <w:t>有关建议</w:t>
      </w:r>
    </w:p>
    <w:p>
      <w:pPr>
        <w:keepNext w:val="0"/>
        <w:keepLines w:val="0"/>
        <w:pageBreakBefore w:val="0"/>
        <w:numPr>
          <w:ilvl w:val="0"/>
          <w:numId w:val="4"/>
        </w:numPr>
        <w:kinsoku/>
        <w:wordWrap/>
        <w:overflowPunct/>
        <w:topLinePunct w:val="0"/>
        <w:autoSpaceDE/>
        <w:autoSpaceDN/>
        <w:bidi w:val="0"/>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keepNext w:val="0"/>
        <w:keepLines w:val="0"/>
        <w:pageBreakBefore w:val="0"/>
        <w:numPr>
          <w:ilvl w:val="0"/>
          <w:numId w:val="4"/>
        </w:numPr>
        <w:kinsoku/>
        <w:wordWrap/>
        <w:overflowPunct/>
        <w:topLinePunct w:val="0"/>
        <w:autoSpaceDE/>
        <w:autoSpaceDN/>
        <w:bidi w:val="0"/>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财政和项目实施单位严格实行“三专”管理，即设专户、建专帐、定专人。同时，资金拨付除坚持按项目计划、工程进度和质量分阶段验收拨款外，还坚持部门联审制，项目单位先做事、后</w:t>
      </w:r>
      <w:r>
        <w:rPr>
          <w:rFonts w:hint="eastAsia" w:ascii="仿宋_GB2312" w:hAnsi="仿宋_GB2312" w:eastAsia="仿宋_GB2312" w:cs="仿宋_GB2312"/>
          <w:sz w:val="32"/>
          <w:szCs w:val="32"/>
          <w:lang w:eastAsia="zh-CN"/>
        </w:rPr>
        <w:t>报账</w:t>
      </w:r>
      <w:r>
        <w:rPr>
          <w:rFonts w:hint="eastAsia" w:ascii="仿宋_GB2312" w:hAnsi="仿宋_GB2312" w:eastAsia="仿宋_GB2312" w:cs="仿宋_GB2312"/>
          <w:sz w:val="32"/>
          <w:szCs w:val="32"/>
        </w:rPr>
        <w:t>，从而确保专项资金专款专用，有效地防止了截留、挤占和挪用。</w:t>
      </w:r>
    </w:p>
    <w:p>
      <w:pPr>
        <w:pStyle w:val="13"/>
        <w:keepNext w:val="0"/>
        <w:keepLines w:val="0"/>
        <w:pageBreakBefore w:val="0"/>
        <w:kinsoku/>
        <w:wordWrap/>
        <w:overflowPunct/>
        <w:topLinePunct w:val="0"/>
        <w:autoSpaceDE/>
        <w:autoSpaceDN/>
        <w:bidi w:val="0"/>
        <w:spacing w:after="0" w:line="560" w:lineRule="exact"/>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还需要在做好投资企业引导、服务工作上持续用力，让投资业主切实感受到塔城地区热切欢迎投资业主的诚挚态度，体会到政府为投资业主办实事的扎实作风，增强企业落实户塔城，发展经济的信心和决心，从而留得住，干得好，肯努力，能赚钱，能发展。</w:t>
      </w:r>
    </w:p>
    <w:p>
      <w:pPr>
        <w:keepNext w:val="0"/>
        <w:keepLines w:val="0"/>
        <w:pageBreakBefore w:val="0"/>
        <w:kinsoku/>
        <w:wordWrap/>
        <w:overflowPunct/>
        <w:topLinePunct w:val="0"/>
        <w:autoSpaceDE/>
        <w:autoSpaceDN/>
        <w:bidi w:val="0"/>
        <w:spacing w:line="560" w:lineRule="exact"/>
        <w:ind w:firstLine="602" w:firstLineChars="200"/>
        <w:rPr>
          <w:rFonts w:hint="eastAsia" w:ascii="黑体" w:hAnsi="黑体" w:eastAsia="黑体" w:cs="黑体"/>
          <w:b/>
          <w:bCs/>
          <w:sz w:val="30"/>
          <w:szCs w:val="30"/>
        </w:rPr>
      </w:pPr>
      <w:r>
        <w:rPr>
          <w:rFonts w:hint="eastAsia" w:ascii="黑体" w:hAnsi="黑体" w:eastAsia="黑体" w:cs="黑体"/>
          <w:b/>
          <w:bCs/>
          <w:sz w:val="30"/>
          <w:szCs w:val="30"/>
          <w:lang w:eastAsia="zh-CN"/>
        </w:rPr>
        <w:t>七、</w:t>
      </w:r>
      <w:r>
        <w:rPr>
          <w:rFonts w:hint="eastAsia" w:ascii="黑体" w:hAnsi="黑体" w:eastAsia="黑体" w:cs="黑体"/>
          <w:b/>
          <w:bCs/>
          <w:sz w:val="30"/>
          <w:szCs w:val="30"/>
        </w:rPr>
        <w:t>其他需要说</w:t>
      </w:r>
      <w:bookmarkStart w:id="1" w:name="page8"/>
      <w:bookmarkEnd w:id="1"/>
      <w:r>
        <w:rPr>
          <w:rFonts w:hint="eastAsia" w:ascii="黑体" w:hAnsi="黑体" w:eastAsia="黑体" w:cs="黑体"/>
          <w:b/>
          <w:bCs/>
          <w:sz w:val="30"/>
          <w:szCs w:val="30"/>
        </w:rPr>
        <w:t>明的问题</w:t>
      </w:r>
    </w:p>
    <w:p>
      <w:pPr>
        <w:keepNext w:val="0"/>
        <w:keepLines w:val="0"/>
        <w:pageBreakBefore w:val="0"/>
        <w:kinsoku/>
        <w:wordWrap/>
        <w:overflowPunct/>
        <w:topLinePunct w:val="0"/>
        <w:autoSpaceDE/>
        <w:autoSpaceDN/>
        <w:bidi w:val="0"/>
        <w:spacing w:line="560" w:lineRule="exact"/>
        <w:ind w:firstLine="600" w:firstLineChars="200"/>
        <w:rPr>
          <w:rFonts w:hint="eastAsia" w:ascii="仿宋" w:hAnsi="仿宋" w:eastAsia="仿宋" w:cs="仿宋"/>
          <w:color w:val="333333"/>
          <w:sz w:val="30"/>
          <w:szCs w:val="30"/>
          <w:lang w:eastAsia="zh-CN"/>
        </w:rPr>
      </w:pPr>
      <w:r>
        <w:rPr>
          <w:rFonts w:hint="eastAsia" w:ascii="仿宋" w:hAnsi="仿宋" w:eastAsia="仿宋" w:cs="仿宋"/>
          <w:color w:val="333333"/>
          <w:sz w:val="30"/>
          <w:szCs w:val="30"/>
        </w:rPr>
        <w:t>无</w:t>
      </w:r>
      <w:r>
        <w:rPr>
          <w:rFonts w:hint="eastAsia" w:ascii="仿宋" w:hAnsi="仿宋" w:eastAsia="仿宋" w:cs="仿宋"/>
          <w:color w:val="333333"/>
          <w:sz w:val="30"/>
          <w:szCs w:val="30"/>
          <w:lang w:eastAsia="zh-CN"/>
        </w:rPr>
        <w:t>。</w:t>
      </w:r>
    </w:p>
    <w:p>
      <w:pPr>
        <w:keepNext w:val="0"/>
        <w:keepLines w:val="0"/>
        <w:pageBreakBefore w:val="0"/>
        <w:kinsoku/>
        <w:wordWrap/>
        <w:overflowPunct/>
        <w:topLinePunct w:val="0"/>
        <w:autoSpaceDE/>
        <w:autoSpaceDN/>
        <w:bidi w:val="0"/>
        <w:spacing w:line="560" w:lineRule="exact"/>
        <w:ind w:firstLine="600" w:firstLineChars="200"/>
        <w:rPr>
          <w:rFonts w:hint="eastAsia" w:ascii="方正黑体_GBK" w:hAnsi="方正黑体_GBK" w:eastAsia="方正黑体_GBK" w:cs="方正黑体_GBK"/>
          <w:sz w:val="30"/>
          <w:szCs w:val="30"/>
        </w:rPr>
      </w:pPr>
    </w:p>
    <w:p>
      <w:pPr>
        <w:pStyle w:val="13"/>
        <w:keepNext w:val="0"/>
        <w:keepLines w:val="0"/>
        <w:pageBreakBefore w:val="0"/>
        <w:kinsoku/>
        <w:wordWrap/>
        <w:overflowPunct/>
        <w:topLinePunct w:val="0"/>
        <w:autoSpaceDE/>
        <w:autoSpaceDN/>
        <w:bidi w:val="0"/>
        <w:spacing w:after="0" w:line="560" w:lineRule="exact"/>
      </w:pPr>
    </w:p>
    <w:p>
      <w:pPr>
        <w:pStyle w:val="13"/>
        <w:keepNext w:val="0"/>
        <w:keepLines w:val="0"/>
        <w:pageBreakBefore w:val="0"/>
        <w:kinsoku/>
        <w:wordWrap/>
        <w:overflowPunct/>
        <w:topLinePunct w:val="0"/>
        <w:autoSpaceDE/>
        <w:autoSpaceDN/>
        <w:bidi w:val="0"/>
        <w:spacing w:after="0" w:line="560" w:lineRule="exact"/>
      </w:pPr>
    </w:p>
    <w:p>
      <w:pPr>
        <w:pStyle w:val="13"/>
        <w:keepNext w:val="0"/>
        <w:keepLines w:val="0"/>
        <w:pageBreakBefore w:val="0"/>
        <w:kinsoku/>
        <w:wordWrap/>
        <w:overflowPunct/>
        <w:topLinePunct w:val="0"/>
        <w:autoSpaceDE/>
        <w:autoSpaceDN/>
        <w:bidi w:val="0"/>
        <w:spacing w:after="0" w:line="560" w:lineRule="exact"/>
      </w:pPr>
    </w:p>
    <w:p>
      <w:pPr>
        <w:pStyle w:val="13"/>
        <w:keepNext w:val="0"/>
        <w:keepLines w:val="0"/>
        <w:pageBreakBefore w:val="0"/>
        <w:kinsoku/>
        <w:wordWrap/>
        <w:overflowPunct/>
        <w:topLinePunct w:val="0"/>
        <w:autoSpaceDE/>
        <w:autoSpaceDN/>
        <w:bidi w:val="0"/>
        <w:spacing w:after="0" w:line="560" w:lineRule="exact"/>
      </w:pPr>
    </w:p>
    <w:p>
      <w:pPr>
        <w:pStyle w:val="13"/>
        <w:keepNext w:val="0"/>
        <w:keepLines w:val="0"/>
        <w:pageBreakBefore w:val="0"/>
        <w:kinsoku/>
        <w:wordWrap/>
        <w:overflowPunct/>
        <w:topLinePunct w:val="0"/>
        <w:autoSpaceDE/>
        <w:autoSpaceDN/>
        <w:bidi w:val="0"/>
        <w:spacing w:after="0" w:line="560" w:lineRule="exact"/>
      </w:pPr>
    </w:p>
    <w:p>
      <w:pPr>
        <w:pStyle w:val="13"/>
        <w:keepNext w:val="0"/>
        <w:keepLines w:val="0"/>
        <w:pageBreakBefore w:val="0"/>
        <w:kinsoku/>
        <w:wordWrap/>
        <w:overflowPunct/>
        <w:topLinePunct w:val="0"/>
        <w:autoSpaceDE/>
        <w:autoSpaceDN/>
        <w:bidi w:val="0"/>
        <w:spacing w:after="0" w:line="560" w:lineRule="exact"/>
      </w:pPr>
    </w:p>
    <w:p>
      <w:pPr>
        <w:pStyle w:val="13"/>
        <w:keepNext w:val="0"/>
        <w:keepLines w:val="0"/>
        <w:pageBreakBefore w:val="0"/>
        <w:kinsoku/>
        <w:wordWrap/>
        <w:overflowPunct/>
        <w:topLinePunct w:val="0"/>
        <w:autoSpaceDE/>
        <w:autoSpaceDN/>
        <w:bidi w:val="0"/>
        <w:spacing w:after="0" w:line="560" w:lineRule="exact"/>
      </w:pPr>
    </w:p>
    <w:p>
      <w:pPr>
        <w:pStyle w:val="13"/>
        <w:keepNext w:val="0"/>
        <w:keepLines w:val="0"/>
        <w:pageBreakBefore w:val="0"/>
        <w:kinsoku/>
        <w:wordWrap/>
        <w:overflowPunct/>
        <w:topLinePunct w:val="0"/>
        <w:autoSpaceDE/>
        <w:autoSpaceDN/>
        <w:bidi w:val="0"/>
        <w:spacing w:after="0" w:line="560" w:lineRule="exact"/>
      </w:pPr>
    </w:p>
    <w:p>
      <w:pPr>
        <w:pStyle w:val="13"/>
        <w:keepNext w:val="0"/>
        <w:keepLines w:val="0"/>
        <w:pageBreakBefore w:val="0"/>
        <w:kinsoku/>
        <w:wordWrap/>
        <w:overflowPunct/>
        <w:topLinePunct w:val="0"/>
        <w:autoSpaceDE/>
        <w:autoSpaceDN/>
        <w:bidi w:val="0"/>
        <w:spacing w:after="0" w:line="560" w:lineRule="exact"/>
      </w:pPr>
    </w:p>
    <w:p>
      <w:pPr>
        <w:pStyle w:val="13"/>
        <w:keepNext w:val="0"/>
        <w:keepLines w:val="0"/>
        <w:pageBreakBefore w:val="0"/>
        <w:kinsoku/>
        <w:wordWrap/>
        <w:overflowPunct/>
        <w:topLinePunct w:val="0"/>
        <w:autoSpaceDE/>
        <w:autoSpaceDN/>
        <w:bidi w:val="0"/>
        <w:spacing w:after="0" w:line="560" w:lineRule="exact"/>
        <w:sectPr>
          <w:footerReference r:id="rId3" w:type="default"/>
          <w:pgSz w:w="11906" w:h="16838"/>
          <w:pgMar w:top="1440" w:right="1558" w:bottom="1440" w:left="1800" w:header="851" w:footer="992" w:gutter="0"/>
          <w:cols w:space="425" w:num="1"/>
          <w:docGrid w:type="lines" w:linePitch="312" w:charSpace="0"/>
        </w:sectPr>
      </w:pPr>
    </w:p>
    <w:p>
      <w:pPr>
        <w:keepNext w:val="0"/>
        <w:keepLines w:val="0"/>
        <w:pageBreakBefore w:val="0"/>
        <w:kinsoku/>
        <w:wordWrap/>
        <w:overflowPunct/>
        <w:topLinePunct w:val="0"/>
        <w:autoSpaceDE/>
        <w:autoSpaceDN/>
        <w:bidi w:val="0"/>
        <w:spacing w:line="560" w:lineRule="exact"/>
        <w:rPr>
          <w:rFonts w:hint="eastAsia" w:ascii="仿宋_GB2312"/>
          <w:bCs/>
          <w:sz w:val="32"/>
          <w:szCs w:val="32"/>
          <w:lang w:val="en-US" w:eastAsia="zh-CN"/>
        </w:rPr>
      </w:pPr>
      <w:r>
        <w:rPr>
          <w:rFonts w:hint="eastAsia" w:ascii="仿宋_GB2312"/>
          <w:bCs/>
          <w:sz w:val="32"/>
          <w:szCs w:val="32"/>
          <w:lang w:val="en-US" w:eastAsia="zh-CN"/>
        </w:rPr>
        <w:t>附件1</w:t>
      </w:r>
    </w:p>
    <w:tbl>
      <w:tblPr>
        <w:tblStyle w:val="20"/>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585"/>
        <w:gridCol w:w="5784"/>
        <w:gridCol w:w="924"/>
        <w:gridCol w:w="91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67"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585"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5784"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924" w:type="dxa"/>
            <w:shd w:val="clear" w:color="auto" w:fill="FFFFFF"/>
            <w:noWrap w:val="0"/>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hint="default"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权重</w:t>
            </w:r>
          </w:p>
        </w:tc>
        <w:tc>
          <w:tcPr>
            <w:tcW w:w="911" w:type="dxa"/>
            <w:shd w:val="clear" w:color="auto" w:fill="FFFFFF"/>
            <w:noWrap w:val="0"/>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keepNext w:val="0"/>
              <w:keepLines w:val="0"/>
              <w:pageBreakBefore w:val="0"/>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67" w:type="dxa"/>
            <w:vMerge w:val="restart"/>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　</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立项依据</w:t>
            </w:r>
          </w:p>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充分性</w:t>
            </w:r>
          </w:p>
        </w:tc>
        <w:tc>
          <w:tcPr>
            <w:tcW w:w="2585"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项目立项是否符合法律法规、相关政策、发展规划以及部门职责，用以反映和考核项目立项依据情况。</w:t>
            </w:r>
          </w:p>
        </w:tc>
        <w:tc>
          <w:tcPr>
            <w:tcW w:w="5784"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①项目立项是否符合国家法律法规、国民经济发展规划和相关政策；</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②项目立项是否符合行业发展规划和政策要求；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③项目立项是否与部门职责范围相符，属于部门履职所需；</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④项目是否属于公共财政支持范围，是否符合中央、地方事权支出责任划分原则；</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⑤项目是否与相关部门同类项目或部门内部相关项目重复。</w:t>
            </w:r>
          </w:p>
        </w:tc>
        <w:tc>
          <w:tcPr>
            <w:tcW w:w="924"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0.5</w:t>
            </w:r>
          </w:p>
        </w:tc>
        <w:tc>
          <w:tcPr>
            <w:tcW w:w="911"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noWrap w:val="0"/>
            <w:vAlign w:val="center"/>
          </w:tcPr>
          <w:p>
            <w:pPr>
              <w:keepNext w:val="0"/>
              <w:keepLines w:val="0"/>
              <w:pageBreakBefore w:val="0"/>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立项程序</w:t>
            </w:r>
          </w:p>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规范性</w:t>
            </w:r>
          </w:p>
        </w:tc>
        <w:tc>
          <w:tcPr>
            <w:tcW w:w="2585"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项目申请、设立过程是否符合相关要求，用以反映和考核项目立项的规范情况。</w:t>
            </w:r>
          </w:p>
        </w:tc>
        <w:tc>
          <w:tcPr>
            <w:tcW w:w="5784"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①项目是否按照规定的程序申请设立；</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②审批文件、材料是否符合相关要求；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③事前是否已经过必要的可行性研究、专家论证、风险评估、绩效评估、集体决策。</w:t>
            </w:r>
          </w:p>
        </w:tc>
        <w:tc>
          <w:tcPr>
            <w:tcW w:w="924"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0.5</w:t>
            </w:r>
          </w:p>
        </w:tc>
        <w:tc>
          <w:tcPr>
            <w:tcW w:w="911"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noWrap w:val="0"/>
            <w:vAlign w:val="center"/>
          </w:tcPr>
          <w:p>
            <w:pPr>
              <w:keepNext w:val="0"/>
              <w:keepLines w:val="0"/>
              <w:pageBreakBefore w:val="0"/>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p>
        </w:tc>
        <w:tc>
          <w:tcPr>
            <w:tcW w:w="767"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　</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2585"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项目所设定的绩效目标是否依据充分，是否符合客观实际，用以反映和考核项目绩效目标与项目实施的相符情况。</w:t>
            </w:r>
          </w:p>
        </w:tc>
        <w:tc>
          <w:tcPr>
            <w:tcW w:w="5784"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（如未设定预算绩效目标，也可考核其他工作任务目标）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①项目是否有绩效目标；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②项目绩效目标与实际工作内容是否具有相关性；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③项目预期产出效益和效果是否符合正常的业绩水平；</w:t>
            </w:r>
          </w:p>
          <w:p>
            <w:pPr>
              <w:keepNext w:val="0"/>
              <w:keepLines w:val="0"/>
              <w:pageBreakBefore w:val="0"/>
              <w:widowControl/>
              <w:kinsoku/>
              <w:wordWrap/>
              <w:overflowPunct/>
              <w:topLinePunct w:val="0"/>
              <w:autoSpaceDE/>
              <w:autoSpaceDN/>
              <w:bidi w:val="0"/>
              <w:spacing w:line="56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④是否与预算确定的项目投资额或资金量相匹配。</w:t>
            </w:r>
          </w:p>
        </w:tc>
        <w:tc>
          <w:tcPr>
            <w:tcW w:w="924"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w:t>
            </w:r>
          </w:p>
        </w:tc>
        <w:tc>
          <w:tcPr>
            <w:tcW w:w="911"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tc>
        <w:tc>
          <w:tcPr>
            <w:tcW w:w="767"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绩效指标</w:t>
            </w:r>
          </w:p>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明确性</w:t>
            </w:r>
          </w:p>
        </w:tc>
        <w:tc>
          <w:tcPr>
            <w:tcW w:w="2585"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依据绩效目标设定的绩效指标是否清晰、细化、可衡量等，用以反映和考核项目绩效目标的明细化情况。</w:t>
            </w:r>
          </w:p>
        </w:tc>
        <w:tc>
          <w:tcPr>
            <w:tcW w:w="5784"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①是否将项目绩效目标细化分解为具体的绩效指标；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②是否通过清晰、可衡量的指标值予以体现；</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③是否与项目目标任务数或计划数相对应。</w:t>
            </w:r>
            <w:r>
              <w:rPr>
                <w:rFonts w:hint="eastAsia" w:ascii="宋体" w:hAnsi="宋体" w:eastAsia="宋体" w:cs="宋体"/>
                <w:color w:val="000000"/>
                <w:kern w:val="0"/>
                <w:sz w:val="18"/>
                <w:szCs w:val="18"/>
              </w:rPr>
              <w:br w:type="textWrapping"/>
            </w:r>
          </w:p>
        </w:tc>
        <w:tc>
          <w:tcPr>
            <w:tcW w:w="924"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911"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noWrap w:val="0"/>
            <w:vAlign w:val="center"/>
          </w:tcPr>
          <w:p>
            <w:pPr>
              <w:keepNext w:val="0"/>
              <w:keepLines w:val="0"/>
              <w:pageBreakBefore w:val="0"/>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p>
        </w:tc>
        <w:tc>
          <w:tcPr>
            <w:tcW w:w="767" w:type="dxa"/>
            <w:vMerge w:val="restart"/>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p>
            <w:pPr>
              <w:keepNext w:val="0"/>
              <w:keepLines w:val="0"/>
              <w:pageBreakBefore w:val="0"/>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预算编制</w:t>
            </w:r>
          </w:p>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科学性</w:t>
            </w:r>
          </w:p>
        </w:tc>
        <w:tc>
          <w:tcPr>
            <w:tcW w:w="2585"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项目预算编制是否经过科学论证、有明确标准，资金额度与年度目标是否相适应，用以反映和考核项目预算编制的科学性、合理性情况。</w:t>
            </w:r>
          </w:p>
        </w:tc>
        <w:tc>
          <w:tcPr>
            <w:tcW w:w="5784"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①预算编制是否经过科学论证；</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②预算内容与项目内容是否匹配；</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③预算额度测算依据是否充分，是否按照标准编制；</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④预算确定的项目投资额或资金量是否与工作任务相匹配。</w:t>
            </w:r>
          </w:p>
        </w:tc>
        <w:tc>
          <w:tcPr>
            <w:tcW w:w="924"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911"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资金分配</w:t>
            </w:r>
          </w:p>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2585"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项目预算资金分配是否有测算依据，与补助单位或地方实际是否相适应，用以反映和考核项目预算资金分配的科学性、合理性情况。</w:t>
            </w:r>
          </w:p>
        </w:tc>
        <w:tc>
          <w:tcPr>
            <w:tcW w:w="5784"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①预算资金分配依据是否充分；</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②资金分配额度是否合理，与项目单位或地方实际是否相适应。</w:t>
            </w:r>
          </w:p>
        </w:tc>
        <w:tc>
          <w:tcPr>
            <w:tcW w:w="924"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911"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noWrap w:val="0"/>
            <w:vAlign w:val="center"/>
          </w:tcPr>
          <w:p>
            <w:pPr>
              <w:keepNext w:val="0"/>
              <w:keepLines w:val="0"/>
              <w:pageBreakBefore w:val="0"/>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w:t>
            </w:r>
          </w:p>
        </w:tc>
        <w:tc>
          <w:tcPr>
            <w:tcW w:w="767" w:type="dxa"/>
            <w:vMerge w:val="restart"/>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2585"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实际到位资金与预算资金的比率，用以反映和考核资金落实情况对项目实施的总体保障程度。</w:t>
            </w:r>
          </w:p>
        </w:tc>
        <w:tc>
          <w:tcPr>
            <w:tcW w:w="5784"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资金到位率=（实际到位资金/预算资金）×100%。</w:t>
            </w:r>
          </w:p>
          <w:p>
            <w:pPr>
              <w:keepNext w:val="0"/>
              <w:keepLines w:val="0"/>
              <w:pageBreakBefore w:val="0"/>
              <w:widowControl/>
              <w:kinsoku/>
              <w:wordWrap/>
              <w:overflowPunct/>
              <w:topLinePunct w:val="0"/>
              <w:autoSpaceDE/>
              <w:autoSpaceDN/>
              <w:bidi w:val="0"/>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实际到位资金：一定时期（本年度或项目期）内落实到具体项目的资金。</w:t>
            </w:r>
          </w:p>
          <w:p>
            <w:pPr>
              <w:keepNext w:val="0"/>
              <w:keepLines w:val="0"/>
              <w:pageBreakBefore w:val="0"/>
              <w:widowControl/>
              <w:kinsoku/>
              <w:wordWrap/>
              <w:overflowPunct/>
              <w:topLinePunct w:val="0"/>
              <w:autoSpaceDE/>
              <w:autoSpaceDN/>
              <w:bidi w:val="0"/>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预算资金：一定时期（本年度或项目期）内预算安排到具体项目的资金。</w:t>
            </w:r>
          </w:p>
        </w:tc>
        <w:tc>
          <w:tcPr>
            <w:tcW w:w="924"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911"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noWrap w:val="0"/>
            <w:vAlign w:val="center"/>
          </w:tcPr>
          <w:p>
            <w:pPr>
              <w:keepNext w:val="0"/>
              <w:keepLines w:val="0"/>
              <w:pageBreakBefore w:val="0"/>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keepNext w:val="0"/>
              <w:keepLines w:val="0"/>
              <w:pageBreakBefore w:val="0"/>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2585"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项目预算资金是否按照计划执行，用以反映或考核项目预算执行情况。</w:t>
            </w:r>
          </w:p>
        </w:tc>
        <w:tc>
          <w:tcPr>
            <w:tcW w:w="5784"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预算执行率=（实际支出资金/实际到位资金）×100%。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实际支出资金：一定时期（本年度或项目期）内项目实际拨付的资金。</w:t>
            </w:r>
          </w:p>
        </w:tc>
        <w:tc>
          <w:tcPr>
            <w:tcW w:w="924"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highlight w:val="none"/>
              </w:rPr>
              <w:t>1</w:t>
            </w:r>
          </w:p>
        </w:tc>
        <w:tc>
          <w:tcPr>
            <w:tcW w:w="911"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keepNext w:val="0"/>
              <w:keepLines w:val="0"/>
              <w:pageBreakBefore w:val="0"/>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　</w:t>
            </w:r>
          </w:p>
        </w:tc>
        <w:tc>
          <w:tcPr>
            <w:tcW w:w="767"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资金使用</w:t>
            </w:r>
          </w:p>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合规性</w:t>
            </w:r>
          </w:p>
        </w:tc>
        <w:tc>
          <w:tcPr>
            <w:tcW w:w="2585"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项目资金使用是否符合相关的财务管理制度规定，用以反映和考核项目资金的规范运行情况。</w:t>
            </w:r>
          </w:p>
        </w:tc>
        <w:tc>
          <w:tcPr>
            <w:tcW w:w="5784"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①是否符合国家财经法规和财务管理制度以及有关专项资金管理办法的规定；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②资金的拨付是否有完整的审批程序和手续；</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③是否符合项目预算批复或合同规定的用途；</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④是否存在截留、挤占、挪用、虚列支出等情况。</w:t>
            </w:r>
          </w:p>
        </w:tc>
        <w:tc>
          <w:tcPr>
            <w:tcW w:w="924"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w:t>
            </w:r>
          </w:p>
        </w:tc>
        <w:tc>
          <w:tcPr>
            <w:tcW w:w="911"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noWrap w:val="0"/>
            <w:vAlign w:val="center"/>
          </w:tcPr>
          <w:p>
            <w:pPr>
              <w:keepNext w:val="0"/>
              <w:keepLines w:val="0"/>
              <w:pageBreakBefore w:val="0"/>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p>
        </w:tc>
        <w:tc>
          <w:tcPr>
            <w:tcW w:w="767" w:type="dxa"/>
            <w:vMerge w:val="restart"/>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组织实施</w:t>
            </w:r>
          </w:p>
          <w:p>
            <w:pPr>
              <w:keepNext w:val="0"/>
              <w:keepLines w:val="0"/>
              <w:pageBreakBefore w:val="0"/>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管理制度</w:t>
            </w:r>
          </w:p>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健全性</w:t>
            </w:r>
          </w:p>
        </w:tc>
        <w:tc>
          <w:tcPr>
            <w:tcW w:w="2585"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项目实施单位的财务和业务管理制度是否健全，用以反映和考核财务和业务管理制度对项目顺利实施的保障情况。</w:t>
            </w:r>
          </w:p>
        </w:tc>
        <w:tc>
          <w:tcPr>
            <w:tcW w:w="5784"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①是否已制定或具有相应的财务和业务管理制度；</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②财务和业务管理制度是否合法、合规、完整。</w:t>
            </w:r>
          </w:p>
        </w:tc>
        <w:tc>
          <w:tcPr>
            <w:tcW w:w="924"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w:t>
            </w:r>
          </w:p>
        </w:tc>
        <w:tc>
          <w:tcPr>
            <w:tcW w:w="911"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w:t>
            </w:r>
          </w:p>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有效性</w:t>
            </w:r>
          </w:p>
        </w:tc>
        <w:tc>
          <w:tcPr>
            <w:tcW w:w="2585"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项目实施是否符合相关管理规定，用以反映和考核相关管理制度的有效执行情况。</w:t>
            </w:r>
          </w:p>
        </w:tc>
        <w:tc>
          <w:tcPr>
            <w:tcW w:w="5784"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①是否遵守相关法律法规和相关管理规定；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②项目调整及支出调整手续是否完备；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③项目合同书、验收报告、技术鉴定等资料是否齐全并及时归档；</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④项目实施的人员条件、场地设备、信息支撑等是否落实到位。</w:t>
            </w:r>
          </w:p>
        </w:tc>
        <w:tc>
          <w:tcPr>
            <w:tcW w:w="924"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w:t>
            </w:r>
          </w:p>
        </w:tc>
        <w:tc>
          <w:tcPr>
            <w:tcW w:w="911"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767"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w:t>
            </w:r>
          </w:p>
        </w:tc>
        <w:tc>
          <w:tcPr>
            <w:tcW w:w="2585"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项目实施的实际产出数与计划产出数的比率，用以反映和考核项目产出数量目标的实现程度。</w:t>
            </w:r>
          </w:p>
        </w:tc>
        <w:tc>
          <w:tcPr>
            <w:tcW w:w="5784"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实际完成率=（实际产出数/计划产出数）×100%。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实际产出数：一定时期（本年度或项目期）内项目实际产出的产品或提供的服务数量。</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计划产出数：项目绩效目标确定的在一定时期（本年度或项目期）内计划产出的产品或提供的服务数量。</w:t>
            </w:r>
          </w:p>
        </w:tc>
        <w:tc>
          <w:tcPr>
            <w:tcW w:w="924"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20</w:t>
            </w:r>
          </w:p>
        </w:tc>
        <w:tc>
          <w:tcPr>
            <w:tcW w:w="911"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767"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w:t>
            </w:r>
          </w:p>
        </w:tc>
        <w:tc>
          <w:tcPr>
            <w:tcW w:w="2585"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项目完成的质量达标产出数与实际产出数的比率，用以反映和考核项目产出质量目标的实现程度。</w:t>
            </w:r>
          </w:p>
        </w:tc>
        <w:tc>
          <w:tcPr>
            <w:tcW w:w="5784"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质量达标率=（质量达标产出数/实际产出数）×100%。</w:t>
            </w:r>
          </w:p>
          <w:p>
            <w:pPr>
              <w:keepNext w:val="0"/>
              <w:keepLines w:val="0"/>
              <w:pageBreakBefore w:val="0"/>
              <w:widowControl/>
              <w:kinsoku/>
              <w:wordWrap/>
              <w:overflowPunct/>
              <w:topLinePunct w:val="0"/>
              <w:autoSpaceDE/>
              <w:autoSpaceDN/>
              <w:bidi w:val="0"/>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924"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10</w:t>
            </w:r>
          </w:p>
        </w:tc>
        <w:tc>
          <w:tcPr>
            <w:tcW w:w="911"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noWrap w:val="0"/>
            <w:vAlign w:val="center"/>
          </w:tcPr>
          <w:p>
            <w:pPr>
              <w:keepNext w:val="0"/>
              <w:keepLines w:val="0"/>
              <w:pageBreakBefore w:val="0"/>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p>
        </w:tc>
        <w:tc>
          <w:tcPr>
            <w:tcW w:w="767" w:type="dxa"/>
            <w:shd w:val="clear" w:color="auto" w:fill="FFFFFF"/>
            <w:noWrap w:val="0"/>
            <w:vAlign w:val="center"/>
          </w:tcPr>
          <w:p>
            <w:pPr>
              <w:keepNext w:val="0"/>
              <w:keepLines w:val="0"/>
              <w:pageBreakBefore w:val="0"/>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完成及时性</w:t>
            </w:r>
          </w:p>
        </w:tc>
        <w:tc>
          <w:tcPr>
            <w:tcW w:w="2585"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项目实际完成时间与计划完成时间的比较，用以反映和考核项目产出时效目标的实现程度。</w:t>
            </w:r>
          </w:p>
        </w:tc>
        <w:tc>
          <w:tcPr>
            <w:tcW w:w="5784"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实际完成时间：项目实施单位完成该项目实际所耗用的时间。</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计划完成时间：按照项目实施计划或相关规定完成该项目所需的时间。</w:t>
            </w:r>
          </w:p>
        </w:tc>
        <w:tc>
          <w:tcPr>
            <w:tcW w:w="924"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w:t>
            </w:r>
            <w:r>
              <w:rPr>
                <w:rFonts w:hint="eastAsia" w:ascii="宋体" w:hAnsi="宋体" w:eastAsia="宋体" w:cs="宋体"/>
                <w:color w:val="000000"/>
                <w:kern w:val="0"/>
                <w:sz w:val="18"/>
                <w:szCs w:val="18"/>
                <w:lang w:val="en-US" w:eastAsia="zh-CN"/>
              </w:rPr>
              <w:t>0</w:t>
            </w:r>
          </w:p>
        </w:tc>
        <w:tc>
          <w:tcPr>
            <w:tcW w:w="911"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r>
              <w:rPr>
                <w:rFonts w:hint="eastAsia" w:ascii="宋体" w:hAnsi="宋体" w:eastAsia="宋体" w:cs="宋体"/>
                <w:color w:val="000000"/>
                <w:kern w:val="0"/>
                <w:sz w:val="18"/>
                <w:szCs w:val="18"/>
                <w:lang w:val="en-US" w:eastAsia="zh-CN"/>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p>
        </w:tc>
        <w:tc>
          <w:tcPr>
            <w:tcW w:w="767"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产出成本</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成本节约率</w:t>
            </w:r>
          </w:p>
        </w:tc>
        <w:tc>
          <w:tcPr>
            <w:tcW w:w="2585"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完成项目计划工作目标的实际节约成本与计划成本的比率，用以反映和考核项目的成本节约程度。</w:t>
            </w:r>
          </w:p>
        </w:tc>
        <w:tc>
          <w:tcPr>
            <w:tcW w:w="5784"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成本节约率=[（计划成本</w:t>
            </w:r>
            <w:r>
              <w:rPr>
                <w:rFonts w:hint="eastAsia" w:ascii="宋体" w:hAnsi="宋体" w:eastAsia="宋体" w:cs="宋体"/>
                <w:color w:val="000000"/>
                <w:kern w:val="0"/>
                <w:sz w:val="18"/>
                <w:szCs w:val="18"/>
                <w:lang w:eastAsia="zh-CN"/>
              </w:rPr>
              <w:t>－</w:t>
            </w:r>
            <w:r>
              <w:rPr>
                <w:rFonts w:hint="eastAsia" w:ascii="宋体" w:hAnsi="宋体" w:eastAsia="宋体" w:cs="宋体"/>
                <w:color w:val="000000"/>
                <w:kern w:val="0"/>
                <w:sz w:val="18"/>
                <w:szCs w:val="18"/>
              </w:rPr>
              <w:t>实际成本）/计划成本]×100%。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实际成本：项目实施单位如期、保质、保量完成既定工作目标实际所耗费的支出。</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计划成本：项目实施单位为完成工作目标计划安排的支出，一般以项目预算为参考。</w:t>
            </w:r>
          </w:p>
        </w:tc>
        <w:tc>
          <w:tcPr>
            <w:tcW w:w="924"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10</w:t>
            </w:r>
          </w:p>
        </w:tc>
        <w:tc>
          <w:tcPr>
            <w:tcW w:w="911"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9.67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效益　</w:t>
            </w:r>
          </w:p>
        </w:tc>
        <w:tc>
          <w:tcPr>
            <w:tcW w:w="767" w:type="dxa"/>
            <w:vMerge w:val="restart"/>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项目效益　</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实施效益</w:t>
            </w:r>
          </w:p>
        </w:tc>
        <w:tc>
          <w:tcPr>
            <w:tcW w:w="2585"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项目实施所产生的效益。</w:t>
            </w:r>
          </w:p>
        </w:tc>
        <w:tc>
          <w:tcPr>
            <w:tcW w:w="5784"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项目实施所产生的社会效益、经济效益、生态效益、可持续影响等。可根据项目实际情况有选择地设置和细化。</w:t>
            </w:r>
          </w:p>
        </w:tc>
        <w:tc>
          <w:tcPr>
            <w:tcW w:w="924"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30</w:t>
            </w:r>
          </w:p>
        </w:tc>
        <w:tc>
          <w:tcPr>
            <w:tcW w:w="911"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w:t>
            </w:r>
          </w:p>
        </w:tc>
        <w:tc>
          <w:tcPr>
            <w:tcW w:w="2585"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社会公众或服务对象对项目实施效果的满意程度。</w:t>
            </w:r>
          </w:p>
        </w:tc>
        <w:tc>
          <w:tcPr>
            <w:tcW w:w="5784"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社会公众或服务对象是指因该项目实施而受到影响的部门（单位）、群体或个人。一般采取社会调查的方式。</w:t>
            </w:r>
          </w:p>
        </w:tc>
        <w:tc>
          <w:tcPr>
            <w:tcW w:w="924"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911" w:type="dxa"/>
            <w:shd w:val="clear" w:color="000000" w:fill="FFFFFF"/>
            <w:noWrap w:val="0"/>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8</w:t>
            </w:r>
          </w:p>
        </w:tc>
      </w:tr>
    </w:tbl>
    <w:p>
      <w:pPr>
        <w:pStyle w:val="2"/>
        <w:rPr>
          <w:rFonts w:hint="eastAsia" w:ascii="宋体" w:hAnsi="宋体" w:eastAsia="宋体" w:cs="宋体"/>
          <w:sz w:val="18"/>
          <w:szCs w:val="18"/>
          <w:lang w:val="en-US" w:eastAsia="zh-CN"/>
        </w:rPr>
      </w:pPr>
    </w:p>
    <w:p>
      <w:pPr>
        <w:rPr>
          <w:rFonts w:hint="eastAsia" w:ascii="宋体" w:hAnsi="宋体" w:eastAsia="宋体" w:cs="宋体"/>
          <w:sz w:val="18"/>
          <w:szCs w:val="18"/>
        </w:rPr>
      </w:pPr>
    </w:p>
    <w:p>
      <w:pPr>
        <w:spacing w:line="540" w:lineRule="exact"/>
        <w:ind w:firstLine="640"/>
        <w:rPr>
          <w:rStyle w:val="22"/>
          <w:rFonts w:hint="eastAsia" w:ascii="宋体" w:hAnsi="宋体" w:eastAsia="宋体" w:cs="宋体"/>
          <w:bCs w:val="0"/>
          <w:spacing w:val="-4"/>
          <w:sz w:val="18"/>
          <w:szCs w:val="18"/>
        </w:rPr>
      </w:pPr>
    </w:p>
    <w:p>
      <w:pPr>
        <w:spacing w:line="540" w:lineRule="exact"/>
        <w:ind w:firstLine="640"/>
        <w:rPr>
          <w:rStyle w:val="22"/>
          <w:rFonts w:hint="eastAsia" w:ascii="宋体" w:hAnsi="宋体" w:eastAsia="宋体" w:cs="宋体"/>
          <w:bCs w:val="0"/>
          <w:spacing w:val="-4"/>
          <w:sz w:val="18"/>
          <w:szCs w:val="18"/>
        </w:rPr>
      </w:pPr>
    </w:p>
    <w:p>
      <w:pPr>
        <w:spacing w:line="540" w:lineRule="exact"/>
        <w:ind w:firstLine="640"/>
        <w:rPr>
          <w:rStyle w:val="22"/>
          <w:rFonts w:ascii="黑体" w:hAnsi="黑体" w:eastAsia="黑体"/>
          <w:bCs w:val="0"/>
          <w:spacing w:val="-4"/>
          <w:sz w:val="32"/>
          <w:szCs w:val="32"/>
        </w:rPr>
        <w:sectPr>
          <w:pgSz w:w="16838" w:h="11906" w:orient="landscape"/>
          <w:pgMar w:top="1800" w:right="1440" w:bottom="1558" w:left="1440" w:header="851" w:footer="992" w:gutter="0"/>
          <w:cols w:space="425" w:num="1"/>
          <w:docGrid w:type="lines" w:linePitch="312" w:charSpace="0"/>
        </w:sectPr>
      </w:pPr>
    </w:p>
    <w:tbl>
      <w:tblPr>
        <w:tblStyle w:val="20"/>
        <w:tblW w:w="8929" w:type="dxa"/>
        <w:tblInd w:w="96" w:type="dxa"/>
        <w:shd w:val="clear" w:color="auto" w:fill="auto"/>
        <w:tblLayout w:type="autofit"/>
        <w:tblCellMar>
          <w:top w:w="0" w:type="dxa"/>
          <w:left w:w="108" w:type="dxa"/>
          <w:bottom w:w="0" w:type="dxa"/>
          <w:right w:w="108" w:type="dxa"/>
        </w:tblCellMar>
      </w:tblPr>
      <w:tblGrid>
        <w:gridCol w:w="686"/>
        <w:gridCol w:w="687"/>
        <w:gridCol w:w="686"/>
        <w:gridCol w:w="686"/>
        <w:gridCol w:w="686"/>
        <w:gridCol w:w="686"/>
        <w:gridCol w:w="1980"/>
        <w:gridCol w:w="1213"/>
        <w:gridCol w:w="405"/>
        <w:gridCol w:w="1214"/>
      </w:tblGrid>
      <w:tr>
        <w:tblPrEx>
          <w:shd w:val="clear" w:color="auto" w:fill="auto"/>
        </w:tblPrEx>
        <w:trPr>
          <w:trHeight w:val="409" w:hRule="atLeast"/>
        </w:trPr>
        <w:tc>
          <w:tcPr>
            <w:tcW w:w="8929"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i w:val="0"/>
                <w:color w:val="000000"/>
                <w:kern w:val="0"/>
                <w:sz w:val="44"/>
                <w:szCs w:val="44"/>
                <w:u w:val="none"/>
                <w:lang w:val="en-US" w:eastAsia="zh-CN" w:bidi="ar"/>
              </w:rPr>
              <w:t>项目支出绩效自评表</w:t>
            </w:r>
          </w:p>
        </w:tc>
      </w:tr>
      <w:tr>
        <w:tblPrEx>
          <w:shd w:val="clear" w:color="auto" w:fill="auto"/>
          <w:tblCellMar>
            <w:top w:w="0" w:type="dxa"/>
            <w:left w:w="108" w:type="dxa"/>
            <w:bottom w:w="0" w:type="dxa"/>
            <w:right w:w="108" w:type="dxa"/>
          </w:tblCellMar>
        </w:tblPrEx>
        <w:trPr>
          <w:trHeight w:val="409" w:hRule="atLeast"/>
        </w:trPr>
        <w:tc>
          <w:tcPr>
            <w:tcW w:w="8929"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108" w:type="dxa"/>
            <w:bottom w:w="0" w:type="dxa"/>
            <w:right w:w="108" w:type="dxa"/>
          </w:tblCellMar>
        </w:tblPrEx>
        <w:trPr>
          <w:trHeight w:val="270" w:hRule="atLeast"/>
        </w:trPr>
        <w:tc>
          <w:tcPr>
            <w:tcW w:w="8929" w:type="dxa"/>
            <w:gridSpan w:val="10"/>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270" w:hRule="atLeast"/>
        </w:trPr>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5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工业招商专项资金</w:t>
            </w:r>
          </w:p>
        </w:tc>
      </w:tr>
      <w:tr>
        <w:tblPrEx>
          <w:shd w:val="clear" w:color="auto" w:fill="auto"/>
          <w:tblCellMar>
            <w:top w:w="0" w:type="dxa"/>
            <w:left w:w="108" w:type="dxa"/>
            <w:bottom w:w="0" w:type="dxa"/>
            <w:right w:w="108" w:type="dxa"/>
          </w:tblCellMar>
        </w:tblPrEx>
        <w:trPr>
          <w:trHeight w:val="270" w:hRule="atLeast"/>
        </w:trPr>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72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实施单位</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18"/>
                <w:szCs w:val="18"/>
                <w:u w:val="none"/>
                <w:lang w:val="en-US" w:eastAsia="zh-CN" w:bidi="ar"/>
              </w:rPr>
              <w:t>地区工业和信息化局</w:t>
            </w:r>
          </w:p>
        </w:tc>
      </w:tr>
      <w:tr>
        <w:tblPrEx>
          <w:shd w:val="clear" w:color="auto" w:fill="auto"/>
          <w:tblCellMar>
            <w:top w:w="0" w:type="dxa"/>
            <w:left w:w="108" w:type="dxa"/>
            <w:bottom w:w="0" w:type="dxa"/>
            <w:right w:w="108" w:type="dxa"/>
          </w:tblCellMar>
        </w:tblPrEx>
        <w:trPr>
          <w:trHeight w:val="660" w:hRule="atLeast"/>
        </w:trPr>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Arial" w:hAnsi="Arial" w:cs="Arial"/>
                <w:i w:val="0"/>
                <w:iCs w:val="0"/>
                <w:color w:val="000000"/>
                <w:sz w:val="20"/>
                <w:szCs w:val="20"/>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tc>
        <w:tc>
          <w:tcPr>
            <w:tcW w:w="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年初预算数</w:t>
            </w:r>
          </w:p>
        </w:tc>
        <w:tc>
          <w:tcPr>
            <w:tcW w:w="2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6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108" w:type="dxa"/>
            <w:bottom w:w="0" w:type="dxa"/>
            <w:right w:w="108" w:type="dxa"/>
          </w:tblCellMar>
        </w:tblPrEx>
        <w:trPr>
          <w:trHeight w:val="392" w:hRule="atLeast"/>
        </w:trPr>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19.34</w:t>
            </w:r>
          </w:p>
        </w:tc>
        <w:tc>
          <w:tcPr>
            <w:tcW w:w="2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19.34</w:t>
            </w:r>
          </w:p>
        </w:tc>
        <w:tc>
          <w:tcPr>
            <w:tcW w:w="16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19.34</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r>
      <w:tr>
        <w:tblPrEx>
          <w:shd w:val="clear" w:color="auto" w:fill="auto"/>
          <w:tblCellMar>
            <w:top w:w="0" w:type="dxa"/>
            <w:left w:w="108" w:type="dxa"/>
            <w:bottom w:w="0" w:type="dxa"/>
            <w:right w:w="108" w:type="dxa"/>
          </w:tblCellMar>
        </w:tblPrEx>
        <w:trPr>
          <w:trHeight w:val="392" w:hRule="atLeast"/>
        </w:trPr>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19.34</w:t>
            </w:r>
          </w:p>
        </w:tc>
        <w:tc>
          <w:tcPr>
            <w:tcW w:w="2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19.34</w:t>
            </w:r>
          </w:p>
        </w:tc>
        <w:tc>
          <w:tcPr>
            <w:tcW w:w="16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19.34</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433" w:hRule="atLeast"/>
        </w:trPr>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c>
          <w:tcPr>
            <w:tcW w:w="2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color w:val="000000"/>
                <w:kern w:val="0"/>
                <w:sz w:val="18"/>
                <w:szCs w:val="18"/>
                <w:u w:val="none"/>
                <w:lang w:val="en-US" w:eastAsia="zh-CN" w:bidi="ar"/>
              </w:rPr>
              <w:t>0</w:t>
            </w:r>
          </w:p>
        </w:tc>
        <w:tc>
          <w:tcPr>
            <w:tcW w:w="16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270" w:hRule="atLeast"/>
        </w:trPr>
        <w:tc>
          <w:tcPr>
            <w:tcW w:w="13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2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433" w:hRule="atLeast"/>
        </w:trPr>
        <w:tc>
          <w:tcPr>
            <w:tcW w:w="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541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28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108" w:type="dxa"/>
            <w:bottom w:w="0" w:type="dxa"/>
            <w:right w:w="108" w:type="dxa"/>
          </w:tblCellMar>
        </w:tblPrEx>
        <w:trPr>
          <w:trHeight w:val="1160"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41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2020年，全地区预计引进各类工业招商引资项目60项，投资总规模200亿元，剔除区内项目、央企投资项目后到位资金20亿元。</w:t>
            </w:r>
          </w:p>
        </w:tc>
        <w:tc>
          <w:tcPr>
            <w:tcW w:w="28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2020年，全地区预计引进各类工业招商引资项目60项，投资总规模200亿元，剔除区内项目、央企投资项目后到位资金20亿元。</w:t>
            </w:r>
          </w:p>
        </w:tc>
      </w:tr>
      <w:tr>
        <w:tblPrEx>
          <w:shd w:val="clear" w:color="auto" w:fill="auto"/>
          <w:tblCellMar>
            <w:top w:w="0" w:type="dxa"/>
            <w:left w:w="108" w:type="dxa"/>
            <w:bottom w:w="0" w:type="dxa"/>
            <w:right w:w="108" w:type="dxa"/>
          </w:tblCellMar>
        </w:tblPrEx>
        <w:trPr>
          <w:trHeight w:val="412"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三级指标</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108" w:type="dxa"/>
            <w:bottom w:w="0" w:type="dxa"/>
            <w:right w:w="108" w:type="dxa"/>
          </w:tblCellMar>
        </w:tblPrEx>
        <w:trPr>
          <w:trHeight w:val="270" w:hRule="atLeast"/>
        </w:trPr>
        <w:tc>
          <w:tcPr>
            <w:tcW w:w="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6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引进工业领域招商引资到位资金</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≥20亿元</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24.82亿元</w:t>
            </w:r>
          </w:p>
        </w:tc>
        <w:tc>
          <w:tcPr>
            <w:tcW w:w="1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一是有着前一年外出招商的洽谈、签约成果，在2020年进入了实施阶段；二是年底由地区领导牵头，加大了外出招商力度。</w:t>
            </w:r>
          </w:p>
        </w:tc>
      </w:tr>
      <w:tr>
        <w:tblPrEx>
          <w:shd w:val="clear" w:color="auto" w:fill="auto"/>
          <w:tblCellMar>
            <w:top w:w="0" w:type="dxa"/>
            <w:left w:w="108" w:type="dxa"/>
            <w:bottom w:w="0" w:type="dxa"/>
            <w:right w:w="108" w:type="dxa"/>
          </w:tblCellMar>
        </w:tblPrEx>
        <w:trPr>
          <w:trHeight w:val="485"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组织全地区外出开展工业招商活动</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≥1次</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3次</w:t>
            </w:r>
          </w:p>
        </w:tc>
        <w:tc>
          <w:tcPr>
            <w:tcW w:w="1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570"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组织新项目签约</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≥10项</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32项</w:t>
            </w:r>
          </w:p>
        </w:tc>
        <w:tc>
          <w:tcPr>
            <w:tcW w:w="1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由地区领导牵头，本年度组织了2次项目集中签约活动。</w:t>
            </w:r>
          </w:p>
        </w:tc>
      </w:tr>
      <w:tr>
        <w:tblPrEx>
          <w:shd w:val="clear" w:color="auto" w:fill="auto"/>
          <w:tblCellMar>
            <w:top w:w="0" w:type="dxa"/>
            <w:left w:w="108" w:type="dxa"/>
            <w:bottom w:w="0" w:type="dxa"/>
            <w:right w:w="108" w:type="dxa"/>
          </w:tblCellMar>
        </w:tblPrEx>
        <w:trPr>
          <w:trHeight w:val="604"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2020年全年</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≥1.1&amp;&amp;≤12.31</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≥1.1—≥12.31</w:t>
            </w:r>
          </w:p>
        </w:tc>
        <w:tc>
          <w:tcPr>
            <w:tcW w:w="1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宋体" w:hAnsi="宋体" w:eastAsia="宋体" w:cs="宋体"/>
                <w:i w:val="0"/>
                <w:iCs w:val="0"/>
                <w:color w:val="000000"/>
                <w:sz w:val="18"/>
                <w:szCs w:val="18"/>
                <w:u w:val="none"/>
                <w:lang w:val="en-US"/>
              </w:rPr>
            </w:pPr>
          </w:p>
        </w:tc>
      </w:tr>
      <w:tr>
        <w:tblPrEx>
          <w:shd w:val="clear" w:color="auto" w:fill="auto"/>
          <w:tblCellMar>
            <w:top w:w="0" w:type="dxa"/>
            <w:left w:w="108" w:type="dxa"/>
            <w:bottom w:w="0" w:type="dxa"/>
            <w:right w:w="108" w:type="dxa"/>
          </w:tblCellMar>
        </w:tblPrEx>
        <w:trPr>
          <w:trHeight w:val="530"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工业招商成本</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≤20万元</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19.34万元</w:t>
            </w:r>
          </w:p>
        </w:tc>
        <w:tc>
          <w:tcPr>
            <w:tcW w:w="1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因</w:t>
            </w:r>
            <w:r>
              <w:rPr>
                <w:rFonts w:hint="eastAsia" w:ascii="宋体" w:hAnsi="宋体" w:cs="宋体"/>
                <w:i w:val="0"/>
                <w:color w:val="000000"/>
                <w:kern w:val="0"/>
                <w:sz w:val="18"/>
                <w:szCs w:val="18"/>
                <w:u w:val="none"/>
                <w:lang w:val="en-US" w:eastAsia="zh-CN" w:bidi="ar"/>
              </w:rPr>
              <w:t>传染病防治</w:t>
            </w:r>
            <w:r>
              <w:rPr>
                <w:rFonts w:hint="eastAsia" w:ascii="宋体" w:hAnsi="宋体" w:eastAsia="宋体" w:cs="宋体"/>
                <w:i w:val="0"/>
                <w:color w:val="000000"/>
                <w:kern w:val="0"/>
                <w:sz w:val="18"/>
                <w:szCs w:val="18"/>
                <w:u w:val="none"/>
                <w:lang w:val="en-US" w:eastAsia="zh-CN" w:bidi="ar"/>
              </w:rPr>
              <w:t>影响，1-3月；7-8月都在辅助社区管理，未能按计划开展招商工作。</w:t>
            </w:r>
          </w:p>
        </w:tc>
      </w:tr>
      <w:tr>
        <w:tblPrEx>
          <w:shd w:val="clear" w:color="auto" w:fill="auto"/>
          <w:tblCellMar>
            <w:top w:w="0" w:type="dxa"/>
            <w:left w:w="108" w:type="dxa"/>
            <w:bottom w:w="0" w:type="dxa"/>
            <w:right w:w="108" w:type="dxa"/>
          </w:tblCellMar>
        </w:tblPrEx>
        <w:trPr>
          <w:trHeight w:val="560"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实现新增就业</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≥100人</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600人</w:t>
            </w:r>
          </w:p>
        </w:tc>
        <w:tc>
          <w:tcPr>
            <w:tcW w:w="1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由于自治区大力度狠抓馕产业园项目，仅馕产业园项目一项就贡献新增就业人数约400人，其余增长集中在季节性用工方面。</w:t>
            </w:r>
          </w:p>
        </w:tc>
      </w:tr>
      <w:tr>
        <w:tblPrEx>
          <w:shd w:val="clear" w:color="auto" w:fill="auto"/>
          <w:tblCellMar>
            <w:top w:w="0" w:type="dxa"/>
            <w:left w:w="108" w:type="dxa"/>
            <w:bottom w:w="0" w:type="dxa"/>
            <w:right w:w="108" w:type="dxa"/>
          </w:tblCellMar>
        </w:tblPrEx>
        <w:trPr>
          <w:trHeight w:val="549"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严禁“三高”项目进塔城</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587"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0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服务对象满意度</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企业负责人</w:t>
            </w:r>
            <w:r>
              <w:rPr>
                <w:rFonts w:hint="eastAsia" w:ascii="宋体" w:hAnsi="宋体" w:cs="宋体"/>
                <w:i w:val="0"/>
                <w:color w:val="000000"/>
                <w:kern w:val="0"/>
                <w:sz w:val="18"/>
                <w:szCs w:val="18"/>
                <w:u w:val="none"/>
                <w:lang w:val="en-US" w:eastAsia="zh-CN" w:bidi="ar"/>
              </w:rPr>
              <w:t>按</w:t>
            </w:r>
            <w:r>
              <w:rPr>
                <w:rFonts w:hint="eastAsia" w:ascii="宋体" w:hAnsi="宋体" w:eastAsia="宋体" w:cs="宋体"/>
                <w:i w:val="0"/>
                <w:color w:val="000000"/>
                <w:kern w:val="0"/>
                <w:sz w:val="18"/>
                <w:szCs w:val="18"/>
                <w:u w:val="none"/>
                <w:lang w:val="en-US" w:eastAsia="zh-CN" w:bidi="ar"/>
              </w:rPr>
              <w:t>要求来塔城同地区领导面谈未</w:t>
            </w:r>
            <w:r>
              <w:rPr>
                <w:rFonts w:hint="eastAsia" w:ascii="宋体" w:hAnsi="宋体" w:cs="宋体"/>
                <w:i w:val="0"/>
                <w:color w:val="000000"/>
                <w:kern w:val="0"/>
                <w:sz w:val="18"/>
                <w:szCs w:val="18"/>
                <w:u w:val="none"/>
                <w:lang w:val="en-US" w:eastAsia="zh-CN" w:bidi="ar"/>
              </w:rPr>
              <w:t>能</w:t>
            </w:r>
            <w:r>
              <w:rPr>
                <w:rFonts w:hint="eastAsia" w:ascii="宋体" w:hAnsi="宋体" w:eastAsia="宋体" w:cs="宋体"/>
                <w:i w:val="0"/>
                <w:color w:val="000000"/>
                <w:kern w:val="0"/>
                <w:sz w:val="18"/>
                <w:szCs w:val="18"/>
                <w:u w:val="none"/>
                <w:lang w:val="en-US" w:eastAsia="zh-CN" w:bidi="ar"/>
              </w:rPr>
              <w:t>如期进行；入住园区企业职工到园区上班未通公交</w:t>
            </w:r>
            <w:r>
              <w:rPr>
                <w:rFonts w:hint="eastAsia" w:ascii="宋体" w:hAnsi="宋体" w:cs="宋体"/>
                <w:i w:val="0"/>
                <w:color w:val="000000"/>
                <w:kern w:val="0"/>
                <w:sz w:val="18"/>
                <w:szCs w:val="18"/>
                <w:u w:val="none"/>
                <w:lang w:val="en-US" w:eastAsia="zh-CN" w:bidi="ar"/>
              </w:rPr>
              <w:t>车</w:t>
            </w:r>
            <w:r>
              <w:rPr>
                <w:rFonts w:hint="eastAsia" w:ascii="宋体" w:hAnsi="宋体" w:eastAsia="宋体" w:cs="宋体"/>
                <w:i w:val="0"/>
                <w:color w:val="000000"/>
                <w:kern w:val="0"/>
                <w:sz w:val="18"/>
                <w:szCs w:val="18"/>
                <w:u w:val="none"/>
                <w:lang w:val="en-US" w:eastAsia="zh-CN" w:bidi="ar"/>
              </w:rPr>
              <w:t>等。</w:t>
            </w:r>
          </w:p>
        </w:tc>
      </w:tr>
      <w:tr>
        <w:tblPrEx>
          <w:tblCellMar>
            <w:top w:w="0" w:type="dxa"/>
            <w:left w:w="108" w:type="dxa"/>
            <w:bottom w:w="0" w:type="dxa"/>
            <w:right w:w="108" w:type="dxa"/>
          </w:tblCellMar>
        </w:tblPrEx>
        <w:trPr>
          <w:trHeight w:val="717" w:hRule="atLeast"/>
        </w:trPr>
        <w:tc>
          <w:tcPr>
            <w:tcW w:w="892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tblCellMar>
            <w:top w:w="0" w:type="dxa"/>
            <w:left w:w="108" w:type="dxa"/>
            <w:bottom w:w="0" w:type="dxa"/>
            <w:right w:w="108" w:type="dxa"/>
          </w:tblCellMar>
        </w:tblPrEx>
        <w:trPr>
          <w:trHeight w:val="629" w:hRule="atLeast"/>
        </w:trPr>
        <w:tc>
          <w:tcPr>
            <w:tcW w:w="892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color w:val="000000"/>
                <w:kern w:val="0"/>
                <w:sz w:val="32"/>
                <w:szCs w:val="32"/>
                <w:u w:val="none"/>
                <w:lang w:val="en-US" w:eastAsia="zh-CN" w:bidi="ar"/>
              </w:rPr>
              <w:t>（   2020 年度）</w:t>
            </w:r>
          </w:p>
        </w:tc>
      </w:tr>
      <w:tr>
        <w:tblPrEx>
          <w:tblCellMar>
            <w:top w:w="0" w:type="dxa"/>
            <w:left w:w="108" w:type="dxa"/>
            <w:bottom w:w="0" w:type="dxa"/>
            <w:right w:w="108" w:type="dxa"/>
          </w:tblCellMar>
        </w:tblPrEx>
        <w:trPr>
          <w:trHeight w:val="816" w:hRule="atLeast"/>
        </w:trPr>
        <w:tc>
          <w:tcPr>
            <w:tcW w:w="892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rPr>
            </w:pPr>
          </w:p>
        </w:tc>
      </w:tr>
    </w:tbl>
    <w:p>
      <w:pPr>
        <w:spacing w:line="540" w:lineRule="exact"/>
        <w:rPr>
          <w:rStyle w:val="22"/>
          <w:rFonts w:ascii="仿宋" w:hAnsi="仿宋" w:eastAsia="仿宋"/>
          <w:b w:val="0"/>
          <w:spacing w:val="-4"/>
          <w:sz w:val="32"/>
          <w:szCs w:val="32"/>
        </w:rPr>
      </w:pPr>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2000000000000000000"/>
    <w:charset w:val="86"/>
    <w:family w:val="auto"/>
    <w:pitch w:val="default"/>
    <w:sig w:usb0="00000000" w:usb1="00000000" w:usb2="00000000" w:usb3="00000000" w:csb0="00040000" w:csb1="00000000"/>
  </w:font>
  <w:font w:name="方正仿宋_GBK">
    <w:altName w:val="微软雅黑"/>
    <w:panose1 w:val="02000000000000000000"/>
    <w:charset w:val="86"/>
    <w:family w:val="script"/>
    <w:pitch w:val="default"/>
    <w:sig w:usb0="00000000" w:usb1="00000000" w:usb2="00082016" w:usb3="00000000" w:csb0="00040001" w:csb1="00000000"/>
  </w:font>
  <w:font w:name="方正黑体_GBK">
    <w:altName w:val="微软雅黑"/>
    <w:panose1 w:val="00000000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5"/>
          <w:jc w:val="center"/>
        </w:pPr>
        <w:r>
          <w:fldChar w:fldCharType="begin"/>
        </w:r>
        <w:r>
          <w:instrText xml:space="preserve">PAGE   \* MERGEFORMAT</w:instrText>
        </w:r>
        <w:r>
          <w:fldChar w:fldCharType="separate"/>
        </w:r>
        <w:r>
          <w:rPr>
            <w:lang w:val="zh-CN"/>
          </w:rPr>
          <w:t>2</w:t>
        </w:r>
        <w:r>
          <w:fldChar w:fldCharType="end"/>
        </w:r>
      </w:p>
    </w:sdtContent>
  </w:sdt>
  <w:p>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EBB660"/>
    <w:multiLevelType w:val="singleLevel"/>
    <w:tmpl w:val="94EBB660"/>
    <w:lvl w:ilvl="0" w:tentative="0">
      <w:start w:val="1"/>
      <w:numFmt w:val="decimal"/>
      <w:suff w:val="nothing"/>
      <w:lvlText w:val="%1、"/>
      <w:lvlJc w:val="left"/>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E5C6BF8"/>
    <w:multiLevelType w:val="singleLevel"/>
    <w:tmpl w:val="EE5C6BF8"/>
    <w:lvl w:ilvl="0" w:tentative="0">
      <w:start w:val="2"/>
      <w:numFmt w:val="decimal"/>
      <w:suff w:val="nothing"/>
      <w:lvlText w:val="%1、"/>
      <w:lvlJc w:val="left"/>
    </w:lvl>
  </w:abstractNum>
  <w:abstractNum w:abstractNumId="3">
    <w:nsid w:val="FF4BB6DE"/>
    <w:multiLevelType w:val="singleLevel"/>
    <w:tmpl w:val="FF4BB6DE"/>
    <w:lvl w:ilvl="0" w:tentative="0">
      <w:start w:val="1"/>
      <w:numFmt w:val="decimal"/>
      <w:suff w:val="nothing"/>
      <w:lvlText w:val="%1、"/>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1524751"/>
    <w:rsid w:val="04B62B39"/>
    <w:rsid w:val="051A56F5"/>
    <w:rsid w:val="066D6EAA"/>
    <w:rsid w:val="08C662D4"/>
    <w:rsid w:val="09BD4D95"/>
    <w:rsid w:val="09D0051A"/>
    <w:rsid w:val="0A8045C1"/>
    <w:rsid w:val="0C3D0252"/>
    <w:rsid w:val="0F8D41CB"/>
    <w:rsid w:val="0FBC62D6"/>
    <w:rsid w:val="104B63CE"/>
    <w:rsid w:val="11C75270"/>
    <w:rsid w:val="12637CC3"/>
    <w:rsid w:val="12E657C5"/>
    <w:rsid w:val="130857D8"/>
    <w:rsid w:val="15B82595"/>
    <w:rsid w:val="167C7687"/>
    <w:rsid w:val="168679D0"/>
    <w:rsid w:val="168B3546"/>
    <w:rsid w:val="16E91546"/>
    <w:rsid w:val="16F43688"/>
    <w:rsid w:val="17066BA6"/>
    <w:rsid w:val="1731696C"/>
    <w:rsid w:val="174664BC"/>
    <w:rsid w:val="19506618"/>
    <w:rsid w:val="1A2374E0"/>
    <w:rsid w:val="1BDC5324"/>
    <w:rsid w:val="1C317CE2"/>
    <w:rsid w:val="1C962472"/>
    <w:rsid w:val="1D3B4FC8"/>
    <w:rsid w:val="1DD45808"/>
    <w:rsid w:val="1DED42AC"/>
    <w:rsid w:val="20005763"/>
    <w:rsid w:val="20FB313D"/>
    <w:rsid w:val="220B4804"/>
    <w:rsid w:val="23D5698E"/>
    <w:rsid w:val="282475E3"/>
    <w:rsid w:val="2A903101"/>
    <w:rsid w:val="2AF57BFF"/>
    <w:rsid w:val="2B1D0EC6"/>
    <w:rsid w:val="2C6100C1"/>
    <w:rsid w:val="2FE0237A"/>
    <w:rsid w:val="304A3DFB"/>
    <w:rsid w:val="3264220D"/>
    <w:rsid w:val="32D76554"/>
    <w:rsid w:val="32EE179E"/>
    <w:rsid w:val="34190A95"/>
    <w:rsid w:val="34497012"/>
    <w:rsid w:val="37D261F0"/>
    <w:rsid w:val="37EE27CB"/>
    <w:rsid w:val="3963178C"/>
    <w:rsid w:val="3DDA56F1"/>
    <w:rsid w:val="40E03150"/>
    <w:rsid w:val="41CC2676"/>
    <w:rsid w:val="43851AE3"/>
    <w:rsid w:val="46B21672"/>
    <w:rsid w:val="476A0571"/>
    <w:rsid w:val="497F115D"/>
    <w:rsid w:val="4F552460"/>
    <w:rsid w:val="4F6F2047"/>
    <w:rsid w:val="4FCC6863"/>
    <w:rsid w:val="500A214A"/>
    <w:rsid w:val="522D604D"/>
    <w:rsid w:val="5297585E"/>
    <w:rsid w:val="52AD7D6F"/>
    <w:rsid w:val="537D1BCF"/>
    <w:rsid w:val="543D525F"/>
    <w:rsid w:val="5549519D"/>
    <w:rsid w:val="5557596B"/>
    <w:rsid w:val="560B4F03"/>
    <w:rsid w:val="5B596DFC"/>
    <w:rsid w:val="5BBE0D25"/>
    <w:rsid w:val="5C8846BC"/>
    <w:rsid w:val="5D0D5719"/>
    <w:rsid w:val="5DD55875"/>
    <w:rsid w:val="5DF03945"/>
    <w:rsid w:val="637C2815"/>
    <w:rsid w:val="64C22BA4"/>
    <w:rsid w:val="64DA7391"/>
    <w:rsid w:val="677B6138"/>
    <w:rsid w:val="68995CDA"/>
    <w:rsid w:val="6D454167"/>
    <w:rsid w:val="6D99781B"/>
    <w:rsid w:val="6E296895"/>
    <w:rsid w:val="71221070"/>
    <w:rsid w:val="744F3554"/>
    <w:rsid w:val="749856D3"/>
    <w:rsid w:val="77F31687"/>
    <w:rsid w:val="78673AB7"/>
    <w:rsid w:val="7A353D0B"/>
    <w:rsid w:val="7AFD4DA8"/>
    <w:rsid w:val="7CF64018"/>
    <w:rsid w:val="7D321CFE"/>
    <w:rsid w:val="7D3A5E2F"/>
    <w:rsid w:val="7E144A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7"/>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semiHidden/>
    <w:unhideWhenUsed/>
    <w:qFormat/>
    <w:uiPriority w:val="99"/>
    <w:pPr>
      <w:jc w:val="left"/>
    </w:pPr>
  </w:style>
  <w:style w:type="paragraph" w:styleId="13">
    <w:name w:val="Body Text"/>
    <w:basedOn w:val="1"/>
    <w:qFormat/>
    <w:uiPriority w:val="0"/>
    <w:pPr>
      <w:spacing w:after="120"/>
    </w:pPr>
  </w:style>
  <w:style w:type="paragraph" w:styleId="14">
    <w:name w:val="Balloon Text"/>
    <w:basedOn w:val="1"/>
    <w:link w:val="49"/>
    <w:semiHidden/>
    <w:unhideWhenUsed/>
    <w:qFormat/>
    <w:uiPriority w:val="99"/>
    <w:rPr>
      <w:sz w:val="18"/>
      <w:szCs w:val="18"/>
    </w:rPr>
  </w:style>
  <w:style w:type="paragraph" w:styleId="15">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8">
    <w:name w:val="Normal (Web)"/>
    <w:basedOn w:val="1"/>
    <w:qFormat/>
    <w:uiPriority w:val="99"/>
    <w:pPr>
      <w:spacing w:before="100" w:beforeAutospacing="1" w:after="100" w:afterAutospacing="1"/>
      <w:jc w:val="left"/>
    </w:pPr>
    <w:rPr>
      <w:sz w:val="24"/>
      <w:lang w:bidi="ar"/>
    </w:rPr>
  </w:style>
  <w:style w:type="paragraph" w:styleId="19">
    <w:name w:val="Body Text First Indent"/>
    <w:basedOn w:val="13"/>
    <w:qFormat/>
    <w:uiPriority w:val="0"/>
    <w:pPr>
      <w:spacing w:after="0"/>
      <w:ind w:firstLine="200" w:firstLineChars="200"/>
    </w:p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customStyle="1" w:styleId="24">
    <w:name w:val="标题 1 字符"/>
    <w:basedOn w:val="21"/>
    <w:link w:val="3"/>
    <w:qFormat/>
    <w:uiPriority w:val="9"/>
    <w:rPr>
      <w:rFonts w:asciiTheme="majorHAnsi" w:hAnsiTheme="majorHAnsi" w:eastAsiaTheme="majorEastAsia"/>
      <w:b/>
      <w:bCs/>
      <w:kern w:val="32"/>
      <w:sz w:val="32"/>
      <w:szCs w:val="32"/>
    </w:rPr>
  </w:style>
  <w:style w:type="character" w:customStyle="1" w:styleId="25">
    <w:name w:val="标题 2 字符"/>
    <w:basedOn w:val="21"/>
    <w:link w:val="4"/>
    <w:semiHidden/>
    <w:qFormat/>
    <w:uiPriority w:val="9"/>
    <w:rPr>
      <w:rFonts w:asciiTheme="majorHAnsi" w:hAnsiTheme="majorHAnsi" w:eastAsiaTheme="majorEastAsia"/>
      <w:b/>
      <w:bCs/>
      <w:i/>
      <w:iCs/>
      <w:sz w:val="28"/>
      <w:szCs w:val="28"/>
    </w:rPr>
  </w:style>
  <w:style w:type="character" w:customStyle="1" w:styleId="26">
    <w:name w:val="标题 3 字符"/>
    <w:basedOn w:val="21"/>
    <w:link w:val="5"/>
    <w:semiHidden/>
    <w:qFormat/>
    <w:uiPriority w:val="9"/>
    <w:rPr>
      <w:rFonts w:asciiTheme="majorHAnsi" w:hAnsiTheme="majorHAnsi" w:eastAsiaTheme="majorEastAsia"/>
      <w:b/>
      <w:bCs/>
      <w:sz w:val="26"/>
      <w:szCs w:val="26"/>
    </w:rPr>
  </w:style>
  <w:style w:type="character" w:customStyle="1" w:styleId="27">
    <w:name w:val="标题 4 字符"/>
    <w:basedOn w:val="21"/>
    <w:link w:val="6"/>
    <w:semiHidden/>
    <w:qFormat/>
    <w:uiPriority w:val="9"/>
    <w:rPr>
      <w:b/>
      <w:bCs/>
      <w:sz w:val="28"/>
      <w:szCs w:val="28"/>
    </w:rPr>
  </w:style>
  <w:style w:type="character" w:customStyle="1" w:styleId="28">
    <w:name w:val="标题 5 字符"/>
    <w:basedOn w:val="21"/>
    <w:link w:val="7"/>
    <w:semiHidden/>
    <w:qFormat/>
    <w:uiPriority w:val="9"/>
    <w:rPr>
      <w:b/>
      <w:bCs/>
      <w:i/>
      <w:iCs/>
      <w:sz w:val="26"/>
      <w:szCs w:val="26"/>
    </w:rPr>
  </w:style>
  <w:style w:type="character" w:customStyle="1" w:styleId="29">
    <w:name w:val="标题 6 字符"/>
    <w:basedOn w:val="21"/>
    <w:link w:val="8"/>
    <w:semiHidden/>
    <w:qFormat/>
    <w:uiPriority w:val="9"/>
    <w:rPr>
      <w:b/>
      <w:bCs/>
    </w:rPr>
  </w:style>
  <w:style w:type="character" w:customStyle="1" w:styleId="30">
    <w:name w:val="标题 7 字符"/>
    <w:basedOn w:val="21"/>
    <w:link w:val="9"/>
    <w:semiHidden/>
    <w:qFormat/>
    <w:uiPriority w:val="9"/>
    <w:rPr>
      <w:sz w:val="24"/>
      <w:szCs w:val="24"/>
    </w:rPr>
  </w:style>
  <w:style w:type="character" w:customStyle="1" w:styleId="31">
    <w:name w:val="标题 8 字符"/>
    <w:basedOn w:val="21"/>
    <w:link w:val="10"/>
    <w:semiHidden/>
    <w:qFormat/>
    <w:uiPriority w:val="9"/>
    <w:rPr>
      <w:i/>
      <w:iCs/>
      <w:sz w:val="24"/>
      <w:szCs w:val="24"/>
    </w:rPr>
  </w:style>
  <w:style w:type="character" w:customStyle="1" w:styleId="32">
    <w:name w:val="标题 9 字符"/>
    <w:basedOn w:val="21"/>
    <w:link w:val="11"/>
    <w:semiHidden/>
    <w:qFormat/>
    <w:uiPriority w:val="9"/>
    <w:rPr>
      <w:rFonts w:asciiTheme="majorHAnsi" w:hAnsiTheme="majorHAnsi" w:eastAsiaTheme="majorEastAsia"/>
    </w:rPr>
  </w:style>
  <w:style w:type="character" w:customStyle="1" w:styleId="33">
    <w:name w:val="标题 字符"/>
    <w:basedOn w:val="21"/>
    <w:link w:val="2"/>
    <w:qFormat/>
    <w:uiPriority w:val="10"/>
    <w:rPr>
      <w:rFonts w:asciiTheme="majorHAnsi" w:hAnsiTheme="majorHAnsi" w:eastAsiaTheme="majorEastAsia"/>
      <w:b/>
      <w:bCs/>
      <w:kern w:val="28"/>
      <w:sz w:val="32"/>
      <w:szCs w:val="32"/>
    </w:rPr>
  </w:style>
  <w:style w:type="character" w:customStyle="1" w:styleId="34">
    <w:name w:val="副标题 字符"/>
    <w:basedOn w:val="21"/>
    <w:link w:val="17"/>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字符"/>
    <w:basedOn w:val="21"/>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字符"/>
    <w:basedOn w:val="21"/>
    <w:link w:val="39"/>
    <w:qFormat/>
    <w:uiPriority w:val="30"/>
    <w:rPr>
      <w:b/>
      <w:i/>
      <w:sz w:val="24"/>
    </w:rPr>
  </w:style>
  <w:style w:type="character" w:customStyle="1" w:styleId="41">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明显强调1"/>
    <w:basedOn w:val="21"/>
    <w:qFormat/>
    <w:uiPriority w:val="21"/>
    <w:rPr>
      <w:b/>
      <w:i/>
      <w:sz w:val="24"/>
      <w:szCs w:val="24"/>
      <w:u w:val="single"/>
    </w:rPr>
  </w:style>
  <w:style w:type="character" w:customStyle="1" w:styleId="43">
    <w:name w:val="不明显参考1"/>
    <w:basedOn w:val="21"/>
    <w:qFormat/>
    <w:uiPriority w:val="31"/>
    <w:rPr>
      <w:sz w:val="24"/>
      <w:szCs w:val="24"/>
      <w:u w:val="single"/>
    </w:rPr>
  </w:style>
  <w:style w:type="character" w:customStyle="1" w:styleId="44">
    <w:name w:val="明显参考1"/>
    <w:basedOn w:val="21"/>
    <w:qFormat/>
    <w:uiPriority w:val="32"/>
    <w:rPr>
      <w:b/>
      <w:sz w:val="24"/>
      <w:u w:val="single"/>
    </w:rPr>
  </w:style>
  <w:style w:type="character" w:customStyle="1" w:styleId="45">
    <w:name w:val="书籍标题1"/>
    <w:basedOn w:val="21"/>
    <w:qFormat/>
    <w:uiPriority w:val="33"/>
    <w:rPr>
      <w:rFonts w:asciiTheme="majorHAnsi" w:hAnsiTheme="majorHAnsi" w:eastAsiaTheme="majorEastAsia"/>
      <w:b/>
      <w:i/>
      <w:sz w:val="24"/>
      <w:szCs w:val="24"/>
    </w:rPr>
  </w:style>
  <w:style w:type="paragraph" w:customStyle="1" w:styleId="46">
    <w:name w:val="TOC 标题1"/>
    <w:basedOn w:val="3"/>
    <w:next w:val="1"/>
    <w:semiHidden/>
    <w:unhideWhenUsed/>
    <w:qFormat/>
    <w:uiPriority w:val="39"/>
    <w:pPr>
      <w:outlineLvl w:val="9"/>
    </w:pPr>
    <w:rPr>
      <w:lang w:eastAsia="en-US" w:bidi="en-US"/>
    </w:rPr>
  </w:style>
  <w:style w:type="character" w:customStyle="1" w:styleId="47">
    <w:name w:val="页眉 字符"/>
    <w:basedOn w:val="21"/>
    <w:link w:val="16"/>
    <w:qFormat/>
    <w:uiPriority w:val="99"/>
    <w:rPr>
      <w:rFonts w:ascii="Calibri" w:hAnsi="Calibri" w:eastAsia="宋体"/>
      <w:kern w:val="2"/>
      <w:sz w:val="18"/>
      <w:szCs w:val="18"/>
    </w:rPr>
  </w:style>
  <w:style w:type="character" w:customStyle="1" w:styleId="48">
    <w:name w:val="页脚 字符"/>
    <w:basedOn w:val="21"/>
    <w:link w:val="15"/>
    <w:qFormat/>
    <w:uiPriority w:val="99"/>
    <w:rPr>
      <w:rFonts w:ascii="Calibri" w:hAnsi="Calibri" w:eastAsia="宋体"/>
      <w:kern w:val="2"/>
      <w:sz w:val="18"/>
      <w:szCs w:val="18"/>
    </w:rPr>
  </w:style>
  <w:style w:type="character" w:customStyle="1" w:styleId="49">
    <w:name w:val="批注框文本 字符"/>
    <w:basedOn w:val="21"/>
    <w:link w:val="14"/>
    <w:semiHidden/>
    <w:qFormat/>
    <w:uiPriority w:val="99"/>
    <w:rPr>
      <w:rFonts w:ascii="Times New Roman" w:hAnsi="Times New Roman" w:eastAsia="宋体"/>
      <w:kern w:val="2"/>
      <w:sz w:val="18"/>
      <w:szCs w:val="18"/>
    </w:rPr>
  </w:style>
  <w:style w:type="paragraph" w:customStyle="1" w:styleId="50">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1">
    <w:name w:val="fontstyle01"/>
    <w:qFormat/>
    <w:uiPriority w:val="0"/>
    <w:rPr>
      <w:rFonts w:ascii="仿宋_GB2312" w:hAnsi="仿宋_GB2312" w:eastAsia="仿宋_GB2312" w:cs="仿宋_GB2312"/>
      <w:color w:val="000000"/>
      <w:sz w:val="32"/>
      <w:szCs w:val="32"/>
    </w:rPr>
  </w:style>
  <w:style w:type="paragraph" w:customStyle="1" w:styleId="52">
    <w:name w:val="闻政-正文段落文字"/>
    <w:basedOn w:val="1"/>
    <w:qFormat/>
    <w:uiPriority w:val="3"/>
    <w:pPr>
      <w:spacing w:line="500" w:lineRule="exact"/>
      <w:ind w:firstLine="200" w:firstLineChars="200"/>
    </w:pPr>
    <w:rPr>
      <w:rFonts w:ascii="Times New Roman" w:hAnsi="Times New Roman" w:eastAsia="仿宋_GB2312"/>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7758</Words>
  <Characters>8113</Characters>
  <Lines>63</Lines>
  <Paragraphs>17</Paragraphs>
  <TotalTime>21</TotalTime>
  <ScaleCrop>false</ScaleCrop>
  <LinksUpToDate>false</LinksUpToDate>
  <CharactersWithSpaces>8151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2021-04-08T05:37:00Z</cp:lastPrinted>
  <dcterms:modified xsi:type="dcterms:W3CDTF">2025-09-19T10:48:56Z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KSOSaveFontToCloudKey">
    <vt:lpwstr>229835342_cloud</vt:lpwstr>
  </property>
  <property fmtid="{D5CDD505-2E9C-101B-9397-08002B2CF9AE}" pid="4" name="ICV">
    <vt:lpwstr>6F67EC0A5C344B609D6C8FFD80F24B99</vt:lpwstr>
  </property>
  <property fmtid="{D5CDD505-2E9C-101B-9397-08002B2CF9AE}" pid="5" name="KSOTemplateDocerSaveRecord">
    <vt:lpwstr>eyJoZGlkIjoiN2VjMGM4YTNmZTY1NDFjMWFjNmVmZmU0NDA2ZTk0ZmMiLCJ1c2VySWQiOiI4NjI1NDMxNDkifQ==</vt:lpwstr>
  </property>
</Properties>
</file>