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688F3">
      <w:pPr>
        <w:spacing w:line="540" w:lineRule="exact"/>
        <w:jc w:val="center"/>
        <w:rPr>
          <w:rFonts w:ascii="华文中宋" w:eastAsia="华文中宋" w:cs="宋体"/>
          <w:b/>
          <w:kern w:val="0"/>
          <w:sz w:val="52"/>
          <w:szCs w:val="52"/>
        </w:rPr>
      </w:pPr>
    </w:p>
    <w:p w14:paraId="6BCF114F">
      <w:pPr>
        <w:spacing w:line="540" w:lineRule="exact"/>
        <w:jc w:val="center"/>
        <w:rPr>
          <w:rFonts w:ascii="华文中宋" w:eastAsia="华文中宋" w:cs="宋体"/>
          <w:b/>
          <w:kern w:val="0"/>
          <w:sz w:val="52"/>
          <w:szCs w:val="52"/>
        </w:rPr>
      </w:pPr>
    </w:p>
    <w:p w14:paraId="44F2A2C8">
      <w:pPr>
        <w:spacing w:line="540" w:lineRule="exact"/>
        <w:jc w:val="center"/>
        <w:rPr>
          <w:rFonts w:ascii="华文中宋" w:eastAsia="华文中宋" w:cs="宋体"/>
          <w:b/>
          <w:kern w:val="0"/>
          <w:sz w:val="52"/>
          <w:szCs w:val="52"/>
        </w:rPr>
      </w:pPr>
    </w:p>
    <w:p w14:paraId="270834B0">
      <w:pPr>
        <w:spacing w:line="540" w:lineRule="exact"/>
        <w:jc w:val="center"/>
        <w:rPr>
          <w:rFonts w:ascii="华文中宋" w:eastAsia="华文中宋" w:cs="宋体"/>
          <w:b/>
          <w:kern w:val="0"/>
          <w:sz w:val="52"/>
          <w:szCs w:val="52"/>
        </w:rPr>
      </w:pPr>
    </w:p>
    <w:p w14:paraId="59865C2A">
      <w:pPr>
        <w:spacing w:line="540" w:lineRule="exact"/>
        <w:jc w:val="center"/>
        <w:rPr>
          <w:rFonts w:ascii="华文中宋" w:eastAsia="华文中宋" w:cs="宋体"/>
          <w:b/>
          <w:kern w:val="0"/>
          <w:sz w:val="52"/>
          <w:szCs w:val="52"/>
        </w:rPr>
      </w:pPr>
    </w:p>
    <w:p w14:paraId="24DE3528">
      <w:pPr>
        <w:spacing w:line="540" w:lineRule="exact"/>
        <w:jc w:val="center"/>
        <w:rPr>
          <w:rFonts w:ascii="华文中宋" w:eastAsia="华文中宋" w:cs="宋体"/>
          <w:b/>
          <w:kern w:val="0"/>
          <w:sz w:val="52"/>
          <w:szCs w:val="52"/>
        </w:rPr>
      </w:pPr>
    </w:p>
    <w:p w14:paraId="4C6A7746">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印刷费资金项目支出绩效评价</w:t>
      </w:r>
    </w:p>
    <w:p w14:paraId="7368B622">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报告</w:t>
      </w:r>
    </w:p>
    <w:p w14:paraId="75CEFC73">
      <w:pPr>
        <w:spacing w:line="540" w:lineRule="exact"/>
        <w:jc w:val="center"/>
        <w:rPr>
          <w:rFonts w:ascii="华文中宋" w:eastAsia="华文中宋" w:cs="宋体"/>
          <w:b/>
          <w:kern w:val="0"/>
          <w:sz w:val="52"/>
          <w:szCs w:val="52"/>
        </w:rPr>
      </w:pPr>
    </w:p>
    <w:p w14:paraId="384B95FF">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14:paraId="40916E3A">
      <w:pPr>
        <w:spacing w:line="540" w:lineRule="exact"/>
        <w:jc w:val="center"/>
        <w:rPr>
          <w:rFonts w:hint="eastAsia" w:ascii="仿宋_GB2312" w:hAnsi="仿宋_GB2312" w:eastAsia="仿宋_GB2312" w:cs="仿宋_GB2312"/>
          <w:kern w:val="0"/>
          <w:sz w:val="36"/>
          <w:szCs w:val="36"/>
        </w:rPr>
      </w:pPr>
    </w:p>
    <w:p w14:paraId="0CC6D97A">
      <w:pPr>
        <w:spacing w:line="540" w:lineRule="exact"/>
        <w:jc w:val="center"/>
        <w:rPr>
          <w:rFonts w:eastAsia="仿宋_GB2312" w:cs="宋体"/>
          <w:kern w:val="0"/>
          <w:sz w:val="30"/>
          <w:szCs w:val="30"/>
        </w:rPr>
      </w:pPr>
    </w:p>
    <w:p w14:paraId="4D1B21D8">
      <w:pPr>
        <w:spacing w:line="540" w:lineRule="exact"/>
        <w:jc w:val="center"/>
        <w:rPr>
          <w:rFonts w:eastAsia="仿宋_GB2312" w:cs="宋体"/>
          <w:kern w:val="0"/>
          <w:sz w:val="30"/>
          <w:szCs w:val="30"/>
        </w:rPr>
      </w:pPr>
    </w:p>
    <w:p w14:paraId="0084063F">
      <w:pPr>
        <w:spacing w:line="540" w:lineRule="exact"/>
        <w:jc w:val="center"/>
        <w:rPr>
          <w:rFonts w:eastAsia="仿宋_GB2312" w:cs="宋体"/>
          <w:kern w:val="0"/>
          <w:sz w:val="30"/>
          <w:szCs w:val="30"/>
        </w:rPr>
      </w:pPr>
    </w:p>
    <w:p w14:paraId="2344C7E4">
      <w:pPr>
        <w:spacing w:line="540" w:lineRule="exact"/>
        <w:rPr>
          <w:rFonts w:eastAsia="仿宋_GB2312" w:cs="宋体"/>
          <w:kern w:val="0"/>
          <w:sz w:val="30"/>
          <w:szCs w:val="30"/>
        </w:rPr>
      </w:pPr>
    </w:p>
    <w:p w14:paraId="5C01B2C8">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项目名称：印刷费</w:t>
      </w:r>
    </w:p>
    <w:p w14:paraId="4E1DD948">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实施单位（公章）：塔城地区文学艺术服务中心</w:t>
      </w:r>
    </w:p>
    <w:p w14:paraId="37A9586F">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主管部门（公章）：塔城地区文联</w:t>
      </w:r>
    </w:p>
    <w:p w14:paraId="28E2F98A">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项目负责人（签章）：古丽鲜</w:t>
      </w:r>
    </w:p>
    <w:p w14:paraId="505175D7">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填报时间：2021年4月7日</w:t>
      </w:r>
    </w:p>
    <w:p w14:paraId="7FAE8F51">
      <w:pPr>
        <w:spacing w:line="540" w:lineRule="exact"/>
        <w:jc w:val="center"/>
        <w:rPr>
          <w:rFonts w:hint="eastAsia" w:ascii="仿宋_GB2312" w:hAnsi="仿宋_GB2312" w:eastAsia="仿宋_GB2312" w:cs="仿宋_GB2312"/>
          <w:kern w:val="0"/>
          <w:sz w:val="36"/>
          <w:szCs w:val="36"/>
        </w:rPr>
      </w:pPr>
    </w:p>
    <w:p w14:paraId="0275B512">
      <w:pPr>
        <w:spacing w:line="540" w:lineRule="exact"/>
        <w:rPr>
          <w:rStyle w:val="21"/>
          <w:rFonts w:ascii="黑体" w:eastAsia="黑体"/>
          <w:b w:val="0"/>
          <w:spacing w:val="-4"/>
          <w:sz w:val="32"/>
          <w:szCs w:val="32"/>
        </w:rPr>
      </w:pPr>
    </w:p>
    <w:p w14:paraId="4F3879E8">
      <w:pPr>
        <w:spacing w:line="540" w:lineRule="exact"/>
        <w:ind w:firstLine="640"/>
        <w:rPr>
          <w:rStyle w:val="21"/>
          <w:rFonts w:ascii="黑体" w:eastAsia="黑体"/>
          <w:b w:val="0"/>
          <w:spacing w:val="-4"/>
          <w:sz w:val="32"/>
          <w:szCs w:val="32"/>
        </w:rPr>
      </w:pPr>
    </w:p>
    <w:p w14:paraId="7EEF8411">
      <w:pPr>
        <w:spacing w:line="600" w:lineRule="exact"/>
        <w:rPr>
          <w:rFonts w:ascii="黑体" w:eastAsia="黑体" w:cs="黑体"/>
          <w:bCs/>
          <w:sz w:val="32"/>
          <w:szCs w:val="32"/>
        </w:rPr>
      </w:pPr>
    </w:p>
    <w:p w14:paraId="2C225EA4">
      <w:pPr>
        <w:pageBreakBefore w:val="0"/>
        <w:kinsoku/>
        <w:wordWrap/>
        <w:overflowPunct/>
        <w:topLinePunct w:val="0"/>
        <w:autoSpaceDE/>
        <w:autoSpaceDN/>
        <w:bidi w:val="0"/>
        <w:spacing w:line="560" w:lineRule="atLeast"/>
        <w:ind w:firstLine="640" w:firstLineChars="200"/>
        <w:textAlignment w:val="auto"/>
        <w:rPr>
          <w:rFonts w:ascii="黑体" w:eastAsia="黑体" w:cs="黑体"/>
          <w:bCs/>
          <w:sz w:val="32"/>
          <w:szCs w:val="32"/>
        </w:rPr>
      </w:pPr>
      <w:r>
        <w:rPr>
          <w:rFonts w:hint="eastAsia" w:ascii="黑体" w:eastAsia="黑体" w:cs="黑体"/>
          <w:bCs/>
          <w:sz w:val="32"/>
          <w:szCs w:val="32"/>
        </w:rPr>
        <w:t>一、基本情况</w:t>
      </w:r>
    </w:p>
    <w:p w14:paraId="703E3764">
      <w:pPr>
        <w:pageBreakBefore w:val="0"/>
        <w:kinsoku/>
        <w:wordWrap/>
        <w:overflowPunct/>
        <w:topLinePunct w:val="0"/>
        <w:autoSpaceDE/>
        <w:autoSpaceDN/>
        <w:bidi w:val="0"/>
        <w:spacing w:line="560" w:lineRule="atLeast"/>
        <w:ind w:firstLine="321" w:firstLineChars="100"/>
        <w:textAlignment w:val="auto"/>
        <w:rPr>
          <w:rFonts w:ascii="楷体_GB2312" w:eastAsia="楷体_GB2312" w:cs="楷体_GB2312"/>
          <w:b/>
          <w:bCs/>
          <w:sz w:val="32"/>
          <w:szCs w:val="32"/>
        </w:rPr>
      </w:pPr>
      <w:r>
        <w:rPr>
          <w:rFonts w:hint="eastAsia" w:ascii="楷体_GB2312" w:eastAsia="楷体_GB2312" w:cs="楷体_GB2312"/>
          <w:b/>
          <w:bCs/>
          <w:sz w:val="32"/>
          <w:szCs w:val="32"/>
        </w:rPr>
        <w:t>（一）项目概况</w:t>
      </w:r>
    </w:p>
    <w:p w14:paraId="6DDEEB39">
      <w:pPr>
        <w:pageBreakBefore w:val="0"/>
        <w:kinsoku/>
        <w:wordWrap/>
        <w:overflowPunct/>
        <w:topLinePunct w:val="0"/>
        <w:autoSpaceDE/>
        <w:autoSpaceDN/>
        <w:bidi w:val="0"/>
        <w:spacing w:line="560" w:lineRule="atLeast"/>
        <w:ind w:firstLine="482" w:firstLineChars="150"/>
        <w:textAlignment w:val="auto"/>
        <w:rPr>
          <w:rFonts w:ascii="仿宋_GB2312" w:eastAsia="仿宋_GB2312" w:cs="仿宋_GB2312"/>
          <w:b/>
          <w:bCs/>
          <w:sz w:val="32"/>
          <w:szCs w:val="32"/>
        </w:rPr>
      </w:pPr>
      <w:r>
        <w:rPr>
          <w:rFonts w:hint="eastAsia" w:ascii="仿宋_GB2312" w:eastAsia="仿宋_GB2312" w:cs="仿宋_GB2312"/>
          <w:b/>
          <w:bCs/>
          <w:sz w:val="32"/>
          <w:szCs w:val="32"/>
        </w:rPr>
        <w:t>1</w:t>
      </w:r>
      <w:r>
        <w:rPr>
          <w:rFonts w:ascii="仿宋_GB2312" w:eastAsia="仿宋_GB2312" w:cs="仿宋_GB2312"/>
          <w:b/>
          <w:bCs/>
          <w:sz w:val="32"/>
          <w:szCs w:val="32"/>
        </w:rPr>
        <w:t>.</w:t>
      </w:r>
      <w:r>
        <w:rPr>
          <w:rFonts w:hint="eastAsia" w:ascii="仿宋_GB2312" w:eastAsia="仿宋_GB2312" w:cs="仿宋_GB2312"/>
          <w:b/>
          <w:bCs/>
          <w:sz w:val="32"/>
          <w:szCs w:val="32"/>
        </w:rPr>
        <w:t>项目背景及历史概况</w:t>
      </w:r>
    </w:p>
    <w:p w14:paraId="13EFFE8D">
      <w:pPr>
        <w:pageBreakBefore w:val="0"/>
        <w:kinsoku/>
        <w:wordWrap/>
        <w:overflowPunct/>
        <w:topLinePunct w:val="0"/>
        <w:autoSpaceDE/>
        <w:autoSpaceDN/>
        <w:bidi w:val="0"/>
        <w:adjustRightInd w:val="0"/>
        <w:snapToGrid w:val="0"/>
        <w:spacing w:line="560" w:lineRule="atLeast"/>
        <w:ind w:firstLine="640" w:firstLineChars="200"/>
        <w:textAlignment w:val="auto"/>
        <w:rPr>
          <w:rFonts w:ascii="仿宋_GB2312" w:eastAsia="仿宋_GB2312" w:cs="仿宋_GB2312"/>
          <w:b/>
          <w:bCs/>
          <w:sz w:val="32"/>
          <w:szCs w:val="32"/>
        </w:rPr>
      </w:pPr>
      <w:r>
        <w:rPr>
          <w:rFonts w:hint="eastAsia" w:ascii="仿宋_GB2312" w:eastAsia="仿宋_GB2312" w:cs="仿宋_GB2312"/>
          <w:sz w:val="32"/>
          <w:szCs w:val="32"/>
        </w:rPr>
        <w:t>《塔尔巴哈台》杂志是塔城地区唯一向国内外公开发行的哈萨克文文学刊物。1982年12月14日经新疆维吾尔自治区党委宣传部批准创刊，从1983年第一季度开始在国内公开发行（批文号：新党宣字[1982]94号）。具有37年历史的期刊。1987年9月9日经自治区文化厅审查批准国内统一刊号（CN65—1045/I），国际标准刊号（ISSN1002-9370），主管单位和主办单位为塔城地区行政公署；2011年12月15日，主管单位调整为塔城地区文联，负责杂志终审。在塔城地委和行署的关心支持下，经自治区新闻广电局同意，2014年开始由季刊改版成双月刊。在编辑过程中严格落实《出版管理条例》、《报纸出版管理规定》、《期刊出版管理规定》要求，健全并严格落实“三审三校”制度，自</w:t>
      </w:r>
      <w:r>
        <w:rPr>
          <w:rFonts w:ascii="仿宋_GB2312" w:eastAsia="仿宋_GB2312" w:cs="仿宋_GB2312"/>
          <w:sz w:val="32"/>
          <w:szCs w:val="32"/>
        </w:rPr>
        <w:t>2014</w:t>
      </w:r>
      <w:r>
        <w:rPr>
          <w:rFonts w:hint="eastAsia" w:ascii="仿宋_GB2312" w:eastAsia="仿宋_GB2312" w:cs="仿宋_GB2312"/>
          <w:sz w:val="32"/>
          <w:szCs w:val="32"/>
        </w:rPr>
        <w:t>年以来，《塔尔巴哈台》杂志</w:t>
      </w:r>
      <w:r>
        <w:rPr>
          <w:rFonts w:ascii="仿宋_GB2312" w:eastAsia="仿宋_GB2312" w:cs="仿宋_GB2312"/>
          <w:sz w:val="32"/>
          <w:szCs w:val="32"/>
        </w:rPr>
        <w:t>每年</w:t>
      </w:r>
      <w:r>
        <w:rPr>
          <w:rFonts w:hint="eastAsia" w:ascii="仿宋_GB2312" w:eastAsia="仿宋_GB2312" w:cs="仿宋_GB2312"/>
          <w:sz w:val="32"/>
          <w:szCs w:val="32"/>
        </w:rPr>
        <w:t>出版发行</w:t>
      </w:r>
      <w:r>
        <w:rPr>
          <w:rFonts w:ascii="仿宋_GB2312" w:eastAsia="仿宋_GB2312" w:cs="仿宋_GB2312"/>
          <w:sz w:val="32"/>
          <w:szCs w:val="32"/>
        </w:rPr>
        <w:t>6</w:t>
      </w:r>
      <w:r>
        <w:rPr>
          <w:rFonts w:hint="eastAsia" w:ascii="仿宋_GB2312" w:eastAsia="仿宋_GB2312" w:cs="仿宋_GB2312"/>
          <w:sz w:val="32"/>
          <w:szCs w:val="32"/>
        </w:rPr>
        <w:t>期，未发生杂志休刊，停刊的现象。</w:t>
      </w:r>
      <w:r>
        <w:rPr>
          <w:rFonts w:hint="eastAsia" w:ascii="仿宋_GB2312" w:eastAsia="仿宋_GB2312"/>
          <w:sz w:val="32"/>
          <w:szCs w:val="32"/>
        </w:rPr>
        <w:t>期刊主题鲜明。2019年围绕总目标，服务总目标，在原有栏目的基础上连续《辉煌七十年》主题栏目。能够</w:t>
      </w:r>
      <w:r>
        <w:rPr>
          <w:rFonts w:hint="eastAsia" w:ascii="仿宋_GB2312" w:eastAsia="仿宋_GB2312" w:cs="仿宋_GB2312"/>
          <w:sz w:val="32"/>
          <w:szCs w:val="32"/>
        </w:rPr>
        <w:t>积极配合塔城地区第22届阿肯阿依特斯、文化旅游节活动。在《活动剪辑》栏目刊登了较优秀的二队阿肯演唱场景,以及15幅摄影作品与记者通讯,为地区的宣传教育工作起到了积极的推动作用。</w:t>
      </w:r>
      <w:r>
        <w:rPr>
          <w:rFonts w:hint="eastAsia" w:ascii="仿宋_GB2312" w:eastAsia="仿宋_GB2312"/>
          <w:sz w:val="32"/>
          <w:szCs w:val="32"/>
        </w:rPr>
        <w:t>通过</w:t>
      </w:r>
      <w:r>
        <w:rPr>
          <w:rFonts w:hint="eastAsia" w:ascii="仿宋_GB2312" w:eastAsia="仿宋_GB2312"/>
          <w:sz w:val="32"/>
          <w:szCs w:val="32"/>
          <w:lang w:val="zh-CN"/>
        </w:rPr>
        <w:t>围绕</w:t>
      </w:r>
      <w:r>
        <w:rPr>
          <w:rFonts w:hint="eastAsia" w:ascii="仿宋_GB2312" w:eastAsia="仿宋_GB2312"/>
          <w:sz w:val="32"/>
          <w:szCs w:val="32"/>
        </w:rPr>
        <w:t>总目标,主题宣传引导有力等措施，有力地保持了舆论导向的正确。</w:t>
      </w:r>
      <w:r>
        <w:rPr>
          <w:rFonts w:hint="eastAsia" w:ascii="仿宋_GB2312" w:eastAsia="仿宋_GB2312"/>
          <w:b/>
          <w:bCs/>
          <w:sz w:val="32"/>
          <w:szCs w:val="32"/>
        </w:rPr>
        <w:t>四是</w:t>
      </w:r>
      <w:r>
        <w:rPr>
          <w:rFonts w:hint="eastAsia" w:ascii="仿宋_GB2312" w:eastAsia="仿宋_GB2312"/>
          <w:sz w:val="32"/>
          <w:szCs w:val="32"/>
        </w:rPr>
        <w:t>社会评价较好。《塔尔巴哈台》编辑部坚持出版导向，把社会效益放在首位，弘扬主旋律，传播正能量。“文学评论”栏目，具有较高的文化价值和学术价值，得到了读者的好评。开办的《能工巧匠》、《摄影之眼》等栏目,将摄影作品</w:t>
      </w:r>
      <w:r>
        <w:rPr>
          <w:rFonts w:ascii="仿宋_GB2312" w:eastAsia="仿宋_GB2312"/>
          <w:sz w:val="32"/>
          <w:szCs w:val="32"/>
        </w:rPr>
        <w:t>、</w:t>
      </w:r>
      <w:r>
        <w:rPr>
          <w:rFonts w:hint="eastAsia" w:ascii="仿宋_GB2312" w:eastAsia="仿宋_GB2312"/>
          <w:sz w:val="32"/>
          <w:szCs w:val="32"/>
        </w:rPr>
        <w:t>绘画以及油画作品展观给读者，为地区艺术家们搭建了一个展示平台。</w:t>
      </w:r>
    </w:p>
    <w:p w14:paraId="7C6F18DA">
      <w:pPr>
        <w:pageBreakBefore w:val="0"/>
        <w:kinsoku/>
        <w:wordWrap/>
        <w:overflowPunct/>
        <w:topLinePunct w:val="0"/>
        <w:autoSpaceDE/>
        <w:autoSpaceDN/>
        <w:bidi w:val="0"/>
        <w:spacing w:line="560" w:lineRule="atLeast"/>
        <w:ind w:firstLine="643" w:firstLineChars="200"/>
        <w:textAlignment w:val="auto"/>
        <w:rPr>
          <w:rFonts w:ascii="仿宋_GB2312" w:eastAsia="仿宋_GB2312" w:cs="仿宋_GB2312"/>
          <w:b/>
          <w:bCs/>
          <w:sz w:val="32"/>
          <w:szCs w:val="32"/>
        </w:rPr>
      </w:pPr>
      <w:r>
        <w:rPr>
          <w:rFonts w:hint="eastAsia" w:ascii="仿宋_GB2312" w:eastAsia="仿宋_GB2312" w:cs="仿宋_GB2312"/>
          <w:b/>
          <w:bCs/>
          <w:sz w:val="32"/>
          <w:szCs w:val="32"/>
        </w:rPr>
        <w:t>2.项目主要内容及实施情况</w:t>
      </w:r>
    </w:p>
    <w:p w14:paraId="782AEB68">
      <w:pPr>
        <w:pageBreakBefore w:val="0"/>
        <w:kinsoku/>
        <w:wordWrap/>
        <w:overflowPunct/>
        <w:topLinePunct w:val="0"/>
        <w:autoSpaceDE/>
        <w:autoSpaceDN/>
        <w:bidi w:val="0"/>
        <w:snapToGrid w:val="0"/>
        <w:spacing w:line="560" w:lineRule="atLeast"/>
        <w:ind w:firstLine="640" w:firstLineChars="200"/>
        <w:textAlignment w:val="auto"/>
        <w:rPr>
          <w:rFonts w:ascii="仿宋" w:eastAsia="仿宋"/>
          <w:sz w:val="32"/>
          <w:szCs w:val="32"/>
        </w:rPr>
      </w:pPr>
      <w:r>
        <w:rPr>
          <w:rFonts w:hint="eastAsia" w:ascii="仿宋_GB2312" w:eastAsia="仿宋_GB2312" w:cs="仿宋_GB2312"/>
          <w:sz w:val="32"/>
          <w:szCs w:val="32"/>
        </w:rPr>
        <w:t>项目主要内容：</w:t>
      </w:r>
      <w:r>
        <w:rPr>
          <w:rFonts w:hint="eastAsia" w:ascii="仿宋" w:eastAsia="仿宋"/>
          <w:sz w:val="32"/>
          <w:szCs w:val="32"/>
        </w:rPr>
        <w:t>2020年专项业务支出</w:t>
      </w:r>
      <w:r>
        <w:rPr>
          <w:rFonts w:ascii="仿宋" w:eastAsia="仿宋"/>
          <w:sz w:val="32"/>
          <w:szCs w:val="32"/>
        </w:rPr>
        <w:t>35.98</w:t>
      </w:r>
      <w:r>
        <w:rPr>
          <w:rFonts w:hint="eastAsia" w:ascii="仿宋" w:eastAsia="仿宋"/>
          <w:sz w:val="32"/>
          <w:szCs w:val="32"/>
        </w:rPr>
        <w:t>万元，主要用于出《塔</w:t>
      </w:r>
      <w:r>
        <w:rPr>
          <w:rFonts w:ascii="仿宋" w:eastAsia="仿宋"/>
          <w:sz w:val="32"/>
          <w:szCs w:val="32"/>
        </w:rPr>
        <w:t>尔巴哈台</w:t>
      </w:r>
      <w:r>
        <w:rPr>
          <w:rFonts w:hint="eastAsia" w:ascii="仿宋" w:eastAsia="仿宋"/>
          <w:sz w:val="32"/>
          <w:szCs w:val="32"/>
        </w:rPr>
        <w:t>》</w:t>
      </w:r>
      <w:r>
        <w:rPr>
          <w:rFonts w:ascii="仿宋" w:eastAsia="仿宋"/>
          <w:sz w:val="32"/>
          <w:szCs w:val="32"/>
        </w:rPr>
        <w:t>杂志</w:t>
      </w:r>
      <w:r>
        <w:rPr>
          <w:rFonts w:hint="eastAsia" w:ascii="仿宋" w:eastAsia="仿宋"/>
          <w:sz w:val="32"/>
          <w:szCs w:val="32"/>
        </w:rPr>
        <w:t>出版</w:t>
      </w:r>
      <w:r>
        <w:rPr>
          <w:rFonts w:ascii="仿宋" w:eastAsia="仿宋"/>
          <w:sz w:val="32"/>
          <w:szCs w:val="32"/>
        </w:rPr>
        <w:t>全年6</w:t>
      </w:r>
      <w:r>
        <w:rPr>
          <w:rFonts w:hint="eastAsia" w:ascii="仿宋" w:eastAsia="仿宋"/>
          <w:sz w:val="32"/>
          <w:szCs w:val="32"/>
        </w:rPr>
        <w:t>期</w:t>
      </w:r>
      <w:r>
        <w:rPr>
          <w:rFonts w:ascii="仿宋" w:eastAsia="仿宋"/>
          <w:sz w:val="32"/>
          <w:szCs w:val="32"/>
        </w:rPr>
        <w:t>，《民族团结一家亲》特刊一期，</w:t>
      </w:r>
      <w:r>
        <w:rPr>
          <w:rFonts w:hint="eastAsia" w:ascii="仿宋" w:eastAsia="仿宋"/>
          <w:sz w:val="32"/>
          <w:szCs w:val="32"/>
        </w:rPr>
        <w:t>完成全年</w:t>
      </w:r>
      <w:r>
        <w:rPr>
          <w:rFonts w:ascii="仿宋" w:eastAsia="仿宋"/>
          <w:sz w:val="32"/>
          <w:szCs w:val="32"/>
        </w:rPr>
        <w:t>工作</w:t>
      </w:r>
      <w:r>
        <w:rPr>
          <w:rFonts w:hint="eastAsia" w:ascii="仿宋" w:eastAsia="仿宋"/>
          <w:sz w:val="32"/>
          <w:szCs w:val="32"/>
        </w:rPr>
        <w:t>任务。</w:t>
      </w:r>
    </w:p>
    <w:p w14:paraId="458F5EC7">
      <w:pPr>
        <w:pageBreakBefore w:val="0"/>
        <w:kinsoku/>
        <w:wordWrap/>
        <w:overflowPunct/>
        <w:topLinePunct w:val="0"/>
        <w:autoSpaceDE/>
        <w:autoSpaceDN/>
        <w:bidi w:val="0"/>
        <w:spacing w:line="560" w:lineRule="atLeast"/>
        <w:ind w:firstLine="640" w:firstLineChars="200"/>
        <w:textAlignment w:val="auto"/>
      </w:pPr>
      <w:r>
        <w:rPr>
          <w:rFonts w:hint="eastAsia" w:asci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4A2DC3BA">
      <w:pPr>
        <w:pageBreakBefore w:val="0"/>
        <w:kinsoku/>
        <w:wordWrap/>
        <w:overflowPunct/>
        <w:topLinePunct w:val="0"/>
        <w:autoSpaceDE/>
        <w:autoSpaceDN/>
        <w:bidi w:val="0"/>
        <w:spacing w:line="560" w:lineRule="atLeast"/>
        <w:ind w:firstLine="579" w:firstLineChars="181"/>
        <w:textAlignment w:val="auto"/>
        <w:rPr>
          <w:rFonts w:ascii="仿宋_GB2312" w:eastAsia="仿宋_GB2312" w:cs="仿宋_GB2312"/>
          <w:sz w:val="32"/>
          <w:szCs w:val="32"/>
        </w:rPr>
      </w:pPr>
      <w:r>
        <w:rPr>
          <w:rFonts w:hint="eastAsia" w:ascii="仿宋_GB2312" w:eastAsia="仿宋_GB2312" w:cs="仿宋_GB2312"/>
          <w:sz w:val="32"/>
          <w:szCs w:val="32"/>
        </w:rPr>
        <w:t>本项目总投资</w:t>
      </w:r>
      <w:r>
        <w:rPr>
          <w:rFonts w:ascii="仿宋_GB2312" w:eastAsia="仿宋_GB2312" w:cs="仿宋_GB2312"/>
          <w:sz w:val="32"/>
          <w:szCs w:val="32"/>
        </w:rPr>
        <w:t>36</w:t>
      </w:r>
      <w:r>
        <w:rPr>
          <w:rFonts w:hint="eastAsia" w:ascii="仿宋_GB2312" w:eastAsia="仿宋_GB2312" w:cs="仿宋_GB2312"/>
          <w:sz w:val="32"/>
          <w:szCs w:val="32"/>
        </w:rPr>
        <w:t>万元，其中：财政本级资金</w:t>
      </w:r>
      <w:r>
        <w:rPr>
          <w:rFonts w:ascii="仿宋_GB2312" w:eastAsia="仿宋_GB2312" w:cs="仿宋_GB2312"/>
          <w:sz w:val="32"/>
          <w:szCs w:val="32"/>
        </w:rPr>
        <w:t>36</w:t>
      </w:r>
      <w:r>
        <w:rPr>
          <w:rFonts w:hint="eastAsia" w:ascii="仿宋_GB2312" w:eastAsia="仿宋_GB2312" w:cs="仿宋_GB2312"/>
          <w:sz w:val="32"/>
          <w:szCs w:val="32"/>
        </w:rPr>
        <w:t>万元。项目实际支出</w:t>
      </w:r>
      <w:r>
        <w:rPr>
          <w:rFonts w:ascii="仿宋_GB2312" w:eastAsia="仿宋_GB2312" w:cs="仿宋_GB2312"/>
          <w:sz w:val="32"/>
          <w:szCs w:val="32"/>
        </w:rPr>
        <w:t>35.98</w:t>
      </w:r>
      <w:r>
        <w:rPr>
          <w:rFonts w:hint="eastAsia" w:ascii="仿宋_GB2312" w:eastAsia="仿宋_GB2312" w:cs="仿宋_GB2312"/>
          <w:sz w:val="32"/>
          <w:szCs w:val="32"/>
        </w:rPr>
        <w:t>万元， 支出率为</w:t>
      </w:r>
      <w:r>
        <w:rPr>
          <w:rFonts w:hint="eastAsia" w:ascii="仿宋_GB2312" w:eastAsia="仿宋_GB2312" w:cs="仿宋_GB2312"/>
          <w:sz w:val="32"/>
          <w:szCs w:val="32"/>
          <w:lang w:val="en-US" w:eastAsia="zh-CN"/>
        </w:rPr>
        <w:t>92.25</w:t>
      </w:r>
      <w:r>
        <w:rPr>
          <w:rFonts w:hint="eastAsia" w:ascii="仿宋_GB2312" w:eastAsia="仿宋_GB2312" w:cs="仿宋_GB2312"/>
          <w:sz w:val="32"/>
          <w:szCs w:val="32"/>
        </w:rPr>
        <w:t>%。</w:t>
      </w:r>
    </w:p>
    <w:p w14:paraId="0B8E8966">
      <w:pPr>
        <w:pageBreakBefore w:val="0"/>
        <w:kinsoku/>
        <w:wordWrap/>
        <w:overflowPunct/>
        <w:topLinePunct w:val="0"/>
        <w:autoSpaceDE/>
        <w:autoSpaceDN/>
        <w:bidi w:val="0"/>
        <w:spacing w:line="560" w:lineRule="atLeast"/>
        <w:ind w:firstLine="641"/>
        <w:textAlignment w:val="auto"/>
        <w:rPr>
          <w:rFonts w:ascii="仿宋_GB2312" w:eastAsia="仿宋_GB2312" w:cs="仿宋_GB2312"/>
          <w:sz w:val="32"/>
          <w:szCs w:val="32"/>
        </w:rPr>
      </w:pPr>
      <w:r>
        <w:rPr>
          <w:rFonts w:hint="eastAsia" w:ascii="仿宋_GB2312" w:eastAsia="仿宋_GB2312" w:cs="仿宋_GB2312"/>
          <w:b/>
          <w:bCs/>
          <w:sz w:val="32"/>
          <w:szCs w:val="32"/>
        </w:rPr>
        <w:t>3、资金投入和使用情况</w:t>
      </w:r>
    </w:p>
    <w:p w14:paraId="3B44E9FC">
      <w:pPr>
        <w:pageBreakBefore w:val="0"/>
        <w:kinsoku/>
        <w:wordWrap/>
        <w:overflowPunct/>
        <w:topLinePunct w:val="0"/>
        <w:autoSpaceDE/>
        <w:autoSpaceDN/>
        <w:bidi w:val="0"/>
        <w:spacing w:line="560" w:lineRule="atLeast"/>
        <w:ind w:firstLine="641"/>
        <w:textAlignment w:val="auto"/>
        <w:rPr>
          <w:rFonts w:ascii="仿宋_GB2312" w:eastAsia="仿宋_GB2312" w:cs="仿宋_GB2312"/>
          <w:sz w:val="20"/>
          <w:szCs w:val="20"/>
        </w:rPr>
      </w:pPr>
      <w:r>
        <w:rPr>
          <w:rFonts w:hint="eastAsia" w:ascii="仿宋_GB2312" w:eastAsia="仿宋_GB2312" w:cs="仿宋_GB2312"/>
          <w:sz w:val="32"/>
          <w:szCs w:val="32"/>
        </w:rPr>
        <w:t>（1）资金安排</w:t>
      </w:r>
    </w:p>
    <w:p w14:paraId="6A571BA5">
      <w:pPr>
        <w:pageBreakBefore w:val="0"/>
        <w:kinsoku/>
        <w:wordWrap/>
        <w:overflowPunct/>
        <w:topLinePunct w:val="0"/>
        <w:autoSpaceDE/>
        <w:autoSpaceDN/>
        <w:bidi w:val="0"/>
        <w:spacing w:line="560" w:lineRule="atLeast"/>
        <w:ind w:firstLine="579" w:firstLineChars="181"/>
        <w:textAlignment w:val="auto"/>
        <w:rPr>
          <w:rFonts w:ascii="仿宋_GB2312" w:eastAsia="仿宋_GB2312" w:cs="仿宋_GB2312"/>
          <w:sz w:val="32"/>
          <w:szCs w:val="32"/>
        </w:rPr>
      </w:pPr>
      <w:r>
        <w:rPr>
          <w:rFonts w:hint="eastAsia" w:ascii="仿宋_GB2312" w:eastAsia="仿宋_GB2312" w:cs="仿宋_GB2312"/>
          <w:sz w:val="32"/>
          <w:szCs w:val="32"/>
        </w:rPr>
        <w:t>项目总投资</w:t>
      </w:r>
      <w:r>
        <w:rPr>
          <w:rFonts w:ascii="仿宋_GB2312" w:eastAsia="仿宋_GB2312" w:cs="仿宋_GB2312"/>
          <w:sz w:val="32"/>
          <w:szCs w:val="32"/>
        </w:rPr>
        <w:t>36</w:t>
      </w:r>
      <w:r>
        <w:rPr>
          <w:rFonts w:hint="eastAsia" w:ascii="仿宋_GB2312" w:eastAsia="仿宋_GB2312" w:cs="仿宋_GB2312"/>
          <w:sz w:val="32"/>
          <w:szCs w:val="32"/>
        </w:rPr>
        <w:t>万元，按照《</w:t>
      </w:r>
      <w:r>
        <w:rPr>
          <w:rFonts w:ascii="仿宋_GB2312" w:eastAsia="仿宋_GB2312" w:cs="仿宋_GB2312"/>
          <w:sz w:val="32"/>
          <w:szCs w:val="32"/>
        </w:rPr>
        <w:t>专项</w:t>
      </w:r>
      <w:r>
        <w:rPr>
          <w:rFonts w:hint="eastAsia" w:ascii="仿宋_GB2312" w:eastAsia="仿宋_GB2312" w:cs="仿宋_GB2312"/>
          <w:sz w:val="32"/>
          <w:szCs w:val="32"/>
        </w:rPr>
        <w:t>资金管理办法》及单位财务制度等相关规定，资金支出符合专项</w:t>
      </w:r>
      <w:r>
        <w:rPr>
          <w:rFonts w:ascii="仿宋_GB2312" w:eastAsia="仿宋_GB2312" w:cs="仿宋_GB2312"/>
          <w:sz w:val="32"/>
          <w:szCs w:val="32"/>
        </w:rPr>
        <w:t>业务</w:t>
      </w:r>
      <w:r>
        <w:rPr>
          <w:rFonts w:hint="eastAsia" w:ascii="仿宋_GB2312" w:eastAsia="仿宋_GB2312" w:cs="仿宋_GB2312"/>
          <w:sz w:val="32"/>
          <w:szCs w:val="32"/>
        </w:rPr>
        <w:t>资金费用范围，做到了专款专用。在项目资金拨付和使用过程中，为确保项目资金的安全性，提高项目资金使用效率，严格遵循</w:t>
      </w:r>
      <w:r>
        <w:rPr>
          <w:rFonts w:ascii="仿宋_GB2312" w:eastAsia="仿宋_GB2312" w:cs="仿宋_GB2312"/>
          <w:sz w:val="32"/>
          <w:szCs w:val="32"/>
        </w:rPr>
        <w:t>专项业务费</w:t>
      </w:r>
      <w:r>
        <w:rPr>
          <w:rFonts w:hint="eastAsia" w:ascii="仿宋_GB2312" w:eastAsia="仿宋_GB2312" w:cs="仿宋_GB2312"/>
          <w:sz w:val="32"/>
          <w:szCs w:val="32"/>
        </w:rPr>
        <w:t>资金的拨付程序，认真审核项目实施各阶段的相关材料和手续，根据项目实施进展情况拨付资金。</w:t>
      </w:r>
    </w:p>
    <w:p w14:paraId="00706A53">
      <w:pPr>
        <w:pageBreakBefore w:val="0"/>
        <w:kinsoku/>
        <w:wordWrap/>
        <w:overflowPunct/>
        <w:topLinePunct w:val="0"/>
        <w:autoSpaceDE/>
        <w:autoSpaceDN/>
        <w:bidi w:val="0"/>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（2）预算资金来源及使用情况</w:t>
      </w:r>
      <w:bookmarkStart w:id="0" w:name="page10"/>
      <w:bookmarkEnd w:id="0"/>
    </w:p>
    <w:p w14:paraId="13E9D667">
      <w:pPr>
        <w:pStyle w:val="2"/>
        <w:pageBreakBefore w:val="0"/>
        <w:kinsoku/>
        <w:wordWrap/>
        <w:overflowPunct/>
        <w:topLinePunct w:val="0"/>
        <w:autoSpaceDE/>
        <w:autoSpaceDN/>
        <w:bidi w:val="0"/>
        <w:spacing w:before="0" w:after="0" w:line="560" w:lineRule="atLeast"/>
        <w:ind w:firstLine="640" w:firstLineChars="200"/>
        <w:jc w:val="both"/>
        <w:textAlignment w:val="auto"/>
        <w:rPr>
          <w:rFonts w:ascii="仿宋_GB2312" w:eastAsia="仿宋_GB2312" w:cs="仿宋_GB2312"/>
          <w:b w:val="0"/>
          <w:bCs w:val="0"/>
          <w:kern w:val="2"/>
        </w:rPr>
      </w:pPr>
      <w:r>
        <w:rPr>
          <w:rFonts w:hint="eastAsia" w:ascii="仿宋_GB2312" w:eastAsia="仿宋_GB2312" w:cs="仿宋_GB2312"/>
          <w:b w:val="0"/>
          <w:bCs w:val="0"/>
          <w:kern w:val="2"/>
        </w:rPr>
        <w:t>项目预算资金来源于</w:t>
      </w:r>
      <w:r>
        <w:rPr>
          <w:rFonts w:hint="eastAsia" w:ascii="仿宋_GB2312" w:eastAsia="仿宋_GB2312" w:cs="仿宋_GB2312"/>
          <w:b w:val="0"/>
          <w:kern w:val="2"/>
        </w:rPr>
        <w:t>塔地财预[2020]2号《关于批复地区本级预算单位结余资金列入2020年预算的通知》</w:t>
      </w:r>
      <w:r>
        <w:rPr>
          <w:rFonts w:hint="eastAsia" w:ascii="仿宋_GB2312" w:eastAsia="仿宋_GB2312" w:cs="仿宋_GB2312"/>
          <w:b w:val="0"/>
          <w:bCs w:val="0"/>
          <w:kern w:val="2"/>
        </w:rPr>
        <w:t>文件中批复的资金，项目资金到位</w:t>
      </w:r>
      <w:r>
        <w:rPr>
          <w:rFonts w:ascii="仿宋_GB2312" w:eastAsia="仿宋_GB2312" w:cs="仿宋_GB2312"/>
          <w:b w:val="0"/>
          <w:bCs w:val="0"/>
          <w:kern w:val="2"/>
        </w:rPr>
        <w:t>36</w:t>
      </w:r>
      <w:r>
        <w:rPr>
          <w:rFonts w:hint="eastAsia" w:ascii="仿宋_GB2312" w:eastAsia="仿宋_GB2312" w:cs="仿宋_GB2312"/>
          <w:b w:val="0"/>
          <w:bCs w:val="0"/>
          <w:kern w:val="2"/>
        </w:rPr>
        <w:t>万元，用于支付项目实施进程中的各项费用。</w:t>
      </w:r>
    </w:p>
    <w:p w14:paraId="0FCCDA85">
      <w:pPr>
        <w:pageBreakBefore w:val="0"/>
        <w:kinsoku/>
        <w:wordWrap/>
        <w:overflowPunct/>
        <w:topLinePunct w:val="0"/>
        <w:autoSpaceDE/>
        <w:autoSpaceDN/>
        <w:bidi w:val="0"/>
        <w:spacing w:line="560" w:lineRule="atLeast"/>
        <w:ind w:firstLine="641"/>
        <w:textAlignment w:val="auto"/>
        <w:rPr>
          <w:rFonts w:ascii="楷体_GB2312" w:eastAsia="楷体_GB2312" w:cs="楷体_GB2312"/>
          <w:b/>
          <w:bCs/>
          <w:sz w:val="32"/>
          <w:szCs w:val="32"/>
        </w:rPr>
      </w:pPr>
      <w:r>
        <w:rPr>
          <w:rFonts w:hint="eastAsia" w:ascii="楷体_GB2312" w:eastAsia="楷体_GB2312" w:cs="楷体_GB2312"/>
          <w:b/>
          <w:bCs/>
          <w:sz w:val="32"/>
          <w:szCs w:val="32"/>
        </w:rPr>
        <w:t>（二）项目绩效目标</w:t>
      </w:r>
    </w:p>
    <w:p w14:paraId="2FA269A0">
      <w:pPr>
        <w:pageBreakBefore w:val="0"/>
        <w:numPr>
          <w:ilvl w:val="0"/>
          <w:numId w:val="1"/>
        </w:numPr>
        <w:kinsoku/>
        <w:wordWrap/>
        <w:overflowPunct/>
        <w:topLinePunct w:val="0"/>
        <w:autoSpaceDE/>
        <w:autoSpaceDN/>
        <w:bidi w:val="0"/>
        <w:spacing w:line="560" w:lineRule="atLeast"/>
        <w:textAlignment w:val="auto"/>
        <w:rPr>
          <w:rFonts w:ascii="仿宋_GB2312" w:eastAsia="仿宋_GB2312" w:cs="仿宋_GB2312"/>
          <w:b/>
          <w:bCs/>
          <w:sz w:val="32"/>
          <w:szCs w:val="32"/>
        </w:rPr>
      </w:pPr>
      <w:r>
        <w:rPr>
          <w:rFonts w:hint="eastAsia" w:ascii="仿宋_GB2312" w:eastAsia="仿宋_GB2312" w:cs="仿宋_GB2312"/>
          <w:b/>
          <w:bCs/>
          <w:sz w:val="32"/>
          <w:szCs w:val="32"/>
        </w:rPr>
        <w:t>总体目标</w:t>
      </w:r>
    </w:p>
    <w:p w14:paraId="22B5715C">
      <w:pPr>
        <w:pageBreakBefore w:val="0"/>
        <w:kinsoku/>
        <w:wordWrap/>
        <w:overflowPunct/>
        <w:topLinePunct w:val="0"/>
        <w:autoSpaceDE/>
        <w:autoSpaceDN/>
        <w:bidi w:val="0"/>
        <w:snapToGrid w:val="0"/>
        <w:spacing w:line="560" w:lineRule="atLeast"/>
        <w:ind w:firstLine="640" w:firstLineChars="200"/>
        <w:textAlignment w:val="auto"/>
        <w:rPr>
          <w:rFonts w:ascii="仿宋" w:eastAsia="仿宋"/>
          <w:sz w:val="32"/>
          <w:szCs w:val="32"/>
        </w:rPr>
      </w:pPr>
      <w:r>
        <w:rPr>
          <w:rFonts w:hint="eastAsia" w:ascii="仿宋" w:eastAsia="仿宋" w:cs="仿宋_GB2312"/>
          <w:sz w:val="32"/>
          <w:szCs w:val="32"/>
        </w:rPr>
        <w:t>2020年印刷费费</w:t>
      </w:r>
      <w:r>
        <w:rPr>
          <w:rFonts w:ascii="仿宋" w:eastAsia="仿宋" w:cs="仿宋_GB2312"/>
          <w:sz w:val="32"/>
          <w:szCs w:val="32"/>
        </w:rPr>
        <w:t>36</w:t>
      </w:r>
      <w:r>
        <w:rPr>
          <w:rFonts w:hint="eastAsia" w:ascii="仿宋" w:eastAsia="仿宋" w:cs="仿宋_GB2312"/>
          <w:sz w:val="32"/>
          <w:szCs w:val="32"/>
        </w:rPr>
        <w:t>万元，严格按时财务管理制度规定，</w:t>
      </w:r>
      <w:r>
        <w:rPr>
          <w:rFonts w:hint="eastAsia" w:ascii="仿宋" w:eastAsia="仿宋"/>
          <w:sz w:val="32"/>
          <w:szCs w:val="32"/>
        </w:rPr>
        <w:t>主要用于出《塔</w:t>
      </w:r>
      <w:r>
        <w:rPr>
          <w:rFonts w:ascii="仿宋" w:eastAsia="仿宋"/>
          <w:sz w:val="32"/>
          <w:szCs w:val="32"/>
        </w:rPr>
        <w:t>尔巴哈台</w:t>
      </w:r>
      <w:r>
        <w:rPr>
          <w:rFonts w:hint="eastAsia" w:ascii="仿宋" w:eastAsia="仿宋"/>
          <w:sz w:val="32"/>
          <w:szCs w:val="32"/>
        </w:rPr>
        <w:t>》</w:t>
      </w:r>
      <w:r>
        <w:rPr>
          <w:rFonts w:ascii="仿宋" w:eastAsia="仿宋"/>
          <w:sz w:val="32"/>
          <w:szCs w:val="32"/>
        </w:rPr>
        <w:t>杂志</w:t>
      </w:r>
      <w:r>
        <w:rPr>
          <w:rFonts w:hint="eastAsia" w:ascii="仿宋" w:eastAsia="仿宋"/>
          <w:sz w:val="32"/>
          <w:szCs w:val="32"/>
        </w:rPr>
        <w:t>出版</w:t>
      </w:r>
      <w:r>
        <w:rPr>
          <w:rFonts w:ascii="仿宋" w:eastAsia="仿宋"/>
          <w:sz w:val="32"/>
          <w:szCs w:val="32"/>
        </w:rPr>
        <w:t>全年6</w:t>
      </w:r>
      <w:r>
        <w:rPr>
          <w:rFonts w:hint="eastAsia" w:ascii="仿宋" w:eastAsia="仿宋"/>
          <w:sz w:val="32"/>
          <w:szCs w:val="32"/>
        </w:rPr>
        <w:t>期</w:t>
      </w:r>
      <w:r>
        <w:rPr>
          <w:rFonts w:ascii="仿宋" w:eastAsia="仿宋"/>
          <w:sz w:val="32"/>
          <w:szCs w:val="32"/>
        </w:rPr>
        <w:t>，《民族团结一家亲》特刊一期，</w:t>
      </w:r>
      <w:r>
        <w:rPr>
          <w:rFonts w:hint="eastAsia" w:ascii="仿宋" w:eastAsia="仿宋"/>
          <w:sz w:val="32"/>
          <w:szCs w:val="32"/>
        </w:rPr>
        <w:t>完成全年</w:t>
      </w:r>
      <w:r>
        <w:rPr>
          <w:rFonts w:ascii="仿宋" w:eastAsia="仿宋"/>
          <w:sz w:val="32"/>
          <w:szCs w:val="32"/>
        </w:rPr>
        <w:t>工作</w:t>
      </w:r>
      <w:r>
        <w:rPr>
          <w:rFonts w:hint="eastAsia" w:ascii="仿宋" w:eastAsia="仿宋"/>
          <w:sz w:val="32"/>
          <w:szCs w:val="32"/>
        </w:rPr>
        <w:t>任务。</w:t>
      </w:r>
    </w:p>
    <w:p w14:paraId="481694B6">
      <w:pPr>
        <w:pStyle w:val="2"/>
        <w:pageBreakBefore w:val="0"/>
        <w:kinsoku/>
        <w:wordWrap/>
        <w:overflowPunct/>
        <w:topLinePunct w:val="0"/>
        <w:autoSpaceDE/>
        <w:autoSpaceDN/>
        <w:bidi w:val="0"/>
        <w:spacing w:before="0" w:after="0" w:line="560" w:lineRule="atLeast"/>
        <w:ind w:firstLine="643" w:firstLineChars="200"/>
        <w:jc w:val="left"/>
        <w:textAlignment w:val="auto"/>
        <w:rPr>
          <w:b/>
          <w:bCs/>
        </w:rPr>
      </w:pPr>
      <w:r>
        <w:rPr>
          <w:rFonts w:hint="eastAsia" w:ascii="仿宋_GB2312" w:eastAsia="仿宋_GB2312" w:cs="仿宋_GB2312"/>
          <w:b/>
          <w:bCs/>
        </w:rPr>
        <w:t>2、阶段性目标</w:t>
      </w:r>
    </w:p>
    <w:p w14:paraId="1FB79629">
      <w:pPr>
        <w:pageBreakBefore w:val="0"/>
        <w:kinsoku/>
        <w:wordWrap/>
        <w:overflowPunct/>
        <w:topLinePunct w:val="0"/>
        <w:autoSpaceDE/>
        <w:autoSpaceDN/>
        <w:bidi w:val="0"/>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（1）前期准备：根据</w:t>
      </w:r>
      <w:r>
        <w:rPr>
          <w:rFonts w:ascii="仿宋_GB2312" w:eastAsia="仿宋_GB2312" w:cs="仿宋_GB2312"/>
          <w:sz w:val="32"/>
          <w:szCs w:val="32"/>
        </w:rPr>
        <w:t>各相关部门的工作要求、出版发行规定</w:t>
      </w:r>
      <w:r>
        <w:rPr>
          <w:rFonts w:hint="eastAsia" w:ascii="仿宋_GB2312" w:eastAsia="仿宋_GB2312" w:cs="仿宋_GB2312"/>
          <w:sz w:val="32"/>
          <w:szCs w:val="32"/>
        </w:rPr>
        <w:t>，</w:t>
      </w:r>
      <w:r>
        <w:rPr>
          <w:rFonts w:ascii="仿宋_GB2312" w:eastAsia="仿宋_GB2312" w:cs="仿宋_GB2312"/>
          <w:sz w:val="32"/>
          <w:szCs w:val="32"/>
        </w:rPr>
        <w:t>项目负责部门向党组提交项目审议事项</w:t>
      </w:r>
      <w:r>
        <w:rPr>
          <w:rFonts w:hint="eastAsia" w:ascii="仿宋_GB2312" w:eastAsia="仿宋_GB2312" w:cs="仿宋_GB2312"/>
          <w:sz w:val="32"/>
          <w:szCs w:val="32"/>
        </w:rPr>
        <w:t>，</w:t>
      </w:r>
      <w:r>
        <w:rPr>
          <w:rFonts w:ascii="仿宋_GB2312" w:eastAsia="仿宋_GB2312" w:cs="仿宋_GB2312"/>
          <w:sz w:val="32"/>
          <w:szCs w:val="32"/>
        </w:rPr>
        <w:t>按照三重一大制度，经党组会研究决定</w:t>
      </w:r>
      <w:r>
        <w:rPr>
          <w:rFonts w:hint="eastAsia" w:ascii="仿宋_GB2312" w:eastAsia="仿宋_GB2312" w:cs="仿宋_GB2312"/>
          <w:sz w:val="32"/>
          <w:szCs w:val="32"/>
        </w:rPr>
        <w:t>通过</w:t>
      </w:r>
      <w:r>
        <w:rPr>
          <w:rFonts w:ascii="仿宋_GB2312" w:eastAsia="仿宋_GB2312" w:cs="仿宋_GB2312"/>
          <w:sz w:val="32"/>
          <w:szCs w:val="32"/>
        </w:rPr>
        <w:t>后</w:t>
      </w:r>
      <w:r>
        <w:rPr>
          <w:rFonts w:hint="eastAsia" w:ascii="仿宋_GB2312" w:eastAsia="仿宋_GB2312" w:cs="仿宋_GB2312"/>
          <w:sz w:val="32"/>
          <w:szCs w:val="32"/>
        </w:rPr>
        <w:t>，有序开展后续</w:t>
      </w:r>
      <w:r>
        <w:rPr>
          <w:rFonts w:ascii="仿宋_GB2312" w:eastAsia="仿宋_GB2312" w:cs="仿宋_GB2312"/>
          <w:sz w:val="32"/>
          <w:szCs w:val="32"/>
        </w:rPr>
        <w:t>出版发行工作</w:t>
      </w:r>
      <w:r>
        <w:rPr>
          <w:rFonts w:hint="eastAsia" w:ascii="仿宋_GB2312" w:eastAsia="仿宋_GB2312" w:cs="仿宋_GB2312"/>
          <w:sz w:val="32"/>
          <w:szCs w:val="32"/>
        </w:rPr>
        <w:t>。</w:t>
      </w:r>
    </w:p>
    <w:p w14:paraId="573250F3">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（2）组织实施：资金一到位，立即根据</w:t>
      </w:r>
      <w:r>
        <w:rPr>
          <w:rFonts w:ascii="仿宋_GB2312" w:eastAsia="仿宋_GB2312" w:cs="仿宋_GB2312"/>
          <w:sz w:val="32"/>
          <w:szCs w:val="32"/>
        </w:rPr>
        <w:t>出版发行</w:t>
      </w:r>
      <w:r>
        <w:rPr>
          <w:rFonts w:hint="eastAsia" w:ascii="仿宋_GB2312" w:eastAsia="仿宋_GB2312" w:cs="仿宋_GB2312"/>
          <w:sz w:val="32"/>
          <w:szCs w:val="32"/>
        </w:rPr>
        <w:t>要求实施项目。项目责任人按照</w:t>
      </w:r>
      <w:r>
        <w:rPr>
          <w:rFonts w:ascii="仿宋_GB2312" w:eastAsia="仿宋_GB2312" w:cs="仿宋_GB2312"/>
          <w:sz w:val="32"/>
          <w:szCs w:val="32"/>
        </w:rPr>
        <w:t>工作</w:t>
      </w:r>
      <w:r>
        <w:rPr>
          <w:rFonts w:hint="eastAsia" w:ascii="仿宋_GB2312" w:eastAsia="仿宋_GB2312" w:cs="仿宋_GB2312"/>
          <w:sz w:val="32"/>
          <w:szCs w:val="32"/>
        </w:rPr>
        <w:t>要求逐一进行项目部署安排，提高项目质量及效率性。</w:t>
      </w:r>
      <w:r>
        <w:rPr>
          <w:rFonts w:ascii="仿宋_GB2312" w:eastAsia="仿宋_GB2312" w:cs="仿宋_GB2312"/>
          <w:sz w:val="32"/>
          <w:szCs w:val="32"/>
        </w:rPr>
        <w:t>2020年双月发行一期</w:t>
      </w:r>
      <w:r>
        <w:rPr>
          <w:rFonts w:hint="eastAsia" w:ascii="仿宋" w:eastAsia="仿宋"/>
          <w:sz w:val="32"/>
          <w:szCs w:val="32"/>
        </w:rPr>
        <w:t>《塔</w:t>
      </w:r>
      <w:r>
        <w:rPr>
          <w:rFonts w:ascii="仿宋" w:eastAsia="仿宋"/>
          <w:sz w:val="32"/>
          <w:szCs w:val="32"/>
        </w:rPr>
        <w:t>尔巴哈台</w:t>
      </w:r>
      <w:r>
        <w:rPr>
          <w:rFonts w:hint="eastAsia" w:ascii="仿宋" w:eastAsia="仿宋"/>
          <w:sz w:val="32"/>
          <w:szCs w:val="32"/>
        </w:rPr>
        <w:t>》</w:t>
      </w:r>
      <w:r>
        <w:rPr>
          <w:rFonts w:ascii="仿宋" w:eastAsia="仿宋"/>
          <w:sz w:val="32"/>
          <w:szCs w:val="32"/>
        </w:rPr>
        <w:t>杂志</w:t>
      </w:r>
      <w:r>
        <w:rPr>
          <w:rFonts w:ascii="仿宋_GB2312" w:eastAsia="仿宋_GB2312" w:cs="仿宋_GB2312"/>
          <w:sz w:val="32"/>
          <w:szCs w:val="32"/>
        </w:rPr>
        <w:t>，在12月底完成全年六期</w:t>
      </w:r>
      <w:r>
        <w:rPr>
          <w:rFonts w:hint="eastAsia" w:ascii="仿宋" w:eastAsia="仿宋"/>
          <w:sz w:val="32"/>
          <w:szCs w:val="32"/>
        </w:rPr>
        <w:t>《塔</w:t>
      </w:r>
      <w:r>
        <w:rPr>
          <w:rFonts w:ascii="仿宋" w:eastAsia="仿宋"/>
          <w:sz w:val="32"/>
          <w:szCs w:val="32"/>
        </w:rPr>
        <w:t>尔巴哈台</w:t>
      </w:r>
      <w:r>
        <w:rPr>
          <w:rFonts w:hint="eastAsia" w:ascii="仿宋" w:eastAsia="仿宋"/>
          <w:sz w:val="32"/>
          <w:szCs w:val="32"/>
        </w:rPr>
        <w:t>》</w:t>
      </w:r>
      <w:r>
        <w:rPr>
          <w:rFonts w:ascii="仿宋_GB2312" w:eastAsia="仿宋_GB2312" w:cs="仿宋_GB2312"/>
          <w:sz w:val="32"/>
          <w:szCs w:val="32"/>
        </w:rPr>
        <w:t>和</w:t>
      </w:r>
      <w:r>
        <w:rPr>
          <w:rFonts w:ascii="仿宋" w:eastAsia="仿宋"/>
          <w:sz w:val="32"/>
          <w:szCs w:val="32"/>
        </w:rPr>
        <w:t>《民族团结一家亲》特刊一期</w:t>
      </w:r>
      <w:r>
        <w:rPr>
          <w:rFonts w:ascii="仿宋_GB2312" w:eastAsia="仿宋_GB2312" w:cs="仿宋_GB2312"/>
          <w:sz w:val="32"/>
          <w:szCs w:val="32"/>
        </w:rPr>
        <w:t>的编审、发行工作。</w:t>
      </w:r>
    </w:p>
    <w:p w14:paraId="05D99E69">
      <w:pPr>
        <w:pageBreakBefore w:val="0"/>
        <w:kinsoku/>
        <w:wordWrap/>
        <w:overflowPunct/>
        <w:topLinePunct w:val="0"/>
        <w:autoSpaceDE/>
        <w:autoSpaceDN/>
        <w:bidi w:val="0"/>
        <w:spacing w:line="560" w:lineRule="atLeast"/>
        <w:ind w:firstLine="641"/>
        <w:textAlignment w:val="auto"/>
        <w:rPr>
          <w:rFonts w:ascii="黑体" w:eastAsia="黑体"/>
          <w:sz w:val="32"/>
          <w:szCs w:val="32"/>
        </w:rPr>
      </w:pPr>
      <w:r>
        <w:rPr>
          <w:rFonts w:hint="eastAsia" w:ascii="黑体" w:eastAsia="黑体"/>
          <w:sz w:val="32"/>
          <w:szCs w:val="32"/>
        </w:rPr>
        <w:t>二、绩效评价工作开展情况</w:t>
      </w:r>
    </w:p>
    <w:p w14:paraId="4D212575">
      <w:pPr>
        <w:pageBreakBefore w:val="0"/>
        <w:kinsoku/>
        <w:wordWrap/>
        <w:overflowPunct/>
        <w:topLinePunct w:val="0"/>
        <w:autoSpaceDE/>
        <w:autoSpaceDN/>
        <w:bidi w:val="0"/>
        <w:spacing w:line="560" w:lineRule="atLeast"/>
        <w:ind w:firstLine="641"/>
        <w:textAlignment w:val="auto"/>
        <w:rPr>
          <w:rFonts w:ascii="楷体_GB2312" w:eastAsia="楷体_GB2312" w:cs="楷体_GB2312"/>
          <w:b/>
          <w:bCs/>
          <w:sz w:val="32"/>
          <w:szCs w:val="32"/>
        </w:rPr>
      </w:pPr>
      <w:r>
        <w:rPr>
          <w:rFonts w:hint="eastAsia" w:ascii="楷体_GB2312" w:eastAsia="楷体_GB2312" w:cs="楷体_GB2312"/>
          <w:b/>
          <w:bCs/>
          <w:sz w:val="32"/>
          <w:szCs w:val="32"/>
        </w:rPr>
        <w:t>（一）绩效评价目的、对象和范围</w:t>
      </w:r>
    </w:p>
    <w:p w14:paraId="26B5E737">
      <w:pPr>
        <w:pStyle w:val="2"/>
        <w:pageBreakBefore w:val="0"/>
        <w:widowControl w:val="0"/>
        <w:kinsoku/>
        <w:wordWrap/>
        <w:overflowPunct/>
        <w:topLinePunct w:val="0"/>
        <w:autoSpaceDE/>
        <w:autoSpaceDN/>
        <w:bidi w:val="0"/>
        <w:spacing w:before="0" w:after="0" w:line="560" w:lineRule="atLeast"/>
        <w:ind w:firstLine="641"/>
        <w:jc w:val="both"/>
        <w:textAlignment w:val="auto"/>
        <w:outlineLvl w:val="9"/>
        <w:rPr>
          <w:rFonts w:ascii="仿宋_GB2312" w:eastAsia="仿宋_GB2312" w:cs="仿宋_GB2312"/>
          <w:b/>
          <w:bCs/>
        </w:rPr>
      </w:pPr>
      <w:r>
        <w:rPr>
          <w:rFonts w:hint="eastAsia" w:ascii="仿宋_GB2312" w:eastAsia="仿宋_GB2312" w:cs="仿宋_GB2312"/>
          <w:b/>
          <w:bCs/>
        </w:rPr>
        <w:t>1、绩效评价的目的</w:t>
      </w:r>
    </w:p>
    <w:p w14:paraId="7A52B6CA">
      <w:pPr>
        <w:pageBreakBefore w:val="0"/>
        <w:kinsoku/>
        <w:wordWrap/>
        <w:overflowPunct/>
        <w:topLinePunct w:val="0"/>
        <w:autoSpaceDE/>
        <w:autoSpaceDN/>
        <w:bidi w:val="0"/>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42F9AC53">
      <w:pPr>
        <w:pageBreakBefore w:val="0"/>
        <w:numPr>
          <w:ilvl w:val="0"/>
          <w:numId w:val="2"/>
        </w:numPr>
        <w:kinsoku/>
        <w:wordWrap/>
        <w:overflowPunct/>
        <w:topLinePunct w:val="0"/>
        <w:autoSpaceDE/>
        <w:autoSpaceDN/>
        <w:bidi w:val="0"/>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项目在实施前向项目负责人提供财政支出绩效方面的资金管理信息，促进项目支出严格按照资金管理规定进行。</w:t>
      </w:r>
    </w:p>
    <w:p w14:paraId="3A35ED41">
      <w:pPr>
        <w:pageBreakBefore w:val="0"/>
        <w:kinsoku/>
        <w:wordWrap/>
        <w:overflowPunct/>
        <w:topLinePunct w:val="0"/>
        <w:autoSpaceDE/>
        <w:autoSpaceDN/>
        <w:bidi w:val="0"/>
        <w:spacing w:line="560" w:lineRule="atLeast"/>
        <w:ind w:left="641"/>
        <w:textAlignment w:val="auto"/>
        <w:rPr>
          <w:rFonts w:ascii="仿宋_GB2312" w:eastAsia="仿宋_GB2312" w:cs="仿宋_GB2312"/>
          <w:sz w:val="32"/>
          <w:szCs w:val="32"/>
        </w:rPr>
      </w:pPr>
      <w:r>
        <w:rPr>
          <w:rFonts w:hint="eastAsia" w:ascii="仿宋_GB2312" w:eastAsia="仿宋_GB2312" w:cs="仿宋_GB2312"/>
          <w:sz w:val="32"/>
          <w:szCs w:val="32"/>
        </w:rPr>
        <w:t>（2）项目绩效管理财政支出运行提供及时、有效的信息。</w:t>
      </w:r>
    </w:p>
    <w:p w14:paraId="7B9692C4">
      <w:pPr>
        <w:pageBreakBefore w:val="0"/>
        <w:kinsoku/>
        <w:wordWrap/>
        <w:overflowPunct/>
        <w:topLinePunct w:val="0"/>
        <w:autoSpaceDE/>
        <w:autoSpaceDN/>
        <w:bidi w:val="0"/>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综合来看</w:t>
      </w:r>
      <w:r>
        <w:rPr>
          <w:rFonts w:ascii="仿宋_GB2312" w:eastAsia="仿宋_GB2312" w:cs="仿宋_GB2312"/>
          <w:sz w:val="32"/>
          <w:szCs w:val="32"/>
        </w:rPr>
        <w:t>，</w:t>
      </w:r>
      <w:r>
        <w:rPr>
          <w:rFonts w:hint="eastAsia" w:ascii="仿宋_GB2312" w:eastAsia="仿宋_GB2312" w:cs="仿宋_GB2312"/>
          <w:sz w:val="32"/>
          <w:szCs w:val="32"/>
        </w:rPr>
        <w:t>通过开展有效的财政支出绩效评价管理，达到改进预算管理、控制节约成本，提高预算资金使用效益的目的。</w:t>
      </w:r>
      <w:r>
        <w:rPr>
          <w:rFonts w:ascii="仿宋_GB2312" w:eastAsia="仿宋_GB2312" w:cs="仿宋_GB2312"/>
          <w:sz w:val="32"/>
          <w:szCs w:val="32"/>
        </w:rPr>
        <w:t>地区文联按照</w:t>
      </w:r>
      <w:r>
        <w:rPr>
          <w:rFonts w:hint="eastAsia" w:ascii="仿宋_GB2312" w:eastAsia="仿宋_GB2312" w:cs="仿宋_GB2312"/>
          <w:sz w:val="32"/>
          <w:szCs w:val="32"/>
        </w:rPr>
        <w:t>塔</w:t>
      </w:r>
      <w:r>
        <w:rPr>
          <w:rFonts w:ascii="仿宋_GB2312" w:eastAsia="仿宋_GB2312" w:cs="仿宋_GB2312"/>
          <w:sz w:val="32"/>
          <w:szCs w:val="32"/>
        </w:rPr>
        <w:t>地</w:t>
      </w:r>
      <w:r>
        <w:rPr>
          <w:rFonts w:hint="eastAsia" w:ascii="仿宋_GB2312" w:eastAsia="仿宋_GB2312" w:cs="仿宋_GB2312"/>
          <w:sz w:val="32"/>
          <w:szCs w:val="32"/>
        </w:rPr>
        <w:t>财预〔</w:t>
      </w:r>
      <w:r>
        <w:rPr>
          <w:rFonts w:ascii="仿宋_GB2312" w:eastAsia="仿宋_GB2312" w:cs="仿宋_GB2312"/>
          <w:sz w:val="32"/>
          <w:szCs w:val="32"/>
        </w:rPr>
        <w:t>2021</w:t>
      </w:r>
      <w:r>
        <w:rPr>
          <w:rFonts w:hint="eastAsia" w:ascii="仿宋_GB2312" w:eastAsia="仿宋_GB2312" w:cs="仿宋_GB2312"/>
          <w:sz w:val="32"/>
          <w:szCs w:val="32"/>
        </w:rPr>
        <w:t>〕</w:t>
      </w:r>
      <w:r>
        <w:rPr>
          <w:rFonts w:ascii="仿宋_GB2312" w:eastAsia="仿宋_GB2312" w:cs="仿宋_GB2312"/>
          <w:sz w:val="32"/>
          <w:szCs w:val="32"/>
        </w:rPr>
        <w:t>15</w:t>
      </w:r>
      <w:r>
        <w:rPr>
          <w:rFonts w:hint="eastAsia" w:ascii="仿宋_GB2312" w:eastAsia="仿宋_GB2312" w:cs="仿宋_GB2312"/>
          <w:sz w:val="32"/>
          <w:szCs w:val="32"/>
        </w:rPr>
        <w:t>号文件精神</w:t>
      </w:r>
      <w:r>
        <w:rPr>
          <w:rFonts w:ascii="仿宋_GB2312" w:eastAsia="仿宋_GB2312" w:cs="仿宋_GB2312"/>
          <w:sz w:val="32"/>
          <w:szCs w:val="32"/>
        </w:rPr>
        <w:t>要求，对文联2020年度印刷费项目进行绩效评价，参照相关政策文件与规定，从杂志发行专项经费管理使用角度探寻</w:t>
      </w:r>
      <w:r>
        <w:rPr>
          <w:rFonts w:hint="eastAsia" w:ascii="仿宋_GB2312" w:eastAsia="仿宋_GB2312" w:cs="仿宋_GB2312"/>
          <w:sz w:val="32"/>
          <w:szCs w:val="32"/>
        </w:rPr>
        <w:t>“</w:t>
      </w:r>
      <w:r>
        <w:rPr>
          <w:rFonts w:ascii="仿宋_GB2312" w:eastAsia="仿宋_GB2312" w:cs="仿宋_GB2312"/>
          <w:sz w:val="32"/>
          <w:szCs w:val="32"/>
        </w:rPr>
        <w:t>印刷费</w:t>
      </w:r>
      <w:r>
        <w:rPr>
          <w:rFonts w:hint="eastAsia" w:ascii="仿宋_GB2312" w:eastAsia="仿宋_GB2312" w:cs="仿宋_GB2312"/>
          <w:sz w:val="32"/>
          <w:szCs w:val="32"/>
        </w:rPr>
        <w:t>”</w:t>
      </w:r>
      <w:r>
        <w:rPr>
          <w:rFonts w:ascii="仿宋_GB2312" w:eastAsia="仿宋_GB2312" w:cs="仿宋_GB2312"/>
          <w:sz w:val="32"/>
          <w:szCs w:val="32"/>
        </w:rPr>
        <w:t>的使用效率和效益，提出有针对性的建议，进一步提高资金的使用率。</w:t>
      </w:r>
    </w:p>
    <w:p w14:paraId="4933DA3C">
      <w:pPr>
        <w:pStyle w:val="2"/>
        <w:pageBreakBefore w:val="0"/>
        <w:widowControl w:val="0"/>
        <w:kinsoku/>
        <w:wordWrap/>
        <w:overflowPunct/>
        <w:topLinePunct w:val="0"/>
        <w:autoSpaceDE/>
        <w:autoSpaceDN/>
        <w:bidi w:val="0"/>
        <w:spacing w:before="0" w:after="0" w:line="560" w:lineRule="atLeast"/>
        <w:ind w:firstLine="641"/>
        <w:jc w:val="both"/>
        <w:textAlignment w:val="auto"/>
        <w:outlineLvl w:val="9"/>
        <w:rPr>
          <w:rFonts w:ascii="仿宋_GB2312" w:eastAsia="仿宋_GB2312" w:cs="仿宋_GB2312"/>
          <w:b/>
          <w:bCs/>
        </w:rPr>
      </w:pPr>
      <w:r>
        <w:rPr>
          <w:rFonts w:hint="eastAsia" w:ascii="仿宋_GB2312" w:eastAsia="仿宋_GB2312" w:cs="仿宋_GB2312"/>
          <w:b/>
          <w:bCs/>
        </w:rPr>
        <w:t>2、绩效评价的对象</w:t>
      </w:r>
    </w:p>
    <w:p w14:paraId="0FA21FAE">
      <w:pPr>
        <w:pageBreakBefore w:val="0"/>
        <w:kinsoku/>
        <w:wordWrap/>
        <w:overflowPunct/>
        <w:topLinePunct w:val="0"/>
        <w:autoSpaceDE/>
        <w:autoSpaceDN/>
        <w:bidi w:val="0"/>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本次评价对象为印刷费项目。</w:t>
      </w:r>
    </w:p>
    <w:p w14:paraId="4F25141F">
      <w:pPr>
        <w:pageBreakBefore w:val="0"/>
        <w:kinsoku/>
        <w:wordWrap/>
        <w:overflowPunct/>
        <w:topLinePunct w:val="0"/>
        <w:autoSpaceDE/>
        <w:autoSpaceDN/>
        <w:bidi w:val="0"/>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3、绩效评价的范围</w:t>
      </w:r>
    </w:p>
    <w:p w14:paraId="467C7DDB">
      <w:pPr>
        <w:pageBreakBefore w:val="0"/>
        <w:kinsoku/>
        <w:wordWrap/>
        <w:overflowPunct/>
        <w:topLinePunct w:val="0"/>
        <w:autoSpaceDE/>
        <w:autoSpaceDN/>
        <w:bidi w:val="0"/>
        <w:spacing w:line="560" w:lineRule="atLeast"/>
        <w:ind w:firstLine="640" w:firstLineChars="200"/>
        <w:contextualSpacing/>
        <w:textAlignment w:val="auto"/>
        <w:rPr>
          <w:rFonts w:ascii="仿宋_GB2312" w:eastAsia="仿宋_GB2312" w:cs="仿宋_GB2312"/>
          <w:sz w:val="32"/>
          <w:szCs w:val="32"/>
        </w:rPr>
      </w:pPr>
      <w:r>
        <w:rPr>
          <w:rFonts w:hint="eastAsia" w:ascii="仿宋_GB2312" w:eastAsia="仿宋_GB2312" w:cs="仿宋_GB2312"/>
          <w:sz w:val="32"/>
          <w:szCs w:val="32"/>
        </w:rPr>
        <w:t>本次评价从项目决策（包括</w:t>
      </w:r>
      <w:r>
        <w:rPr>
          <w:rFonts w:ascii="仿宋_GB2312" w:eastAsia="仿宋_GB2312" w:cs="仿宋_GB2312"/>
          <w:sz w:val="32"/>
          <w:szCs w:val="32"/>
        </w:rPr>
        <w:t>项目立项、</w:t>
      </w:r>
      <w:r>
        <w:rPr>
          <w:rFonts w:hint="eastAsia" w:ascii="仿宋_GB2312" w:eastAsia="仿宋_GB2312" w:cs="仿宋_GB2312"/>
          <w:sz w:val="32"/>
          <w:szCs w:val="32"/>
        </w:rPr>
        <w:t>决策过程</w:t>
      </w:r>
      <w:r>
        <w:rPr>
          <w:rFonts w:ascii="仿宋_GB2312" w:eastAsia="仿宋_GB2312" w:cs="仿宋_GB2312"/>
          <w:sz w:val="32"/>
          <w:szCs w:val="32"/>
        </w:rPr>
        <w:t>、</w:t>
      </w:r>
      <w:r>
        <w:rPr>
          <w:rFonts w:hint="eastAsia" w:ascii="仿宋_GB2312" w:eastAsia="仿宋_GB2312" w:cs="仿宋_GB2312"/>
          <w:sz w:val="32"/>
          <w:szCs w:val="32"/>
        </w:rPr>
        <w:t>绩效目标</w:t>
      </w:r>
      <w:r>
        <w:rPr>
          <w:rFonts w:ascii="仿宋_GB2312" w:eastAsia="仿宋_GB2312" w:cs="仿宋_GB2312"/>
          <w:sz w:val="32"/>
          <w:szCs w:val="32"/>
        </w:rPr>
        <w:t>）</w:t>
      </w:r>
      <w:r>
        <w:rPr>
          <w:rFonts w:hint="eastAsia" w:ascii="仿宋_GB2312" w:eastAsia="仿宋_GB2312" w:cs="仿宋_GB2312"/>
          <w:sz w:val="32"/>
          <w:szCs w:val="32"/>
        </w:rPr>
        <w:t>、项目管理（包括项目资金、项目实施）、项目产出（包括项目产出数量、产出质量、产出时效和产出成本）项目效益</w:t>
      </w:r>
      <w:r>
        <w:rPr>
          <w:rFonts w:ascii="仿宋_GB2312" w:eastAsia="仿宋_GB2312" w:cs="仿宋_GB2312"/>
          <w:sz w:val="32"/>
          <w:szCs w:val="32"/>
        </w:rPr>
        <w:t>（包括实施效益及满意度）</w:t>
      </w:r>
      <w:r>
        <w:rPr>
          <w:rFonts w:hint="eastAsia" w:ascii="仿宋_GB2312" w:eastAsia="仿宋_GB2312" w:cs="仿宋_GB2312"/>
          <w:sz w:val="32"/>
          <w:szCs w:val="32"/>
        </w:rPr>
        <w:t>四个维度进行评价，评价核心为专项资金的支出完成情况和效果。</w:t>
      </w:r>
    </w:p>
    <w:p w14:paraId="6EDF4A61">
      <w:pPr>
        <w:pageBreakBefore w:val="0"/>
        <w:kinsoku/>
        <w:wordWrap/>
        <w:overflowPunct/>
        <w:topLinePunct w:val="0"/>
        <w:autoSpaceDE/>
        <w:autoSpaceDN/>
        <w:bidi w:val="0"/>
        <w:spacing w:line="560" w:lineRule="atLeast"/>
        <w:ind w:firstLine="641"/>
        <w:textAlignment w:val="auto"/>
        <w:rPr>
          <w:rFonts w:ascii="仿宋_GB2312" w:hAnsi="仿宋_GB2312"/>
        </w:rPr>
      </w:pPr>
      <w:r>
        <w:rPr>
          <w:rFonts w:hint="eastAsia" w:ascii="楷体_GB2312" w:eastAsia="楷体_GB2312" w:cs="楷体_GB2312"/>
          <w:b/>
          <w:bCs/>
          <w:sz w:val="32"/>
          <w:szCs w:val="32"/>
        </w:rPr>
        <w:t>（二）绩效评价原则、评价指标体系（详情见表1）、评价方法、评价标准。</w:t>
      </w:r>
    </w:p>
    <w:p w14:paraId="717AB645">
      <w:pPr>
        <w:pStyle w:val="2"/>
        <w:pageBreakBefore w:val="0"/>
        <w:widowControl w:val="0"/>
        <w:kinsoku/>
        <w:wordWrap/>
        <w:overflowPunct/>
        <w:topLinePunct w:val="0"/>
        <w:autoSpaceDE/>
        <w:autoSpaceDN/>
        <w:bidi w:val="0"/>
        <w:spacing w:before="0" w:after="0" w:line="560" w:lineRule="atLeast"/>
        <w:ind w:firstLine="641"/>
        <w:jc w:val="both"/>
        <w:textAlignment w:val="auto"/>
        <w:outlineLvl w:val="9"/>
        <w:rPr>
          <w:rFonts w:ascii="仿宋_GB2312" w:eastAsia="仿宋_GB2312" w:cs="仿宋_GB2312"/>
          <w:b/>
          <w:bCs/>
        </w:rPr>
      </w:pPr>
      <w:r>
        <w:rPr>
          <w:rFonts w:hint="eastAsia" w:ascii="仿宋_GB2312" w:eastAsia="仿宋_GB2312" w:cs="仿宋_GB2312"/>
          <w:b/>
          <w:bCs/>
        </w:rPr>
        <w:t>1、绩效评价原则</w:t>
      </w:r>
    </w:p>
    <w:p w14:paraId="086786AC">
      <w:pPr>
        <w:pageBreakBefore w:val="0"/>
        <w:kinsoku/>
        <w:wordWrap/>
        <w:overflowPunct/>
        <w:topLinePunct w:val="0"/>
        <w:autoSpaceDE/>
        <w:autoSpaceDN/>
        <w:bidi w:val="0"/>
        <w:spacing w:line="560" w:lineRule="atLeast"/>
        <w:ind w:firstLine="641"/>
        <w:textAlignment w:val="auto"/>
        <w:rPr>
          <w:rFonts w:ascii="仿宋_GB2312" w:eastAsia="仿宋_GB2312" w:cs="仿宋_GB2312"/>
          <w:color w:val="000000"/>
          <w:sz w:val="32"/>
          <w:szCs w:val="32"/>
        </w:rPr>
      </w:pPr>
      <w:r>
        <w:rPr>
          <w:rFonts w:hint="eastAsia" w:ascii="仿宋_GB2312" w:eastAsia="仿宋_GB2312" w:cs="仿宋_GB2312"/>
          <w:color w:val="000000"/>
          <w:sz w:val="32"/>
          <w:szCs w:val="32"/>
        </w:rPr>
        <w:t>本次项目绩效评价遵循以下基本原则：</w:t>
      </w:r>
    </w:p>
    <w:p w14:paraId="15B373BC">
      <w:pPr>
        <w:pStyle w:val="2"/>
        <w:pageBreakBefore w:val="0"/>
        <w:kinsoku/>
        <w:wordWrap/>
        <w:overflowPunct/>
        <w:topLinePunct w:val="0"/>
        <w:autoSpaceDE/>
        <w:autoSpaceDN/>
        <w:bidi w:val="0"/>
        <w:spacing w:before="0" w:after="0" w:line="560" w:lineRule="atLeas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（1）科学公正。绩效评价应当运用科学合理的方法，按照规范的程序，对项目绩效进行客观、公正的反映。</w:t>
      </w:r>
    </w:p>
    <w:p w14:paraId="363B8274">
      <w:pPr>
        <w:pStyle w:val="2"/>
        <w:pageBreakBefore w:val="0"/>
        <w:kinsoku/>
        <w:wordWrap/>
        <w:overflowPunct/>
        <w:topLinePunct w:val="0"/>
        <w:autoSpaceDE/>
        <w:autoSpaceDN/>
        <w:bidi w:val="0"/>
        <w:spacing w:before="0" w:after="0" w:line="560" w:lineRule="atLeas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r>
        <w:rPr>
          <w:rFonts w:ascii="仿宋_GB2312" w:eastAsia="仿宋_GB2312" w:cs="仿宋_GB2312"/>
          <w:b w:val="0"/>
          <w:bCs w:val="0"/>
        </w:rPr>
        <w:t>，必要时可委托第三方机构实施</w:t>
      </w:r>
      <w:r>
        <w:rPr>
          <w:rFonts w:hint="eastAsia" w:ascii="仿宋_GB2312" w:eastAsia="仿宋_GB2312" w:cs="仿宋_GB2312"/>
          <w:b w:val="0"/>
          <w:bCs w:val="0"/>
        </w:rPr>
        <w:t>。</w:t>
      </w:r>
    </w:p>
    <w:p w14:paraId="35692DE8">
      <w:pPr>
        <w:pStyle w:val="2"/>
        <w:pageBreakBefore w:val="0"/>
        <w:kinsoku/>
        <w:wordWrap/>
        <w:overflowPunct/>
        <w:topLinePunct w:val="0"/>
        <w:autoSpaceDE/>
        <w:autoSpaceDN/>
        <w:bidi w:val="0"/>
        <w:spacing w:before="0" w:after="0" w:line="560" w:lineRule="atLeas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（3）激励约束。绩效评价结果应与预算安排、政策调整、改进管理实质性挂钩，体现奖优罚劣和激励相容导向，有效要安排、低效要压减、无效要问责。</w:t>
      </w:r>
    </w:p>
    <w:p w14:paraId="062F171F">
      <w:pPr>
        <w:pStyle w:val="2"/>
        <w:pageBreakBefore w:val="0"/>
        <w:kinsoku/>
        <w:wordWrap/>
        <w:overflowPunct/>
        <w:topLinePunct w:val="0"/>
        <w:autoSpaceDE/>
        <w:autoSpaceDN/>
        <w:bidi w:val="0"/>
        <w:spacing w:before="0" w:after="0" w:line="560" w:lineRule="atLeas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（4）公开透明。绩效评价结果应依法依规公开，并自觉接受社会监督。</w:t>
      </w:r>
    </w:p>
    <w:p w14:paraId="62B29970">
      <w:pPr>
        <w:pStyle w:val="2"/>
        <w:pageBreakBefore w:val="0"/>
        <w:widowControl w:val="0"/>
        <w:kinsoku/>
        <w:wordWrap/>
        <w:overflowPunct/>
        <w:topLinePunct w:val="0"/>
        <w:autoSpaceDE/>
        <w:autoSpaceDN/>
        <w:bidi w:val="0"/>
        <w:spacing w:before="0" w:after="0" w:line="560" w:lineRule="atLeast"/>
        <w:ind w:firstLine="641"/>
        <w:jc w:val="both"/>
        <w:textAlignment w:val="auto"/>
        <w:outlineLvl w:val="9"/>
        <w:rPr>
          <w:rFonts w:ascii="仿宋_GB2312" w:eastAsia="仿宋_GB2312" w:cs="仿宋_GB2312"/>
          <w:b/>
          <w:bCs/>
        </w:rPr>
      </w:pPr>
      <w:r>
        <w:rPr>
          <w:rFonts w:hint="eastAsia" w:ascii="仿宋_GB2312" w:eastAsia="仿宋_GB2312" w:cs="仿宋_GB2312"/>
          <w:b/>
          <w:bCs/>
        </w:rPr>
        <w:t>2、评价指标体系</w:t>
      </w:r>
    </w:p>
    <w:p w14:paraId="20B12F16">
      <w:pPr>
        <w:pageBreakBefore w:val="0"/>
        <w:kinsoku/>
        <w:wordWrap/>
        <w:overflowPunct/>
        <w:topLinePunct w:val="0"/>
        <w:autoSpaceDE/>
        <w:autoSpaceDN/>
        <w:bidi w:val="0"/>
        <w:spacing w:line="560" w:lineRule="atLeast"/>
        <w:ind w:firstLine="641"/>
        <w:textAlignment w:val="auto"/>
        <w:rPr>
          <w:rFonts w:ascii="宋体" w:cs="宋体"/>
          <w:color w:val="000000"/>
          <w:spacing w:val="17"/>
          <w:sz w:val="32"/>
          <w:szCs w:val="32"/>
        </w:rPr>
      </w:pPr>
      <w:r>
        <w:rPr>
          <w:rFonts w:hint="eastAsia" w:asci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7ED8345E">
      <w:pPr>
        <w:pageBreakBefore w:val="0"/>
        <w:kinsoku/>
        <w:wordWrap/>
        <w:overflowPunct/>
        <w:topLinePunct w:val="0"/>
        <w:autoSpaceDE/>
        <w:autoSpaceDN/>
        <w:bidi w:val="0"/>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（1）确定评价指标</w:t>
      </w:r>
    </w:p>
    <w:p w14:paraId="0791AC97">
      <w:pPr>
        <w:pageBreakBefore w:val="0"/>
        <w:kinsoku/>
        <w:wordWrap/>
        <w:overflowPunct/>
        <w:topLinePunct w:val="0"/>
        <w:autoSpaceDE/>
        <w:autoSpaceDN/>
        <w:bidi w:val="0"/>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E9CC668">
      <w:pPr>
        <w:pageBreakBefore w:val="0"/>
        <w:kinsoku/>
        <w:wordWrap/>
        <w:overflowPunct/>
        <w:topLinePunct w:val="0"/>
        <w:autoSpaceDE/>
        <w:autoSpaceDN/>
        <w:bidi w:val="0"/>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（2）确定权重</w:t>
      </w:r>
    </w:p>
    <w:p w14:paraId="2605E203">
      <w:pPr>
        <w:pageBreakBefore w:val="0"/>
        <w:kinsoku/>
        <w:wordWrap/>
        <w:overflowPunct/>
        <w:topLinePunct w:val="0"/>
        <w:autoSpaceDE/>
        <w:autoSpaceDN/>
        <w:bidi w:val="0"/>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确定各个指标相对于项目总体绩效的权重分值。在绩效评价指标体系中，</w:t>
      </w:r>
      <w:r>
        <w:rPr>
          <w:rFonts w:hint="eastAsia" w:ascii="仿宋_GB2312" w:hAnsi="仿宋_GB2312" w:eastAsia="仿宋_GB2312" w:cs="仿宋_GB2312"/>
          <w:color w:val="000000"/>
          <w:spacing w:val="17"/>
          <w:sz w:val="32"/>
          <w:szCs w:val="32"/>
        </w:rPr>
        <w:t>项目决策权重占5%，项目过程权重占5%，项目产出权重值占50%，项目效益权重值占40%</w:t>
      </w:r>
      <w:r>
        <w:rPr>
          <w:rFonts w:hint="eastAsia" w:ascii="仿宋_GB2312" w:eastAsia="仿宋_GB2312" w:cs="仿宋_GB2312"/>
          <w:color w:val="000000"/>
          <w:spacing w:val="17"/>
          <w:sz w:val="32"/>
          <w:szCs w:val="32"/>
        </w:rPr>
        <w:t>。</w:t>
      </w:r>
    </w:p>
    <w:p w14:paraId="203D946D">
      <w:pPr>
        <w:pageBreakBefore w:val="0"/>
        <w:kinsoku/>
        <w:wordWrap/>
        <w:overflowPunct/>
        <w:topLinePunct w:val="0"/>
        <w:autoSpaceDE/>
        <w:autoSpaceDN/>
        <w:bidi w:val="0"/>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（3）确定指标标准值</w:t>
      </w:r>
    </w:p>
    <w:p w14:paraId="58A4D30C">
      <w:pPr>
        <w:pageBreakBefore w:val="0"/>
        <w:kinsoku/>
        <w:wordWrap/>
        <w:overflowPunct/>
        <w:topLinePunct w:val="0"/>
        <w:autoSpaceDE/>
        <w:autoSpaceDN/>
        <w:bidi w:val="0"/>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0F266329">
      <w:pPr>
        <w:pStyle w:val="2"/>
        <w:pageBreakBefore w:val="0"/>
        <w:kinsoku/>
        <w:wordWrap/>
        <w:overflowPunct/>
        <w:topLinePunct w:val="0"/>
        <w:autoSpaceDE/>
        <w:autoSpaceDN/>
        <w:bidi w:val="0"/>
        <w:spacing w:before="0" w:after="0" w:line="560" w:lineRule="atLeast"/>
        <w:ind w:firstLine="708" w:firstLineChars="200"/>
        <w:jc w:val="both"/>
        <w:textAlignment w:val="auto"/>
        <w:rPr>
          <w:rFonts w:ascii="仿宋_GB2312" w:eastAsia="仿宋_GB2312" w:cs="仿宋_GB2312"/>
          <w:b w:val="0"/>
          <w:bCs w:val="0"/>
          <w:color w:val="000000"/>
          <w:spacing w:val="17"/>
          <w:kern w:val="2"/>
        </w:rPr>
      </w:pPr>
      <w:r>
        <w:rPr>
          <w:rFonts w:hint="eastAsia" w:asci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22EF8AB7">
      <w:pPr>
        <w:pStyle w:val="2"/>
        <w:pageBreakBefore w:val="0"/>
        <w:widowControl w:val="0"/>
        <w:kinsoku/>
        <w:wordWrap/>
        <w:overflowPunct/>
        <w:topLinePunct w:val="0"/>
        <w:autoSpaceDE/>
        <w:autoSpaceDN/>
        <w:bidi w:val="0"/>
        <w:spacing w:before="0" w:after="0" w:line="560" w:lineRule="atLeast"/>
        <w:jc w:val="both"/>
        <w:textAlignment w:val="auto"/>
        <w:outlineLvl w:val="9"/>
        <w:rPr>
          <w:rFonts w:ascii="仿宋_GB2312" w:eastAsia="仿宋_GB2312" w:cs="仿宋_GB2312"/>
          <w:b w:val="0"/>
          <w:bCs w:val="0"/>
          <w:color w:val="000000"/>
          <w:spacing w:val="17"/>
        </w:rPr>
      </w:pPr>
      <w:r>
        <w:rPr>
          <w:rFonts w:hint="eastAsia" w:ascii="仿宋_GB2312" w:eastAsia="仿宋_GB2312" w:cs="仿宋_GB2312"/>
          <w:b w:val="0"/>
          <w:bCs w:val="0"/>
          <w:color w:val="000000"/>
          <w:spacing w:val="17"/>
        </w:rPr>
        <w:t>具体评价指标体系详情见附件1</w:t>
      </w:r>
    </w:p>
    <w:p w14:paraId="635EE894">
      <w:pPr>
        <w:pStyle w:val="2"/>
        <w:pageBreakBefore w:val="0"/>
        <w:widowControl w:val="0"/>
        <w:kinsoku/>
        <w:wordWrap/>
        <w:overflowPunct/>
        <w:topLinePunct w:val="0"/>
        <w:autoSpaceDE/>
        <w:autoSpaceDN/>
        <w:bidi w:val="0"/>
        <w:spacing w:before="0" w:after="0" w:line="560" w:lineRule="atLeast"/>
        <w:ind w:firstLine="641"/>
        <w:jc w:val="both"/>
        <w:textAlignment w:val="auto"/>
        <w:outlineLvl w:val="9"/>
        <w:rPr>
          <w:rFonts w:ascii="仿宋_GB2312" w:eastAsia="仿宋_GB2312" w:cs="仿宋_GB2312"/>
          <w:b/>
          <w:bCs/>
        </w:rPr>
      </w:pPr>
      <w:r>
        <w:rPr>
          <w:rFonts w:hint="eastAsia" w:ascii="仿宋_GB2312" w:eastAsia="仿宋_GB2312" w:cs="仿宋_GB2312"/>
          <w:b/>
          <w:bCs/>
        </w:rPr>
        <w:t>3、绩效评价方法</w:t>
      </w:r>
    </w:p>
    <w:p w14:paraId="6277BBBB">
      <w:pPr>
        <w:pageBreakBefore w:val="0"/>
        <w:kinsoku/>
        <w:wordWrap/>
        <w:overflowPunct/>
        <w:topLinePunct w:val="0"/>
        <w:autoSpaceDE/>
        <w:autoSpaceDN/>
        <w:bidi w:val="0"/>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52F82C63">
      <w:pPr>
        <w:pageBreakBefore w:val="0"/>
        <w:kinsoku/>
        <w:wordWrap/>
        <w:overflowPunct/>
        <w:topLinePunct w:val="0"/>
        <w:autoSpaceDE/>
        <w:autoSpaceDN/>
        <w:bidi w:val="0"/>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62A747CD">
      <w:pPr>
        <w:pageBreakBefore w:val="0"/>
        <w:kinsoku/>
        <w:wordWrap/>
        <w:overflowPunct/>
        <w:topLinePunct w:val="0"/>
        <w:autoSpaceDE/>
        <w:autoSpaceDN/>
        <w:bidi w:val="0"/>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（1）比较法</w:t>
      </w:r>
    </w:p>
    <w:p w14:paraId="7A2CC8EC">
      <w:pPr>
        <w:pageBreakBefore w:val="0"/>
        <w:kinsoku/>
        <w:wordWrap/>
        <w:overflowPunct/>
        <w:topLinePunct w:val="0"/>
        <w:autoSpaceDE/>
        <w:autoSpaceDN/>
        <w:bidi w:val="0"/>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通过对绩效目标与实施效果、历史与当期情况，综合分析绩效目标实现程度。对</w:t>
      </w:r>
      <w:r>
        <w:rPr>
          <w:rFonts w:hint="eastAsia" w:ascii="仿宋_GB2312" w:eastAsia="仿宋_GB2312" w:cs="仿宋_GB2312"/>
          <w:sz w:val="32"/>
          <w:szCs w:val="32"/>
        </w:rPr>
        <w:t>项目</w:t>
      </w:r>
      <w:r>
        <w:rPr>
          <w:rFonts w:hint="eastAsia" w:ascii="仿宋_GB2312" w:eastAsia="仿宋_GB2312" w:cs="仿宋_GB2312"/>
          <w:color w:val="000000"/>
          <w:spacing w:val="17"/>
          <w:sz w:val="32"/>
          <w:szCs w:val="32"/>
        </w:rPr>
        <w:t>最终验收情况与年度绩效目标对比、预算资金执行情况等相关因素进行比较。</w:t>
      </w:r>
    </w:p>
    <w:p w14:paraId="0B428E17">
      <w:pPr>
        <w:pageBreakBefore w:val="0"/>
        <w:kinsoku/>
        <w:wordWrap/>
        <w:overflowPunct/>
        <w:topLinePunct w:val="0"/>
        <w:autoSpaceDE/>
        <w:autoSpaceDN/>
        <w:bidi w:val="0"/>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（2）因素分析法</w:t>
      </w:r>
    </w:p>
    <w:p w14:paraId="691E1D7E">
      <w:pPr>
        <w:pageBreakBefore w:val="0"/>
        <w:kinsoku/>
        <w:wordWrap/>
        <w:overflowPunct/>
        <w:topLinePunct w:val="0"/>
        <w:autoSpaceDE/>
        <w:autoSpaceDN/>
        <w:bidi w:val="0"/>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eastAsia="仿宋_GB2312" w:cs="仿宋_GB2312"/>
          <w:sz w:val="32"/>
          <w:szCs w:val="32"/>
        </w:rPr>
        <w:t>项目</w:t>
      </w:r>
      <w:r>
        <w:rPr>
          <w:rFonts w:hint="eastAsia" w:asci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14:paraId="4B727880">
      <w:pPr>
        <w:pageBreakBefore w:val="0"/>
        <w:numPr>
          <w:ilvl w:val="0"/>
          <w:numId w:val="3"/>
        </w:numPr>
        <w:kinsoku/>
        <w:wordWrap/>
        <w:overflowPunct/>
        <w:topLinePunct w:val="0"/>
        <w:autoSpaceDE/>
        <w:autoSpaceDN/>
        <w:bidi w:val="0"/>
        <w:spacing w:line="560" w:lineRule="atLeast"/>
        <w:ind w:firstLine="641"/>
        <w:textAlignment w:val="auto"/>
        <w:rPr>
          <w:rFonts w:ascii="黑体" w:eastAsia="黑体" w:cs="黑体"/>
          <w:sz w:val="32"/>
          <w:szCs w:val="32"/>
        </w:rPr>
      </w:pPr>
      <w:r>
        <w:rPr>
          <w:rFonts w:hint="eastAsia" w:ascii="黑体" w:eastAsia="黑体" w:cs="黑体"/>
          <w:sz w:val="32"/>
          <w:szCs w:val="32"/>
        </w:rPr>
        <w:t>综合评价情况及评价结论（附相关评分表）</w:t>
      </w:r>
    </w:p>
    <w:p w14:paraId="0DE04E3E">
      <w:pPr>
        <w:pStyle w:val="2"/>
        <w:pageBreakBefore w:val="0"/>
        <w:widowControl w:val="0"/>
        <w:kinsoku/>
        <w:wordWrap/>
        <w:overflowPunct/>
        <w:topLinePunct w:val="0"/>
        <w:autoSpaceDE/>
        <w:autoSpaceDN/>
        <w:bidi w:val="0"/>
        <w:spacing w:before="0" w:after="0" w:line="560" w:lineRule="atLeast"/>
        <w:ind w:firstLine="641"/>
        <w:jc w:val="both"/>
        <w:textAlignment w:val="auto"/>
        <w:outlineLvl w:val="9"/>
        <w:rPr>
          <w:rFonts w:ascii="仿宋_GB2312" w:eastAsia="仿宋_GB2312" w:cs="仿宋_GB2312"/>
          <w:b w:val="0"/>
          <w:bCs w:val="0"/>
          <w:color w:val="000000"/>
        </w:rPr>
      </w:pPr>
      <w:r>
        <w:rPr>
          <w:rFonts w:hint="eastAsia" w:ascii="仿宋_GB2312" w:eastAsia="仿宋_GB2312" w:cs="仿宋_GB2312"/>
          <w:b w:val="0"/>
          <w:bCs w:val="0"/>
          <w:color w:val="000000"/>
        </w:rPr>
        <w:t>对</w:t>
      </w:r>
      <w:r>
        <w:rPr>
          <w:rFonts w:ascii="仿宋_GB2312" w:eastAsia="仿宋_GB2312" w:cs="仿宋_GB2312"/>
          <w:b w:val="0"/>
          <w:bCs w:val="0"/>
          <w:color w:val="000000"/>
        </w:rPr>
        <w:t>印刷费</w:t>
      </w:r>
      <w:r>
        <w:rPr>
          <w:rFonts w:hint="eastAsia" w:ascii="仿宋_GB2312" w:eastAsia="仿宋_GB2312" w:cs="仿宋_GB2312"/>
          <w:b w:val="0"/>
          <w:bCs w:val="0"/>
          <w:color w:val="000000"/>
        </w:rPr>
        <w:t xml:space="preserve">项目进行客观评价，最终评分结果：总得分为 </w:t>
      </w:r>
      <w:r>
        <w:rPr>
          <w:rFonts w:ascii="仿宋_GB2312" w:eastAsia="仿宋_GB2312" w:cs="仿宋_GB2312"/>
          <w:b w:val="0"/>
          <w:bCs w:val="0"/>
          <w:color w:val="000000"/>
        </w:rPr>
        <w:t xml:space="preserve"> 91.79</w:t>
      </w:r>
      <w:r>
        <w:rPr>
          <w:rFonts w:hint="eastAsia" w:ascii="仿宋_GB2312" w:eastAsia="仿宋_GB2312" w:cs="仿宋_GB2312"/>
          <w:b w:val="0"/>
          <w:bCs w:val="0"/>
          <w:color w:val="000000"/>
        </w:rPr>
        <w:t xml:space="preserve">分，属于“优”。其中，项目决策类指标权重为5分，得分为 </w:t>
      </w:r>
      <w:r>
        <w:rPr>
          <w:rFonts w:ascii="仿宋_GB2312" w:eastAsia="仿宋_GB2312" w:cs="仿宋_GB2312"/>
          <w:b w:val="0"/>
          <w:bCs w:val="0"/>
          <w:color w:val="000000"/>
        </w:rPr>
        <w:t>5</w:t>
      </w:r>
      <w:r>
        <w:rPr>
          <w:rFonts w:hint="eastAsia" w:ascii="仿宋_GB2312" w:eastAsia="仿宋_GB2312" w:cs="仿宋_GB2312"/>
          <w:b w:val="0"/>
          <w:bCs w:val="0"/>
          <w:color w:val="000000"/>
        </w:rPr>
        <w:t>分，得分率为</w:t>
      </w:r>
      <w:r>
        <w:rPr>
          <w:rFonts w:ascii="仿宋_GB2312" w:eastAsia="仿宋_GB2312" w:cs="仿宋_GB2312"/>
          <w:b w:val="0"/>
          <w:bCs w:val="0"/>
          <w:color w:val="000000"/>
        </w:rPr>
        <w:t>100</w:t>
      </w:r>
      <w:r>
        <w:rPr>
          <w:rFonts w:hint="eastAsia" w:ascii="仿宋_GB2312" w:eastAsia="仿宋_GB2312" w:cs="仿宋_GB2312"/>
          <w:b w:val="0"/>
          <w:bCs w:val="0"/>
          <w:color w:val="000000"/>
        </w:rPr>
        <w:t>%。项目过程类指标权重为5分，得分为</w:t>
      </w:r>
      <w:r>
        <w:rPr>
          <w:rFonts w:ascii="仿宋_GB2312" w:eastAsia="仿宋_GB2312" w:cs="仿宋_GB2312"/>
          <w:b w:val="0"/>
          <w:bCs w:val="0"/>
          <w:color w:val="000000"/>
        </w:rPr>
        <w:t>4.79</w:t>
      </w:r>
      <w:r>
        <w:rPr>
          <w:rFonts w:hint="eastAsia" w:ascii="仿宋_GB2312" w:eastAsia="仿宋_GB2312" w:cs="仿宋_GB2312"/>
          <w:b w:val="0"/>
          <w:bCs w:val="0"/>
          <w:color w:val="000000"/>
        </w:rPr>
        <w:t xml:space="preserve">分，得分率为 </w:t>
      </w:r>
      <w:r>
        <w:rPr>
          <w:rFonts w:ascii="仿宋_GB2312" w:eastAsia="仿宋_GB2312" w:cs="仿宋_GB2312"/>
          <w:b w:val="0"/>
          <w:bCs w:val="0"/>
          <w:color w:val="000000"/>
        </w:rPr>
        <w:t>95.8</w:t>
      </w:r>
      <w:r>
        <w:rPr>
          <w:rFonts w:hint="eastAsia" w:ascii="仿宋_GB2312" w:eastAsia="仿宋_GB2312" w:cs="仿宋_GB2312"/>
          <w:b w:val="0"/>
          <w:bCs w:val="0"/>
          <w:color w:val="000000"/>
        </w:rPr>
        <w:t>%。项目产出类指标权重为50分，得分为</w:t>
      </w:r>
      <w:r>
        <w:rPr>
          <w:rFonts w:ascii="仿宋_GB2312" w:eastAsia="仿宋_GB2312" w:cs="仿宋_GB2312"/>
          <w:b w:val="0"/>
          <w:bCs w:val="0"/>
          <w:color w:val="000000"/>
        </w:rPr>
        <w:t>46</w:t>
      </w:r>
      <w:r>
        <w:rPr>
          <w:rFonts w:hint="eastAsia" w:ascii="仿宋_GB2312" w:eastAsia="仿宋_GB2312" w:cs="仿宋_GB2312"/>
          <w:b w:val="0"/>
          <w:bCs w:val="0"/>
          <w:color w:val="000000"/>
        </w:rPr>
        <w:t xml:space="preserve">分，得分率为 </w:t>
      </w:r>
      <w:r>
        <w:rPr>
          <w:rFonts w:ascii="仿宋_GB2312" w:eastAsia="仿宋_GB2312" w:cs="仿宋_GB2312"/>
          <w:b w:val="0"/>
          <w:bCs w:val="0"/>
          <w:color w:val="000000"/>
        </w:rPr>
        <w:t>92</w:t>
      </w:r>
      <w:r>
        <w:rPr>
          <w:rFonts w:hint="eastAsia" w:ascii="仿宋_GB2312" w:eastAsia="仿宋_GB2312" w:cs="仿宋_GB2312"/>
          <w:b w:val="0"/>
          <w:bCs w:val="0"/>
          <w:color w:val="000000"/>
        </w:rPr>
        <w:t>%。项目效益类指标权重为40分，得分为3</w:t>
      </w:r>
      <w:r>
        <w:rPr>
          <w:rFonts w:ascii="仿宋_GB2312" w:eastAsia="仿宋_GB2312" w:cs="仿宋_GB2312"/>
          <w:b w:val="0"/>
          <w:bCs w:val="0"/>
          <w:color w:val="000000"/>
        </w:rPr>
        <w:t>6</w:t>
      </w:r>
      <w:r>
        <w:rPr>
          <w:rFonts w:hint="eastAsia" w:ascii="仿宋_GB2312" w:eastAsia="仿宋_GB2312" w:cs="仿宋_GB2312"/>
          <w:b w:val="0"/>
          <w:bCs w:val="0"/>
          <w:color w:val="000000"/>
        </w:rPr>
        <w:t>分，得分率为</w:t>
      </w:r>
      <w:r>
        <w:rPr>
          <w:rFonts w:ascii="仿宋_GB2312" w:eastAsia="仿宋_GB2312" w:cs="仿宋_GB2312"/>
          <w:b w:val="0"/>
          <w:bCs w:val="0"/>
          <w:color w:val="000000"/>
        </w:rPr>
        <w:t>90</w:t>
      </w:r>
      <w:r>
        <w:rPr>
          <w:rFonts w:hint="eastAsia" w:ascii="仿宋_GB2312" w:eastAsia="仿宋_GB2312" w:cs="仿宋_GB2312"/>
          <w:b w:val="0"/>
          <w:bCs w:val="0"/>
          <w:color w:val="000000"/>
        </w:rPr>
        <w:t>%。</w:t>
      </w:r>
    </w:p>
    <w:p w14:paraId="26A3279B">
      <w:pPr>
        <w:pStyle w:val="2"/>
        <w:pageBreakBefore w:val="0"/>
        <w:kinsoku/>
        <w:wordWrap/>
        <w:overflowPunct/>
        <w:topLinePunct w:val="0"/>
        <w:autoSpaceDE/>
        <w:autoSpaceDN/>
        <w:bidi w:val="0"/>
        <w:spacing w:before="0" w:after="0" w:line="560" w:lineRule="atLeast"/>
        <w:ind w:firstLine="3313" w:firstLineChars="1100"/>
        <w:jc w:val="both"/>
        <w:textAlignment w:val="auto"/>
        <w:rPr>
          <w:rFonts w:ascii="仿宋_GB2312" w:eastAsia="仿宋_GB2312" w:cs="仿宋_GB2312"/>
          <w:color w:val="000000"/>
          <w:sz w:val="30"/>
          <w:szCs w:val="30"/>
        </w:rPr>
      </w:pPr>
      <w:r>
        <w:rPr>
          <w:rFonts w:hint="eastAsia" w:ascii="仿宋_GB2312" w:eastAsia="仿宋_GB2312" w:cs="仿宋_GB2312"/>
          <w:color w:val="000000"/>
          <w:sz w:val="30"/>
          <w:szCs w:val="30"/>
        </w:rPr>
        <w:t>表1综合评分表</w:t>
      </w:r>
    </w:p>
    <w:p w14:paraId="021A063F">
      <w:pPr>
        <w:pageBreakBefore w:val="0"/>
        <w:kinsoku/>
        <w:wordWrap/>
        <w:overflowPunct/>
        <w:topLinePunct w:val="0"/>
        <w:autoSpaceDE/>
        <w:autoSpaceDN/>
        <w:bidi w:val="0"/>
        <w:spacing w:line="560" w:lineRule="atLeast"/>
        <w:textAlignment w:val="auto"/>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2B11FD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0DF0B1F6">
            <w:pPr>
              <w:pageBreakBefore w:val="0"/>
              <w:widowControl/>
              <w:kinsoku/>
              <w:wordWrap/>
              <w:overflowPunct/>
              <w:topLinePunct w:val="0"/>
              <w:autoSpaceDE/>
              <w:autoSpaceDN/>
              <w:bidi w:val="0"/>
              <w:spacing w:line="560" w:lineRule="atLeast"/>
              <w:textAlignment w:val="auto"/>
              <w:rPr>
                <w:rFonts w:ascii="宋体" w:cs="宋体"/>
                <w:b/>
                <w:bCs/>
                <w:color w:val="000000"/>
                <w:kern w:val="0"/>
                <w:sz w:val="22"/>
                <w:szCs w:val="22"/>
              </w:rPr>
            </w:pPr>
            <w:r>
              <w:rPr>
                <w:rFonts w:hint="eastAsia" w:ascii="宋体" w:cs="宋体"/>
                <w:b/>
                <w:bCs/>
                <w:color w:val="000000"/>
                <w:kern w:val="0"/>
                <w:sz w:val="22"/>
                <w:szCs w:val="22"/>
              </w:rPr>
              <w:t>一级指标</w:t>
            </w:r>
          </w:p>
        </w:tc>
        <w:tc>
          <w:tcPr>
            <w:tcW w:w="990"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3D25D101">
            <w:pPr>
              <w:pageBreakBefore w:val="0"/>
              <w:widowControl/>
              <w:kinsoku/>
              <w:wordWrap/>
              <w:overflowPunct/>
              <w:topLinePunct w:val="0"/>
              <w:autoSpaceDE/>
              <w:autoSpaceDN/>
              <w:bidi w:val="0"/>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分值</w:t>
            </w:r>
          </w:p>
        </w:tc>
        <w:tc>
          <w:tcPr>
            <w:tcW w:w="1283"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178256AC">
            <w:pPr>
              <w:pageBreakBefore w:val="0"/>
              <w:widowControl/>
              <w:kinsoku/>
              <w:wordWrap/>
              <w:overflowPunct/>
              <w:topLinePunct w:val="0"/>
              <w:autoSpaceDE/>
              <w:autoSpaceDN/>
              <w:bidi w:val="0"/>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二级指标</w:t>
            </w:r>
          </w:p>
        </w:tc>
        <w:tc>
          <w:tcPr>
            <w:tcW w:w="1707"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28532389">
            <w:pPr>
              <w:pageBreakBefore w:val="0"/>
              <w:widowControl/>
              <w:kinsoku/>
              <w:wordWrap/>
              <w:overflowPunct/>
              <w:topLinePunct w:val="0"/>
              <w:autoSpaceDE/>
              <w:autoSpaceDN/>
              <w:bidi w:val="0"/>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三级指标</w:t>
            </w:r>
          </w:p>
        </w:tc>
        <w:tc>
          <w:tcPr>
            <w:tcW w:w="727"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431DF315">
            <w:pPr>
              <w:pageBreakBefore w:val="0"/>
              <w:widowControl/>
              <w:kinsoku/>
              <w:wordWrap/>
              <w:overflowPunct/>
              <w:topLinePunct w:val="0"/>
              <w:autoSpaceDE/>
              <w:autoSpaceDN/>
              <w:bidi w:val="0"/>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权重</w:t>
            </w:r>
          </w:p>
        </w:tc>
        <w:tc>
          <w:tcPr>
            <w:tcW w:w="104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77E41169">
            <w:pPr>
              <w:pageBreakBefore w:val="0"/>
              <w:widowControl/>
              <w:tabs>
                <w:tab w:val="left" w:pos="1333"/>
                <w:tab w:val="center" w:pos="3623"/>
              </w:tabs>
              <w:kinsoku/>
              <w:wordWrap/>
              <w:overflowPunct/>
              <w:topLinePunct w:val="0"/>
              <w:autoSpaceDE/>
              <w:autoSpaceDN/>
              <w:bidi w:val="0"/>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目标值</w:t>
            </w:r>
          </w:p>
        </w:tc>
        <w:tc>
          <w:tcPr>
            <w:tcW w:w="92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53921B5C">
            <w:pPr>
              <w:pageBreakBefore w:val="0"/>
              <w:widowControl/>
              <w:tabs>
                <w:tab w:val="left" w:pos="1333"/>
                <w:tab w:val="center" w:pos="3623"/>
              </w:tabs>
              <w:kinsoku/>
              <w:wordWrap/>
              <w:overflowPunct/>
              <w:topLinePunct w:val="0"/>
              <w:autoSpaceDE/>
              <w:autoSpaceDN/>
              <w:bidi w:val="0"/>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业绩值</w:t>
            </w:r>
          </w:p>
        </w:tc>
        <w:tc>
          <w:tcPr>
            <w:tcW w:w="1215"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3B647869">
            <w:pPr>
              <w:pageBreakBefore w:val="0"/>
              <w:widowControl/>
              <w:tabs>
                <w:tab w:val="left" w:pos="1333"/>
                <w:tab w:val="center" w:pos="3623"/>
              </w:tabs>
              <w:kinsoku/>
              <w:wordWrap/>
              <w:overflowPunct/>
              <w:topLinePunct w:val="0"/>
              <w:autoSpaceDE/>
              <w:autoSpaceDN/>
              <w:bidi w:val="0"/>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得分率</w:t>
            </w:r>
          </w:p>
        </w:tc>
        <w:tc>
          <w:tcPr>
            <w:tcW w:w="960"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42EE7B18">
            <w:pPr>
              <w:pageBreakBefore w:val="0"/>
              <w:widowControl/>
              <w:tabs>
                <w:tab w:val="left" w:pos="1333"/>
                <w:tab w:val="center" w:pos="3623"/>
              </w:tabs>
              <w:kinsoku/>
              <w:wordWrap/>
              <w:overflowPunct/>
              <w:topLinePunct w:val="0"/>
              <w:autoSpaceDE/>
              <w:autoSpaceDN/>
              <w:bidi w:val="0"/>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得分</w:t>
            </w:r>
          </w:p>
        </w:tc>
      </w:tr>
      <w:tr w14:paraId="5FF650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5168C77">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决策　</w:t>
            </w:r>
          </w:p>
          <w:p w14:paraId="5B526097">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　</w:t>
            </w:r>
          </w:p>
          <w:p w14:paraId="17614870">
            <w:pPr>
              <w:pageBreakBefore w:val="0"/>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　</w:t>
            </w:r>
          </w:p>
          <w:p w14:paraId="6568B023">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　</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A70320A">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kern w:val="0"/>
                <w:sz w:val="22"/>
                <w:szCs w:val="22"/>
              </w:rPr>
              <w:t>5分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C1090F8">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项目立项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EC46B8B">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立项依据</w:t>
            </w:r>
          </w:p>
          <w:p w14:paraId="48BF23B9">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充分性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DF487FE">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0.5</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B3A1B48">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0.5</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FF8BDE3">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0.5</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B26B0B6">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636ECDD">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0.5</w:t>
            </w:r>
          </w:p>
        </w:tc>
      </w:tr>
      <w:tr w14:paraId="6DC754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EF26D68">
            <w:pPr>
              <w:pageBreakBefore w:val="0"/>
              <w:kinsoku/>
              <w:wordWrap/>
              <w:overflowPunct/>
              <w:topLinePunct w:val="0"/>
              <w:autoSpaceDE/>
              <w:autoSpaceDN/>
              <w:bidi w:val="0"/>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AC28C0F">
            <w:pPr>
              <w:pageBreakBefore w:val="0"/>
              <w:kinsoku/>
              <w:wordWrap/>
              <w:overflowPunct/>
              <w:topLinePunct w:val="0"/>
              <w:autoSpaceDE/>
              <w:autoSpaceDN/>
              <w:bidi w:val="0"/>
              <w:spacing w:line="560" w:lineRule="atLeas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0E324E3">
            <w:pPr>
              <w:pageBreakBefore w:val="0"/>
              <w:kinsoku/>
              <w:wordWrap/>
              <w:overflowPunct/>
              <w:topLinePunct w:val="0"/>
              <w:autoSpaceDE/>
              <w:autoSpaceDN/>
              <w:bidi w:val="0"/>
              <w:spacing w:line="560" w:lineRule="atLeas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4063C6D">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立项程序</w:t>
            </w:r>
          </w:p>
          <w:p w14:paraId="281016E9">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规范性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65D6979">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0.5</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BB44CD7">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0.5</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F84504C">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0.5</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6903380">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10A790D">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0.5</w:t>
            </w:r>
          </w:p>
        </w:tc>
      </w:tr>
      <w:tr w14:paraId="10C03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8898A89">
            <w:pPr>
              <w:pageBreakBefore w:val="0"/>
              <w:kinsoku/>
              <w:wordWrap/>
              <w:overflowPunct/>
              <w:topLinePunct w:val="0"/>
              <w:autoSpaceDE/>
              <w:autoSpaceDN/>
              <w:bidi w:val="0"/>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90936DC">
            <w:pPr>
              <w:pageBreakBefore w:val="0"/>
              <w:kinsoku/>
              <w:wordWrap/>
              <w:overflowPunct/>
              <w:topLinePunct w:val="0"/>
              <w:autoSpaceDE/>
              <w:autoSpaceDN/>
              <w:bidi w:val="0"/>
              <w:spacing w:line="560" w:lineRule="atLeast"/>
              <w:textAlignment w:val="auto"/>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76116E1">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绩效目标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B5301DC">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绩效目标</w:t>
            </w:r>
          </w:p>
          <w:p w14:paraId="7AAD7AA9">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合理性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73199DE">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16773A7">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A2209BC">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A41CB0A">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C0FE05E">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r>
      <w:tr w14:paraId="297E1F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5A5596A">
            <w:pPr>
              <w:pageBreakBefore w:val="0"/>
              <w:kinsoku/>
              <w:wordWrap/>
              <w:overflowPunct/>
              <w:topLinePunct w:val="0"/>
              <w:autoSpaceDE/>
              <w:autoSpaceDN/>
              <w:bidi w:val="0"/>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0680699">
            <w:pPr>
              <w:pageBreakBefore w:val="0"/>
              <w:kinsoku/>
              <w:wordWrap/>
              <w:overflowPunct/>
              <w:topLinePunct w:val="0"/>
              <w:autoSpaceDE/>
              <w:autoSpaceDN/>
              <w:bidi w:val="0"/>
              <w:spacing w:line="560" w:lineRule="atLeas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6AE2655">
            <w:pPr>
              <w:pageBreakBefore w:val="0"/>
              <w:kinsoku/>
              <w:wordWrap/>
              <w:overflowPunct/>
              <w:topLinePunct w:val="0"/>
              <w:autoSpaceDE/>
              <w:autoSpaceDN/>
              <w:bidi w:val="0"/>
              <w:spacing w:line="560" w:lineRule="atLeas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C94F8A8">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绩效指标</w:t>
            </w:r>
          </w:p>
          <w:p w14:paraId="0E99D25B">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明确性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C2A20D7">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6F2B1B2">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BAB7217">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06422D1">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D12D80A">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r>
      <w:tr w14:paraId="4B62A2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F9F5A4C">
            <w:pPr>
              <w:pageBreakBefore w:val="0"/>
              <w:kinsoku/>
              <w:wordWrap/>
              <w:overflowPunct/>
              <w:topLinePunct w:val="0"/>
              <w:autoSpaceDE/>
              <w:autoSpaceDN/>
              <w:bidi w:val="0"/>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89581F2">
            <w:pPr>
              <w:pageBreakBefore w:val="0"/>
              <w:kinsoku/>
              <w:wordWrap/>
              <w:overflowPunct/>
              <w:topLinePunct w:val="0"/>
              <w:autoSpaceDE/>
              <w:autoSpaceDN/>
              <w:bidi w:val="0"/>
              <w:spacing w:line="560" w:lineRule="atLeast"/>
              <w:textAlignment w:val="auto"/>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90557BE">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资金投入</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66ECF2E">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预算编制</w:t>
            </w:r>
          </w:p>
          <w:p w14:paraId="2EBF060E">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科学性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2616E82">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2986604">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5076F03">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0879F14">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EC8D131">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r>
      <w:tr w14:paraId="7DE143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4C860BD">
            <w:pPr>
              <w:pageBreakBefore w:val="0"/>
              <w:kinsoku/>
              <w:wordWrap/>
              <w:overflowPunct/>
              <w:topLinePunct w:val="0"/>
              <w:autoSpaceDE/>
              <w:autoSpaceDN/>
              <w:bidi w:val="0"/>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E25CB7F">
            <w:pPr>
              <w:pageBreakBefore w:val="0"/>
              <w:kinsoku/>
              <w:wordWrap/>
              <w:overflowPunct/>
              <w:topLinePunct w:val="0"/>
              <w:autoSpaceDE/>
              <w:autoSpaceDN/>
              <w:bidi w:val="0"/>
              <w:spacing w:line="560" w:lineRule="atLeas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D9B1D69">
            <w:pPr>
              <w:pageBreakBefore w:val="0"/>
              <w:kinsoku/>
              <w:wordWrap/>
              <w:overflowPunct/>
              <w:topLinePunct w:val="0"/>
              <w:autoSpaceDE/>
              <w:autoSpaceDN/>
              <w:bidi w:val="0"/>
              <w:spacing w:line="560" w:lineRule="atLeas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626D4B9">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资金分配</w:t>
            </w:r>
          </w:p>
          <w:p w14:paraId="5A6A1D02">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合理性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2AAA7AB">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359DA01">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05E6520">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D3F0742">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CF0F679">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r>
      <w:tr w14:paraId="4286B7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046E88B">
            <w:pPr>
              <w:pageBreakBefore w:val="0"/>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过程</w:t>
            </w:r>
          </w:p>
          <w:p w14:paraId="1EB7F1C8">
            <w:pPr>
              <w:pageBreakBefore w:val="0"/>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　</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4B98C10">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kern w:val="0"/>
                <w:sz w:val="22"/>
                <w:szCs w:val="22"/>
              </w:rPr>
              <w:t>5分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4EAE447">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资金管理</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0B67334">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资金到位率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467E706">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EB8A3DE">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9FDBB1F">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C96A91A">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16AD67D">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r>
      <w:tr w14:paraId="0D0552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87EA6EF">
            <w:pPr>
              <w:pageBreakBefore w:val="0"/>
              <w:kinsoku/>
              <w:wordWrap/>
              <w:overflowPunct/>
              <w:topLinePunct w:val="0"/>
              <w:autoSpaceDE/>
              <w:autoSpaceDN/>
              <w:bidi w:val="0"/>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6E83201">
            <w:pPr>
              <w:pageBreakBefore w:val="0"/>
              <w:kinsoku/>
              <w:wordWrap/>
              <w:overflowPunct/>
              <w:topLinePunct w:val="0"/>
              <w:autoSpaceDE/>
              <w:autoSpaceDN/>
              <w:bidi w:val="0"/>
              <w:spacing w:line="560" w:lineRule="atLeas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2FC2148">
            <w:pPr>
              <w:pageBreakBefore w:val="0"/>
              <w:kinsoku/>
              <w:wordWrap/>
              <w:overflowPunct/>
              <w:topLinePunct w:val="0"/>
              <w:autoSpaceDE/>
              <w:autoSpaceDN/>
              <w:bidi w:val="0"/>
              <w:spacing w:line="560" w:lineRule="atLeas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CA72D5C">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预算执行率</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6C8E827">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FA40F57">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F173760">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0.99</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64F6F85">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99%</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93C00FC">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0.99</w:t>
            </w:r>
          </w:p>
        </w:tc>
      </w:tr>
      <w:tr w14:paraId="6C4C3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0FBED3F">
            <w:pPr>
              <w:pageBreakBefore w:val="0"/>
              <w:kinsoku/>
              <w:wordWrap/>
              <w:overflowPunct/>
              <w:topLinePunct w:val="0"/>
              <w:autoSpaceDE/>
              <w:autoSpaceDN/>
              <w:bidi w:val="0"/>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CB3CFC1">
            <w:pPr>
              <w:pageBreakBefore w:val="0"/>
              <w:kinsoku/>
              <w:wordWrap/>
              <w:overflowPunct/>
              <w:topLinePunct w:val="0"/>
              <w:autoSpaceDE/>
              <w:autoSpaceDN/>
              <w:bidi w:val="0"/>
              <w:spacing w:line="560" w:lineRule="atLeast"/>
              <w:textAlignment w:val="auto"/>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524CE0F">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资金管理</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DC9DFEF">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资金使用</w:t>
            </w:r>
          </w:p>
          <w:p w14:paraId="5D955885">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合规性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9F4D6FF">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E46A5D2">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847518E">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C48C5CD">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EFC9452">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r>
      <w:tr w14:paraId="4ECB3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C2D3750">
            <w:pPr>
              <w:pageBreakBefore w:val="0"/>
              <w:kinsoku/>
              <w:wordWrap/>
              <w:overflowPunct/>
              <w:topLinePunct w:val="0"/>
              <w:autoSpaceDE/>
              <w:autoSpaceDN/>
              <w:bidi w:val="0"/>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C9ED380">
            <w:pPr>
              <w:pageBreakBefore w:val="0"/>
              <w:kinsoku/>
              <w:wordWrap/>
              <w:overflowPunct/>
              <w:topLinePunct w:val="0"/>
              <w:autoSpaceDE/>
              <w:autoSpaceDN/>
              <w:bidi w:val="0"/>
              <w:spacing w:line="560" w:lineRule="atLeast"/>
              <w:textAlignment w:val="auto"/>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085882C">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组织实施</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9F05D45">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管理制度</w:t>
            </w:r>
          </w:p>
          <w:p w14:paraId="13FB728A">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健全性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84B1C47">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6BE8194">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FDDD3B4">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0.9</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CB74339">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90%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8FD9F61">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0.9</w:t>
            </w:r>
          </w:p>
        </w:tc>
      </w:tr>
      <w:tr w14:paraId="3FD761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4E2E88B">
            <w:pPr>
              <w:pageBreakBefore w:val="0"/>
              <w:kinsoku/>
              <w:wordWrap/>
              <w:overflowPunct/>
              <w:topLinePunct w:val="0"/>
              <w:autoSpaceDE/>
              <w:autoSpaceDN/>
              <w:bidi w:val="0"/>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C6E83A7">
            <w:pPr>
              <w:pageBreakBefore w:val="0"/>
              <w:kinsoku/>
              <w:wordWrap/>
              <w:overflowPunct/>
              <w:topLinePunct w:val="0"/>
              <w:autoSpaceDE/>
              <w:autoSpaceDN/>
              <w:bidi w:val="0"/>
              <w:spacing w:line="560" w:lineRule="atLeas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5412327">
            <w:pPr>
              <w:pageBreakBefore w:val="0"/>
              <w:kinsoku/>
              <w:wordWrap/>
              <w:overflowPunct/>
              <w:topLinePunct w:val="0"/>
              <w:autoSpaceDE/>
              <w:autoSpaceDN/>
              <w:bidi w:val="0"/>
              <w:spacing w:line="560" w:lineRule="atLeas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24A4E44">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制度执行</w:t>
            </w:r>
          </w:p>
          <w:p w14:paraId="18DECC82">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有效性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321EE18">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74C2A10">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1B36657">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0.9</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6F55374">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90%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36635E4">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0.9</w:t>
            </w:r>
          </w:p>
        </w:tc>
      </w:tr>
      <w:tr w14:paraId="7C8CF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63D405B">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产出</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672CF3A">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kern w:val="0"/>
                <w:sz w:val="22"/>
                <w:szCs w:val="22"/>
              </w:rPr>
              <w:t>50分</w:t>
            </w: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64C3783">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产出数量</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8C19C1C">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实际完成率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60735DF">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15</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714D8B2">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15</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3B4B629">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15</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D1CC698">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A688B9B">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15</w:t>
            </w:r>
          </w:p>
        </w:tc>
      </w:tr>
      <w:tr w14:paraId="269365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0B1A207">
            <w:pPr>
              <w:pageBreakBefore w:val="0"/>
              <w:kinsoku/>
              <w:wordWrap/>
              <w:overflowPunct/>
              <w:topLinePunct w:val="0"/>
              <w:autoSpaceDE/>
              <w:autoSpaceDN/>
              <w:bidi w:val="0"/>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3BDF3B2">
            <w:pPr>
              <w:pageBreakBefore w:val="0"/>
              <w:kinsoku/>
              <w:wordWrap/>
              <w:overflowPunct/>
              <w:topLinePunct w:val="0"/>
              <w:autoSpaceDE/>
              <w:autoSpaceDN/>
              <w:bidi w:val="0"/>
              <w:spacing w:line="560" w:lineRule="atLeast"/>
              <w:textAlignment w:val="auto"/>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3F30092">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产出质量</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B33D1C7">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质量达标率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8F222F8">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0E8C7C6">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AD0E63B">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9</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D4588E1">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90%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7A9C31D">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9</w:t>
            </w:r>
          </w:p>
        </w:tc>
      </w:tr>
      <w:tr w14:paraId="270EAA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C5A41CD">
            <w:pPr>
              <w:pageBreakBefore w:val="0"/>
              <w:kinsoku/>
              <w:wordWrap/>
              <w:overflowPunct/>
              <w:topLinePunct w:val="0"/>
              <w:autoSpaceDE/>
              <w:autoSpaceDN/>
              <w:bidi w:val="0"/>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F073142">
            <w:pPr>
              <w:pageBreakBefore w:val="0"/>
              <w:kinsoku/>
              <w:wordWrap/>
              <w:overflowPunct/>
              <w:topLinePunct w:val="0"/>
              <w:autoSpaceDE/>
              <w:autoSpaceDN/>
              <w:bidi w:val="0"/>
              <w:spacing w:line="560" w:lineRule="atLeast"/>
              <w:textAlignment w:val="auto"/>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E393338">
            <w:pPr>
              <w:pageBreakBefore w:val="0"/>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产出时效</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2634304">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完成及时性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7605FA3">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15</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352CD1D">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15</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C09A024">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12</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E202951">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80%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DB0A9F9">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12</w:t>
            </w:r>
          </w:p>
        </w:tc>
      </w:tr>
      <w:tr w14:paraId="217EC1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03EFE8D">
            <w:pPr>
              <w:pageBreakBefore w:val="0"/>
              <w:kinsoku/>
              <w:wordWrap/>
              <w:overflowPunct/>
              <w:topLinePunct w:val="0"/>
              <w:autoSpaceDE/>
              <w:autoSpaceDN/>
              <w:bidi w:val="0"/>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6982086">
            <w:pPr>
              <w:pageBreakBefore w:val="0"/>
              <w:kinsoku/>
              <w:wordWrap/>
              <w:overflowPunct/>
              <w:topLinePunct w:val="0"/>
              <w:autoSpaceDE/>
              <w:autoSpaceDN/>
              <w:bidi w:val="0"/>
              <w:spacing w:line="560" w:lineRule="atLeast"/>
              <w:textAlignment w:val="auto"/>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CF1B642">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产出成本</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A1B6D8E">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成本节约率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8387409">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ECD6221">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6BD5908">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C0CB993">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8426453">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w:t>
            </w:r>
          </w:p>
        </w:tc>
      </w:tr>
      <w:tr w14:paraId="0ED18B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520A1FE">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效益　</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6C2D8F2">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40分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16DBC2D">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项目效益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D8D3C18">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实施效益</w:t>
            </w:r>
          </w:p>
          <w:p w14:paraId="4C815D52">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（社会效益、经济效益、可持续效益）</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820BB08">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30</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D4643B9">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30</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F9D34FE">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26</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FB94C95">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87%</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C21933F">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26</w:t>
            </w:r>
          </w:p>
        </w:tc>
      </w:tr>
      <w:tr w14:paraId="55A50D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6113E27">
            <w:pPr>
              <w:pageBreakBefore w:val="0"/>
              <w:kinsoku/>
              <w:wordWrap/>
              <w:overflowPunct/>
              <w:topLinePunct w:val="0"/>
              <w:autoSpaceDE/>
              <w:autoSpaceDN/>
              <w:bidi w:val="0"/>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CF94672">
            <w:pPr>
              <w:pageBreakBefore w:val="0"/>
              <w:kinsoku/>
              <w:wordWrap/>
              <w:overflowPunct/>
              <w:topLinePunct w:val="0"/>
              <w:autoSpaceDE/>
              <w:autoSpaceDN/>
              <w:bidi w:val="0"/>
              <w:spacing w:line="560" w:lineRule="atLeas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D3A83DD">
            <w:pPr>
              <w:pageBreakBefore w:val="0"/>
              <w:kinsoku/>
              <w:wordWrap/>
              <w:overflowPunct/>
              <w:topLinePunct w:val="0"/>
              <w:autoSpaceDE/>
              <w:autoSpaceDN/>
              <w:bidi w:val="0"/>
              <w:spacing w:line="560" w:lineRule="atLeas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C1A5D75">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满意度</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F277E25">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3462463">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2D2A3B8">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D1B701C">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EFC024D">
            <w:pPr>
              <w:pageBreakBefore w:val="0"/>
              <w:widowControl/>
              <w:kinsoku/>
              <w:wordWrap/>
              <w:overflowPunct/>
              <w:topLinePunct w:val="0"/>
              <w:autoSpaceDE/>
              <w:autoSpaceDN/>
              <w:bidi w:val="0"/>
              <w:spacing w:line="560" w:lineRule="atLeast"/>
              <w:jc w:val="center"/>
              <w:textAlignment w:val="auto"/>
              <w:rPr>
                <w:rFonts w:ascii="宋体" w:cs="宋体"/>
                <w:color w:val="000000"/>
                <w:kern w:val="0"/>
                <w:sz w:val="22"/>
                <w:szCs w:val="22"/>
              </w:rPr>
            </w:pPr>
            <w:r>
              <w:rPr>
                <w:rFonts w:ascii="宋体" w:cs="宋体"/>
                <w:color w:val="000000"/>
                <w:kern w:val="0"/>
                <w:sz w:val="22"/>
                <w:szCs w:val="22"/>
              </w:rPr>
              <w:t>10</w:t>
            </w:r>
          </w:p>
        </w:tc>
      </w:tr>
    </w:tbl>
    <w:p w14:paraId="02181FDA">
      <w:pPr>
        <w:pageBreakBefore w:val="0"/>
        <w:kinsoku/>
        <w:wordWrap/>
        <w:overflowPunct/>
        <w:topLinePunct w:val="0"/>
        <w:autoSpaceDE/>
        <w:autoSpaceDN/>
        <w:bidi w:val="0"/>
        <w:spacing w:line="560" w:lineRule="atLeast"/>
        <w:ind w:firstLine="640" w:firstLineChars="200"/>
        <w:textAlignment w:val="auto"/>
        <w:rPr>
          <w:rFonts w:ascii="黑体" w:eastAsia="黑体"/>
          <w:sz w:val="32"/>
          <w:szCs w:val="32"/>
        </w:rPr>
      </w:pPr>
      <w:r>
        <w:rPr>
          <w:rFonts w:hint="eastAsia" w:ascii="黑体" w:eastAsia="黑体"/>
          <w:sz w:val="32"/>
          <w:szCs w:val="32"/>
        </w:rPr>
        <w:t>四、绩效评价指标分析</w:t>
      </w:r>
    </w:p>
    <w:p w14:paraId="159A1E11">
      <w:pPr>
        <w:pageBreakBefore w:val="0"/>
        <w:widowControl/>
        <w:kinsoku/>
        <w:wordWrap/>
        <w:overflowPunct/>
        <w:topLinePunct w:val="0"/>
        <w:autoSpaceDE/>
        <w:autoSpaceDN/>
        <w:bidi w:val="0"/>
        <w:spacing w:line="560" w:lineRule="atLeast"/>
        <w:ind w:firstLine="643" w:firstLineChars="200"/>
        <w:textAlignment w:val="auto"/>
        <w:rPr>
          <w:rFonts w:ascii="仿宋_GB2312" w:eastAsia="仿宋_GB2312" w:cs="仿宋_GB2312"/>
          <w:b/>
          <w:sz w:val="32"/>
          <w:szCs w:val="32"/>
        </w:rPr>
      </w:pPr>
      <w:r>
        <w:rPr>
          <w:rFonts w:hint="eastAsia" w:ascii="仿宋_GB2312" w:eastAsia="仿宋_GB2312" w:cs="仿宋_GB2312"/>
          <w:b/>
          <w:sz w:val="32"/>
          <w:szCs w:val="32"/>
        </w:rPr>
        <w:t>（一）项目决策情况</w:t>
      </w:r>
    </w:p>
    <w:p w14:paraId="578CEF0C">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项目决策指标从项目</w:t>
      </w:r>
      <w:r>
        <w:rPr>
          <w:rFonts w:ascii="仿宋_GB2312" w:eastAsia="仿宋_GB2312" w:cs="仿宋_GB2312"/>
          <w:sz w:val="32"/>
          <w:szCs w:val="32"/>
        </w:rPr>
        <w:t>立项、</w:t>
      </w:r>
      <w:r>
        <w:rPr>
          <w:rFonts w:hint="eastAsia" w:ascii="仿宋_GB2312" w:eastAsia="仿宋_GB2312" w:cs="仿宋_GB2312"/>
          <w:sz w:val="32"/>
          <w:szCs w:val="32"/>
        </w:rPr>
        <w:t>绩效目标、资金投入</w:t>
      </w:r>
      <w:r>
        <w:rPr>
          <w:rFonts w:ascii="仿宋_GB2312" w:eastAsia="仿宋_GB2312" w:cs="仿宋_GB2312"/>
          <w:sz w:val="32"/>
          <w:szCs w:val="32"/>
        </w:rPr>
        <w:t>3</w:t>
      </w:r>
      <w:r>
        <w:rPr>
          <w:rFonts w:hint="eastAsia" w:ascii="仿宋_GB2312" w:eastAsia="仿宋_GB2312" w:cs="仿宋_GB2312"/>
          <w:sz w:val="32"/>
          <w:szCs w:val="32"/>
        </w:rPr>
        <w:t>个方面对项目</w:t>
      </w:r>
      <w:r>
        <w:rPr>
          <w:rFonts w:ascii="仿宋_GB2312" w:eastAsia="仿宋_GB2312" w:cs="仿宋_GB2312"/>
          <w:sz w:val="32"/>
          <w:szCs w:val="32"/>
        </w:rPr>
        <w:t>立项是否符合法律法规、相关政策、发展规划以及部门职责</w:t>
      </w:r>
      <w:r>
        <w:rPr>
          <w:rFonts w:hint="eastAsia" w:ascii="仿宋_GB2312" w:eastAsia="仿宋_GB2312" w:cs="仿宋_GB2312"/>
          <w:sz w:val="32"/>
          <w:szCs w:val="32"/>
        </w:rPr>
        <w:t>，</w:t>
      </w:r>
      <w:r>
        <w:rPr>
          <w:rFonts w:ascii="仿宋_GB2312" w:eastAsia="仿宋_GB2312" w:cs="仿宋_GB2312"/>
          <w:sz w:val="32"/>
          <w:szCs w:val="32"/>
        </w:rPr>
        <w:t>用以反映和考核</w:t>
      </w:r>
      <w:r>
        <w:rPr>
          <w:rFonts w:hint="eastAsia" w:ascii="仿宋_GB2312" w:eastAsia="仿宋_GB2312" w:cs="仿宋_GB2312"/>
          <w:sz w:val="32"/>
          <w:szCs w:val="32"/>
        </w:rPr>
        <w:t>项目</w:t>
      </w:r>
      <w:r>
        <w:rPr>
          <w:rFonts w:ascii="仿宋_GB2312" w:eastAsia="仿宋_GB2312" w:cs="仿宋_GB2312"/>
          <w:sz w:val="32"/>
          <w:szCs w:val="32"/>
        </w:rPr>
        <w:t>立项依据情况进行考察，</w:t>
      </w:r>
      <w:r>
        <w:rPr>
          <w:rFonts w:hint="eastAsia" w:ascii="仿宋_GB2312" w:eastAsia="仿宋_GB2312" w:cs="仿宋_GB2312"/>
          <w:sz w:val="32"/>
          <w:szCs w:val="32"/>
        </w:rPr>
        <w:t>项目</w:t>
      </w:r>
      <w:r>
        <w:rPr>
          <w:rFonts w:ascii="仿宋_GB2312" w:eastAsia="仿宋_GB2312" w:cs="仿宋_GB2312"/>
          <w:sz w:val="32"/>
          <w:szCs w:val="32"/>
        </w:rPr>
        <w:t>决策</w:t>
      </w:r>
      <w:r>
        <w:rPr>
          <w:rFonts w:hint="eastAsia" w:ascii="仿宋_GB2312" w:eastAsia="仿宋_GB2312" w:cs="仿宋_GB2312"/>
          <w:sz w:val="32"/>
          <w:szCs w:val="32"/>
        </w:rPr>
        <w:t>类指标分值</w:t>
      </w:r>
      <w:r>
        <w:rPr>
          <w:rFonts w:ascii="仿宋_GB2312" w:eastAsia="仿宋_GB2312" w:cs="仿宋_GB2312"/>
          <w:sz w:val="32"/>
          <w:szCs w:val="32"/>
        </w:rPr>
        <w:t>5</w:t>
      </w:r>
      <w:r>
        <w:rPr>
          <w:rFonts w:hint="eastAsia" w:ascii="仿宋_GB2312" w:eastAsia="仿宋_GB2312" w:cs="仿宋_GB2312"/>
          <w:sz w:val="32"/>
          <w:szCs w:val="32"/>
        </w:rPr>
        <w:t>分，实际得分</w:t>
      </w:r>
      <w:r>
        <w:rPr>
          <w:rFonts w:ascii="仿宋_GB2312" w:eastAsia="仿宋_GB2312" w:cs="仿宋_GB2312"/>
          <w:sz w:val="32"/>
          <w:szCs w:val="32"/>
        </w:rPr>
        <w:t>5</w:t>
      </w:r>
      <w:r>
        <w:rPr>
          <w:rFonts w:hint="eastAsia" w:ascii="仿宋_GB2312" w:eastAsia="仿宋_GB2312" w:cs="仿宋_GB2312"/>
          <w:sz w:val="32"/>
          <w:szCs w:val="32"/>
        </w:rPr>
        <w:t>分，得分率</w:t>
      </w:r>
      <w:r>
        <w:rPr>
          <w:rFonts w:ascii="仿宋_GB2312" w:eastAsia="仿宋_GB2312" w:cs="仿宋_GB2312"/>
          <w:sz w:val="32"/>
          <w:szCs w:val="32"/>
        </w:rPr>
        <w:t>100%</w:t>
      </w:r>
      <w:r>
        <w:rPr>
          <w:rFonts w:hint="eastAsia" w:ascii="仿宋_GB2312" w:eastAsia="仿宋_GB2312" w:cs="仿宋_GB2312"/>
          <w:sz w:val="32"/>
          <w:szCs w:val="32"/>
        </w:rPr>
        <w:t>。</w:t>
      </w:r>
    </w:p>
    <w:p w14:paraId="08D3FBC7">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w:t>
      </w:r>
      <w:r>
        <w:rPr>
          <w:rFonts w:ascii="仿宋_GB2312" w:eastAsia="仿宋_GB2312" w:cs="仿宋_GB2312"/>
          <w:sz w:val="32"/>
          <w:szCs w:val="32"/>
        </w:rPr>
        <w:t>项目立项</w:t>
      </w:r>
      <w:r>
        <w:rPr>
          <w:rFonts w:hint="eastAsia" w:ascii="仿宋_GB2312" w:eastAsia="仿宋_GB2312" w:cs="仿宋_GB2312"/>
          <w:sz w:val="32"/>
          <w:szCs w:val="32"/>
        </w:rPr>
        <w:t>”，</w:t>
      </w:r>
      <w:r>
        <w:rPr>
          <w:rFonts w:ascii="仿宋_GB2312" w:eastAsia="仿宋_GB2312" w:cs="仿宋_GB2312"/>
          <w:sz w:val="32"/>
          <w:szCs w:val="32"/>
        </w:rPr>
        <w:t>立项</w:t>
      </w:r>
      <w:r>
        <w:rPr>
          <w:rFonts w:hint="eastAsia" w:ascii="仿宋_GB2312" w:eastAsia="仿宋_GB2312" w:cs="仿宋_GB2312"/>
          <w:sz w:val="32"/>
          <w:szCs w:val="32"/>
        </w:rPr>
        <w:t>有文件依据，根据评分标准，该指标不扣分，实际得分</w:t>
      </w:r>
      <w:r>
        <w:rPr>
          <w:rFonts w:ascii="仿宋_GB2312" w:eastAsia="仿宋_GB2312" w:cs="仿宋_GB2312"/>
          <w:sz w:val="32"/>
          <w:szCs w:val="32"/>
        </w:rPr>
        <w:t>1</w:t>
      </w:r>
      <w:r>
        <w:rPr>
          <w:rFonts w:hint="eastAsia" w:ascii="仿宋_GB2312" w:eastAsia="仿宋_GB2312" w:cs="仿宋_GB2312"/>
          <w:sz w:val="32"/>
          <w:szCs w:val="32"/>
        </w:rPr>
        <w:t>分。</w:t>
      </w:r>
    </w:p>
    <w:p w14:paraId="7D885BE2">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对于“绩效目标”，</w:t>
      </w:r>
      <w:r>
        <w:rPr>
          <w:rFonts w:ascii="仿宋_GB2312" w:eastAsia="仿宋_GB2312" w:cs="仿宋_GB2312"/>
          <w:sz w:val="32"/>
          <w:szCs w:val="32"/>
        </w:rPr>
        <w:t>印刷费</w:t>
      </w:r>
      <w:r>
        <w:rPr>
          <w:rFonts w:hint="eastAsia" w:ascii="仿宋_GB2312" w:eastAsia="仿宋_GB2312" w:cs="仿宋_GB2312"/>
          <w:sz w:val="32"/>
          <w:szCs w:val="32"/>
        </w:rPr>
        <w:t>项目设置了较为详细的项目支出绩效目标，根据评分标准，指标不扣分，实际得分</w:t>
      </w:r>
      <w:r>
        <w:rPr>
          <w:rFonts w:ascii="仿宋_GB2312" w:eastAsia="仿宋_GB2312" w:cs="仿宋_GB2312"/>
          <w:sz w:val="32"/>
          <w:szCs w:val="32"/>
        </w:rPr>
        <w:t>2</w:t>
      </w:r>
      <w:r>
        <w:rPr>
          <w:rFonts w:hint="eastAsia" w:ascii="仿宋_GB2312" w:eastAsia="仿宋_GB2312" w:cs="仿宋_GB2312"/>
          <w:sz w:val="32"/>
          <w:szCs w:val="32"/>
        </w:rPr>
        <w:t>分。</w:t>
      </w:r>
    </w:p>
    <w:p w14:paraId="091B05AF">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对于“资金投入”，</w:t>
      </w:r>
      <w:r>
        <w:rPr>
          <w:rFonts w:ascii="仿宋_GB2312" w:eastAsia="仿宋_GB2312" w:cs="仿宋_GB2312"/>
          <w:sz w:val="32"/>
          <w:szCs w:val="32"/>
        </w:rPr>
        <w:t>该项目</w:t>
      </w:r>
      <w:r>
        <w:rPr>
          <w:rFonts w:hint="eastAsia" w:ascii="仿宋_GB2312" w:eastAsia="仿宋_GB2312" w:cs="仿宋_GB2312"/>
          <w:sz w:val="32"/>
          <w:szCs w:val="32"/>
        </w:rPr>
        <w:t>本级资金</w:t>
      </w:r>
      <w:r>
        <w:rPr>
          <w:rFonts w:ascii="仿宋_GB2312" w:eastAsia="仿宋_GB2312" w:cs="仿宋_GB2312"/>
          <w:sz w:val="32"/>
          <w:szCs w:val="32"/>
        </w:rPr>
        <w:t>36</w:t>
      </w:r>
      <w:r>
        <w:rPr>
          <w:rFonts w:hint="eastAsia" w:ascii="仿宋_GB2312" w:eastAsia="仿宋_GB2312" w:cs="仿宋_GB2312"/>
          <w:sz w:val="32"/>
          <w:szCs w:val="32"/>
        </w:rPr>
        <w:t>万元，本级财政预算资金</w:t>
      </w:r>
      <w:r>
        <w:rPr>
          <w:rFonts w:ascii="仿宋_GB2312" w:eastAsia="仿宋_GB2312" w:cs="仿宋_GB2312"/>
          <w:sz w:val="32"/>
          <w:szCs w:val="32"/>
        </w:rPr>
        <w:t>36</w:t>
      </w:r>
      <w:r>
        <w:rPr>
          <w:rFonts w:hint="eastAsia" w:ascii="仿宋_GB2312" w:eastAsia="仿宋_GB2312" w:cs="仿宋_GB2312"/>
          <w:sz w:val="32"/>
          <w:szCs w:val="32"/>
        </w:rPr>
        <w:t>万元，均按时</w:t>
      </w:r>
      <w:r>
        <w:rPr>
          <w:rFonts w:ascii="仿宋_GB2312" w:eastAsia="仿宋_GB2312" w:cs="仿宋_GB2312"/>
          <w:sz w:val="32"/>
          <w:szCs w:val="32"/>
        </w:rPr>
        <w:t>到位。</w:t>
      </w:r>
      <w:r>
        <w:rPr>
          <w:rFonts w:hint="eastAsia" w:ascii="仿宋_GB2312" w:eastAsia="仿宋_GB2312" w:cs="仿宋_GB2312"/>
          <w:sz w:val="32"/>
          <w:szCs w:val="32"/>
        </w:rPr>
        <w:t>资金有效保证了</w:t>
      </w:r>
      <w:r>
        <w:rPr>
          <w:rFonts w:ascii="仿宋_GB2312" w:eastAsia="仿宋_GB2312" w:cs="仿宋_GB2312"/>
          <w:sz w:val="32"/>
          <w:szCs w:val="32"/>
        </w:rPr>
        <w:t>项目</w:t>
      </w:r>
      <w:r>
        <w:rPr>
          <w:rFonts w:hint="eastAsia" w:ascii="仿宋_GB2312" w:eastAsia="仿宋_GB2312" w:cs="仿宋_GB2312"/>
          <w:sz w:val="32"/>
          <w:szCs w:val="32"/>
        </w:rPr>
        <w:t>的实施。根据评分标准，该指标不扣分，实际得分</w:t>
      </w:r>
      <w:r>
        <w:rPr>
          <w:rFonts w:ascii="仿宋_GB2312" w:eastAsia="仿宋_GB2312" w:cs="仿宋_GB2312"/>
          <w:sz w:val="32"/>
          <w:szCs w:val="32"/>
        </w:rPr>
        <w:t>2</w:t>
      </w:r>
      <w:r>
        <w:rPr>
          <w:rFonts w:hint="eastAsia" w:ascii="仿宋_GB2312" w:eastAsia="仿宋_GB2312" w:cs="仿宋_GB2312"/>
          <w:sz w:val="32"/>
          <w:szCs w:val="32"/>
        </w:rPr>
        <w:t>分。</w:t>
      </w:r>
    </w:p>
    <w:p w14:paraId="0BF3DA9B">
      <w:pPr>
        <w:pageBreakBefore w:val="0"/>
        <w:widowControl/>
        <w:kinsoku/>
        <w:wordWrap/>
        <w:overflowPunct/>
        <w:topLinePunct w:val="0"/>
        <w:autoSpaceDE/>
        <w:autoSpaceDN/>
        <w:bidi w:val="0"/>
        <w:spacing w:line="560" w:lineRule="atLeast"/>
        <w:ind w:firstLine="482" w:firstLineChars="150"/>
        <w:textAlignment w:val="auto"/>
        <w:rPr>
          <w:rFonts w:ascii="仿宋_GB2312" w:eastAsia="仿宋_GB2312" w:cs="仿宋_GB2312"/>
          <w:b/>
          <w:sz w:val="32"/>
          <w:szCs w:val="32"/>
        </w:rPr>
      </w:pPr>
      <w:r>
        <w:rPr>
          <w:rFonts w:hint="eastAsia" w:ascii="仿宋_GB2312" w:eastAsia="仿宋_GB2312" w:cs="仿宋_GB2312"/>
          <w:b/>
          <w:sz w:val="32"/>
          <w:szCs w:val="32"/>
        </w:rPr>
        <w:t>（二）项目过程情况</w:t>
      </w:r>
    </w:p>
    <w:p w14:paraId="2C69AB02">
      <w:pPr>
        <w:pageBreakBefore w:val="0"/>
        <w:kinsoku/>
        <w:wordWrap/>
        <w:overflowPunct/>
        <w:topLinePunct w:val="0"/>
        <w:autoSpaceDE/>
        <w:autoSpaceDN/>
        <w:bidi w:val="0"/>
        <w:spacing w:line="560" w:lineRule="atLeast"/>
        <w:ind w:firstLine="640" w:firstLineChars="200"/>
        <w:textAlignment w:val="auto"/>
        <w:rPr>
          <w:rFonts w:ascii="方正仿宋_GBK" w:eastAsia="方正仿宋_GBK" w:cs="宋体"/>
          <w:sz w:val="32"/>
          <w:szCs w:val="32"/>
        </w:rPr>
      </w:pPr>
      <w:r>
        <w:rPr>
          <w:rFonts w:hint="eastAsia" w:ascii="仿宋_GB2312" w:eastAsia="仿宋_GB2312" w:cs="仿宋_GB2312"/>
          <w:sz w:val="32"/>
          <w:szCs w:val="32"/>
        </w:rPr>
        <w:t>项目过程指标从资金到位率、预算执行率、资金使用合规性、管理制度健全性、制度执行有效性</w:t>
      </w:r>
      <w:r>
        <w:rPr>
          <w:rFonts w:ascii="仿宋_GB2312" w:eastAsia="仿宋_GB2312" w:cs="仿宋_GB2312"/>
          <w:sz w:val="32"/>
          <w:szCs w:val="32"/>
        </w:rPr>
        <w:t>5</w:t>
      </w:r>
      <w:r>
        <w:rPr>
          <w:rFonts w:hint="eastAsia" w:ascii="仿宋_GB2312" w:eastAsia="仿宋_GB2312" w:cs="仿宋_GB2312"/>
          <w:sz w:val="32"/>
          <w:szCs w:val="32"/>
        </w:rPr>
        <w:t>个方面对项目的管理情况进行考察。项目过程类指标分值</w:t>
      </w:r>
      <w:r>
        <w:rPr>
          <w:rFonts w:ascii="仿宋_GB2312" w:eastAsia="仿宋_GB2312" w:cs="仿宋_GB2312"/>
          <w:sz w:val="32"/>
          <w:szCs w:val="32"/>
        </w:rPr>
        <w:t>5</w:t>
      </w:r>
      <w:r>
        <w:rPr>
          <w:rFonts w:hint="eastAsia" w:ascii="仿宋_GB2312" w:eastAsia="仿宋_GB2312" w:cs="仿宋_GB2312"/>
          <w:sz w:val="32"/>
          <w:szCs w:val="32"/>
        </w:rPr>
        <w:t>分，实际得分</w:t>
      </w:r>
      <w:r>
        <w:rPr>
          <w:rFonts w:ascii="仿宋_GB2312" w:eastAsia="仿宋_GB2312" w:cs="仿宋_GB2312"/>
          <w:sz w:val="32"/>
          <w:szCs w:val="32"/>
        </w:rPr>
        <w:t>4.79</w:t>
      </w:r>
      <w:r>
        <w:rPr>
          <w:rFonts w:hint="eastAsia" w:ascii="仿宋_GB2312" w:eastAsia="仿宋_GB2312" w:cs="仿宋_GB2312"/>
          <w:sz w:val="32"/>
          <w:szCs w:val="32"/>
        </w:rPr>
        <w:t>分，得分率为</w:t>
      </w:r>
      <w:r>
        <w:rPr>
          <w:rFonts w:ascii="仿宋_GB2312" w:eastAsia="仿宋_GB2312" w:cs="仿宋_GB2312"/>
          <w:sz w:val="32"/>
          <w:szCs w:val="32"/>
        </w:rPr>
        <w:t>95.8%</w:t>
      </w:r>
      <w:r>
        <w:rPr>
          <w:rFonts w:hint="eastAsia" w:ascii="仿宋_GB2312" w:eastAsia="仿宋_GB2312" w:cs="仿宋_GB2312"/>
          <w:sz w:val="32"/>
          <w:szCs w:val="32"/>
        </w:rPr>
        <w:t>。</w:t>
      </w:r>
    </w:p>
    <w:p w14:paraId="26C951A7">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对于“资金到位率”，项目资金到位及时，到位率为</w:t>
      </w:r>
      <w:r>
        <w:rPr>
          <w:rFonts w:ascii="仿宋_GB2312" w:eastAsia="仿宋_GB2312" w:cs="仿宋_GB2312"/>
          <w:sz w:val="32"/>
          <w:szCs w:val="32"/>
        </w:rPr>
        <w:t>100%</w:t>
      </w:r>
      <w:r>
        <w:rPr>
          <w:rFonts w:hint="eastAsia" w:ascii="仿宋_GB2312" w:eastAsia="仿宋_GB2312" w:cs="仿宋_GB2312"/>
          <w:sz w:val="32"/>
          <w:szCs w:val="32"/>
        </w:rPr>
        <w:t>。根据评分标准，该指标不扣分，实际得分</w:t>
      </w:r>
      <w:r>
        <w:rPr>
          <w:rFonts w:ascii="仿宋_GB2312" w:eastAsia="仿宋_GB2312" w:cs="仿宋_GB2312"/>
          <w:sz w:val="32"/>
          <w:szCs w:val="32"/>
        </w:rPr>
        <w:t>1</w:t>
      </w:r>
      <w:r>
        <w:rPr>
          <w:rFonts w:hint="eastAsia" w:ascii="仿宋_GB2312" w:eastAsia="仿宋_GB2312" w:cs="仿宋_GB2312"/>
          <w:sz w:val="32"/>
          <w:szCs w:val="32"/>
        </w:rPr>
        <w:t>分。</w:t>
      </w:r>
    </w:p>
    <w:p w14:paraId="0766CFDB">
      <w:pPr>
        <w:pStyle w:val="2"/>
        <w:pageBreakBefore w:val="0"/>
        <w:kinsoku/>
        <w:wordWrap/>
        <w:overflowPunct/>
        <w:topLinePunct w:val="0"/>
        <w:autoSpaceDE/>
        <w:autoSpaceDN/>
        <w:bidi w:val="0"/>
        <w:spacing w:before="0" w:after="0" w:line="560" w:lineRule="atLeast"/>
        <w:jc w:val="both"/>
        <w:textAlignment w:val="auto"/>
        <w:rPr>
          <w:rFonts w:ascii="仿宋_GB2312" w:eastAsia="仿宋_GB2312" w:cs="仿宋_GB2312"/>
          <w:b w:val="0"/>
          <w:kern w:val="2"/>
        </w:rPr>
      </w:pPr>
      <w:r>
        <w:rPr>
          <w:rFonts w:ascii="仿宋_GB2312" w:eastAsia="仿宋_GB2312" w:cs="仿宋_GB2312"/>
        </w:rPr>
        <w:t xml:space="preserve"> </w:t>
      </w:r>
      <w:r>
        <w:rPr>
          <w:rFonts w:hint="eastAsia" w:ascii="仿宋_GB2312" w:eastAsia="仿宋_GB2312" w:cs="仿宋_GB2312"/>
          <w:b w:val="0"/>
          <w:kern w:val="2"/>
        </w:rPr>
        <w:t xml:space="preserve"> </w:t>
      </w:r>
      <w:r>
        <w:rPr>
          <w:rFonts w:ascii="仿宋_GB2312" w:eastAsia="仿宋_GB2312" w:cs="仿宋_GB2312"/>
          <w:b w:val="0"/>
          <w:kern w:val="2"/>
        </w:rPr>
        <w:t xml:space="preserve">  </w:t>
      </w:r>
      <w:r>
        <w:rPr>
          <w:rFonts w:hint="eastAsia" w:ascii="仿宋_GB2312" w:eastAsia="仿宋_GB2312" w:cs="仿宋_GB2312"/>
          <w:b w:val="0"/>
          <w:kern w:val="2"/>
        </w:rPr>
        <w:t>对于“预算执行率”，项目资金</w:t>
      </w:r>
      <w:r>
        <w:rPr>
          <w:rFonts w:ascii="仿宋_GB2312" w:eastAsia="仿宋_GB2312" w:cs="仿宋_GB2312"/>
          <w:b w:val="0"/>
          <w:kern w:val="2"/>
        </w:rPr>
        <w:t>执行按照合同和实际支出</w:t>
      </w:r>
      <w:r>
        <w:rPr>
          <w:rFonts w:hint="eastAsia" w:ascii="仿宋_GB2312" w:eastAsia="仿宋_GB2312" w:cs="仿宋_GB2312"/>
          <w:b w:val="0"/>
          <w:kern w:val="2"/>
        </w:rPr>
        <w:t>，到</w:t>
      </w:r>
      <w:r>
        <w:rPr>
          <w:rFonts w:ascii="仿宋_GB2312" w:eastAsia="仿宋_GB2312" w:cs="仿宋_GB2312"/>
          <w:b w:val="0"/>
          <w:kern w:val="2"/>
        </w:rPr>
        <w:t>执行</w:t>
      </w:r>
      <w:r>
        <w:rPr>
          <w:rFonts w:hint="eastAsia" w:ascii="仿宋_GB2312" w:eastAsia="仿宋_GB2312" w:cs="仿宋_GB2312"/>
          <w:b w:val="0"/>
          <w:kern w:val="2"/>
        </w:rPr>
        <w:t>率为</w:t>
      </w:r>
      <w:r>
        <w:rPr>
          <w:rFonts w:ascii="仿宋_GB2312" w:eastAsia="仿宋_GB2312" w:cs="仿宋_GB2312"/>
          <w:b w:val="0"/>
          <w:kern w:val="2"/>
        </w:rPr>
        <w:t>99</w:t>
      </w:r>
      <w:r>
        <w:rPr>
          <w:rFonts w:hint="eastAsia" w:ascii="仿宋_GB2312" w:eastAsia="仿宋_GB2312" w:cs="仿宋_GB2312"/>
          <w:b w:val="0"/>
          <w:kern w:val="2"/>
        </w:rPr>
        <w:t>%。根据评分标准，该指标扣分</w:t>
      </w:r>
      <w:r>
        <w:rPr>
          <w:rFonts w:ascii="仿宋_GB2312" w:eastAsia="仿宋_GB2312" w:cs="仿宋_GB2312"/>
          <w:b w:val="0"/>
          <w:kern w:val="2"/>
        </w:rPr>
        <w:t>0.01分</w:t>
      </w:r>
      <w:r>
        <w:rPr>
          <w:rFonts w:hint="eastAsia" w:ascii="仿宋_GB2312" w:eastAsia="仿宋_GB2312" w:cs="仿宋_GB2312"/>
          <w:b w:val="0"/>
          <w:kern w:val="2"/>
        </w:rPr>
        <w:t>，</w:t>
      </w:r>
      <w:r>
        <w:rPr>
          <w:rFonts w:hint="eastAsia" w:ascii="仿宋_GB2312" w:eastAsia="仿宋_GB2312" w:cs="仿宋_GB2312"/>
          <w:b w:val="0"/>
          <w:bCs w:val="0"/>
          <w:kern w:val="2"/>
        </w:rPr>
        <w:t>实际得分</w:t>
      </w:r>
      <w:r>
        <w:rPr>
          <w:rFonts w:ascii="仿宋_GB2312" w:eastAsia="仿宋_GB2312" w:cs="仿宋_GB2312"/>
          <w:b w:val="0"/>
          <w:bCs w:val="0"/>
          <w:kern w:val="2"/>
        </w:rPr>
        <w:t>0.99</w:t>
      </w:r>
      <w:r>
        <w:rPr>
          <w:rFonts w:hint="eastAsia" w:ascii="仿宋_GB2312" w:eastAsia="仿宋_GB2312" w:cs="仿宋_GB2312"/>
          <w:b w:val="0"/>
          <w:bCs w:val="0"/>
          <w:kern w:val="2"/>
        </w:rPr>
        <w:t>分</w:t>
      </w:r>
      <w:r>
        <w:rPr>
          <w:rFonts w:hint="eastAsia" w:ascii="仿宋_GB2312" w:eastAsia="仿宋_GB2312" w:cs="仿宋_GB2312"/>
          <w:b w:val="0"/>
          <w:kern w:val="2"/>
        </w:rPr>
        <w:t>。</w:t>
      </w:r>
    </w:p>
    <w:p w14:paraId="38C6C974">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bCs/>
          <w:sz w:val="32"/>
          <w:szCs w:val="32"/>
        </w:rPr>
        <w:t>对于“资金使用合规性”项目按照专项资金</w:t>
      </w:r>
      <w:r>
        <w:rPr>
          <w:rFonts w:hint="eastAsia" w:ascii="仿宋_GB2312" w:eastAsia="仿宋_GB2312" w:cs="仿宋_GB2312"/>
          <w:sz w:val="32"/>
          <w:szCs w:val="32"/>
        </w:rPr>
        <w:t>列支的范围使用资金，支出范围合规；资金支出能按财务制度执行，并能按国库集中支付制度规定执行，不存在资金违纪违规使用情况。根据评分标准，该指标不扣分，实际得分</w:t>
      </w:r>
      <w:r>
        <w:rPr>
          <w:rFonts w:ascii="仿宋_GB2312" w:eastAsia="仿宋_GB2312" w:cs="仿宋_GB2312"/>
          <w:sz w:val="32"/>
          <w:szCs w:val="32"/>
        </w:rPr>
        <w:t>1</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100%</w:t>
      </w:r>
      <w:r>
        <w:rPr>
          <w:rFonts w:hint="eastAsia" w:ascii="仿宋_GB2312" w:eastAsia="仿宋_GB2312" w:cs="仿宋_GB2312"/>
          <w:sz w:val="32"/>
          <w:szCs w:val="32"/>
        </w:rPr>
        <w:t>。</w:t>
      </w:r>
    </w:p>
    <w:p w14:paraId="67ED72E8">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对于“管理制度健全性”，项目机构健全，分工明确，不存在不相容岗位兼任情况。但未制定项目管理实施细则，根据评分标准，该指标扣</w:t>
      </w:r>
      <w:r>
        <w:rPr>
          <w:rFonts w:ascii="仿宋_GB2312" w:eastAsia="仿宋_GB2312" w:cs="仿宋_GB2312"/>
          <w:sz w:val="32"/>
          <w:szCs w:val="32"/>
        </w:rPr>
        <w:t>0.1</w:t>
      </w:r>
      <w:r>
        <w:rPr>
          <w:rFonts w:hint="eastAsia" w:ascii="仿宋_GB2312" w:eastAsia="仿宋_GB2312" w:cs="仿宋_GB2312"/>
          <w:sz w:val="32"/>
          <w:szCs w:val="32"/>
        </w:rPr>
        <w:t>分，实际得分</w:t>
      </w:r>
      <w:r>
        <w:rPr>
          <w:rFonts w:ascii="仿宋_GB2312" w:eastAsia="仿宋_GB2312" w:cs="仿宋_GB2312"/>
          <w:sz w:val="32"/>
          <w:szCs w:val="32"/>
        </w:rPr>
        <w:t>0.9</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90%</w:t>
      </w:r>
      <w:r>
        <w:rPr>
          <w:rFonts w:hint="eastAsia" w:ascii="仿宋_GB2312" w:eastAsia="仿宋_GB2312" w:cs="仿宋_GB2312"/>
          <w:sz w:val="32"/>
          <w:szCs w:val="32"/>
        </w:rPr>
        <w:t>。</w:t>
      </w:r>
    </w:p>
    <w:p w14:paraId="46BAC416">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对于“制度执行有效性”，组建了项目建设领导小组，认真组织项目实施，但在项目执行过程中，由于对制度执行的效率了解还不够深入，根据评分标准，该指标扣</w:t>
      </w:r>
      <w:r>
        <w:rPr>
          <w:rFonts w:ascii="仿宋_GB2312" w:eastAsia="仿宋_GB2312" w:cs="仿宋_GB2312"/>
          <w:sz w:val="32"/>
          <w:szCs w:val="32"/>
        </w:rPr>
        <w:t>0.1</w:t>
      </w:r>
      <w:r>
        <w:rPr>
          <w:rFonts w:hint="eastAsia" w:ascii="仿宋_GB2312" w:eastAsia="仿宋_GB2312" w:cs="仿宋_GB2312"/>
          <w:sz w:val="32"/>
          <w:szCs w:val="32"/>
        </w:rPr>
        <w:t>分，实际得分</w:t>
      </w:r>
      <w:r>
        <w:rPr>
          <w:rFonts w:ascii="仿宋_GB2312" w:eastAsia="仿宋_GB2312" w:cs="仿宋_GB2312"/>
          <w:sz w:val="32"/>
          <w:szCs w:val="32"/>
        </w:rPr>
        <w:t>0.9</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90%</w:t>
      </w:r>
      <w:r>
        <w:rPr>
          <w:rFonts w:hint="eastAsia" w:ascii="仿宋_GB2312" w:eastAsia="仿宋_GB2312" w:cs="仿宋_GB2312"/>
          <w:sz w:val="32"/>
          <w:szCs w:val="32"/>
        </w:rPr>
        <w:t>。</w:t>
      </w:r>
    </w:p>
    <w:p w14:paraId="19B485AD">
      <w:pPr>
        <w:pageBreakBefore w:val="0"/>
        <w:widowControl/>
        <w:kinsoku/>
        <w:wordWrap/>
        <w:overflowPunct/>
        <w:topLinePunct w:val="0"/>
        <w:autoSpaceDE/>
        <w:autoSpaceDN/>
        <w:bidi w:val="0"/>
        <w:spacing w:line="560" w:lineRule="atLeast"/>
        <w:ind w:firstLine="482" w:firstLineChars="150"/>
        <w:textAlignment w:val="auto"/>
        <w:rPr>
          <w:rFonts w:ascii="仿宋_GB2312" w:eastAsia="仿宋_GB2312" w:cs="仿宋_GB2312"/>
          <w:b/>
          <w:sz w:val="32"/>
          <w:szCs w:val="32"/>
        </w:rPr>
      </w:pPr>
      <w:r>
        <w:rPr>
          <w:rFonts w:hint="eastAsia" w:ascii="仿宋_GB2312" w:eastAsia="仿宋_GB2312" w:cs="仿宋_GB2312"/>
          <w:b/>
          <w:sz w:val="32"/>
          <w:szCs w:val="32"/>
        </w:rPr>
        <w:t>（三）项目产出情况</w:t>
      </w:r>
    </w:p>
    <w:p w14:paraId="663AD32C">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项目绩效主要从项目产出的产出数量、产出质量、产出时效、成本情况4个方面对项目的绩效情况进行评价。</w:t>
      </w:r>
    </w:p>
    <w:p w14:paraId="311DF6FA">
      <w:pPr>
        <w:pStyle w:val="17"/>
        <w:pageBreakBefore w:val="0"/>
        <w:widowControl/>
        <w:kinsoku/>
        <w:wordWrap/>
        <w:overflowPunct/>
        <w:topLinePunct w:val="0"/>
        <w:autoSpaceDE/>
        <w:autoSpaceDN/>
        <w:bidi w:val="0"/>
        <w:spacing w:before="0" w:beforeAutospacing="0" w:after="0" w:afterAutospacing="0" w:line="560" w:lineRule="atLeast"/>
        <w:ind w:firstLine="643" w:firstLineChars="200"/>
        <w:jc w:val="both"/>
        <w:textAlignment w:val="auto"/>
        <w:rPr>
          <w:rFonts w:ascii="仿宋_GB2312" w:eastAsia="仿宋_GB2312" w:cs="仿宋_GB2312"/>
          <w:sz w:val="32"/>
          <w:szCs w:val="32"/>
        </w:rPr>
      </w:pPr>
      <w:r>
        <w:rPr>
          <w:rFonts w:hint="eastAsia" w:ascii="仿宋_GB2312" w:eastAsia="仿宋_GB2312" w:cs="仿宋_GB2312"/>
          <w:b/>
          <w:bCs/>
          <w:sz w:val="32"/>
          <w:szCs w:val="32"/>
        </w:rPr>
        <w:t>数量指标：</w:t>
      </w:r>
      <w:r>
        <w:rPr>
          <w:rFonts w:hint="eastAsia" w:ascii="仿宋_GB2312" w:eastAsia="仿宋_GB2312" w:cs="仿宋_GB2312"/>
          <w:sz w:val="32"/>
          <w:szCs w:val="32"/>
        </w:rPr>
        <w:t>报刊杂志发行量，</w:t>
      </w:r>
      <w:r>
        <w:rPr>
          <w:rFonts w:ascii="仿宋_GB2312" w:eastAsia="仿宋_GB2312" w:cs="仿宋_GB2312"/>
          <w:sz w:val="32"/>
          <w:szCs w:val="32"/>
        </w:rPr>
        <w:t>增《民族团结一家亲》特刊一期2千册，</w:t>
      </w:r>
      <w:r>
        <w:rPr>
          <w:rFonts w:hint="eastAsia" w:ascii="仿宋_GB2312" w:eastAsia="仿宋_GB2312" w:cs="仿宋_GB2312"/>
          <w:sz w:val="32"/>
          <w:szCs w:val="32"/>
        </w:rPr>
        <w:t>预期指标值</w:t>
      </w:r>
      <w:r>
        <w:rPr>
          <w:rFonts w:ascii="仿宋_GB2312" w:eastAsia="仿宋_GB2312" w:cs="仿宋_GB2312"/>
          <w:sz w:val="32"/>
          <w:szCs w:val="32"/>
        </w:rPr>
        <w:t>=1.2万册</w:t>
      </w:r>
      <w:r>
        <w:rPr>
          <w:rFonts w:hint="eastAsia" w:ascii="仿宋_GB2312" w:eastAsia="仿宋_GB2312" w:cs="仿宋_GB2312"/>
          <w:sz w:val="32"/>
          <w:szCs w:val="32"/>
        </w:rPr>
        <w:t>，指标完成值</w:t>
      </w:r>
      <w:r>
        <w:rPr>
          <w:rFonts w:ascii="仿宋_GB2312" w:eastAsia="仿宋_GB2312" w:cs="仿宋_GB2312"/>
          <w:sz w:val="32"/>
          <w:szCs w:val="32"/>
        </w:rPr>
        <w:t>1.4万册</w:t>
      </w:r>
      <w:r>
        <w:rPr>
          <w:rFonts w:hint="eastAsia" w:ascii="仿宋_GB2312" w:eastAsia="仿宋_GB2312" w:cs="仿宋_GB2312"/>
          <w:sz w:val="32"/>
          <w:szCs w:val="32"/>
        </w:rPr>
        <w:t>，指标完成率</w:t>
      </w:r>
      <w:r>
        <w:rPr>
          <w:rFonts w:ascii="仿宋_GB2312" w:eastAsia="仿宋_GB2312" w:cs="仿宋_GB2312"/>
          <w:sz w:val="32"/>
          <w:szCs w:val="32"/>
        </w:rPr>
        <w:t>117</w:t>
      </w:r>
      <w:r>
        <w:rPr>
          <w:rFonts w:hint="eastAsia" w:ascii="仿宋_GB2312" w:eastAsia="仿宋_GB2312" w:cs="仿宋_GB2312"/>
          <w:sz w:val="32"/>
          <w:szCs w:val="32"/>
        </w:rPr>
        <w:t>%；</w:t>
      </w:r>
    </w:p>
    <w:p w14:paraId="2CA3F042">
      <w:pPr>
        <w:pStyle w:val="17"/>
        <w:pageBreakBefore w:val="0"/>
        <w:widowControl/>
        <w:kinsoku/>
        <w:wordWrap/>
        <w:overflowPunct/>
        <w:topLinePunct w:val="0"/>
        <w:autoSpaceDE/>
        <w:autoSpaceDN/>
        <w:bidi w:val="0"/>
        <w:spacing w:before="0" w:beforeAutospacing="0" w:after="0" w:afterAutospacing="0" w:line="560" w:lineRule="atLeast"/>
        <w:ind w:firstLine="640" w:firstLineChars="200"/>
        <w:jc w:val="both"/>
        <w:textAlignment w:val="auto"/>
        <w:rPr>
          <w:rFonts w:ascii="仿宋_GB2312" w:eastAsia="仿宋_GB2312" w:cs="仿宋_GB2312"/>
          <w:sz w:val="32"/>
          <w:szCs w:val="32"/>
        </w:rPr>
      </w:pPr>
      <w:r>
        <w:rPr>
          <w:rFonts w:hint="eastAsia" w:ascii="仿宋_GB2312" w:eastAsia="仿宋_GB2312" w:cs="仿宋_GB2312"/>
          <w:sz w:val="32"/>
          <w:szCs w:val="32"/>
        </w:rPr>
        <w:t>发行期数，预期指标值</w:t>
      </w:r>
      <w:r>
        <w:rPr>
          <w:rFonts w:ascii="仿宋_GB2312" w:eastAsia="仿宋_GB2312" w:cs="仿宋_GB2312"/>
          <w:sz w:val="32"/>
          <w:szCs w:val="32"/>
        </w:rPr>
        <w:t>=6期</w:t>
      </w:r>
      <w:r>
        <w:rPr>
          <w:rFonts w:hint="eastAsia" w:ascii="仿宋_GB2312" w:eastAsia="仿宋_GB2312" w:cs="仿宋_GB2312"/>
          <w:sz w:val="32"/>
          <w:szCs w:val="32"/>
        </w:rPr>
        <w:t>，指标完成值</w:t>
      </w:r>
      <w:r>
        <w:rPr>
          <w:rFonts w:ascii="仿宋_GB2312" w:eastAsia="仿宋_GB2312" w:cs="仿宋_GB2312"/>
          <w:sz w:val="32"/>
          <w:szCs w:val="32"/>
        </w:rPr>
        <w:t>6期</w:t>
      </w:r>
      <w:r>
        <w:rPr>
          <w:rFonts w:hint="eastAsia" w:ascii="仿宋_GB2312" w:eastAsia="仿宋_GB2312" w:cs="仿宋_GB2312"/>
          <w:sz w:val="32"/>
          <w:szCs w:val="32"/>
        </w:rPr>
        <w:t>，指标完成率</w:t>
      </w:r>
      <w:r>
        <w:rPr>
          <w:rFonts w:ascii="仿宋_GB2312" w:eastAsia="仿宋_GB2312" w:cs="仿宋_GB2312"/>
          <w:sz w:val="32"/>
          <w:szCs w:val="32"/>
        </w:rPr>
        <w:t>100</w:t>
      </w:r>
      <w:r>
        <w:rPr>
          <w:rFonts w:hint="eastAsia" w:ascii="仿宋_GB2312" w:eastAsia="仿宋_GB2312" w:cs="仿宋_GB2312"/>
          <w:sz w:val="32"/>
          <w:szCs w:val="32"/>
        </w:rPr>
        <w:t>%；</w:t>
      </w:r>
    </w:p>
    <w:p w14:paraId="31C01591">
      <w:pPr>
        <w:pStyle w:val="17"/>
        <w:pageBreakBefore w:val="0"/>
        <w:widowControl/>
        <w:kinsoku/>
        <w:wordWrap/>
        <w:overflowPunct/>
        <w:topLinePunct w:val="0"/>
        <w:autoSpaceDE/>
        <w:autoSpaceDN/>
        <w:bidi w:val="0"/>
        <w:spacing w:before="0" w:beforeAutospacing="0" w:after="0" w:afterAutospacing="0" w:line="560" w:lineRule="atLeast"/>
        <w:ind w:firstLine="643"/>
        <w:jc w:val="both"/>
        <w:textAlignment w:val="auto"/>
        <w:rPr>
          <w:rFonts w:ascii="仿宋_GB2312" w:eastAsia="仿宋_GB2312" w:cs="仿宋_GB2312"/>
          <w:sz w:val="32"/>
          <w:szCs w:val="32"/>
        </w:rPr>
      </w:pPr>
      <w:r>
        <w:rPr>
          <w:rFonts w:hint="eastAsia" w:ascii="仿宋_GB2312" w:eastAsia="仿宋_GB2312" w:cs="仿宋_GB2312"/>
          <w:b/>
          <w:bCs/>
          <w:sz w:val="32"/>
          <w:szCs w:val="32"/>
        </w:rPr>
        <w:t>质量指标：</w:t>
      </w:r>
      <w:r>
        <w:rPr>
          <w:rFonts w:hint="eastAsia" w:ascii="仿宋_GB2312" w:eastAsia="仿宋_GB2312" w:cs="仿宋_GB2312"/>
          <w:sz w:val="32"/>
          <w:szCs w:val="32"/>
        </w:rPr>
        <w:t>区域覆盖率，预期指标</w:t>
      </w:r>
      <w:r>
        <w:rPr>
          <w:rFonts w:ascii="仿宋_GB2312" w:eastAsia="仿宋_GB2312" w:cs="仿宋_GB2312"/>
          <w:sz w:val="32"/>
          <w:szCs w:val="32"/>
        </w:rPr>
        <w:t>值</w:t>
      </w:r>
      <w:r>
        <w:rPr>
          <w:rFonts w:hint="eastAsia" w:ascii="仿宋_GB2312" w:eastAsia="仿宋_GB2312" w:cs="仿宋_GB2312"/>
          <w:sz w:val="32"/>
          <w:szCs w:val="32"/>
        </w:rPr>
        <w:t>=100%，指标完成值</w:t>
      </w:r>
      <w:r>
        <w:rPr>
          <w:rFonts w:ascii="仿宋_GB2312" w:eastAsia="仿宋_GB2312" w:cs="仿宋_GB2312"/>
          <w:sz w:val="32"/>
          <w:szCs w:val="32"/>
        </w:rPr>
        <w:t>100%</w:t>
      </w:r>
      <w:r>
        <w:rPr>
          <w:rFonts w:hint="eastAsia" w:ascii="仿宋_GB2312" w:eastAsia="仿宋_GB2312" w:cs="仿宋_GB2312"/>
          <w:sz w:val="32"/>
          <w:szCs w:val="32"/>
        </w:rPr>
        <w:t>，指标完成率</w:t>
      </w:r>
      <w:r>
        <w:rPr>
          <w:rFonts w:ascii="仿宋_GB2312" w:eastAsia="仿宋_GB2312" w:cs="仿宋_GB2312"/>
          <w:sz w:val="32"/>
          <w:szCs w:val="32"/>
        </w:rPr>
        <w:t>100</w:t>
      </w:r>
      <w:r>
        <w:rPr>
          <w:rFonts w:hint="eastAsia" w:ascii="仿宋_GB2312" w:eastAsia="仿宋_GB2312" w:cs="仿宋_GB2312"/>
          <w:sz w:val="32"/>
          <w:szCs w:val="32"/>
        </w:rPr>
        <w:t>%；</w:t>
      </w:r>
    </w:p>
    <w:p w14:paraId="3A2C2B7C">
      <w:pPr>
        <w:pStyle w:val="17"/>
        <w:pageBreakBefore w:val="0"/>
        <w:widowControl/>
        <w:kinsoku/>
        <w:wordWrap/>
        <w:overflowPunct/>
        <w:topLinePunct w:val="0"/>
        <w:autoSpaceDE/>
        <w:autoSpaceDN/>
        <w:bidi w:val="0"/>
        <w:spacing w:before="0" w:beforeAutospacing="0" w:after="0" w:afterAutospacing="0" w:line="560" w:lineRule="atLeast"/>
        <w:ind w:firstLine="643" w:firstLineChars="200"/>
        <w:jc w:val="both"/>
        <w:textAlignment w:val="auto"/>
        <w:rPr>
          <w:rFonts w:ascii="仿宋_GB2312" w:eastAsia="仿宋_GB2312" w:cs="仿宋_GB2312"/>
          <w:sz w:val="32"/>
          <w:szCs w:val="32"/>
        </w:rPr>
      </w:pPr>
      <w:r>
        <w:rPr>
          <w:rFonts w:hint="eastAsia" w:ascii="仿宋_GB2312" w:eastAsia="仿宋_GB2312" w:cs="仿宋_GB2312"/>
          <w:b/>
          <w:bCs/>
          <w:sz w:val="32"/>
          <w:szCs w:val="32"/>
        </w:rPr>
        <w:t>成本指标：</w:t>
      </w:r>
      <w:r>
        <w:rPr>
          <w:rFonts w:hint="eastAsia" w:ascii="仿宋_GB2312" w:eastAsia="仿宋_GB2312" w:cs="仿宋_GB2312"/>
          <w:sz w:val="32"/>
          <w:szCs w:val="32"/>
        </w:rPr>
        <w:t>每一期稿酬，预期指标值≤3万元，指标完成值</w:t>
      </w:r>
      <w:r>
        <w:rPr>
          <w:rFonts w:hint="eastAsia" w:ascii="仿宋_GB2312" w:eastAsia="仿宋_GB2312" w:cs="仿宋_GB2312"/>
          <w:sz w:val="32"/>
          <w:szCs w:val="32"/>
          <w:lang w:val="en-US" w:eastAsia="zh-CN"/>
        </w:rPr>
        <w:t>3</w:t>
      </w:r>
      <w:r>
        <w:rPr>
          <w:rFonts w:ascii="仿宋_GB2312" w:eastAsia="仿宋_GB2312" w:cs="仿宋_GB2312"/>
          <w:sz w:val="32"/>
          <w:szCs w:val="32"/>
        </w:rPr>
        <w:t>万元</w:t>
      </w:r>
      <w:r>
        <w:rPr>
          <w:rFonts w:hint="eastAsia" w:ascii="仿宋_GB2312" w:eastAsia="仿宋_GB2312" w:cs="仿宋_GB2312"/>
          <w:sz w:val="32"/>
          <w:szCs w:val="32"/>
        </w:rPr>
        <w:t>，指标完成率</w:t>
      </w:r>
      <w:r>
        <w:rPr>
          <w:rFonts w:ascii="仿宋_GB2312" w:eastAsia="仿宋_GB2312" w:cs="仿宋_GB2312"/>
          <w:sz w:val="32"/>
          <w:szCs w:val="32"/>
        </w:rPr>
        <w:t>100</w:t>
      </w:r>
      <w:r>
        <w:rPr>
          <w:rFonts w:hint="eastAsia" w:ascii="仿宋_GB2312" w:eastAsia="仿宋_GB2312" w:cs="仿宋_GB2312"/>
          <w:sz w:val="32"/>
          <w:szCs w:val="32"/>
        </w:rPr>
        <w:t>%；</w:t>
      </w:r>
    </w:p>
    <w:p w14:paraId="6E10A325">
      <w:pPr>
        <w:pStyle w:val="17"/>
        <w:pageBreakBefore w:val="0"/>
        <w:widowControl/>
        <w:kinsoku/>
        <w:wordWrap/>
        <w:overflowPunct/>
        <w:topLinePunct w:val="0"/>
        <w:autoSpaceDE/>
        <w:autoSpaceDN/>
        <w:bidi w:val="0"/>
        <w:spacing w:before="0" w:beforeAutospacing="0" w:after="0" w:afterAutospacing="0" w:line="560" w:lineRule="atLeast"/>
        <w:ind w:firstLine="640" w:firstLineChars="200"/>
        <w:jc w:val="both"/>
        <w:textAlignment w:val="auto"/>
        <w:rPr>
          <w:rFonts w:ascii="仿宋_GB2312" w:eastAsia="仿宋_GB2312" w:cs="仿宋_GB2312"/>
          <w:sz w:val="32"/>
          <w:szCs w:val="32"/>
        </w:rPr>
      </w:pPr>
      <w:r>
        <w:rPr>
          <w:rFonts w:hint="eastAsia" w:ascii="仿宋_GB2312" w:eastAsia="仿宋_GB2312" w:cs="仿宋_GB2312"/>
          <w:sz w:val="32"/>
          <w:szCs w:val="32"/>
        </w:rPr>
        <w:t>印刷成本</w:t>
      </w:r>
      <w:r>
        <w:rPr>
          <w:rFonts w:ascii="仿宋_GB2312" w:eastAsia="仿宋_GB2312" w:cs="仿宋_GB2312"/>
          <w:sz w:val="32"/>
          <w:szCs w:val="32"/>
        </w:rPr>
        <w:t>,</w:t>
      </w:r>
      <w:r>
        <w:rPr>
          <w:rFonts w:hint="eastAsia" w:ascii="仿宋_GB2312" w:eastAsia="仿宋_GB2312" w:cs="仿宋_GB2312"/>
          <w:sz w:val="32"/>
          <w:szCs w:val="32"/>
        </w:rPr>
        <w:t>预期指标值≤15万元</w:t>
      </w:r>
      <w:r>
        <w:rPr>
          <w:rFonts w:ascii="仿宋_GB2312" w:eastAsia="仿宋_GB2312" w:cs="仿宋_GB2312"/>
          <w:sz w:val="32"/>
          <w:szCs w:val="32"/>
        </w:rPr>
        <w:t>，</w:t>
      </w:r>
      <w:r>
        <w:rPr>
          <w:rFonts w:hint="eastAsia" w:ascii="仿宋_GB2312" w:eastAsia="仿宋_GB2312" w:cs="仿宋_GB2312"/>
          <w:sz w:val="32"/>
          <w:szCs w:val="32"/>
        </w:rPr>
        <w:t>指标完成值</w:t>
      </w:r>
      <w:r>
        <w:rPr>
          <w:rFonts w:hint="eastAsia" w:ascii="仿宋_GB2312" w:eastAsia="仿宋_GB2312" w:cs="仿宋_GB2312"/>
          <w:sz w:val="32"/>
          <w:szCs w:val="32"/>
          <w:lang w:val="en-US" w:eastAsia="zh-CN"/>
        </w:rPr>
        <w:t>15</w:t>
      </w:r>
      <w:r>
        <w:rPr>
          <w:rFonts w:ascii="仿宋_GB2312" w:eastAsia="仿宋_GB2312" w:cs="仿宋_GB2312"/>
          <w:sz w:val="32"/>
          <w:szCs w:val="32"/>
        </w:rPr>
        <w:t>万元</w:t>
      </w:r>
      <w:r>
        <w:rPr>
          <w:rFonts w:hint="eastAsia" w:ascii="仿宋_GB2312" w:eastAsia="仿宋_GB2312" w:cs="仿宋_GB2312"/>
          <w:sz w:val="32"/>
          <w:szCs w:val="32"/>
        </w:rPr>
        <w:t>，指标完成率</w:t>
      </w:r>
      <w:r>
        <w:rPr>
          <w:rFonts w:ascii="仿宋_GB2312" w:eastAsia="仿宋_GB2312" w:cs="仿宋_GB2312"/>
          <w:sz w:val="32"/>
          <w:szCs w:val="32"/>
        </w:rPr>
        <w:t>100%</w:t>
      </w:r>
      <w:r>
        <w:rPr>
          <w:rFonts w:hint="eastAsia" w:ascii="仿宋_GB2312" w:eastAsia="仿宋_GB2312" w:cs="仿宋_GB2312"/>
          <w:sz w:val="32"/>
          <w:szCs w:val="32"/>
        </w:rPr>
        <w:t>；</w:t>
      </w:r>
    </w:p>
    <w:p w14:paraId="2319CFDC">
      <w:pPr>
        <w:pStyle w:val="17"/>
        <w:pageBreakBefore w:val="0"/>
        <w:widowControl/>
        <w:kinsoku/>
        <w:wordWrap/>
        <w:overflowPunct/>
        <w:topLinePunct w:val="0"/>
        <w:autoSpaceDE/>
        <w:autoSpaceDN/>
        <w:bidi w:val="0"/>
        <w:spacing w:before="0" w:beforeAutospacing="0" w:after="0" w:afterAutospacing="0" w:line="560" w:lineRule="atLeast"/>
        <w:ind w:firstLine="640" w:firstLineChars="200"/>
        <w:jc w:val="both"/>
        <w:textAlignment w:val="auto"/>
        <w:rPr>
          <w:rFonts w:ascii="仿宋_GB2312" w:eastAsia="仿宋_GB2312" w:cs="仿宋_GB2312"/>
          <w:sz w:val="32"/>
          <w:szCs w:val="32"/>
        </w:rPr>
      </w:pPr>
      <w:r>
        <w:rPr>
          <w:rFonts w:hint="eastAsia" w:ascii="仿宋_GB2312" w:eastAsia="仿宋_GB2312" w:cs="仿宋_GB2312"/>
          <w:sz w:val="32"/>
          <w:szCs w:val="32"/>
        </w:rPr>
        <w:t>扶贫攻坚征文费用</w:t>
      </w:r>
      <w:r>
        <w:rPr>
          <w:rFonts w:ascii="仿宋_GB2312" w:eastAsia="仿宋_GB2312" w:cs="仿宋_GB2312"/>
          <w:sz w:val="32"/>
          <w:szCs w:val="32"/>
        </w:rPr>
        <w:t>，</w:t>
      </w:r>
      <w:r>
        <w:rPr>
          <w:rFonts w:hint="eastAsia" w:ascii="仿宋_GB2312" w:eastAsia="仿宋_GB2312" w:cs="仿宋_GB2312"/>
          <w:sz w:val="32"/>
          <w:szCs w:val="32"/>
        </w:rPr>
        <w:t>预期指标值≤3万元，指标完成值</w:t>
      </w:r>
      <w:r>
        <w:rPr>
          <w:rFonts w:ascii="仿宋_GB2312" w:eastAsia="仿宋_GB2312" w:cs="仿宋_GB2312"/>
          <w:sz w:val="32"/>
          <w:szCs w:val="32"/>
        </w:rPr>
        <w:t>2.8万元</w:t>
      </w:r>
      <w:r>
        <w:rPr>
          <w:rFonts w:hint="eastAsia" w:ascii="仿宋_GB2312" w:eastAsia="仿宋_GB2312" w:cs="仿宋_GB2312"/>
          <w:sz w:val="32"/>
          <w:szCs w:val="32"/>
        </w:rPr>
        <w:t>，指标完成率</w:t>
      </w:r>
      <w:r>
        <w:rPr>
          <w:rFonts w:ascii="仿宋_GB2312" w:eastAsia="仿宋_GB2312" w:cs="仿宋_GB2312"/>
          <w:sz w:val="32"/>
          <w:szCs w:val="32"/>
        </w:rPr>
        <w:t>100%</w:t>
      </w:r>
      <w:r>
        <w:rPr>
          <w:rFonts w:hint="eastAsia" w:ascii="仿宋_GB2312" w:eastAsia="仿宋_GB2312" w:cs="仿宋_GB2312"/>
          <w:sz w:val="32"/>
          <w:szCs w:val="32"/>
        </w:rPr>
        <w:t>；</w:t>
      </w:r>
    </w:p>
    <w:p w14:paraId="22CB07EF">
      <w:pPr>
        <w:pStyle w:val="17"/>
        <w:pageBreakBefore w:val="0"/>
        <w:widowControl/>
        <w:kinsoku/>
        <w:wordWrap/>
        <w:overflowPunct/>
        <w:topLinePunct w:val="0"/>
        <w:autoSpaceDE/>
        <w:autoSpaceDN/>
        <w:bidi w:val="0"/>
        <w:spacing w:before="0" w:beforeAutospacing="0" w:after="0" w:afterAutospacing="0" w:line="560" w:lineRule="atLeast"/>
        <w:ind w:firstLine="643" w:firstLineChars="200"/>
        <w:jc w:val="both"/>
        <w:textAlignment w:val="auto"/>
        <w:rPr>
          <w:rFonts w:ascii="仿宋_GB2312" w:eastAsia="仿宋_GB2312" w:cs="仿宋_GB2312"/>
          <w:sz w:val="32"/>
          <w:szCs w:val="32"/>
        </w:rPr>
      </w:pPr>
      <w:r>
        <w:rPr>
          <w:rFonts w:hint="eastAsia" w:ascii="仿宋_GB2312" w:eastAsia="仿宋_GB2312" w:cs="仿宋_GB2312"/>
          <w:b/>
          <w:bCs/>
          <w:sz w:val="32"/>
          <w:szCs w:val="32"/>
        </w:rPr>
        <w:t>时效指标：</w:t>
      </w:r>
      <w:r>
        <w:rPr>
          <w:rFonts w:hint="eastAsia" w:ascii="仿宋_GB2312" w:eastAsia="仿宋_GB2312" w:cs="仿宋_GB2312"/>
          <w:sz w:val="32"/>
          <w:szCs w:val="32"/>
        </w:rPr>
        <w:t>发行及时率</w:t>
      </w:r>
      <w:r>
        <w:rPr>
          <w:rFonts w:ascii="仿宋_GB2312" w:eastAsia="仿宋_GB2312" w:cs="仿宋_GB2312"/>
          <w:sz w:val="32"/>
          <w:szCs w:val="32"/>
        </w:rPr>
        <w:t>，</w:t>
      </w:r>
      <w:r>
        <w:rPr>
          <w:rFonts w:hint="eastAsia" w:ascii="仿宋_GB2312" w:eastAsia="仿宋_GB2312" w:cs="仿宋_GB2312"/>
          <w:sz w:val="32"/>
          <w:szCs w:val="32"/>
        </w:rPr>
        <w:t>预期指标</w:t>
      </w:r>
      <w:r>
        <w:rPr>
          <w:rFonts w:ascii="仿宋_GB2312" w:eastAsia="仿宋_GB2312" w:cs="仿宋_GB2312"/>
          <w:sz w:val="32"/>
          <w:szCs w:val="32"/>
        </w:rPr>
        <w:t>值等于100%</w:t>
      </w:r>
      <w:r>
        <w:rPr>
          <w:rFonts w:hint="eastAsia" w:ascii="仿宋_GB2312" w:eastAsia="仿宋_GB2312" w:cs="仿宋_GB2312"/>
          <w:sz w:val="32"/>
          <w:szCs w:val="32"/>
        </w:rPr>
        <w:t>，指标完成值</w:t>
      </w:r>
      <w:r>
        <w:rPr>
          <w:rFonts w:ascii="仿宋_GB2312" w:eastAsia="仿宋_GB2312" w:cs="仿宋_GB2312"/>
          <w:sz w:val="32"/>
          <w:szCs w:val="32"/>
        </w:rPr>
        <w:t>84%</w:t>
      </w:r>
      <w:r>
        <w:rPr>
          <w:rFonts w:hint="eastAsia" w:ascii="仿宋_GB2312" w:eastAsia="仿宋_GB2312" w:cs="仿宋_GB2312"/>
          <w:sz w:val="32"/>
          <w:szCs w:val="32"/>
        </w:rPr>
        <w:t>，指标完成率</w:t>
      </w:r>
      <w:r>
        <w:rPr>
          <w:rFonts w:ascii="仿宋_GB2312" w:eastAsia="仿宋_GB2312" w:cs="仿宋_GB2312"/>
          <w:sz w:val="32"/>
          <w:szCs w:val="32"/>
        </w:rPr>
        <w:t>84</w:t>
      </w:r>
      <w:r>
        <w:rPr>
          <w:rFonts w:hint="eastAsia" w:ascii="仿宋_GB2312" w:eastAsia="仿宋_GB2312" w:cs="仿宋_GB2312"/>
          <w:sz w:val="32"/>
          <w:szCs w:val="32"/>
        </w:rPr>
        <w:t>%；</w:t>
      </w:r>
    </w:p>
    <w:p w14:paraId="47621076">
      <w:pPr>
        <w:pageBreakBefore w:val="0"/>
        <w:widowControl/>
        <w:kinsoku/>
        <w:wordWrap/>
        <w:overflowPunct/>
        <w:topLinePunct w:val="0"/>
        <w:autoSpaceDE/>
        <w:autoSpaceDN/>
        <w:bidi w:val="0"/>
        <w:spacing w:line="560" w:lineRule="atLeast"/>
        <w:ind w:firstLine="482" w:firstLineChars="150"/>
        <w:textAlignment w:val="auto"/>
        <w:rPr>
          <w:rFonts w:ascii="仿宋_GB2312" w:eastAsia="仿宋_GB2312" w:cs="仿宋_GB2312"/>
          <w:b/>
          <w:sz w:val="32"/>
          <w:szCs w:val="32"/>
        </w:rPr>
      </w:pPr>
      <w:r>
        <w:rPr>
          <w:rFonts w:hint="eastAsia" w:ascii="仿宋_GB2312" w:eastAsia="仿宋_GB2312" w:cs="仿宋_GB2312"/>
          <w:b/>
          <w:sz w:val="32"/>
          <w:szCs w:val="32"/>
        </w:rPr>
        <w:t>（四）项目效益情况</w:t>
      </w:r>
    </w:p>
    <w:p w14:paraId="0E8C9BF5">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项目绩效主要从项目产出的效果的经济效益、社会效益、可持续影响、满意度</w:t>
      </w:r>
      <w:r>
        <w:rPr>
          <w:rFonts w:ascii="仿宋_GB2312" w:eastAsia="仿宋_GB2312" w:cs="仿宋_GB2312"/>
          <w:sz w:val="32"/>
          <w:szCs w:val="32"/>
        </w:rPr>
        <w:t>4</w:t>
      </w:r>
      <w:r>
        <w:rPr>
          <w:rFonts w:hint="eastAsia" w:ascii="仿宋_GB2312" w:eastAsia="仿宋_GB2312" w:cs="仿宋_GB2312"/>
          <w:sz w:val="32"/>
          <w:szCs w:val="32"/>
        </w:rPr>
        <w:t>个方面对项目的绩效情况进行评价。</w:t>
      </w:r>
    </w:p>
    <w:p w14:paraId="5A7B23E1">
      <w:pPr>
        <w:pStyle w:val="17"/>
        <w:pageBreakBefore w:val="0"/>
        <w:widowControl/>
        <w:kinsoku/>
        <w:wordWrap/>
        <w:overflowPunct/>
        <w:topLinePunct w:val="0"/>
        <w:autoSpaceDE/>
        <w:autoSpaceDN/>
        <w:bidi w:val="0"/>
        <w:spacing w:before="0" w:beforeAutospacing="0" w:after="0" w:afterAutospacing="0" w:line="560" w:lineRule="atLeast"/>
        <w:ind w:firstLine="643" w:firstLineChars="200"/>
        <w:jc w:val="both"/>
        <w:textAlignment w:val="auto"/>
        <w:rPr>
          <w:rFonts w:ascii="仿宋_GB2312" w:eastAsia="仿宋_GB2312" w:cs="仿宋_GB2312"/>
          <w:sz w:val="32"/>
          <w:szCs w:val="32"/>
        </w:rPr>
      </w:pPr>
      <w:r>
        <w:rPr>
          <w:rFonts w:hint="eastAsia" w:ascii="仿宋_GB2312" w:eastAsia="仿宋_GB2312" w:cs="仿宋_GB2312"/>
          <w:b/>
          <w:bCs/>
          <w:sz w:val="32"/>
          <w:szCs w:val="32"/>
        </w:rPr>
        <w:t>经济效益指标：</w:t>
      </w:r>
      <w:r>
        <w:rPr>
          <w:rFonts w:hint="eastAsia" w:ascii="仿宋_GB2312" w:eastAsia="仿宋_GB2312" w:cs="仿宋_GB2312"/>
          <w:sz w:val="32"/>
          <w:szCs w:val="32"/>
        </w:rPr>
        <w:t>利润增长率（%），预期指标值≤3%，指标完成值</w:t>
      </w:r>
      <w:r>
        <w:rPr>
          <w:rFonts w:ascii="仿宋_GB2312" w:eastAsia="仿宋_GB2312" w:cs="仿宋_GB2312"/>
          <w:sz w:val="32"/>
          <w:szCs w:val="32"/>
        </w:rPr>
        <w:t>2.68%</w:t>
      </w:r>
      <w:r>
        <w:rPr>
          <w:rFonts w:hint="eastAsia" w:ascii="仿宋_GB2312" w:eastAsia="仿宋_GB2312" w:cs="仿宋_GB2312"/>
          <w:sz w:val="32"/>
          <w:szCs w:val="32"/>
        </w:rPr>
        <w:t>，指标完成率</w:t>
      </w:r>
      <w:r>
        <w:rPr>
          <w:rFonts w:ascii="仿宋_GB2312" w:eastAsia="仿宋_GB2312" w:cs="仿宋_GB2312"/>
          <w:sz w:val="32"/>
          <w:szCs w:val="32"/>
        </w:rPr>
        <w:t>89.5</w:t>
      </w:r>
      <w:r>
        <w:rPr>
          <w:rFonts w:hint="eastAsia" w:ascii="仿宋_GB2312" w:eastAsia="仿宋_GB2312" w:cs="仿宋_GB2312"/>
          <w:sz w:val="32"/>
          <w:szCs w:val="32"/>
        </w:rPr>
        <w:t>%；</w:t>
      </w:r>
    </w:p>
    <w:p w14:paraId="3816BFF8">
      <w:pPr>
        <w:pStyle w:val="17"/>
        <w:pageBreakBefore w:val="0"/>
        <w:widowControl/>
        <w:kinsoku/>
        <w:wordWrap/>
        <w:overflowPunct/>
        <w:topLinePunct w:val="0"/>
        <w:autoSpaceDE/>
        <w:autoSpaceDN/>
        <w:bidi w:val="0"/>
        <w:spacing w:before="0" w:beforeAutospacing="0" w:after="0" w:afterAutospacing="0" w:line="560" w:lineRule="atLeast"/>
        <w:ind w:firstLine="643"/>
        <w:jc w:val="both"/>
        <w:textAlignment w:val="auto"/>
        <w:rPr>
          <w:rFonts w:ascii="仿宋_GB2312" w:eastAsia="仿宋_GB2312" w:cs="仿宋_GB2312"/>
          <w:b/>
          <w:bCs/>
          <w:sz w:val="32"/>
          <w:szCs w:val="32"/>
        </w:rPr>
      </w:pPr>
      <w:r>
        <w:rPr>
          <w:rFonts w:hint="eastAsia" w:ascii="仿宋_GB2312" w:eastAsia="仿宋_GB2312" w:cs="仿宋_GB2312"/>
          <w:b/>
          <w:bCs/>
          <w:sz w:val="32"/>
          <w:szCs w:val="32"/>
        </w:rPr>
        <w:t>社会效益指标：</w:t>
      </w:r>
      <w:r>
        <w:rPr>
          <w:rFonts w:hint="eastAsia" w:ascii="仿宋_GB2312" w:eastAsia="仿宋_GB2312" w:cs="仿宋_GB2312"/>
          <w:sz w:val="32"/>
          <w:szCs w:val="32"/>
        </w:rPr>
        <w:t>报刊杂志续订率（%）</w:t>
      </w:r>
      <w:r>
        <w:rPr>
          <w:rFonts w:ascii="仿宋_GB2312" w:eastAsia="仿宋_GB2312" w:cs="仿宋_GB2312"/>
          <w:sz w:val="32"/>
          <w:szCs w:val="32"/>
        </w:rPr>
        <w:t>，</w:t>
      </w:r>
      <w:r>
        <w:rPr>
          <w:rFonts w:hint="eastAsia" w:ascii="仿宋_GB2312" w:eastAsia="仿宋_GB2312" w:cs="仿宋_GB2312"/>
          <w:sz w:val="32"/>
          <w:szCs w:val="32"/>
        </w:rPr>
        <w:t>预期指标值≥40%，指标完成值</w:t>
      </w:r>
      <w:r>
        <w:rPr>
          <w:rFonts w:ascii="仿宋_GB2312" w:eastAsia="仿宋_GB2312" w:cs="仿宋_GB2312"/>
          <w:sz w:val="32"/>
          <w:szCs w:val="32"/>
        </w:rPr>
        <w:t>35%</w:t>
      </w:r>
      <w:r>
        <w:rPr>
          <w:rFonts w:hint="eastAsia" w:ascii="仿宋_GB2312" w:eastAsia="仿宋_GB2312" w:cs="仿宋_GB2312"/>
          <w:sz w:val="32"/>
          <w:szCs w:val="32"/>
        </w:rPr>
        <w:t>，指标完成率</w:t>
      </w:r>
      <w:r>
        <w:rPr>
          <w:rFonts w:ascii="仿宋_GB2312" w:eastAsia="仿宋_GB2312" w:cs="仿宋_GB2312"/>
          <w:sz w:val="32"/>
          <w:szCs w:val="32"/>
        </w:rPr>
        <w:t>87.5</w:t>
      </w:r>
      <w:r>
        <w:rPr>
          <w:rFonts w:hint="eastAsia" w:ascii="仿宋_GB2312" w:eastAsia="仿宋_GB2312" w:cs="仿宋_GB2312"/>
          <w:sz w:val="32"/>
          <w:szCs w:val="32"/>
        </w:rPr>
        <w:t>%；</w:t>
      </w:r>
    </w:p>
    <w:p w14:paraId="52AC245C">
      <w:pPr>
        <w:pStyle w:val="17"/>
        <w:pageBreakBefore w:val="0"/>
        <w:widowControl/>
        <w:kinsoku/>
        <w:wordWrap/>
        <w:overflowPunct/>
        <w:topLinePunct w:val="0"/>
        <w:autoSpaceDE/>
        <w:autoSpaceDN/>
        <w:bidi w:val="0"/>
        <w:spacing w:before="0" w:beforeAutospacing="0" w:after="0" w:afterAutospacing="0" w:line="560" w:lineRule="atLeast"/>
        <w:ind w:firstLine="643"/>
        <w:jc w:val="both"/>
        <w:textAlignment w:val="auto"/>
        <w:rPr>
          <w:rFonts w:ascii="仿宋_GB2312" w:eastAsia="仿宋_GB2312" w:cs="仿宋_GB2312"/>
          <w:sz w:val="32"/>
          <w:szCs w:val="32"/>
        </w:rPr>
      </w:pPr>
      <w:r>
        <w:rPr>
          <w:rFonts w:hint="eastAsia" w:ascii="仿宋_GB2312" w:eastAsia="仿宋_GB2312" w:cs="仿宋_GB2312"/>
          <w:b/>
          <w:bCs/>
          <w:sz w:val="32"/>
          <w:szCs w:val="32"/>
        </w:rPr>
        <w:t>服务对象满意度指标：</w:t>
      </w:r>
      <w:r>
        <w:rPr>
          <w:rFonts w:hint="eastAsia" w:ascii="仿宋_GB2312" w:eastAsia="仿宋_GB2312" w:cs="仿宋_GB2312"/>
          <w:sz w:val="32"/>
          <w:szCs w:val="32"/>
        </w:rPr>
        <w:t>读者满意度，预期指标值≥90%，指标完成值</w:t>
      </w:r>
      <w:r>
        <w:rPr>
          <w:rFonts w:ascii="仿宋_GB2312" w:eastAsia="仿宋_GB2312" w:cs="仿宋_GB2312"/>
          <w:sz w:val="32"/>
          <w:szCs w:val="32"/>
        </w:rPr>
        <w:t>90%</w:t>
      </w:r>
      <w:r>
        <w:rPr>
          <w:rFonts w:hint="eastAsia" w:ascii="仿宋_GB2312" w:eastAsia="仿宋_GB2312" w:cs="仿宋_GB2312"/>
          <w:sz w:val="32"/>
          <w:szCs w:val="32"/>
        </w:rPr>
        <w:t>，指标完成率</w:t>
      </w:r>
      <w:r>
        <w:rPr>
          <w:rFonts w:ascii="仿宋_GB2312" w:eastAsia="仿宋_GB2312" w:cs="仿宋_GB2312"/>
          <w:sz w:val="32"/>
          <w:szCs w:val="32"/>
        </w:rPr>
        <w:t>100</w:t>
      </w:r>
      <w:r>
        <w:rPr>
          <w:rFonts w:hint="eastAsia" w:ascii="仿宋_GB2312" w:eastAsia="仿宋_GB2312" w:cs="仿宋_GB2312"/>
          <w:sz w:val="32"/>
          <w:szCs w:val="32"/>
        </w:rPr>
        <w:t>%；</w:t>
      </w:r>
    </w:p>
    <w:p w14:paraId="63A651D6">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项目</w:t>
      </w:r>
      <w:r>
        <w:rPr>
          <w:rFonts w:ascii="仿宋_GB2312" w:eastAsia="仿宋_GB2312" w:cs="仿宋_GB2312"/>
          <w:sz w:val="32"/>
          <w:szCs w:val="32"/>
        </w:rPr>
        <w:t>效益</w:t>
      </w:r>
      <w:r>
        <w:rPr>
          <w:rFonts w:hint="eastAsia" w:ascii="仿宋_GB2312" w:eastAsia="仿宋_GB2312" w:cs="仿宋_GB2312"/>
          <w:sz w:val="32"/>
          <w:szCs w:val="32"/>
        </w:rPr>
        <w:t>类指标分值</w:t>
      </w:r>
      <w:r>
        <w:rPr>
          <w:rFonts w:ascii="仿宋_GB2312" w:eastAsia="仿宋_GB2312" w:cs="仿宋_GB2312"/>
          <w:sz w:val="32"/>
          <w:szCs w:val="32"/>
        </w:rPr>
        <w:t>40</w:t>
      </w:r>
      <w:r>
        <w:rPr>
          <w:rFonts w:hint="eastAsia" w:ascii="仿宋_GB2312" w:eastAsia="仿宋_GB2312" w:cs="仿宋_GB2312"/>
          <w:sz w:val="32"/>
          <w:szCs w:val="32"/>
        </w:rPr>
        <w:t>分，实际得分</w:t>
      </w:r>
      <w:r>
        <w:rPr>
          <w:rFonts w:ascii="仿宋_GB2312" w:eastAsia="仿宋_GB2312" w:cs="仿宋_GB2312"/>
          <w:sz w:val="32"/>
          <w:szCs w:val="32"/>
        </w:rPr>
        <w:t>36</w:t>
      </w:r>
      <w:r>
        <w:rPr>
          <w:rFonts w:hint="eastAsia" w:ascii="仿宋_GB2312" w:eastAsia="仿宋_GB2312" w:cs="仿宋_GB2312"/>
          <w:sz w:val="32"/>
          <w:szCs w:val="32"/>
        </w:rPr>
        <w:t>分，得分率为</w:t>
      </w:r>
      <w:r>
        <w:rPr>
          <w:rFonts w:ascii="仿宋_GB2312" w:eastAsia="仿宋_GB2312" w:cs="仿宋_GB2312"/>
          <w:sz w:val="32"/>
          <w:szCs w:val="32"/>
        </w:rPr>
        <w:t>90</w:t>
      </w:r>
      <w:r>
        <w:rPr>
          <w:rFonts w:hint="eastAsia" w:ascii="仿宋_GB2312" w:eastAsia="仿宋_GB2312" w:cs="仿宋_GB2312"/>
          <w:sz w:val="32"/>
          <w:szCs w:val="32"/>
        </w:rPr>
        <w:t>%。</w:t>
      </w:r>
    </w:p>
    <w:p w14:paraId="6EA3CCA8">
      <w:pPr>
        <w:pageBreakBefore w:val="0"/>
        <w:kinsoku/>
        <w:wordWrap/>
        <w:overflowPunct/>
        <w:topLinePunct w:val="0"/>
        <w:autoSpaceDE/>
        <w:autoSpaceDN/>
        <w:bidi w:val="0"/>
        <w:spacing w:line="560" w:lineRule="atLeast"/>
        <w:ind w:firstLine="640"/>
        <w:textAlignment w:val="auto"/>
        <w:rPr>
          <w:rStyle w:val="34"/>
          <w:color w:val="auto"/>
        </w:rPr>
      </w:pPr>
      <w:r>
        <w:rPr>
          <w:rStyle w:val="34"/>
          <w:rFonts w:hint="eastAsia"/>
          <w:color w:val="auto"/>
        </w:rPr>
        <w:t>经济效益指标方面：</w:t>
      </w:r>
      <w:r>
        <w:rPr>
          <w:rStyle w:val="34"/>
          <w:color w:val="auto"/>
        </w:rPr>
        <w:t>出版的宣传文化类书籍没有经济效益，不扣分。</w:t>
      </w:r>
    </w:p>
    <w:p w14:paraId="2095D9FB">
      <w:pPr>
        <w:pageBreakBefore w:val="0"/>
        <w:kinsoku/>
        <w:wordWrap/>
        <w:overflowPunct/>
        <w:topLinePunct w:val="0"/>
        <w:autoSpaceDE/>
        <w:autoSpaceDN/>
        <w:bidi w:val="0"/>
        <w:spacing w:line="560" w:lineRule="atLeast"/>
        <w:ind w:firstLine="640"/>
        <w:textAlignment w:val="auto"/>
        <w:rPr>
          <w:rFonts w:ascii="仿宋_GB2312" w:eastAsia="仿宋_GB2312" w:cs="仿宋_GB2312"/>
          <w:sz w:val="32"/>
          <w:szCs w:val="32"/>
        </w:rPr>
      </w:pPr>
      <w:r>
        <w:rPr>
          <w:rStyle w:val="34"/>
          <w:rFonts w:hint="eastAsia"/>
          <w:color w:val="auto"/>
        </w:rPr>
        <w:t>社会效益指标方面：</w:t>
      </w:r>
      <w:r>
        <w:rPr>
          <w:rFonts w:hint="eastAsia" w:ascii="仿宋_GB2312" w:eastAsia="仿宋_GB2312" w:cs="仿宋_GB2312"/>
          <w:sz w:val="32"/>
          <w:szCs w:val="32"/>
        </w:rPr>
        <w:t>对于“社会效益”，项目资金</w:t>
      </w:r>
      <w:r>
        <w:rPr>
          <w:rFonts w:ascii="仿宋_GB2312" w:eastAsia="仿宋_GB2312" w:cs="仿宋_GB2312"/>
          <w:sz w:val="32"/>
          <w:szCs w:val="32"/>
        </w:rPr>
        <w:t>提高了杂志的发行率、发行覆盖面、同时激发了文学爱好者的创造积极性</w:t>
      </w:r>
      <w:r>
        <w:rPr>
          <w:rFonts w:hint="eastAsia" w:ascii="仿宋_GB2312" w:eastAsia="仿宋_GB2312" w:cs="仿宋_GB2312"/>
          <w:sz w:val="32"/>
          <w:szCs w:val="32"/>
        </w:rPr>
        <w:t>。</w:t>
      </w:r>
      <w:r>
        <w:rPr>
          <w:rFonts w:ascii="仿宋_GB2312" w:eastAsia="仿宋_GB2312" w:cs="仿宋_GB2312"/>
          <w:sz w:val="32"/>
          <w:szCs w:val="32"/>
        </w:rPr>
        <w:t>由于</w:t>
      </w:r>
      <w:r>
        <w:rPr>
          <w:rFonts w:hint="eastAsia" w:ascii="仿宋_GB2312" w:eastAsia="仿宋_GB2312" w:cs="仿宋_GB2312"/>
          <w:sz w:val="32"/>
          <w:szCs w:val="32"/>
          <w:lang w:val="en-US" w:eastAsia="zh-CN"/>
        </w:rPr>
        <w:t>防控工作</w:t>
      </w:r>
      <w:r>
        <w:rPr>
          <w:rFonts w:ascii="仿宋_GB2312" w:eastAsia="仿宋_GB2312" w:cs="仿宋_GB2312"/>
          <w:sz w:val="32"/>
          <w:szCs w:val="32"/>
        </w:rPr>
        <w:t>影响，发行覆盖面受到影响，</w:t>
      </w:r>
      <w:r>
        <w:rPr>
          <w:rFonts w:hint="eastAsia" w:ascii="仿宋_GB2312" w:eastAsia="仿宋_GB2312" w:cs="仿宋_GB2312"/>
          <w:sz w:val="32"/>
          <w:szCs w:val="32"/>
        </w:rPr>
        <w:t>根据评分标准，该指标扣</w:t>
      </w:r>
      <w:r>
        <w:rPr>
          <w:rFonts w:ascii="仿宋_GB2312" w:eastAsia="仿宋_GB2312" w:cs="仿宋_GB2312"/>
          <w:sz w:val="32"/>
          <w:szCs w:val="32"/>
        </w:rPr>
        <w:t>2</w:t>
      </w:r>
      <w:r>
        <w:rPr>
          <w:rFonts w:hint="eastAsia" w:ascii="仿宋_GB2312" w:eastAsia="仿宋_GB2312" w:cs="仿宋_GB2312"/>
          <w:sz w:val="32"/>
          <w:szCs w:val="32"/>
        </w:rPr>
        <w:t>分，实际得分</w:t>
      </w:r>
      <w:r>
        <w:rPr>
          <w:rFonts w:ascii="仿宋_GB2312" w:eastAsia="仿宋_GB2312" w:cs="仿宋_GB2312"/>
          <w:sz w:val="32"/>
          <w:szCs w:val="32"/>
        </w:rPr>
        <w:t>13</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87%</w:t>
      </w:r>
      <w:r>
        <w:rPr>
          <w:rFonts w:hint="eastAsia" w:ascii="仿宋_GB2312" w:eastAsia="仿宋_GB2312" w:cs="仿宋_GB2312"/>
          <w:sz w:val="32"/>
          <w:szCs w:val="32"/>
        </w:rPr>
        <w:t>。</w:t>
      </w:r>
    </w:p>
    <w:p w14:paraId="7B00307D">
      <w:pPr>
        <w:pageBreakBefore w:val="0"/>
        <w:kinsoku/>
        <w:wordWrap/>
        <w:overflowPunct/>
        <w:topLinePunct w:val="0"/>
        <w:autoSpaceDE/>
        <w:autoSpaceDN/>
        <w:bidi w:val="0"/>
        <w:spacing w:line="560" w:lineRule="atLeast"/>
        <w:ind w:firstLine="640"/>
        <w:textAlignment w:val="auto"/>
        <w:rPr>
          <w:rFonts w:ascii="仿宋_GB2312" w:eastAsia="仿宋_GB2312" w:cs="仿宋_GB2312"/>
          <w:sz w:val="32"/>
          <w:szCs w:val="32"/>
        </w:rPr>
      </w:pPr>
      <w:r>
        <w:rPr>
          <w:rStyle w:val="34"/>
          <w:color w:val="auto"/>
        </w:rPr>
        <w:t>可持续影响指标</w:t>
      </w:r>
      <w:r>
        <w:rPr>
          <w:rStyle w:val="34"/>
          <w:rFonts w:hint="eastAsia"/>
          <w:color w:val="auto"/>
        </w:rPr>
        <w:t>方面：</w:t>
      </w:r>
      <w:r>
        <w:rPr>
          <w:rStyle w:val="34"/>
          <w:color w:val="auto"/>
        </w:rPr>
        <w:t>提升了塔城对外宣的知名度，大大提高了群众文化生活质量，</w:t>
      </w:r>
      <w:r>
        <w:rPr>
          <w:rFonts w:ascii="仿宋_GB2312" w:eastAsia="仿宋_GB2312" w:cs="仿宋_GB2312"/>
          <w:sz w:val="32"/>
          <w:szCs w:val="32"/>
        </w:rPr>
        <w:t>由于</w:t>
      </w:r>
      <w:r>
        <w:rPr>
          <w:rFonts w:hint="eastAsia" w:ascii="仿宋_GB2312" w:eastAsia="仿宋_GB2312" w:cs="仿宋_GB2312"/>
          <w:sz w:val="32"/>
          <w:szCs w:val="32"/>
          <w:lang w:val="en-US" w:eastAsia="zh-CN"/>
        </w:rPr>
        <w:t>防控工作</w:t>
      </w:r>
      <w:r>
        <w:rPr>
          <w:rFonts w:ascii="仿宋_GB2312" w:eastAsia="仿宋_GB2312" w:cs="仿宋_GB2312"/>
          <w:sz w:val="32"/>
          <w:szCs w:val="32"/>
        </w:rPr>
        <w:t>影响了宣传力度</w:t>
      </w:r>
      <w:r>
        <w:rPr>
          <w:rStyle w:val="34"/>
          <w:color w:val="auto"/>
        </w:rPr>
        <w:t>。</w:t>
      </w:r>
      <w:r>
        <w:rPr>
          <w:rFonts w:hint="eastAsia" w:ascii="仿宋_GB2312" w:eastAsia="仿宋_GB2312" w:cs="仿宋_GB2312"/>
          <w:sz w:val="32"/>
          <w:szCs w:val="32"/>
        </w:rPr>
        <w:t>根据评分标准，该指标扣</w:t>
      </w:r>
      <w:r>
        <w:rPr>
          <w:rFonts w:ascii="仿宋_GB2312" w:eastAsia="仿宋_GB2312" w:cs="仿宋_GB2312"/>
          <w:sz w:val="32"/>
          <w:szCs w:val="32"/>
        </w:rPr>
        <w:t>2</w:t>
      </w:r>
      <w:r>
        <w:rPr>
          <w:rFonts w:hint="eastAsia" w:ascii="仿宋_GB2312" w:eastAsia="仿宋_GB2312" w:cs="仿宋_GB2312"/>
          <w:sz w:val="32"/>
          <w:szCs w:val="32"/>
        </w:rPr>
        <w:t>分，实际得分</w:t>
      </w:r>
      <w:r>
        <w:rPr>
          <w:rFonts w:ascii="仿宋_GB2312" w:eastAsia="仿宋_GB2312" w:cs="仿宋_GB2312"/>
          <w:sz w:val="32"/>
          <w:szCs w:val="32"/>
        </w:rPr>
        <w:t>13</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87%</w:t>
      </w:r>
      <w:r>
        <w:rPr>
          <w:rFonts w:hint="eastAsia" w:ascii="仿宋_GB2312" w:eastAsia="仿宋_GB2312" w:cs="仿宋_GB2312"/>
          <w:sz w:val="32"/>
          <w:szCs w:val="32"/>
        </w:rPr>
        <w:t>。</w:t>
      </w:r>
    </w:p>
    <w:p w14:paraId="4D08F728">
      <w:pPr>
        <w:pageBreakBefore w:val="0"/>
        <w:kinsoku/>
        <w:wordWrap/>
        <w:overflowPunct/>
        <w:topLinePunct w:val="0"/>
        <w:autoSpaceDE/>
        <w:autoSpaceDN/>
        <w:bidi w:val="0"/>
        <w:spacing w:line="560" w:lineRule="atLeast"/>
        <w:ind w:firstLine="640" w:firstLineChars="200"/>
        <w:jc w:val="left"/>
        <w:textAlignment w:val="auto"/>
        <w:rPr>
          <w:rFonts w:ascii="仿宋_GB2312" w:eastAsia="仿宋_GB2312" w:cs="仿宋_GB2312"/>
          <w:sz w:val="32"/>
          <w:szCs w:val="32"/>
        </w:rPr>
      </w:pPr>
      <w:r>
        <w:rPr>
          <w:rStyle w:val="34"/>
          <w:color w:val="auto"/>
        </w:rPr>
        <w:t>满意度指标</w:t>
      </w:r>
      <w:r>
        <w:rPr>
          <w:rStyle w:val="34"/>
          <w:rFonts w:hint="eastAsia"/>
          <w:color w:val="auto"/>
        </w:rPr>
        <w:t>方面：</w:t>
      </w:r>
      <w:r>
        <w:rPr>
          <w:rFonts w:hint="eastAsia" w:ascii="仿宋_GB2312" w:eastAsia="仿宋_GB2312" w:cs="仿宋_GB2312"/>
          <w:sz w:val="32"/>
          <w:szCs w:val="32"/>
        </w:rPr>
        <w:t>对于“满意度”发放</w:t>
      </w:r>
      <w:r>
        <w:rPr>
          <w:rFonts w:ascii="仿宋_GB2312" w:eastAsia="仿宋_GB2312" w:cs="仿宋_GB2312"/>
          <w:sz w:val="32"/>
          <w:szCs w:val="32"/>
        </w:rPr>
        <w:t>了</w:t>
      </w:r>
      <w:r>
        <w:rPr>
          <w:rFonts w:hint="eastAsia" w:ascii="仿宋_GB2312" w:eastAsia="仿宋_GB2312" w:cs="仿宋_GB2312"/>
          <w:sz w:val="32"/>
          <w:szCs w:val="32"/>
        </w:rPr>
        <w:t>调查问卷</w:t>
      </w:r>
      <w:r>
        <w:rPr>
          <w:rFonts w:ascii="仿宋_GB2312" w:eastAsia="仿宋_GB2312" w:cs="仿宋_GB2312"/>
          <w:sz w:val="32"/>
          <w:szCs w:val="32"/>
        </w:rPr>
        <w:t>50份，</w:t>
      </w:r>
      <w:r>
        <w:rPr>
          <w:rFonts w:hint="eastAsia" w:ascii="仿宋_GB2312" w:eastAsia="仿宋_GB2312" w:cs="仿宋_GB2312"/>
          <w:sz w:val="32"/>
          <w:szCs w:val="32"/>
        </w:rPr>
        <w:t>每项指标的满意度分为四档，即“非常满意”、“满意”、“一般”、“不满意”；受调查</w:t>
      </w:r>
      <w:r>
        <w:rPr>
          <w:rFonts w:ascii="仿宋_GB2312" w:eastAsia="仿宋_GB2312" w:cs="仿宋_GB2312"/>
          <w:sz w:val="32"/>
          <w:szCs w:val="32"/>
        </w:rPr>
        <w:t>群众、各协会会员、文艺工作者、爱好者，</w:t>
      </w:r>
      <w:r>
        <w:rPr>
          <w:rFonts w:hint="eastAsia" w:ascii="仿宋_GB2312" w:eastAsia="仿宋_GB2312" w:cs="仿宋_GB2312"/>
          <w:sz w:val="32"/>
          <w:szCs w:val="32"/>
        </w:rPr>
        <w:t>“非常满意”</w:t>
      </w:r>
      <w:r>
        <w:rPr>
          <w:rFonts w:ascii="仿宋_GB2312" w:eastAsia="仿宋_GB2312" w:cs="仿宋_GB2312"/>
          <w:sz w:val="32"/>
          <w:szCs w:val="32"/>
        </w:rPr>
        <w:t>50份，</w:t>
      </w:r>
      <w:r>
        <w:rPr>
          <w:rFonts w:hint="eastAsia" w:ascii="仿宋_GB2312" w:eastAsia="仿宋_GB2312" w:cs="仿宋_GB2312"/>
          <w:sz w:val="32"/>
          <w:szCs w:val="32"/>
        </w:rPr>
        <w:t>根据评分标准</w:t>
      </w:r>
      <w:r>
        <w:rPr>
          <w:rFonts w:ascii="仿宋_GB2312" w:eastAsia="仿宋_GB2312" w:cs="仿宋_GB2312"/>
          <w:sz w:val="32"/>
          <w:szCs w:val="32"/>
        </w:rPr>
        <w:t>，</w:t>
      </w:r>
      <w:r>
        <w:rPr>
          <w:rFonts w:hint="eastAsia" w:ascii="仿宋_GB2312" w:eastAsia="仿宋_GB2312" w:cs="仿宋_GB2312"/>
          <w:sz w:val="32"/>
          <w:szCs w:val="32"/>
        </w:rPr>
        <w:t>问卷调查结果分析实际得分为</w:t>
      </w:r>
      <w:r>
        <w:rPr>
          <w:rFonts w:ascii="仿宋_GB2312" w:eastAsia="仿宋_GB2312" w:cs="仿宋_GB2312"/>
          <w:sz w:val="32"/>
          <w:szCs w:val="32"/>
        </w:rPr>
        <w:t>10</w:t>
      </w:r>
      <w:r>
        <w:rPr>
          <w:rFonts w:hint="eastAsia" w:ascii="仿宋_GB2312" w:eastAsia="仿宋_GB2312" w:cs="仿宋_GB2312"/>
          <w:sz w:val="32"/>
          <w:szCs w:val="32"/>
        </w:rPr>
        <w:t>分，得分率为</w:t>
      </w:r>
      <w:r>
        <w:rPr>
          <w:rFonts w:ascii="仿宋_GB2312" w:eastAsia="仿宋_GB2312" w:cs="仿宋_GB2312"/>
          <w:sz w:val="32"/>
          <w:szCs w:val="32"/>
        </w:rPr>
        <w:t>100%</w:t>
      </w:r>
      <w:r>
        <w:rPr>
          <w:rFonts w:hint="eastAsia" w:ascii="仿宋_GB2312" w:eastAsia="仿宋_GB2312" w:cs="仿宋_GB2312"/>
          <w:sz w:val="32"/>
          <w:szCs w:val="32"/>
        </w:rPr>
        <w:t>。</w:t>
      </w:r>
    </w:p>
    <w:p w14:paraId="3406D5A3">
      <w:pPr>
        <w:pageBreakBefore w:val="0"/>
        <w:kinsoku/>
        <w:wordWrap/>
        <w:overflowPunct/>
        <w:topLinePunct w:val="0"/>
        <w:autoSpaceDE/>
        <w:autoSpaceDN/>
        <w:bidi w:val="0"/>
        <w:spacing w:line="560" w:lineRule="atLeast"/>
        <w:ind w:firstLine="640" w:firstLineChars="200"/>
        <w:textAlignment w:val="auto"/>
        <w:rPr>
          <w:rStyle w:val="34"/>
          <w:color w:val="auto"/>
        </w:rPr>
      </w:pPr>
      <w:r>
        <w:rPr>
          <w:rFonts w:hint="eastAsia" w:ascii="黑体" w:eastAsia="黑体"/>
          <w:sz w:val="32"/>
          <w:szCs w:val="32"/>
        </w:rPr>
        <w:t>五、主要经验及做法、存在的问题及原因分析</w:t>
      </w:r>
    </w:p>
    <w:p w14:paraId="37901127">
      <w:pPr>
        <w:pageBreakBefore w:val="0"/>
        <w:kinsoku/>
        <w:wordWrap/>
        <w:overflowPunct/>
        <w:topLinePunct w:val="0"/>
        <w:autoSpaceDE/>
        <w:autoSpaceDN/>
        <w:bidi w:val="0"/>
        <w:spacing w:line="560" w:lineRule="atLeast"/>
        <w:ind w:firstLine="567" w:firstLineChars="181"/>
        <w:textAlignment w:val="auto"/>
        <w:rPr>
          <w:rFonts w:ascii="楷体" w:eastAsia="楷体"/>
          <w:b/>
          <w:spacing w:val="-4"/>
          <w:sz w:val="32"/>
          <w:szCs w:val="32"/>
        </w:rPr>
      </w:pPr>
      <w:r>
        <w:rPr>
          <w:rFonts w:hint="eastAsia" w:ascii="楷体" w:eastAsia="楷体"/>
          <w:b/>
          <w:spacing w:val="-4"/>
          <w:sz w:val="32"/>
          <w:szCs w:val="32"/>
        </w:rPr>
        <w:t>（一）主要经验及做法</w:t>
      </w:r>
    </w:p>
    <w:p w14:paraId="29FBE84C">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7CECF1B">
      <w:pPr>
        <w:pStyle w:val="2"/>
        <w:pageBreakBefore w:val="0"/>
        <w:kinsoku/>
        <w:wordWrap/>
        <w:overflowPunct/>
        <w:topLinePunct w:val="0"/>
        <w:autoSpaceDE/>
        <w:autoSpaceDN/>
        <w:bidi w:val="0"/>
        <w:spacing w:before="0" w:after="0" w:line="560" w:lineRule="atLeast"/>
        <w:ind w:firstLine="640" w:firstLineChars="200"/>
        <w:jc w:val="left"/>
        <w:textAlignment w:val="auto"/>
        <w:rPr>
          <w:rFonts w:ascii="仿宋_GB2312" w:eastAsia="仿宋_GB2312" w:cs="仿宋_GB2312"/>
          <w:b w:val="0"/>
          <w:bCs w:val="0"/>
          <w:kern w:val="2"/>
        </w:rPr>
      </w:pPr>
      <w:r>
        <w:rPr>
          <w:rFonts w:hint="eastAsia" w:asci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6B1C1D5">
      <w:pPr>
        <w:keepNext/>
        <w:keepLines/>
        <w:pageBreakBefore w:val="0"/>
        <w:numPr>
          <w:ilvl w:val="0"/>
          <w:numId w:val="4"/>
        </w:numPr>
        <w:kinsoku/>
        <w:wordWrap/>
        <w:overflowPunct/>
        <w:topLinePunct w:val="0"/>
        <w:autoSpaceDE/>
        <w:autoSpaceDN/>
        <w:bidi w:val="0"/>
        <w:spacing w:line="560" w:lineRule="atLeast"/>
        <w:ind w:firstLine="641"/>
        <w:textAlignment w:val="auto"/>
        <w:rPr>
          <w:rFonts w:ascii="楷体_GB2312" w:eastAsia="楷体_GB2312" w:cs="楷体_GB2312"/>
          <w:b/>
          <w:bCs/>
          <w:sz w:val="32"/>
          <w:szCs w:val="32"/>
        </w:rPr>
      </w:pPr>
      <w:r>
        <w:rPr>
          <w:rFonts w:hint="eastAsia" w:ascii="楷体_GB2312" w:eastAsia="楷体_GB2312" w:cs="楷体_GB2312"/>
          <w:b/>
          <w:bCs/>
          <w:sz w:val="32"/>
          <w:szCs w:val="32"/>
        </w:rPr>
        <w:t>存在的问题及原因分析</w:t>
      </w:r>
    </w:p>
    <w:p w14:paraId="4ED91A73">
      <w:pPr>
        <w:pStyle w:val="2"/>
        <w:pageBreakBefore w:val="0"/>
        <w:numPr>
          <w:ilvl w:val="0"/>
          <w:numId w:val="5"/>
        </w:numPr>
        <w:kinsoku/>
        <w:wordWrap/>
        <w:overflowPunct/>
        <w:topLinePunct w:val="0"/>
        <w:autoSpaceDE/>
        <w:autoSpaceDN/>
        <w:bidi w:val="0"/>
        <w:spacing w:before="0" w:after="0" w:line="560" w:lineRule="atLeast"/>
        <w:jc w:val="both"/>
        <w:textAlignment w:val="auto"/>
        <w:rPr>
          <w:rFonts w:ascii="仿宋_GB2312" w:eastAsia="仿宋_GB2312" w:cs="仿宋_GB2312"/>
          <w:b w:val="0"/>
          <w:bCs w:val="0"/>
          <w:kern w:val="2"/>
        </w:rPr>
      </w:pPr>
      <w:r>
        <w:rPr>
          <w:rFonts w:hint="eastAsia" w:ascii="仿宋_GB2312" w:eastAsia="仿宋_GB2312" w:cs="仿宋_GB2312"/>
          <w:b w:val="0"/>
          <w:bCs w:val="0"/>
          <w:kern w:val="2"/>
        </w:rPr>
        <w:t>存在的问题</w:t>
      </w:r>
    </w:p>
    <w:p w14:paraId="5471E0F6">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存在问题：项目绩效管理缺乏经验，有待强化。在项目具体执行过程往往只重视预算执行情况，忽视产出和效果，项目实施过程中需提供行之有效的绩效管理办法和评价机制。</w:t>
      </w:r>
    </w:p>
    <w:p w14:paraId="14F381B3">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2、原因分析</w:t>
      </w:r>
      <w:r>
        <w:rPr>
          <w:rFonts w:ascii="仿宋_GB2312" w:eastAsia="仿宋_GB2312" w:cs="仿宋_GB2312"/>
          <w:sz w:val="32"/>
          <w:szCs w:val="32"/>
        </w:rPr>
        <w:t>：单位存在分工不明确，具体项目执行部门不够重视项目绩效工作，相关财务制度不完善。</w:t>
      </w:r>
    </w:p>
    <w:p w14:paraId="3949248A">
      <w:pPr>
        <w:pageBreakBefore w:val="0"/>
        <w:numPr>
          <w:ilvl w:val="0"/>
          <w:numId w:val="6"/>
        </w:numPr>
        <w:kinsoku/>
        <w:wordWrap/>
        <w:overflowPunct/>
        <w:topLinePunct w:val="0"/>
        <w:autoSpaceDE/>
        <w:autoSpaceDN/>
        <w:bidi w:val="0"/>
        <w:spacing w:line="560" w:lineRule="atLeast"/>
        <w:ind w:firstLine="641"/>
        <w:textAlignment w:val="auto"/>
        <w:rPr>
          <w:rFonts w:ascii="黑体" w:eastAsia="黑体"/>
          <w:sz w:val="32"/>
          <w:szCs w:val="32"/>
        </w:rPr>
      </w:pPr>
      <w:r>
        <w:rPr>
          <w:rFonts w:hint="eastAsia" w:ascii="黑体" w:eastAsia="黑体"/>
          <w:sz w:val="32"/>
          <w:szCs w:val="32"/>
        </w:rPr>
        <w:t>有关建议</w:t>
      </w:r>
    </w:p>
    <w:p w14:paraId="56AFDCBA">
      <w:pPr>
        <w:pageBreakBefore w:val="0"/>
        <w:numPr>
          <w:ilvl w:val="0"/>
          <w:numId w:val="7"/>
        </w:numPr>
        <w:kinsoku/>
        <w:wordWrap/>
        <w:overflowPunct/>
        <w:topLinePunct w:val="0"/>
        <w:autoSpaceDE/>
        <w:autoSpaceDN/>
        <w:bidi w:val="0"/>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14:paraId="7D333432">
      <w:pPr>
        <w:pageBreakBefore w:val="0"/>
        <w:numPr>
          <w:ilvl w:val="0"/>
          <w:numId w:val="7"/>
        </w:numPr>
        <w:kinsoku/>
        <w:wordWrap/>
        <w:overflowPunct/>
        <w:topLinePunct w:val="0"/>
        <w:autoSpaceDE/>
        <w:autoSpaceDN/>
        <w:bidi w:val="0"/>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财政和项目实施单位严格实行“三专”管理，即设专户、建专账、定专人。同时，资金拨付除坚持按项目计划、工程进度和质量分阶段验收拨款外，还坚持部门联审制，项目单位先做事、后报账，从而确保专项资金专款专用，有效地防止了截留、挤占和挪用。</w:t>
      </w:r>
    </w:p>
    <w:p w14:paraId="1437C2C0">
      <w:pPr>
        <w:pageBreakBefore w:val="0"/>
        <w:numPr>
          <w:ilvl w:val="0"/>
          <w:numId w:val="6"/>
        </w:numPr>
        <w:kinsoku/>
        <w:wordWrap/>
        <w:overflowPunct/>
        <w:topLinePunct w:val="0"/>
        <w:autoSpaceDE/>
        <w:autoSpaceDN/>
        <w:bidi w:val="0"/>
        <w:spacing w:line="560" w:lineRule="atLeast"/>
        <w:ind w:firstLine="641"/>
        <w:textAlignment w:val="auto"/>
        <w:rPr>
          <w:rFonts w:ascii="黑体" w:eastAsia="黑体"/>
          <w:sz w:val="32"/>
          <w:szCs w:val="32"/>
        </w:rPr>
      </w:pPr>
      <w:r>
        <w:rPr>
          <w:rFonts w:hint="eastAsia" w:ascii="黑体" w:eastAsia="黑体"/>
          <w:sz w:val="32"/>
          <w:szCs w:val="32"/>
        </w:rPr>
        <w:t>其他需要说</w:t>
      </w:r>
      <w:bookmarkStart w:id="1" w:name="page8"/>
      <w:bookmarkEnd w:id="1"/>
      <w:r>
        <w:rPr>
          <w:rFonts w:hint="eastAsia" w:ascii="黑体" w:eastAsia="黑体"/>
          <w:sz w:val="32"/>
          <w:szCs w:val="32"/>
        </w:rPr>
        <w:t>明的问题</w:t>
      </w:r>
    </w:p>
    <w:p w14:paraId="3C406911">
      <w:pPr>
        <w:pageBreakBefore w:val="0"/>
        <w:kinsoku/>
        <w:wordWrap/>
        <w:overflowPunct/>
        <w:topLinePunct w:val="0"/>
        <w:autoSpaceDE/>
        <w:autoSpaceDN/>
        <w:bidi w:val="0"/>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无。</w:t>
      </w:r>
    </w:p>
    <w:p w14:paraId="3F2D65E8">
      <w:pPr>
        <w:pStyle w:val="2"/>
        <w:pageBreakBefore w:val="0"/>
        <w:kinsoku/>
        <w:wordWrap/>
        <w:overflowPunct/>
        <w:topLinePunct w:val="0"/>
        <w:autoSpaceDE/>
        <w:autoSpaceDN/>
        <w:bidi w:val="0"/>
        <w:spacing w:before="0" w:after="0" w:line="560" w:lineRule="atLeast"/>
        <w:textAlignment w:val="auto"/>
        <w:rPr>
          <w:rFonts w:ascii="黑体" w:eastAsia="黑体"/>
        </w:rPr>
      </w:pPr>
    </w:p>
    <w:p w14:paraId="099D3B20">
      <w:pPr>
        <w:pageBreakBefore w:val="0"/>
        <w:kinsoku/>
        <w:wordWrap/>
        <w:overflowPunct/>
        <w:topLinePunct w:val="0"/>
        <w:autoSpaceDE/>
        <w:autoSpaceDN/>
        <w:bidi w:val="0"/>
        <w:spacing w:line="560" w:lineRule="atLeast"/>
        <w:textAlignment w:val="auto"/>
        <w:rPr>
          <w:rFonts w:ascii="黑体" w:eastAsia="黑体"/>
          <w:sz w:val="32"/>
          <w:szCs w:val="32"/>
        </w:rPr>
      </w:pPr>
    </w:p>
    <w:p w14:paraId="3A018FCA">
      <w:pPr>
        <w:pStyle w:val="2"/>
        <w:spacing w:before="0" w:after="0" w:line="560" w:lineRule="exact"/>
        <w:jc w:val="both"/>
        <w:sectPr>
          <w:footerReference r:id="rId3" w:type="default"/>
          <w:pgSz w:w="11906" w:h="16838"/>
          <w:pgMar w:top="1440" w:right="1558" w:bottom="1440" w:left="1800" w:header="851" w:footer="992" w:gutter="0"/>
          <w:cols w:space="720" w:num="1"/>
          <w:docGrid w:type="lines" w:linePitch="312" w:charSpace="0"/>
        </w:sectPr>
      </w:pPr>
    </w:p>
    <w:p w14:paraId="0019D787">
      <w:pPr>
        <w:spacing w:line="560" w:lineRule="exact"/>
        <w:rPr>
          <w:rFonts w:ascii="仿宋_GB2312" w:hAnsi="仿宋_GB2312"/>
          <w:bCs/>
          <w:sz w:val="32"/>
          <w:szCs w:val="32"/>
        </w:rPr>
      </w:pPr>
      <w:r>
        <w:rPr>
          <w:rFonts w:hint="eastAsia" w:ascii="仿宋_GB2312" w:hAnsi="仿宋_GB2312"/>
          <w:bCs/>
          <w:sz w:val="32"/>
          <w:szCs w:val="32"/>
        </w:rPr>
        <w:t>附件1</w:t>
      </w:r>
    </w:p>
    <w:tbl>
      <w:tblPr>
        <w:tblStyle w:val="19"/>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6"/>
        <w:gridCol w:w="515"/>
        <w:gridCol w:w="589"/>
        <w:gridCol w:w="4701"/>
        <w:gridCol w:w="6470"/>
        <w:gridCol w:w="694"/>
        <w:gridCol w:w="736"/>
      </w:tblGrid>
      <w:tr w14:paraId="29E1F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81"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DA49E33">
            <w:pPr>
              <w:widowControl/>
              <w:spacing w:line="240" w:lineRule="exact"/>
              <w:jc w:val="center"/>
              <w:rPr>
                <w:rFonts w:ascii="宋体" w:cs="宋体"/>
                <w:b/>
                <w:bCs/>
                <w:color w:val="000000"/>
                <w:kern w:val="0"/>
                <w:sz w:val="22"/>
                <w:szCs w:val="22"/>
              </w:rPr>
            </w:pPr>
            <w:r>
              <w:rPr>
                <w:rFonts w:hint="eastAsia" w:ascii="宋体" w:cs="宋体"/>
                <w:b/>
                <w:bCs/>
                <w:color w:val="000000"/>
                <w:kern w:val="0"/>
                <w:sz w:val="22"/>
                <w:szCs w:val="22"/>
              </w:rPr>
              <w:t>一级指标</w:t>
            </w:r>
          </w:p>
        </w:tc>
        <w:tc>
          <w:tcPr>
            <w:tcW w:w="181"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99387D2">
            <w:pPr>
              <w:widowControl/>
              <w:spacing w:line="240" w:lineRule="exact"/>
              <w:jc w:val="center"/>
              <w:rPr>
                <w:rFonts w:ascii="宋体" w:cs="宋体"/>
                <w:b/>
                <w:bCs/>
                <w:color w:val="000000"/>
                <w:kern w:val="0"/>
                <w:sz w:val="22"/>
                <w:szCs w:val="22"/>
              </w:rPr>
            </w:pPr>
            <w:r>
              <w:rPr>
                <w:rFonts w:hint="eastAsia" w:ascii="宋体" w:cs="宋体"/>
                <w:b/>
                <w:bCs/>
                <w:color w:val="000000"/>
                <w:kern w:val="0"/>
                <w:sz w:val="22"/>
                <w:szCs w:val="22"/>
              </w:rPr>
              <w:t>二级指标</w:t>
            </w:r>
          </w:p>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38061F6">
            <w:pPr>
              <w:widowControl/>
              <w:spacing w:line="240" w:lineRule="exact"/>
              <w:jc w:val="center"/>
              <w:rPr>
                <w:rFonts w:ascii="宋体" w:cs="宋体"/>
                <w:b/>
                <w:bCs/>
                <w:color w:val="000000"/>
                <w:kern w:val="0"/>
                <w:sz w:val="22"/>
                <w:szCs w:val="22"/>
              </w:rPr>
            </w:pPr>
            <w:r>
              <w:rPr>
                <w:rFonts w:hint="eastAsia" w:ascii="宋体" w:cs="宋体"/>
                <w:b/>
                <w:bCs/>
                <w:color w:val="000000"/>
                <w:kern w:val="0"/>
                <w:sz w:val="22"/>
                <w:szCs w:val="22"/>
              </w:rPr>
              <w:t>三级指标</w:t>
            </w:r>
          </w:p>
        </w:tc>
        <w:tc>
          <w:tcPr>
            <w:tcW w:w="1653"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54E3845">
            <w:pPr>
              <w:widowControl/>
              <w:spacing w:line="240" w:lineRule="exact"/>
              <w:jc w:val="center"/>
              <w:rPr>
                <w:rFonts w:ascii="宋体" w:cs="宋体"/>
                <w:b/>
                <w:bCs/>
                <w:color w:val="000000"/>
                <w:kern w:val="0"/>
                <w:sz w:val="22"/>
                <w:szCs w:val="22"/>
              </w:rPr>
            </w:pPr>
            <w:r>
              <w:rPr>
                <w:rFonts w:hint="eastAsia" w:ascii="宋体" w:cs="宋体"/>
                <w:b/>
                <w:bCs/>
                <w:color w:val="000000"/>
                <w:kern w:val="0"/>
                <w:sz w:val="22"/>
                <w:szCs w:val="22"/>
              </w:rPr>
              <w:t>指标解释</w:t>
            </w:r>
          </w:p>
        </w:tc>
        <w:tc>
          <w:tcPr>
            <w:tcW w:w="227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203D534">
            <w:pPr>
              <w:widowControl/>
              <w:spacing w:line="240" w:lineRule="exact"/>
              <w:jc w:val="center"/>
              <w:rPr>
                <w:rFonts w:ascii="宋体" w:cs="宋体"/>
                <w:b/>
                <w:bCs/>
                <w:color w:val="000000"/>
                <w:kern w:val="0"/>
                <w:sz w:val="22"/>
                <w:szCs w:val="22"/>
              </w:rPr>
            </w:pPr>
            <w:r>
              <w:rPr>
                <w:rFonts w:hint="eastAsia" w:ascii="宋体" w:cs="宋体"/>
                <w:b/>
                <w:bCs/>
                <w:color w:val="000000"/>
                <w:kern w:val="0"/>
                <w:sz w:val="22"/>
                <w:szCs w:val="22"/>
              </w:rPr>
              <w:t>指标说明</w:t>
            </w:r>
          </w:p>
        </w:tc>
        <w:tc>
          <w:tcPr>
            <w:tcW w:w="2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096E1D8">
            <w:pPr>
              <w:widowControl/>
              <w:spacing w:line="560" w:lineRule="exact"/>
              <w:jc w:val="center"/>
              <w:rPr>
                <w:rFonts w:ascii="宋体" w:cs="宋体"/>
                <w:b/>
                <w:bCs/>
                <w:color w:val="000000"/>
                <w:kern w:val="0"/>
                <w:sz w:val="22"/>
                <w:szCs w:val="22"/>
              </w:rPr>
            </w:pPr>
            <w:r>
              <w:rPr>
                <w:rFonts w:hint="eastAsia" w:ascii="宋体" w:cs="宋体"/>
                <w:b/>
                <w:bCs/>
                <w:color w:val="000000"/>
                <w:kern w:val="0"/>
                <w:sz w:val="22"/>
                <w:szCs w:val="22"/>
              </w:rPr>
              <w:t>权重</w:t>
            </w:r>
          </w:p>
        </w:tc>
        <w:tc>
          <w:tcPr>
            <w:tcW w:w="73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C5F66D7">
            <w:pPr>
              <w:widowControl/>
              <w:tabs>
                <w:tab w:val="left" w:pos="1333"/>
                <w:tab w:val="center" w:pos="3623"/>
              </w:tabs>
              <w:spacing w:line="560" w:lineRule="exact"/>
              <w:jc w:val="center"/>
              <w:rPr>
                <w:rFonts w:ascii="宋体" w:cs="宋体"/>
                <w:b/>
                <w:bCs/>
                <w:color w:val="000000"/>
                <w:kern w:val="0"/>
                <w:sz w:val="22"/>
                <w:szCs w:val="22"/>
              </w:rPr>
            </w:pPr>
            <w:r>
              <w:rPr>
                <w:rFonts w:hint="eastAsia" w:ascii="宋体" w:cs="宋体"/>
                <w:b/>
                <w:bCs/>
                <w:color w:val="000000"/>
                <w:kern w:val="0"/>
                <w:sz w:val="22"/>
                <w:szCs w:val="22"/>
              </w:rPr>
              <w:t>得分</w:t>
            </w:r>
          </w:p>
        </w:tc>
      </w:tr>
      <w:tr w14:paraId="36CC0D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8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B8F891C">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决策　</w:t>
            </w:r>
          </w:p>
          <w:p w14:paraId="1D57E2C3">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　</w:t>
            </w:r>
          </w:p>
          <w:p w14:paraId="349B5E55">
            <w:pPr>
              <w:spacing w:line="240" w:lineRule="exact"/>
              <w:jc w:val="center"/>
              <w:rPr>
                <w:rFonts w:ascii="宋体" w:cs="宋体"/>
                <w:color w:val="000000"/>
                <w:kern w:val="0"/>
                <w:sz w:val="22"/>
                <w:szCs w:val="22"/>
              </w:rPr>
            </w:pPr>
            <w:r>
              <w:rPr>
                <w:rFonts w:hint="eastAsia" w:ascii="宋体" w:cs="宋体"/>
                <w:color w:val="000000"/>
                <w:kern w:val="0"/>
                <w:sz w:val="22"/>
                <w:szCs w:val="22"/>
              </w:rPr>
              <w:t>　</w:t>
            </w:r>
          </w:p>
        </w:tc>
        <w:tc>
          <w:tcPr>
            <w:tcW w:w="18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372E145">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项目立项　</w:t>
            </w:r>
          </w:p>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9D3A3CD">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立项依据</w:t>
            </w:r>
          </w:p>
          <w:p w14:paraId="4E2522F6">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充分性</w:t>
            </w:r>
          </w:p>
        </w:tc>
        <w:tc>
          <w:tcPr>
            <w:tcW w:w="1653"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3582222">
            <w:pPr>
              <w:widowControl/>
              <w:spacing w:line="240" w:lineRule="exact"/>
              <w:rPr>
                <w:rFonts w:ascii="宋体" w:cs="宋体"/>
                <w:color w:val="000000"/>
                <w:kern w:val="0"/>
                <w:sz w:val="22"/>
                <w:szCs w:val="22"/>
              </w:rPr>
            </w:pPr>
            <w:r>
              <w:rPr>
                <w:rFonts w:hint="eastAsia" w:ascii="宋体" w:cs="宋体"/>
                <w:color w:val="000000"/>
                <w:kern w:val="0"/>
                <w:sz w:val="22"/>
                <w:szCs w:val="22"/>
              </w:rPr>
              <w:t>项目立项是否符合法律法规、相关政策、发展规划以及部门职责，用以反映和考核项目立项依据情况。</w:t>
            </w:r>
          </w:p>
        </w:tc>
        <w:tc>
          <w:tcPr>
            <w:tcW w:w="227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1234727">
            <w:pPr>
              <w:widowControl/>
              <w:spacing w:line="240" w:lineRule="exact"/>
              <w:jc w:val="lef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①项目立项是否符合国家法律法规、国民经济发展规划和相关政策；</w:t>
            </w:r>
            <w:r>
              <w:rPr>
                <w:rFonts w:hint="eastAsia" w:ascii="宋体" w:cs="宋体"/>
                <w:color w:val="000000"/>
                <w:kern w:val="0"/>
                <w:sz w:val="22"/>
                <w:szCs w:val="22"/>
              </w:rPr>
              <w:br w:type="textWrapping"/>
            </w:r>
            <w:r>
              <w:rPr>
                <w:rFonts w:hint="eastAsia" w:ascii="宋体" w:cs="宋体"/>
                <w:color w:val="000000"/>
                <w:kern w:val="0"/>
                <w:sz w:val="22"/>
                <w:szCs w:val="22"/>
              </w:rPr>
              <w:t>②项目立项是否符合行业发展规划和政策要求；</w:t>
            </w:r>
            <w:r>
              <w:rPr>
                <w:rFonts w:hint="eastAsia" w:ascii="宋体" w:cs="宋体"/>
                <w:color w:val="000000"/>
                <w:kern w:val="0"/>
                <w:sz w:val="22"/>
                <w:szCs w:val="22"/>
              </w:rPr>
              <w:br w:type="textWrapping"/>
            </w:r>
            <w:r>
              <w:rPr>
                <w:rFonts w:hint="eastAsia" w:ascii="宋体" w:cs="宋体"/>
                <w:color w:val="000000"/>
                <w:kern w:val="0"/>
                <w:sz w:val="22"/>
                <w:szCs w:val="22"/>
              </w:rPr>
              <w:t>③项目立项是否与部门职责范围相符，属于部门履职所需；</w:t>
            </w:r>
            <w:r>
              <w:rPr>
                <w:rFonts w:hint="eastAsia" w:ascii="宋体" w:cs="宋体"/>
                <w:color w:val="000000"/>
                <w:kern w:val="0"/>
                <w:sz w:val="22"/>
                <w:szCs w:val="22"/>
              </w:rPr>
              <w:br w:type="textWrapping"/>
            </w:r>
            <w:r>
              <w:rPr>
                <w:rFonts w:hint="eastAsia" w:ascii="宋体" w:cs="宋体"/>
                <w:color w:val="000000"/>
                <w:kern w:val="0"/>
                <w:sz w:val="22"/>
                <w:szCs w:val="22"/>
              </w:rPr>
              <w:t>④项目是否属于公共财政支持范围，是否符合中央、地方事权支出责任划分原则；</w:t>
            </w:r>
            <w:r>
              <w:rPr>
                <w:rFonts w:hint="eastAsia" w:ascii="宋体" w:cs="宋体"/>
                <w:color w:val="000000"/>
                <w:kern w:val="0"/>
                <w:sz w:val="22"/>
                <w:szCs w:val="22"/>
              </w:rPr>
              <w:br w:type="textWrapping"/>
            </w:r>
            <w:r>
              <w:rPr>
                <w:rFonts w:hint="eastAsia" w:ascii="宋体" w:cs="宋体"/>
                <w:color w:val="000000"/>
                <w:kern w:val="0"/>
                <w:sz w:val="22"/>
                <w:szCs w:val="22"/>
              </w:rPr>
              <w:t>⑤项目是否与相关部门同类项目或部门内部相关项目重复。</w:t>
            </w:r>
          </w:p>
        </w:tc>
        <w:tc>
          <w:tcPr>
            <w:tcW w:w="2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A91523F">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0.5</w:t>
            </w:r>
          </w:p>
        </w:tc>
        <w:tc>
          <w:tcPr>
            <w:tcW w:w="73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02B1DF1">
            <w:pPr>
              <w:widowControl/>
              <w:spacing w:line="560" w:lineRule="exact"/>
              <w:jc w:val="center"/>
              <w:rPr>
                <w:rFonts w:ascii="宋体" w:cs="宋体"/>
                <w:color w:val="000000"/>
                <w:kern w:val="0"/>
                <w:sz w:val="22"/>
                <w:szCs w:val="22"/>
              </w:rPr>
            </w:pPr>
            <w:r>
              <w:rPr>
                <w:rFonts w:ascii="宋体" w:cs="宋体"/>
                <w:color w:val="000000"/>
                <w:kern w:val="0"/>
                <w:sz w:val="22"/>
                <w:szCs w:val="22"/>
              </w:rPr>
              <w:t>0.5</w:t>
            </w:r>
          </w:p>
        </w:tc>
      </w:tr>
      <w:tr w14:paraId="347D62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8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6E29D11"/>
        </w:tc>
        <w:tc>
          <w:tcPr>
            <w:tcW w:w="18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8E0AD69"/>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54B1F48">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立项程序</w:t>
            </w:r>
          </w:p>
          <w:p w14:paraId="6EA658F6">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规范性</w:t>
            </w:r>
          </w:p>
        </w:tc>
        <w:tc>
          <w:tcPr>
            <w:tcW w:w="1653"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975821F">
            <w:pPr>
              <w:widowControl/>
              <w:spacing w:line="240" w:lineRule="exact"/>
              <w:rPr>
                <w:rFonts w:ascii="宋体" w:cs="宋体"/>
                <w:color w:val="000000"/>
                <w:kern w:val="0"/>
                <w:sz w:val="22"/>
                <w:szCs w:val="22"/>
              </w:rPr>
            </w:pPr>
            <w:r>
              <w:rPr>
                <w:rFonts w:hint="eastAsia" w:ascii="宋体" w:cs="宋体"/>
                <w:color w:val="000000"/>
                <w:kern w:val="0"/>
                <w:sz w:val="22"/>
                <w:szCs w:val="22"/>
              </w:rPr>
              <w:t>项目申请、设立过程是否符合相关要求，用以反映和考核项目立项的规范情况。</w:t>
            </w:r>
          </w:p>
        </w:tc>
        <w:tc>
          <w:tcPr>
            <w:tcW w:w="227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9405372">
            <w:pPr>
              <w:widowControl/>
              <w:spacing w:line="240" w:lineRule="exact"/>
              <w:jc w:val="lef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①项目是否按照规定的程序申请设立；</w:t>
            </w:r>
            <w:r>
              <w:rPr>
                <w:rFonts w:hint="eastAsia" w:ascii="宋体" w:cs="宋体"/>
                <w:color w:val="000000"/>
                <w:kern w:val="0"/>
                <w:sz w:val="22"/>
                <w:szCs w:val="22"/>
              </w:rPr>
              <w:br w:type="textWrapping"/>
            </w:r>
            <w:r>
              <w:rPr>
                <w:rFonts w:hint="eastAsia" w:ascii="宋体" w:cs="宋体"/>
                <w:color w:val="000000"/>
                <w:kern w:val="0"/>
                <w:sz w:val="22"/>
                <w:szCs w:val="22"/>
              </w:rPr>
              <w:t>②审批文件、材料是否符合相关要求；</w:t>
            </w:r>
            <w:r>
              <w:rPr>
                <w:rFonts w:hint="eastAsia" w:ascii="宋体" w:cs="宋体"/>
                <w:color w:val="000000"/>
                <w:kern w:val="0"/>
                <w:sz w:val="22"/>
                <w:szCs w:val="22"/>
              </w:rPr>
              <w:br w:type="textWrapping"/>
            </w:r>
            <w:r>
              <w:rPr>
                <w:rFonts w:hint="eastAsia" w:ascii="宋体" w:cs="宋体"/>
                <w:color w:val="000000"/>
                <w:kern w:val="0"/>
                <w:sz w:val="22"/>
                <w:szCs w:val="22"/>
              </w:rPr>
              <w:t>③事前是否已经过必要的可行性研究、专家论证、风险评估、绩效评估、集体决策。</w:t>
            </w:r>
          </w:p>
        </w:tc>
        <w:tc>
          <w:tcPr>
            <w:tcW w:w="2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7F98599">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0.5</w:t>
            </w:r>
          </w:p>
        </w:tc>
        <w:tc>
          <w:tcPr>
            <w:tcW w:w="73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C5AF6A5">
            <w:pPr>
              <w:widowControl/>
              <w:spacing w:line="560" w:lineRule="exact"/>
              <w:jc w:val="center"/>
              <w:rPr>
                <w:rFonts w:ascii="宋体" w:cs="宋体"/>
                <w:color w:val="000000"/>
                <w:kern w:val="0"/>
                <w:sz w:val="22"/>
                <w:szCs w:val="22"/>
              </w:rPr>
            </w:pPr>
            <w:r>
              <w:rPr>
                <w:rFonts w:ascii="宋体" w:cs="宋体"/>
                <w:color w:val="000000"/>
                <w:kern w:val="0"/>
                <w:sz w:val="22"/>
                <w:szCs w:val="22"/>
              </w:rPr>
              <w:t>0.5</w:t>
            </w:r>
          </w:p>
        </w:tc>
      </w:tr>
      <w:tr w14:paraId="7651D7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8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37FEC51"/>
        </w:tc>
        <w:tc>
          <w:tcPr>
            <w:tcW w:w="181"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DCEC651">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绩效目标　</w:t>
            </w:r>
          </w:p>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E99AB9C">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绩效目标</w:t>
            </w:r>
          </w:p>
          <w:p w14:paraId="37E52106">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合理性</w:t>
            </w:r>
          </w:p>
        </w:tc>
        <w:tc>
          <w:tcPr>
            <w:tcW w:w="1653"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9D7EF97">
            <w:pPr>
              <w:widowControl/>
              <w:spacing w:line="240" w:lineRule="exact"/>
              <w:rPr>
                <w:rFonts w:ascii="宋体" w:cs="宋体"/>
                <w:color w:val="000000"/>
                <w:kern w:val="0"/>
                <w:sz w:val="22"/>
                <w:szCs w:val="22"/>
              </w:rPr>
            </w:pPr>
            <w:r>
              <w:rPr>
                <w:rFonts w:hint="eastAsia" w:ascii="宋体" w:cs="宋体"/>
                <w:color w:val="000000"/>
                <w:kern w:val="0"/>
                <w:sz w:val="22"/>
                <w:szCs w:val="22"/>
              </w:rPr>
              <w:t>项目所设定的绩效目标是否依据充分，是否符合客观实际，用以反映和考核项目绩效目标与项目实施的相符情况。</w:t>
            </w:r>
          </w:p>
        </w:tc>
        <w:tc>
          <w:tcPr>
            <w:tcW w:w="2275"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1148841">
            <w:pPr>
              <w:widowControl/>
              <w:spacing w:line="240" w:lineRule="exact"/>
              <w:jc w:val="lef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（如未设定预算绩效目标，也可考核其他工作任务目标）</w:t>
            </w:r>
            <w:r>
              <w:rPr>
                <w:rFonts w:hint="eastAsia" w:ascii="宋体" w:cs="宋体"/>
                <w:color w:val="000000"/>
                <w:kern w:val="0"/>
                <w:sz w:val="22"/>
                <w:szCs w:val="22"/>
              </w:rPr>
              <w:br w:type="textWrapping"/>
            </w:r>
            <w:r>
              <w:rPr>
                <w:rFonts w:hint="eastAsia" w:ascii="宋体" w:cs="宋体"/>
                <w:color w:val="000000"/>
                <w:kern w:val="0"/>
                <w:sz w:val="22"/>
                <w:szCs w:val="22"/>
              </w:rPr>
              <w:t>①项目是否有绩效目标；</w:t>
            </w:r>
            <w:r>
              <w:rPr>
                <w:rFonts w:hint="eastAsia" w:ascii="宋体" w:cs="宋体"/>
                <w:color w:val="000000"/>
                <w:kern w:val="0"/>
                <w:sz w:val="22"/>
                <w:szCs w:val="22"/>
              </w:rPr>
              <w:br w:type="textWrapping"/>
            </w:r>
            <w:r>
              <w:rPr>
                <w:rFonts w:hint="eastAsia" w:ascii="宋体" w:cs="宋体"/>
                <w:color w:val="000000"/>
                <w:kern w:val="0"/>
                <w:sz w:val="22"/>
                <w:szCs w:val="22"/>
              </w:rPr>
              <w:t>②项目绩效目标与实际工作内容是否具有相关性；</w:t>
            </w:r>
            <w:r>
              <w:rPr>
                <w:rFonts w:hint="eastAsia" w:ascii="宋体" w:cs="宋体"/>
                <w:color w:val="000000"/>
                <w:kern w:val="0"/>
                <w:sz w:val="22"/>
                <w:szCs w:val="22"/>
              </w:rPr>
              <w:br w:type="textWrapping"/>
            </w:r>
            <w:r>
              <w:rPr>
                <w:rFonts w:hint="eastAsia" w:ascii="宋体" w:cs="宋体"/>
                <w:color w:val="000000"/>
                <w:kern w:val="0"/>
                <w:sz w:val="22"/>
                <w:szCs w:val="22"/>
              </w:rPr>
              <w:t>③项目预期产出效益和效果是否符合正常的业绩水平；</w:t>
            </w:r>
          </w:p>
          <w:p w14:paraId="0683E8F5">
            <w:pPr>
              <w:widowControl/>
              <w:spacing w:line="240" w:lineRule="exact"/>
              <w:jc w:val="left"/>
              <w:rPr>
                <w:rFonts w:ascii="宋体" w:cs="宋体"/>
                <w:color w:val="000000"/>
                <w:kern w:val="0"/>
                <w:sz w:val="22"/>
                <w:szCs w:val="22"/>
              </w:rPr>
            </w:pPr>
            <w:r>
              <w:rPr>
                <w:rFonts w:hint="eastAsia" w:ascii="宋体" w:cs="宋体"/>
                <w:color w:val="000000"/>
                <w:kern w:val="0"/>
                <w:sz w:val="22"/>
                <w:szCs w:val="22"/>
              </w:rPr>
              <w:t>④是否与预算确定的项目投资额或资金量相匹配。</w:t>
            </w:r>
          </w:p>
        </w:tc>
        <w:tc>
          <w:tcPr>
            <w:tcW w:w="2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C531D2C">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1</w:t>
            </w:r>
          </w:p>
        </w:tc>
        <w:tc>
          <w:tcPr>
            <w:tcW w:w="7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4A036F9">
            <w:pPr>
              <w:widowControl/>
              <w:spacing w:line="560" w:lineRule="exact"/>
              <w:jc w:val="center"/>
              <w:rPr>
                <w:rFonts w:ascii="宋体" w:cs="宋体"/>
                <w:color w:val="000000"/>
                <w:kern w:val="0"/>
                <w:sz w:val="22"/>
                <w:szCs w:val="22"/>
              </w:rPr>
            </w:pPr>
            <w:r>
              <w:rPr>
                <w:rFonts w:ascii="宋体" w:cs="宋体"/>
                <w:color w:val="000000"/>
                <w:kern w:val="0"/>
                <w:sz w:val="22"/>
                <w:szCs w:val="22"/>
              </w:rPr>
              <w:t>1</w:t>
            </w:r>
          </w:p>
        </w:tc>
      </w:tr>
      <w:tr w14:paraId="72FA5D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7" w:hRule="atLeast"/>
          <w:jc w:val="center"/>
        </w:trPr>
        <w:tc>
          <w:tcPr>
            <w:tcW w:w="18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ED98490">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决策　</w:t>
            </w:r>
          </w:p>
        </w:tc>
        <w:tc>
          <w:tcPr>
            <w:tcW w:w="181"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41B9B5C">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绩效目标</w:t>
            </w:r>
          </w:p>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C3A87A2">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绩效指标</w:t>
            </w:r>
          </w:p>
          <w:p w14:paraId="029371C9">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明确性</w:t>
            </w:r>
          </w:p>
        </w:tc>
        <w:tc>
          <w:tcPr>
            <w:tcW w:w="1653"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44ACE7F">
            <w:pPr>
              <w:widowControl/>
              <w:spacing w:line="240" w:lineRule="exact"/>
              <w:rPr>
                <w:rFonts w:ascii="宋体" w:cs="宋体"/>
                <w:color w:val="000000"/>
                <w:kern w:val="0"/>
                <w:sz w:val="22"/>
                <w:szCs w:val="22"/>
              </w:rPr>
            </w:pPr>
            <w:r>
              <w:rPr>
                <w:rFonts w:hint="eastAsia" w:ascii="宋体" w:cs="宋体"/>
                <w:color w:val="000000"/>
                <w:kern w:val="0"/>
                <w:sz w:val="22"/>
                <w:szCs w:val="22"/>
              </w:rPr>
              <w:t>依据绩效目标设定的绩效指标是否清晰、细化、可衡量等，用以反映和考核项目绩效目标的明细化情况。</w:t>
            </w:r>
          </w:p>
        </w:tc>
        <w:tc>
          <w:tcPr>
            <w:tcW w:w="2275"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AC49058">
            <w:pPr>
              <w:widowControl/>
              <w:spacing w:line="240" w:lineRule="exac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①是否将项目绩效目标细化分解为具体的绩效指标；</w:t>
            </w:r>
            <w:r>
              <w:rPr>
                <w:rFonts w:hint="eastAsia" w:ascii="宋体" w:cs="宋体"/>
                <w:color w:val="000000"/>
                <w:kern w:val="0"/>
                <w:sz w:val="22"/>
                <w:szCs w:val="22"/>
              </w:rPr>
              <w:br w:type="textWrapping"/>
            </w:r>
            <w:r>
              <w:rPr>
                <w:rFonts w:hint="eastAsia" w:ascii="宋体" w:cs="宋体"/>
                <w:color w:val="000000"/>
                <w:kern w:val="0"/>
                <w:sz w:val="22"/>
                <w:szCs w:val="22"/>
              </w:rPr>
              <w:t>②是否通过清晰、可衡量的指标值予以体现；</w:t>
            </w:r>
            <w:r>
              <w:rPr>
                <w:rFonts w:hint="eastAsia" w:ascii="宋体" w:cs="宋体"/>
                <w:color w:val="000000"/>
                <w:kern w:val="0"/>
                <w:sz w:val="22"/>
                <w:szCs w:val="22"/>
              </w:rPr>
              <w:br w:type="textWrapping"/>
            </w:r>
            <w:r>
              <w:rPr>
                <w:rFonts w:hint="eastAsia" w:ascii="宋体" w:cs="宋体"/>
                <w:color w:val="000000"/>
                <w:kern w:val="0"/>
                <w:sz w:val="22"/>
                <w:szCs w:val="22"/>
              </w:rPr>
              <w:t>③是否与项目目标任务数或计划数相对应。</w:t>
            </w:r>
            <w:r>
              <w:rPr>
                <w:rFonts w:hint="eastAsia" w:ascii="宋体" w:cs="宋体"/>
                <w:color w:val="000000"/>
                <w:kern w:val="0"/>
                <w:sz w:val="22"/>
                <w:szCs w:val="22"/>
              </w:rPr>
              <w:br w:type="textWrapping"/>
            </w:r>
          </w:p>
        </w:tc>
        <w:tc>
          <w:tcPr>
            <w:tcW w:w="2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1313C2D">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1</w:t>
            </w:r>
          </w:p>
        </w:tc>
        <w:tc>
          <w:tcPr>
            <w:tcW w:w="7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F80A0A5">
            <w:pPr>
              <w:widowControl/>
              <w:spacing w:line="560" w:lineRule="exact"/>
              <w:jc w:val="center"/>
              <w:rPr>
                <w:rFonts w:ascii="宋体" w:cs="宋体"/>
                <w:color w:val="000000"/>
                <w:kern w:val="0"/>
                <w:sz w:val="22"/>
                <w:szCs w:val="22"/>
              </w:rPr>
            </w:pPr>
            <w:r>
              <w:rPr>
                <w:rFonts w:ascii="宋体" w:cs="宋体"/>
                <w:color w:val="000000"/>
                <w:kern w:val="0"/>
                <w:sz w:val="22"/>
                <w:szCs w:val="22"/>
              </w:rPr>
              <w:t>1</w:t>
            </w:r>
          </w:p>
        </w:tc>
      </w:tr>
      <w:tr w14:paraId="3C735B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8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41CF6BB"/>
        </w:tc>
        <w:tc>
          <w:tcPr>
            <w:tcW w:w="18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A8F7514">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资金投入</w:t>
            </w:r>
          </w:p>
          <w:p w14:paraId="7DC0D81B">
            <w:pPr>
              <w:spacing w:line="240" w:lineRule="exact"/>
              <w:jc w:val="center"/>
              <w:rPr>
                <w:rFonts w:ascii="宋体" w:cs="宋体"/>
                <w:color w:val="000000"/>
                <w:kern w:val="0"/>
                <w:sz w:val="22"/>
                <w:szCs w:val="22"/>
              </w:rPr>
            </w:pPr>
            <w:r>
              <w:rPr>
                <w:rFonts w:hint="eastAsia" w:ascii="宋体" w:cs="宋体"/>
                <w:color w:val="000000"/>
                <w:kern w:val="0"/>
                <w:sz w:val="22"/>
                <w:szCs w:val="22"/>
              </w:rPr>
              <w:t>　</w:t>
            </w:r>
          </w:p>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2A37EDA">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预算编制</w:t>
            </w:r>
          </w:p>
          <w:p w14:paraId="5C1ABBEC">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科学性</w:t>
            </w:r>
          </w:p>
        </w:tc>
        <w:tc>
          <w:tcPr>
            <w:tcW w:w="1653"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779F2FF">
            <w:pPr>
              <w:widowControl/>
              <w:spacing w:line="240" w:lineRule="exact"/>
              <w:rPr>
                <w:rFonts w:ascii="宋体" w:cs="宋体"/>
                <w:color w:val="000000"/>
                <w:kern w:val="0"/>
                <w:sz w:val="22"/>
                <w:szCs w:val="22"/>
              </w:rPr>
            </w:pPr>
            <w:r>
              <w:rPr>
                <w:rFonts w:hint="eastAsia" w:ascii="宋体" w:cs="宋体"/>
                <w:color w:val="000000"/>
                <w:kern w:val="0"/>
                <w:sz w:val="22"/>
                <w:szCs w:val="22"/>
              </w:rPr>
              <w:t>项目预算编制是否经过科学论证、有明确标准，资金额度与年度目标是否相适应，用以反映和考核项目预算编制的科学性、合理性情况。</w:t>
            </w:r>
          </w:p>
        </w:tc>
        <w:tc>
          <w:tcPr>
            <w:tcW w:w="227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88D7A7B">
            <w:pPr>
              <w:widowControl/>
              <w:spacing w:line="240" w:lineRule="exac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①预算编制是否经过科学论证；</w:t>
            </w:r>
            <w:r>
              <w:rPr>
                <w:rFonts w:hint="eastAsia" w:ascii="宋体" w:cs="宋体"/>
                <w:color w:val="000000"/>
                <w:kern w:val="0"/>
                <w:sz w:val="22"/>
                <w:szCs w:val="22"/>
              </w:rPr>
              <w:br w:type="textWrapping"/>
            </w:r>
            <w:r>
              <w:rPr>
                <w:rFonts w:hint="eastAsia" w:ascii="宋体" w:cs="宋体"/>
                <w:color w:val="000000"/>
                <w:kern w:val="0"/>
                <w:sz w:val="22"/>
                <w:szCs w:val="22"/>
              </w:rPr>
              <w:t>②预算内容与项目内容是否匹配；</w:t>
            </w:r>
            <w:r>
              <w:rPr>
                <w:rFonts w:hint="eastAsia" w:ascii="宋体" w:cs="宋体"/>
                <w:color w:val="000000"/>
                <w:kern w:val="0"/>
                <w:sz w:val="22"/>
                <w:szCs w:val="22"/>
              </w:rPr>
              <w:br w:type="textWrapping"/>
            </w:r>
            <w:r>
              <w:rPr>
                <w:rFonts w:hint="eastAsia" w:ascii="宋体" w:cs="宋体"/>
                <w:color w:val="000000"/>
                <w:kern w:val="0"/>
                <w:sz w:val="22"/>
                <w:szCs w:val="22"/>
              </w:rPr>
              <w:t>③预算额度测算依据是否充分，是否按照标准编制；</w:t>
            </w:r>
            <w:r>
              <w:rPr>
                <w:rFonts w:hint="eastAsia" w:ascii="宋体" w:cs="宋体"/>
                <w:color w:val="000000"/>
                <w:kern w:val="0"/>
                <w:sz w:val="22"/>
                <w:szCs w:val="22"/>
              </w:rPr>
              <w:br w:type="textWrapping"/>
            </w:r>
            <w:r>
              <w:rPr>
                <w:rFonts w:hint="eastAsia" w:ascii="宋体" w:cs="宋体"/>
                <w:color w:val="000000"/>
                <w:kern w:val="0"/>
                <w:sz w:val="22"/>
                <w:szCs w:val="22"/>
              </w:rPr>
              <w:t>④预算确定的项目投资额或资金量是否与工作任务相匹配。</w:t>
            </w:r>
          </w:p>
        </w:tc>
        <w:tc>
          <w:tcPr>
            <w:tcW w:w="2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DD5E2F5">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1</w:t>
            </w:r>
          </w:p>
        </w:tc>
        <w:tc>
          <w:tcPr>
            <w:tcW w:w="73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31B17AD">
            <w:pPr>
              <w:widowControl/>
              <w:spacing w:line="560" w:lineRule="exact"/>
              <w:jc w:val="center"/>
              <w:rPr>
                <w:rFonts w:ascii="宋体" w:cs="宋体"/>
                <w:color w:val="000000"/>
                <w:kern w:val="0"/>
                <w:sz w:val="22"/>
                <w:szCs w:val="22"/>
              </w:rPr>
            </w:pPr>
            <w:r>
              <w:rPr>
                <w:rFonts w:ascii="宋体" w:cs="宋体"/>
                <w:color w:val="000000"/>
                <w:kern w:val="0"/>
                <w:sz w:val="22"/>
                <w:szCs w:val="22"/>
              </w:rPr>
              <w:t>1</w:t>
            </w:r>
          </w:p>
        </w:tc>
      </w:tr>
      <w:tr w14:paraId="48D66C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8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972EED5"/>
        </w:tc>
        <w:tc>
          <w:tcPr>
            <w:tcW w:w="18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382B787"/>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05B4E61">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资金分配</w:t>
            </w:r>
          </w:p>
          <w:p w14:paraId="36EBB464">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合理性</w:t>
            </w:r>
          </w:p>
        </w:tc>
        <w:tc>
          <w:tcPr>
            <w:tcW w:w="1653"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5552417">
            <w:pPr>
              <w:widowControl/>
              <w:spacing w:line="240" w:lineRule="exact"/>
              <w:rPr>
                <w:rFonts w:ascii="宋体" w:cs="宋体"/>
                <w:color w:val="000000"/>
                <w:kern w:val="0"/>
                <w:sz w:val="22"/>
                <w:szCs w:val="22"/>
              </w:rPr>
            </w:pPr>
            <w:r>
              <w:rPr>
                <w:rFonts w:hint="eastAsia" w:ascii="宋体" w:cs="宋体"/>
                <w:color w:val="000000"/>
                <w:kern w:val="0"/>
                <w:sz w:val="22"/>
                <w:szCs w:val="22"/>
              </w:rPr>
              <w:t>项目预算资金分配是否有测算依据，与补助单位或地方实际是否相适应，用以反映和考核项目预算资金分配的科学性、合理性情况。</w:t>
            </w:r>
          </w:p>
        </w:tc>
        <w:tc>
          <w:tcPr>
            <w:tcW w:w="227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74E5CCE">
            <w:pPr>
              <w:widowControl/>
              <w:spacing w:line="240" w:lineRule="exac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①预算资金分配依据是否充分；</w:t>
            </w:r>
            <w:r>
              <w:rPr>
                <w:rFonts w:hint="eastAsia" w:ascii="宋体" w:cs="宋体"/>
                <w:color w:val="000000"/>
                <w:kern w:val="0"/>
                <w:sz w:val="22"/>
                <w:szCs w:val="22"/>
              </w:rPr>
              <w:br w:type="textWrapping"/>
            </w:r>
            <w:r>
              <w:rPr>
                <w:rFonts w:hint="eastAsia" w:ascii="宋体" w:cs="宋体"/>
                <w:color w:val="000000"/>
                <w:kern w:val="0"/>
                <w:sz w:val="22"/>
                <w:szCs w:val="22"/>
              </w:rPr>
              <w:t>②资金分配额度是否合理，与项目单位或地方实际是否相适应。</w:t>
            </w:r>
          </w:p>
        </w:tc>
        <w:tc>
          <w:tcPr>
            <w:tcW w:w="2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4DAD6EA">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1</w:t>
            </w:r>
          </w:p>
        </w:tc>
        <w:tc>
          <w:tcPr>
            <w:tcW w:w="73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080122E">
            <w:pPr>
              <w:widowControl/>
              <w:spacing w:line="560" w:lineRule="exact"/>
              <w:jc w:val="center"/>
              <w:rPr>
                <w:rFonts w:ascii="宋体" w:cs="宋体"/>
                <w:color w:val="000000"/>
                <w:kern w:val="0"/>
                <w:sz w:val="22"/>
                <w:szCs w:val="22"/>
              </w:rPr>
            </w:pPr>
            <w:r>
              <w:rPr>
                <w:rFonts w:ascii="宋体" w:cs="宋体"/>
                <w:color w:val="000000"/>
                <w:kern w:val="0"/>
                <w:sz w:val="22"/>
                <w:szCs w:val="22"/>
              </w:rPr>
              <w:t>1</w:t>
            </w:r>
          </w:p>
        </w:tc>
      </w:tr>
      <w:tr w14:paraId="73D0B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8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A90F3F5">
            <w:pPr>
              <w:spacing w:line="240" w:lineRule="exact"/>
              <w:jc w:val="center"/>
              <w:rPr>
                <w:rFonts w:ascii="宋体" w:cs="宋体"/>
                <w:color w:val="000000"/>
                <w:kern w:val="0"/>
                <w:sz w:val="22"/>
                <w:szCs w:val="22"/>
              </w:rPr>
            </w:pPr>
            <w:r>
              <w:rPr>
                <w:rFonts w:hint="eastAsia" w:ascii="宋体" w:cs="宋体"/>
                <w:color w:val="000000"/>
                <w:kern w:val="0"/>
                <w:sz w:val="22"/>
                <w:szCs w:val="22"/>
              </w:rPr>
              <w:t>过程</w:t>
            </w:r>
          </w:p>
        </w:tc>
        <w:tc>
          <w:tcPr>
            <w:tcW w:w="18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A3834A5">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资金管理</w:t>
            </w:r>
          </w:p>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F24CC4F">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资金到位率</w:t>
            </w:r>
          </w:p>
        </w:tc>
        <w:tc>
          <w:tcPr>
            <w:tcW w:w="1653"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6D085EF">
            <w:pPr>
              <w:widowControl/>
              <w:spacing w:line="240" w:lineRule="exact"/>
              <w:rPr>
                <w:rFonts w:ascii="宋体" w:cs="宋体"/>
                <w:color w:val="000000"/>
                <w:kern w:val="0"/>
                <w:sz w:val="22"/>
                <w:szCs w:val="22"/>
              </w:rPr>
            </w:pPr>
            <w:r>
              <w:rPr>
                <w:rFonts w:hint="eastAsia" w:ascii="宋体" w:cs="宋体"/>
                <w:color w:val="000000"/>
                <w:kern w:val="0"/>
                <w:sz w:val="22"/>
                <w:szCs w:val="22"/>
              </w:rPr>
              <w:t>实际到位资金与预算资金的比率，用以反映和考核资金落实情况对项目实施的总体保障程度。</w:t>
            </w:r>
          </w:p>
        </w:tc>
        <w:tc>
          <w:tcPr>
            <w:tcW w:w="2275"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ABE13D4">
            <w:pPr>
              <w:widowControl/>
              <w:spacing w:line="240" w:lineRule="exact"/>
              <w:rPr>
                <w:rFonts w:ascii="宋体" w:cs="宋体"/>
                <w:color w:val="000000"/>
                <w:kern w:val="0"/>
                <w:sz w:val="22"/>
                <w:szCs w:val="22"/>
              </w:rPr>
            </w:pPr>
            <w:r>
              <w:rPr>
                <w:rFonts w:hint="eastAsia" w:ascii="宋体" w:cs="宋体"/>
                <w:color w:val="000000"/>
                <w:kern w:val="0"/>
                <w:sz w:val="22"/>
                <w:szCs w:val="22"/>
              </w:rPr>
              <w:t>资金到位率=（实际到位资金/预算资金）×100%。</w:t>
            </w:r>
          </w:p>
          <w:p w14:paraId="42ACBDB5">
            <w:pPr>
              <w:widowControl/>
              <w:spacing w:line="240" w:lineRule="exact"/>
              <w:rPr>
                <w:rFonts w:ascii="宋体" w:cs="宋体"/>
                <w:color w:val="000000"/>
                <w:kern w:val="0"/>
                <w:sz w:val="22"/>
                <w:szCs w:val="22"/>
              </w:rPr>
            </w:pPr>
            <w:r>
              <w:rPr>
                <w:rFonts w:hint="eastAsia" w:ascii="宋体" w:cs="宋体"/>
                <w:color w:val="000000"/>
                <w:kern w:val="0"/>
                <w:sz w:val="22"/>
                <w:szCs w:val="22"/>
              </w:rPr>
              <w:t>实际到位资金：一定时期（本年度或项目期）内落实到具体项目的资金。</w:t>
            </w:r>
          </w:p>
          <w:p w14:paraId="56108708">
            <w:pPr>
              <w:widowControl/>
              <w:spacing w:line="240" w:lineRule="exact"/>
              <w:rPr>
                <w:rFonts w:ascii="宋体" w:cs="宋体"/>
                <w:color w:val="000000"/>
                <w:kern w:val="0"/>
                <w:sz w:val="22"/>
                <w:szCs w:val="22"/>
              </w:rPr>
            </w:pPr>
            <w:r>
              <w:rPr>
                <w:rFonts w:hint="eastAsia" w:ascii="宋体" w:cs="宋体"/>
                <w:color w:val="000000"/>
                <w:kern w:val="0"/>
                <w:sz w:val="22"/>
                <w:szCs w:val="22"/>
              </w:rPr>
              <w:t>预算资金：一定时期（本年度或项目期）内预算安排到具体项目的资金。</w:t>
            </w:r>
          </w:p>
        </w:tc>
        <w:tc>
          <w:tcPr>
            <w:tcW w:w="2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0DC0D1A">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1</w:t>
            </w:r>
          </w:p>
        </w:tc>
        <w:tc>
          <w:tcPr>
            <w:tcW w:w="7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70A8C7B">
            <w:pPr>
              <w:widowControl/>
              <w:spacing w:line="560" w:lineRule="exact"/>
              <w:jc w:val="center"/>
              <w:rPr>
                <w:rFonts w:ascii="宋体" w:cs="宋体"/>
                <w:color w:val="000000"/>
                <w:kern w:val="0"/>
                <w:sz w:val="22"/>
                <w:szCs w:val="22"/>
              </w:rPr>
            </w:pPr>
            <w:r>
              <w:rPr>
                <w:rFonts w:ascii="宋体" w:cs="宋体"/>
                <w:color w:val="000000"/>
                <w:kern w:val="0"/>
                <w:sz w:val="22"/>
                <w:szCs w:val="22"/>
              </w:rPr>
              <w:t>1</w:t>
            </w:r>
          </w:p>
        </w:tc>
      </w:tr>
      <w:tr w14:paraId="657307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8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7D9AA4A"/>
        </w:tc>
        <w:tc>
          <w:tcPr>
            <w:tcW w:w="18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EC64B0B"/>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C543302">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预算执行率</w:t>
            </w:r>
          </w:p>
        </w:tc>
        <w:tc>
          <w:tcPr>
            <w:tcW w:w="1653"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0AC590B">
            <w:pPr>
              <w:widowControl/>
              <w:spacing w:line="240" w:lineRule="exact"/>
              <w:rPr>
                <w:rFonts w:ascii="宋体" w:cs="宋体"/>
                <w:color w:val="000000"/>
                <w:kern w:val="0"/>
                <w:sz w:val="22"/>
                <w:szCs w:val="22"/>
              </w:rPr>
            </w:pPr>
            <w:r>
              <w:rPr>
                <w:rFonts w:hint="eastAsia" w:ascii="宋体" w:cs="宋体"/>
                <w:color w:val="000000"/>
                <w:kern w:val="0"/>
                <w:sz w:val="22"/>
                <w:szCs w:val="22"/>
              </w:rPr>
              <w:t>项目预算资金是否按照计划执行，用以反映或考核项目预算执行情况。</w:t>
            </w:r>
          </w:p>
        </w:tc>
        <w:tc>
          <w:tcPr>
            <w:tcW w:w="227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30BEC81">
            <w:pPr>
              <w:widowControl/>
              <w:spacing w:line="240" w:lineRule="exact"/>
              <w:rPr>
                <w:rFonts w:ascii="宋体" w:cs="宋体"/>
                <w:color w:val="000000"/>
                <w:kern w:val="0"/>
                <w:sz w:val="22"/>
                <w:szCs w:val="22"/>
              </w:rPr>
            </w:pPr>
            <w:r>
              <w:rPr>
                <w:rFonts w:hint="eastAsia" w:ascii="宋体" w:cs="宋体"/>
                <w:color w:val="000000"/>
                <w:kern w:val="0"/>
                <w:sz w:val="22"/>
                <w:szCs w:val="22"/>
              </w:rPr>
              <w:t>预算执行率=（实际支出资金/实际到位资金）×100%。</w:t>
            </w:r>
            <w:r>
              <w:rPr>
                <w:rFonts w:hint="eastAsia" w:ascii="宋体" w:cs="宋体"/>
                <w:color w:val="000000"/>
                <w:kern w:val="0"/>
                <w:sz w:val="22"/>
                <w:szCs w:val="22"/>
              </w:rPr>
              <w:br w:type="textWrapping"/>
            </w:r>
            <w:r>
              <w:rPr>
                <w:rFonts w:hint="eastAsia" w:ascii="宋体" w:cs="宋体"/>
                <w:color w:val="000000"/>
                <w:kern w:val="0"/>
                <w:sz w:val="22"/>
                <w:szCs w:val="22"/>
              </w:rPr>
              <w:t>实际支出资金：一定时期（本年度或项目期）内项目实际拨付的资金。</w:t>
            </w:r>
          </w:p>
        </w:tc>
        <w:tc>
          <w:tcPr>
            <w:tcW w:w="2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F501F24">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1</w:t>
            </w:r>
          </w:p>
        </w:tc>
        <w:tc>
          <w:tcPr>
            <w:tcW w:w="73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1C4C6F8">
            <w:pPr>
              <w:widowControl/>
              <w:spacing w:line="560" w:lineRule="exact"/>
              <w:jc w:val="center"/>
              <w:rPr>
                <w:rFonts w:ascii="宋体" w:cs="宋体"/>
                <w:color w:val="000000"/>
                <w:kern w:val="0"/>
                <w:sz w:val="22"/>
                <w:szCs w:val="22"/>
              </w:rPr>
            </w:pPr>
            <w:r>
              <w:rPr>
                <w:rFonts w:ascii="宋体" w:cs="宋体"/>
                <w:color w:val="000000"/>
                <w:kern w:val="0"/>
                <w:sz w:val="22"/>
                <w:szCs w:val="22"/>
              </w:rPr>
              <w:t>0.99</w:t>
            </w:r>
          </w:p>
        </w:tc>
      </w:tr>
      <w:tr w14:paraId="536DE3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55" w:hRule="atLeast"/>
          <w:jc w:val="center"/>
        </w:trPr>
        <w:tc>
          <w:tcPr>
            <w:tcW w:w="18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0BE1B77">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　</w:t>
            </w:r>
          </w:p>
          <w:p w14:paraId="5A8FC6DB">
            <w:pPr>
              <w:spacing w:line="240" w:lineRule="exact"/>
              <w:jc w:val="center"/>
              <w:rPr>
                <w:rFonts w:ascii="宋体" w:cs="宋体"/>
                <w:color w:val="000000"/>
                <w:kern w:val="0"/>
                <w:sz w:val="22"/>
                <w:szCs w:val="22"/>
              </w:rPr>
            </w:pPr>
            <w:r>
              <w:rPr>
                <w:rFonts w:hint="eastAsia" w:ascii="宋体" w:cs="宋体"/>
                <w:color w:val="000000"/>
                <w:kern w:val="0"/>
                <w:sz w:val="22"/>
                <w:szCs w:val="22"/>
              </w:rPr>
              <w:t>过程　</w:t>
            </w:r>
          </w:p>
        </w:tc>
        <w:tc>
          <w:tcPr>
            <w:tcW w:w="181"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A11BC15">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资金管理</w:t>
            </w:r>
          </w:p>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5FD7C50">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资金使用</w:t>
            </w:r>
          </w:p>
          <w:p w14:paraId="427468E6">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合规性</w:t>
            </w:r>
          </w:p>
        </w:tc>
        <w:tc>
          <w:tcPr>
            <w:tcW w:w="1653"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A3D7E1F">
            <w:pPr>
              <w:widowControl/>
              <w:spacing w:line="240" w:lineRule="exact"/>
              <w:rPr>
                <w:rFonts w:ascii="宋体" w:cs="宋体"/>
                <w:color w:val="000000"/>
                <w:kern w:val="0"/>
                <w:sz w:val="22"/>
                <w:szCs w:val="22"/>
              </w:rPr>
            </w:pPr>
            <w:r>
              <w:rPr>
                <w:rFonts w:hint="eastAsia" w:ascii="宋体" w:cs="宋体"/>
                <w:color w:val="000000"/>
                <w:kern w:val="0"/>
                <w:sz w:val="22"/>
                <w:szCs w:val="22"/>
              </w:rPr>
              <w:t>项目资金使用是否符合相关的财务管理制度规定，用以反映和考核项目资金的规范运行情况。</w:t>
            </w:r>
          </w:p>
        </w:tc>
        <w:tc>
          <w:tcPr>
            <w:tcW w:w="2275"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51667E1">
            <w:pPr>
              <w:widowControl/>
              <w:spacing w:line="240" w:lineRule="exac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①是否符合国家财经法规和财务管理制度以及有关专项资金管理办法的规定；</w:t>
            </w:r>
            <w:r>
              <w:rPr>
                <w:rFonts w:hint="eastAsia" w:ascii="宋体" w:cs="宋体"/>
                <w:color w:val="000000"/>
                <w:kern w:val="0"/>
                <w:sz w:val="22"/>
                <w:szCs w:val="22"/>
              </w:rPr>
              <w:br w:type="textWrapping"/>
            </w:r>
            <w:r>
              <w:rPr>
                <w:rFonts w:hint="eastAsia" w:ascii="宋体" w:cs="宋体"/>
                <w:color w:val="000000"/>
                <w:kern w:val="0"/>
                <w:sz w:val="22"/>
                <w:szCs w:val="22"/>
              </w:rPr>
              <w:t>②资金的拨付是否有完整的审批程序和手续；</w:t>
            </w:r>
            <w:r>
              <w:rPr>
                <w:rFonts w:hint="eastAsia" w:ascii="宋体" w:cs="宋体"/>
                <w:color w:val="000000"/>
                <w:kern w:val="0"/>
                <w:sz w:val="22"/>
                <w:szCs w:val="22"/>
              </w:rPr>
              <w:br w:type="textWrapping"/>
            </w:r>
            <w:r>
              <w:rPr>
                <w:rFonts w:hint="eastAsia" w:ascii="宋体" w:cs="宋体"/>
                <w:color w:val="000000"/>
                <w:kern w:val="0"/>
                <w:sz w:val="22"/>
                <w:szCs w:val="22"/>
              </w:rPr>
              <w:t>③是否符合项目预算批复或合同规定的用途；</w:t>
            </w:r>
            <w:r>
              <w:rPr>
                <w:rFonts w:hint="eastAsia" w:ascii="宋体" w:cs="宋体"/>
                <w:color w:val="000000"/>
                <w:kern w:val="0"/>
                <w:sz w:val="22"/>
                <w:szCs w:val="22"/>
              </w:rPr>
              <w:br w:type="textWrapping"/>
            </w:r>
            <w:r>
              <w:rPr>
                <w:rFonts w:hint="eastAsia" w:ascii="宋体" w:cs="宋体"/>
                <w:color w:val="000000"/>
                <w:kern w:val="0"/>
                <w:sz w:val="22"/>
                <w:szCs w:val="22"/>
              </w:rPr>
              <w:t>④是否存在截留、挤占、挪用、虚列支出等情况。</w:t>
            </w:r>
          </w:p>
        </w:tc>
        <w:tc>
          <w:tcPr>
            <w:tcW w:w="2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8EE52FE">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1</w:t>
            </w:r>
          </w:p>
        </w:tc>
        <w:tc>
          <w:tcPr>
            <w:tcW w:w="7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AD93621">
            <w:pPr>
              <w:widowControl/>
              <w:spacing w:line="560" w:lineRule="exact"/>
              <w:jc w:val="center"/>
              <w:rPr>
                <w:rFonts w:ascii="宋体" w:cs="宋体"/>
                <w:color w:val="000000"/>
                <w:kern w:val="0"/>
                <w:sz w:val="22"/>
                <w:szCs w:val="22"/>
              </w:rPr>
            </w:pPr>
            <w:r>
              <w:rPr>
                <w:rFonts w:ascii="宋体" w:cs="宋体"/>
                <w:color w:val="000000"/>
                <w:kern w:val="0"/>
                <w:sz w:val="22"/>
                <w:szCs w:val="22"/>
              </w:rPr>
              <w:t>1</w:t>
            </w:r>
          </w:p>
        </w:tc>
      </w:tr>
      <w:tr w14:paraId="13252A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8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CACD5DB"/>
        </w:tc>
        <w:tc>
          <w:tcPr>
            <w:tcW w:w="18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894ADA1">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组织实施</w:t>
            </w:r>
          </w:p>
          <w:p w14:paraId="4481CDFC">
            <w:pPr>
              <w:spacing w:line="240" w:lineRule="exact"/>
              <w:jc w:val="center"/>
              <w:rPr>
                <w:rFonts w:ascii="宋体" w:cs="宋体"/>
                <w:color w:val="000000"/>
                <w:kern w:val="0"/>
                <w:sz w:val="22"/>
                <w:szCs w:val="22"/>
              </w:rPr>
            </w:pPr>
            <w:r>
              <w:rPr>
                <w:rFonts w:hint="eastAsia" w:ascii="宋体" w:cs="宋体"/>
                <w:color w:val="000000"/>
                <w:kern w:val="0"/>
                <w:sz w:val="22"/>
                <w:szCs w:val="22"/>
              </w:rPr>
              <w:t>　</w:t>
            </w:r>
          </w:p>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0239E98">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管理制度</w:t>
            </w:r>
          </w:p>
          <w:p w14:paraId="01AFF8C5">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健全性</w:t>
            </w:r>
          </w:p>
        </w:tc>
        <w:tc>
          <w:tcPr>
            <w:tcW w:w="1653"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B871A27">
            <w:pPr>
              <w:widowControl/>
              <w:spacing w:line="240" w:lineRule="exact"/>
              <w:rPr>
                <w:rFonts w:ascii="宋体" w:cs="宋体"/>
                <w:color w:val="000000"/>
                <w:kern w:val="0"/>
                <w:sz w:val="22"/>
                <w:szCs w:val="22"/>
              </w:rPr>
            </w:pPr>
            <w:r>
              <w:rPr>
                <w:rFonts w:hint="eastAsia" w:ascii="宋体" w:cs="宋体"/>
                <w:color w:val="000000"/>
                <w:kern w:val="0"/>
                <w:sz w:val="22"/>
                <w:szCs w:val="22"/>
              </w:rPr>
              <w:t>项目实施单位的财务和业务管理制度是否健全，用以反映和考核财务和业务管理制度对项目顺利实施的保障情况。</w:t>
            </w:r>
          </w:p>
        </w:tc>
        <w:tc>
          <w:tcPr>
            <w:tcW w:w="2275"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2A995AD">
            <w:pPr>
              <w:widowControl/>
              <w:spacing w:line="240" w:lineRule="exac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①是否已制定或具有相应的财务和业务管理制度；</w:t>
            </w:r>
            <w:r>
              <w:rPr>
                <w:rFonts w:hint="eastAsia" w:ascii="宋体" w:cs="宋体"/>
                <w:color w:val="000000"/>
                <w:kern w:val="0"/>
                <w:sz w:val="22"/>
                <w:szCs w:val="22"/>
              </w:rPr>
              <w:br w:type="textWrapping"/>
            </w:r>
            <w:r>
              <w:rPr>
                <w:rFonts w:hint="eastAsia" w:ascii="宋体" w:cs="宋体"/>
                <w:color w:val="000000"/>
                <w:kern w:val="0"/>
                <w:sz w:val="22"/>
                <w:szCs w:val="22"/>
              </w:rPr>
              <w:t>②财务和业务管理制度是否合法、合规、完整。</w:t>
            </w:r>
          </w:p>
        </w:tc>
        <w:tc>
          <w:tcPr>
            <w:tcW w:w="2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F07FD97">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1</w:t>
            </w:r>
          </w:p>
        </w:tc>
        <w:tc>
          <w:tcPr>
            <w:tcW w:w="7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6C9309A">
            <w:pPr>
              <w:widowControl/>
              <w:spacing w:line="560" w:lineRule="exact"/>
              <w:jc w:val="center"/>
              <w:rPr>
                <w:rFonts w:ascii="宋体" w:cs="宋体"/>
                <w:color w:val="000000"/>
                <w:kern w:val="0"/>
                <w:sz w:val="22"/>
                <w:szCs w:val="22"/>
              </w:rPr>
            </w:pPr>
            <w:r>
              <w:rPr>
                <w:rFonts w:ascii="宋体" w:cs="宋体"/>
                <w:color w:val="000000"/>
                <w:kern w:val="0"/>
                <w:sz w:val="22"/>
                <w:szCs w:val="22"/>
              </w:rPr>
              <w:t>0.9</w:t>
            </w:r>
          </w:p>
        </w:tc>
      </w:tr>
      <w:tr w14:paraId="0C93D2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8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9CEEB0B"/>
        </w:tc>
        <w:tc>
          <w:tcPr>
            <w:tcW w:w="18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AE7C6E0"/>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1E4B72A">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制度执行</w:t>
            </w:r>
          </w:p>
          <w:p w14:paraId="6F6755D6">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有效性</w:t>
            </w:r>
          </w:p>
        </w:tc>
        <w:tc>
          <w:tcPr>
            <w:tcW w:w="1653"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3BF9604">
            <w:pPr>
              <w:widowControl/>
              <w:spacing w:line="240" w:lineRule="exact"/>
              <w:rPr>
                <w:rFonts w:ascii="宋体" w:cs="宋体"/>
                <w:color w:val="000000"/>
                <w:kern w:val="0"/>
                <w:sz w:val="22"/>
                <w:szCs w:val="22"/>
              </w:rPr>
            </w:pPr>
            <w:r>
              <w:rPr>
                <w:rFonts w:hint="eastAsia" w:ascii="宋体" w:cs="宋体"/>
                <w:color w:val="000000"/>
                <w:kern w:val="0"/>
                <w:sz w:val="22"/>
                <w:szCs w:val="22"/>
              </w:rPr>
              <w:t>项目实施是否符合相关管理规定，用以反映和考核相关管理制度的有效执行情况。</w:t>
            </w:r>
          </w:p>
        </w:tc>
        <w:tc>
          <w:tcPr>
            <w:tcW w:w="2275"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4D0443D">
            <w:pPr>
              <w:widowControl/>
              <w:spacing w:line="240" w:lineRule="exac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①是否遵守相关法律法规和相关管理规定；</w:t>
            </w:r>
            <w:r>
              <w:rPr>
                <w:rFonts w:hint="eastAsia" w:ascii="宋体" w:cs="宋体"/>
                <w:color w:val="000000"/>
                <w:kern w:val="0"/>
                <w:sz w:val="22"/>
                <w:szCs w:val="22"/>
              </w:rPr>
              <w:br w:type="textWrapping"/>
            </w:r>
            <w:r>
              <w:rPr>
                <w:rFonts w:hint="eastAsia" w:ascii="宋体" w:cs="宋体"/>
                <w:color w:val="000000"/>
                <w:kern w:val="0"/>
                <w:sz w:val="22"/>
                <w:szCs w:val="22"/>
              </w:rPr>
              <w:t>②项目调整及支出调整手续是否完备；</w:t>
            </w:r>
            <w:r>
              <w:rPr>
                <w:rFonts w:hint="eastAsia" w:ascii="宋体" w:cs="宋体"/>
                <w:color w:val="000000"/>
                <w:kern w:val="0"/>
                <w:sz w:val="22"/>
                <w:szCs w:val="22"/>
              </w:rPr>
              <w:br w:type="textWrapping"/>
            </w:r>
            <w:r>
              <w:rPr>
                <w:rFonts w:hint="eastAsia" w:ascii="宋体" w:cs="宋体"/>
                <w:color w:val="000000"/>
                <w:kern w:val="0"/>
                <w:sz w:val="22"/>
                <w:szCs w:val="22"/>
              </w:rPr>
              <w:t>③项目合同书、验收报告、技术鉴定等资料是否齐全并及时归档；</w:t>
            </w:r>
            <w:r>
              <w:rPr>
                <w:rFonts w:hint="eastAsia" w:ascii="宋体" w:cs="宋体"/>
                <w:color w:val="000000"/>
                <w:kern w:val="0"/>
                <w:sz w:val="22"/>
                <w:szCs w:val="22"/>
              </w:rPr>
              <w:br w:type="textWrapping"/>
            </w:r>
            <w:r>
              <w:rPr>
                <w:rFonts w:hint="eastAsia" w:ascii="宋体" w:cs="宋体"/>
                <w:color w:val="000000"/>
                <w:kern w:val="0"/>
                <w:sz w:val="22"/>
                <w:szCs w:val="22"/>
              </w:rPr>
              <w:t>④项目实施的人员条件、场地设备、信息支撑等是否落实到位。</w:t>
            </w:r>
          </w:p>
        </w:tc>
        <w:tc>
          <w:tcPr>
            <w:tcW w:w="2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4312B81">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1</w:t>
            </w:r>
          </w:p>
        </w:tc>
        <w:tc>
          <w:tcPr>
            <w:tcW w:w="7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B0A7174">
            <w:pPr>
              <w:widowControl/>
              <w:spacing w:line="560" w:lineRule="exact"/>
              <w:jc w:val="center"/>
              <w:rPr>
                <w:rFonts w:ascii="宋体" w:cs="宋体"/>
                <w:color w:val="000000"/>
                <w:kern w:val="0"/>
                <w:sz w:val="22"/>
                <w:szCs w:val="22"/>
              </w:rPr>
            </w:pPr>
            <w:r>
              <w:rPr>
                <w:rFonts w:ascii="宋体" w:cs="宋体"/>
                <w:color w:val="000000"/>
                <w:kern w:val="0"/>
                <w:sz w:val="22"/>
                <w:szCs w:val="22"/>
              </w:rPr>
              <w:t>0.9</w:t>
            </w:r>
          </w:p>
        </w:tc>
      </w:tr>
      <w:tr w14:paraId="4B44C3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81"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C6A456C">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产出</w:t>
            </w:r>
          </w:p>
        </w:tc>
        <w:tc>
          <w:tcPr>
            <w:tcW w:w="181"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B8FFA82">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产出数量</w:t>
            </w:r>
          </w:p>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7C76A78">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实际完成率</w:t>
            </w:r>
          </w:p>
        </w:tc>
        <w:tc>
          <w:tcPr>
            <w:tcW w:w="1653"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94FD782">
            <w:pPr>
              <w:widowControl/>
              <w:spacing w:line="240" w:lineRule="exact"/>
              <w:rPr>
                <w:rFonts w:ascii="宋体" w:cs="宋体"/>
                <w:color w:val="000000"/>
                <w:kern w:val="0"/>
                <w:sz w:val="22"/>
                <w:szCs w:val="22"/>
              </w:rPr>
            </w:pPr>
            <w:r>
              <w:rPr>
                <w:rFonts w:hint="eastAsia" w:ascii="宋体" w:cs="宋体"/>
                <w:color w:val="000000"/>
                <w:kern w:val="0"/>
                <w:sz w:val="22"/>
                <w:szCs w:val="22"/>
              </w:rPr>
              <w:t>项目实施的实际产出数与计划产出数的比率，用以反映和考核项目产出数量目标的实现程度。</w:t>
            </w:r>
          </w:p>
        </w:tc>
        <w:tc>
          <w:tcPr>
            <w:tcW w:w="2275"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0B49A60">
            <w:pPr>
              <w:widowControl/>
              <w:spacing w:line="240" w:lineRule="exact"/>
              <w:rPr>
                <w:rFonts w:ascii="宋体" w:cs="宋体"/>
                <w:color w:val="000000"/>
                <w:kern w:val="0"/>
                <w:sz w:val="22"/>
                <w:szCs w:val="22"/>
              </w:rPr>
            </w:pPr>
            <w:r>
              <w:rPr>
                <w:rFonts w:hint="eastAsia" w:ascii="宋体" w:cs="宋体"/>
                <w:color w:val="000000"/>
                <w:kern w:val="0"/>
                <w:sz w:val="22"/>
                <w:szCs w:val="22"/>
              </w:rPr>
              <w:t>实际完成率=（实际产出数/计划产出数）×100%。</w:t>
            </w:r>
            <w:r>
              <w:rPr>
                <w:rFonts w:hint="eastAsia" w:ascii="宋体" w:cs="宋体"/>
                <w:color w:val="000000"/>
                <w:kern w:val="0"/>
                <w:sz w:val="22"/>
                <w:szCs w:val="22"/>
              </w:rPr>
              <w:br w:type="textWrapping"/>
            </w:r>
            <w:r>
              <w:rPr>
                <w:rFonts w:hint="eastAsia" w:ascii="宋体" w:cs="宋体"/>
                <w:color w:val="000000"/>
                <w:kern w:val="0"/>
                <w:sz w:val="22"/>
                <w:szCs w:val="22"/>
              </w:rPr>
              <w:t>实际产出数：一定时期（本年度或项目期）内项目实际产出的产品或提供的服务数量。</w:t>
            </w:r>
            <w:r>
              <w:rPr>
                <w:rFonts w:hint="eastAsia" w:ascii="宋体" w:cs="宋体"/>
                <w:color w:val="000000"/>
                <w:kern w:val="0"/>
                <w:sz w:val="22"/>
                <w:szCs w:val="22"/>
              </w:rPr>
              <w:br w:type="textWrapping"/>
            </w:r>
            <w:r>
              <w:rPr>
                <w:rFonts w:hint="eastAsia" w:ascii="宋体" w:cs="宋体"/>
                <w:color w:val="000000"/>
                <w:kern w:val="0"/>
                <w:sz w:val="22"/>
                <w:szCs w:val="22"/>
              </w:rPr>
              <w:t>计划产出数：项目绩效目标确定的在一定时期（本年度或项目期）内计划产出的产品或提供的服务数量。</w:t>
            </w:r>
          </w:p>
        </w:tc>
        <w:tc>
          <w:tcPr>
            <w:tcW w:w="2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A89CB17">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15</w:t>
            </w:r>
          </w:p>
        </w:tc>
        <w:tc>
          <w:tcPr>
            <w:tcW w:w="7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B4EB357">
            <w:pPr>
              <w:widowControl/>
              <w:spacing w:line="560" w:lineRule="exact"/>
              <w:jc w:val="center"/>
              <w:rPr>
                <w:rFonts w:ascii="宋体" w:cs="宋体"/>
                <w:color w:val="000000"/>
                <w:kern w:val="0"/>
                <w:sz w:val="22"/>
                <w:szCs w:val="22"/>
              </w:rPr>
            </w:pPr>
            <w:r>
              <w:rPr>
                <w:rFonts w:ascii="宋体" w:cs="宋体"/>
                <w:color w:val="000000"/>
                <w:kern w:val="0"/>
                <w:sz w:val="22"/>
                <w:szCs w:val="22"/>
              </w:rPr>
              <w:t>15</w:t>
            </w:r>
          </w:p>
        </w:tc>
      </w:tr>
      <w:tr w14:paraId="43031D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8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ED95158">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产出</w:t>
            </w:r>
          </w:p>
        </w:tc>
        <w:tc>
          <w:tcPr>
            <w:tcW w:w="181"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2358BB4">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产出质量</w:t>
            </w:r>
          </w:p>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257F21A">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质量达标率</w:t>
            </w:r>
          </w:p>
        </w:tc>
        <w:tc>
          <w:tcPr>
            <w:tcW w:w="1653"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660A14A">
            <w:pPr>
              <w:widowControl/>
              <w:spacing w:line="240" w:lineRule="exact"/>
              <w:rPr>
                <w:rFonts w:ascii="宋体" w:cs="宋体"/>
                <w:color w:val="000000"/>
                <w:kern w:val="0"/>
                <w:sz w:val="22"/>
                <w:szCs w:val="22"/>
              </w:rPr>
            </w:pPr>
            <w:r>
              <w:rPr>
                <w:rFonts w:hint="eastAsia" w:ascii="宋体" w:cs="宋体"/>
                <w:color w:val="000000"/>
                <w:kern w:val="0"/>
                <w:sz w:val="22"/>
                <w:szCs w:val="22"/>
              </w:rPr>
              <w:t>项目完成的质量达标产出数与实际产出数的比率，用以反映和考核项目产出质量目标的实现程度。</w:t>
            </w:r>
          </w:p>
        </w:tc>
        <w:tc>
          <w:tcPr>
            <w:tcW w:w="2275"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78F552C">
            <w:pPr>
              <w:widowControl/>
              <w:spacing w:line="240" w:lineRule="exact"/>
              <w:rPr>
                <w:rFonts w:ascii="宋体" w:cs="宋体"/>
                <w:color w:val="000000"/>
                <w:kern w:val="0"/>
                <w:sz w:val="22"/>
                <w:szCs w:val="22"/>
              </w:rPr>
            </w:pPr>
            <w:r>
              <w:rPr>
                <w:rFonts w:hint="eastAsia" w:ascii="宋体" w:cs="宋体"/>
                <w:color w:val="000000"/>
                <w:kern w:val="0"/>
                <w:sz w:val="22"/>
                <w:szCs w:val="22"/>
              </w:rPr>
              <w:t>质量达标率=（质量达标产出数/实际产出数）×100%。</w:t>
            </w:r>
          </w:p>
          <w:p w14:paraId="4ADA3EA1">
            <w:pPr>
              <w:widowControl/>
              <w:spacing w:line="240" w:lineRule="exact"/>
              <w:rPr>
                <w:rFonts w:ascii="宋体" w:cs="宋体"/>
                <w:color w:val="000000"/>
                <w:kern w:val="0"/>
                <w:sz w:val="22"/>
                <w:szCs w:val="22"/>
              </w:rPr>
            </w:pPr>
            <w:r>
              <w:rPr>
                <w:rFonts w:hint="eastAsia" w:asci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C5064B3">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10</w:t>
            </w:r>
          </w:p>
        </w:tc>
        <w:tc>
          <w:tcPr>
            <w:tcW w:w="7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2E3B187">
            <w:pPr>
              <w:widowControl/>
              <w:spacing w:line="560" w:lineRule="exact"/>
              <w:jc w:val="center"/>
              <w:rPr>
                <w:rFonts w:ascii="宋体" w:cs="宋体"/>
                <w:color w:val="000000"/>
                <w:kern w:val="0"/>
                <w:sz w:val="22"/>
                <w:szCs w:val="22"/>
              </w:rPr>
            </w:pPr>
            <w:r>
              <w:rPr>
                <w:rFonts w:ascii="宋体" w:cs="宋体"/>
                <w:color w:val="000000"/>
                <w:kern w:val="0"/>
                <w:sz w:val="22"/>
                <w:szCs w:val="22"/>
              </w:rPr>
              <w:t>9</w:t>
            </w:r>
          </w:p>
        </w:tc>
      </w:tr>
      <w:tr w14:paraId="332ABF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8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7A5A55C"/>
        </w:tc>
        <w:tc>
          <w:tcPr>
            <w:tcW w:w="181"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00347F8">
            <w:pPr>
              <w:spacing w:line="240" w:lineRule="exact"/>
              <w:jc w:val="center"/>
              <w:rPr>
                <w:rFonts w:ascii="宋体" w:cs="宋体"/>
                <w:color w:val="000000"/>
                <w:kern w:val="0"/>
                <w:sz w:val="22"/>
                <w:szCs w:val="22"/>
              </w:rPr>
            </w:pPr>
            <w:r>
              <w:rPr>
                <w:rFonts w:hint="eastAsia" w:ascii="宋体" w:cs="宋体"/>
                <w:color w:val="000000"/>
                <w:kern w:val="0"/>
                <w:sz w:val="22"/>
                <w:szCs w:val="22"/>
              </w:rPr>
              <w:t>产出时效</w:t>
            </w:r>
          </w:p>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735AD1B">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完成及时性</w:t>
            </w:r>
          </w:p>
        </w:tc>
        <w:tc>
          <w:tcPr>
            <w:tcW w:w="1653"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7787B0A">
            <w:pPr>
              <w:widowControl/>
              <w:spacing w:line="240" w:lineRule="exact"/>
              <w:rPr>
                <w:rFonts w:ascii="宋体" w:cs="宋体"/>
                <w:color w:val="000000"/>
                <w:kern w:val="0"/>
                <w:sz w:val="22"/>
                <w:szCs w:val="22"/>
              </w:rPr>
            </w:pPr>
            <w:r>
              <w:rPr>
                <w:rFonts w:hint="eastAsia" w:ascii="宋体" w:cs="宋体"/>
                <w:color w:val="000000"/>
                <w:kern w:val="0"/>
                <w:sz w:val="22"/>
                <w:szCs w:val="22"/>
              </w:rPr>
              <w:t>项目实际完成时间与计划完成时间的比较，用以反映和考核项目产出时效目标的实现程度。</w:t>
            </w:r>
          </w:p>
        </w:tc>
        <w:tc>
          <w:tcPr>
            <w:tcW w:w="2275"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4870BF8">
            <w:pPr>
              <w:widowControl/>
              <w:spacing w:line="240" w:lineRule="exact"/>
              <w:rPr>
                <w:rFonts w:ascii="宋体" w:cs="宋体"/>
                <w:color w:val="000000"/>
                <w:kern w:val="0"/>
                <w:sz w:val="22"/>
                <w:szCs w:val="22"/>
              </w:rPr>
            </w:pPr>
            <w:r>
              <w:rPr>
                <w:rFonts w:hint="eastAsia" w:ascii="宋体" w:cs="宋体"/>
                <w:color w:val="000000"/>
                <w:kern w:val="0"/>
                <w:sz w:val="22"/>
                <w:szCs w:val="22"/>
              </w:rPr>
              <w:t>实际完成时间：项目实施单位完成该项目实际所耗用的时间。</w:t>
            </w:r>
            <w:r>
              <w:rPr>
                <w:rFonts w:hint="eastAsia" w:ascii="宋体" w:cs="宋体"/>
                <w:color w:val="000000"/>
                <w:kern w:val="0"/>
                <w:sz w:val="22"/>
                <w:szCs w:val="22"/>
              </w:rPr>
              <w:br w:type="textWrapping"/>
            </w:r>
            <w:r>
              <w:rPr>
                <w:rFonts w:hint="eastAsia" w:ascii="宋体" w:cs="宋体"/>
                <w:color w:val="000000"/>
                <w:kern w:val="0"/>
                <w:sz w:val="22"/>
                <w:szCs w:val="22"/>
              </w:rPr>
              <w:t>计划完成时间：按照项目实施计划或相关规定完成该项目所需的时间。</w:t>
            </w:r>
          </w:p>
        </w:tc>
        <w:tc>
          <w:tcPr>
            <w:tcW w:w="2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68720B3">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15</w:t>
            </w:r>
          </w:p>
        </w:tc>
        <w:tc>
          <w:tcPr>
            <w:tcW w:w="7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42F1FD5">
            <w:pPr>
              <w:widowControl/>
              <w:spacing w:line="560" w:lineRule="exact"/>
              <w:jc w:val="center"/>
              <w:rPr>
                <w:rFonts w:ascii="宋体" w:cs="宋体"/>
                <w:color w:val="000000"/>
                <w:kern w:val="0"/>
                <w:sz w:val="22"/>
                <w:szCs w:val="22"/>
              </w:rPr>
            </w:pPr>
            <w:r>
              <w:rPr>
                <w:rFonts w:ascii="宋体" w:cs="宋体"/>
                <w:color w:val="000000"/>
                <w:kern w:val="0"/>
                <w:sz w:val="22"/>
                <w:szCs w:val="22"/>
              </w:rPr>
              <w:t>12</w:t>
            </w:r>
          </w:p>
        </w:tc>
      </w:tr>
      <w:tr w14:paraId="0FC23E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8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B18BDDA"/>
        </w:tc>
        <w:tc>
          <w:tcPr>
            <w:tcW w:w="181"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317A258">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产出成本</w:t>
            </w:r>
          </w:p>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570DB89">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成本节约率</w:t>
            </w:r>
          </w:p>
        </w:tc>
        <w:tc>
          <w:tcPr>
            <w:tcW w:w="1653"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2302117">
            <w:pPr>
              <w:widowControl/>
              <w:spacing w:line="240" w:lineRule="exact"/>
              <w:rPr>
                <w:rFonts w:ascii="宋体" w:cs="宋体"/>
                <w:color w:val="000000"/>
                <w:kern w:val="0"/>
                <w:sz w:val="22"/>
                <w:szCs w:val="22"/>
              </w:rPr>
            </w:pPr>
            <w:r>
              <w:rPr>
                <w:rFonts w:hint="eastAsia" w:ascii="宋体" w:cs="宋体"/>
                <w:color w:val="000000"/>
                <w:kern w:val="0"/>
                <w:sz w:val="22"/>
                <w:szCs w:val="22"/>
              </w:rPr>
              <w:t>完成项目计划工作目标的实际节约成本与计划成本的比率，用以反映和考核项目的成本节约程度。</w:t>
            </w:r>
          </w:p>
        </w:tc>
        <w:tc>
          <w:tcPr>
            <w:tcW w:w="2275"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D8D09A4">
            <w:pPr>
              <w:widowControl/>
              <w:spacing w:line="240" w:lineRule="exact"/>
              <w:rPr>
                <w:rFonts w:ascii="宋体" w:cs="宋体"/>
                <w:color w:val="000000"/>
                <w:kern w:val="0"/>
                <w:sz w:val="22"/>
                <w:szCs w:val="22"/>
              </w:rPr>
            </w:pPr>
            <w:r>
              <w:rPr>
                <w:rFonts w:hint="eastAsia" w:ascii="宋体" w:cs="宋体"/>
                <w:color w:val="000000"/>
                <w:kern w:val="0"/>
                <w:sz w:val="22"/>
                <w:szCs w:val="22"/>
              </w:rPr>
              <w:br w:type="textWrapping"/>
            </w:r>
            <w:r>
              <w:rPr>
                <w:rFonts w:hint="eastAsia" w:ascii="宋体" w:cs="宋体"/>
                <w:color w:val="000000"/>
                <w:kern w:val="0"/>
                <w:sz w:val="22"/>
                <w:szCs w:val="22"/>
              </w:rPr>
              <w:t>成本节约率=[（计划成本-实际成本）/计划成本]×100%。</w:t>
            </w:r>
            <w:r>
              <w:rPr>
                <w:rFonts w:hint="eastAsia" w:ascii="宋体" w:cs="宋体"/>
                <w:color w:val="000000"/>
                <w:kern w:val="0"/>
                <w:sz w:val="22"/>
                <w:szCs w:val="22"/>
              </w:rPr>
              <w:br w:type="textWrapping"/>
            </w:r>
            <w:r>
              <w:rPr>
                <w:rFonts w:hint="eastAsia" w:ascii="宋体" w:cs="宋体"/>
                <w:color w:val="000000"/>
                <w:kern w:val="0"/>
                <w:sz w:val="22"/>
                <w:szCs w:val="22"/>
              </w:rPr>
              <w:t>实际成本：项目实施单位如期、保质、保量完成既定工作目标实际所耗费的支出。</w:t>
            </w:r>
            <w:r>
              <w:rPr>
                <w:rFonts w:hint="eastAsia" w:ascii="宋体" w:cs="宋体"/>
                <w:color w:val="000000"/>
                <w:kern w:val="0"/>
                <w:sz w:val="22"/>
                <w:szCs w:val="22"/>
              </w:rPr>
              <w:br w:type="textWrapping"/>
            </w:r>
            <w:r>
              <w:rPr>
                <w:rFonts w:hint="eastAsia" w:ascii="宋体" w:cs="宋体"/>
                <w:color w:val="000000"/>
                <w:kern w:val="0"/>
                <w:sz w:val="22"/>
                <w:szCs w:val="22"/>
              </w:rPr>
              <w:t>计划成本：项目实施单位为完成工作目标计划安排的支出，一般以项目预算为参考。</w:t>
            </w:r>
          </w:p>
        </w:tc>
        <w:tc>
          <w:tcPr>
            <w:tcW w:w="2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D62FDA0">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10</w:t>
            </w:r>
          </w:p>
        </w:tc>
        <w:tc>
          <w:tcPr>
            <w:tcW w:w="7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E23C245">
            <w:pPr>
              <w:widowControl/>
              <w:spacing w:line="560" w:lineRule="exact"/>
              <w:jc w:val="center"/>
              <w:rPr>
                <w:rFonts w:ascii="宋体" w:cs="宋体"/>
                <w:color w:val="000000"/>
                <w:kern w:val="0"/>
                <w:sz w:val="22"/>
                <w:szCs w:val="22"/>
              </w:rPr>
            </w:pPr>
            <w:r>
              <w:rPr>
                <w:rFonts w:ascii="宋体" w:cs="宋体"/>
                <w:color w:val="000000"/>
                <w:kern w:val="0"/>
                <w:sz w:val="22"/>
                <w:szCs w:val="22"/>
              </w:rPr>
              <w:t>10</w:t>
            </w:r>
          </w:p>
        </w:tc>
      </w:tr>
      <w:tr w14:paraId="1E6A7E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8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6AF9C23">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效益　</w:t>
            </w:r>
          </w:p>
        </w:tc>
        <w:tc>
          <w:tcPr>
            <w:tcW w:w="181" w:type="pct"/>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E8A34EA">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项目效益　</w:t>
            </w:r>
          </w:p>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ACEFE80">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实施效益</w:t>
            </w:r>
          </w:p>
        </w:tc>
        <w:tc>
          <w:tcPr>
            <w:tcW w:w="1653"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F3BD9CC">
            <w:pPr>
              <w:widowControl/>
              <w:spacing w:line="240" w:lineRule="exact"/>
              <w:jc w:val="left"/>
              <w:rPr>
                <w:rFonts w:ascii="宋体" w:cs="宋体"/>
                <w:color w:val="000000"/>
                <w:kern w:val="0"/>
                <w:sz w:val="22"/>
                <w:szCs w:val="22"/>
              </w:rPr>
            </w:pPr>
            <w:r>
              <w:rPr>
                <w:rFonts w:hint="eastAsia" w:ascii="宋体" w:cs="宋体"/>
                <w:color w:val="000000"/>
                <w:kern w:val="0"/>
                <w:sz w:val="22"/>
                <w:szCs w:val="22"/>
              </w:rPr>
              <w:t>项目实施所产生的效益。</w:t>
            </w:r>
          </w:p>
        </w:tc>
        <w:tc>
          <w:tcPr>
            <w:tcW w:w="2275"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A516691">
            <w:pPr>
              <w:widowControl/>
              <w:spacing w:line="240" w:lineRule="exact"/>
              <w:rPr>
                <w:rFonts w:ascii="宋体" w:cs="宋体"/>
                <w:color w:val="000000"/>
                <w:kern w:val="0"/>
                <w:sz w:val="22"/>
                <w:szCs w:val="22"/>
              </w:rPr>
            </w:pPr>
            <w:r>
              <w:rPr>
                <w:rFonts w:hint="eastAsia" w:ascii="宋体" w:cs="宋体"/>
                <w:color w:val="000000"/>
                <w:kern w:val="0"/>
                <w:sz w:val="22"/>
                <w:szCs w:val="22"/>
              </w:rPr>
              <w:t>项目实施所产生的社会效益、经济效益、生态效益、可持续影响等。可根据项目实际情况有选择地设置和细化。</w:t>
            </w:r>
          </w:p>
        </w:tc>
        <w:tc>
          <w:tcPr>
            <w:tcW w:w="244"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B58A1A3">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30</w:t>
            </w:r>
          </w:p>
        </w:tc>
        <w:tc>
          <w:tcPr>
            <w:tcW w:w="73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4B56B7D">
            <w:pPr>
              <w:widowControl/>
              <w:spacing w:line="560" w:lineRule="exact"/>
              <w:jc w:val="center"/>
              <w:rPr>
                <w:rFonts w:ascii="宋体" w:cs="宋体"/>
                <w:color w:val="000000"/>
                <w:kern w:val="0"/>
                <w:sz w:val="22"/>
                <w:szCs w:val="22"/>
              </w:rPr>
            </w:pPr>
            <w:r>
              <w:rPr>
                <w:rFonts w:ascii="宋体" w:cs="宋体"/>
                <w:color w:val="000000"/>
                <w:kern w:val="0"/>
                <w:sz w:val="22"/>
                <w:szCs w:val="22"/>
              </w:rPr>
              <w:t>26</w:t>
            </w:r>
          </w:p>
        </w:tc>
      </w:tr>
      <w:tr w14:paraId="48935D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8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93FD53F"/>
        </w:tc>
        <w:tc>
          <w:tcPr>
            <w:tcW w:w="181" w:type="pct"/>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777DBCC"/>
        </w:tc>
        <w:tc>
          <w:tcPr>
            <w:tcW w:w="207" w:type="pc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5069FA6">
            <w:pPr>
              <w:widowControl/>
              <w:spacing w:line="240" w:lineRule="exact"/>
              <w:jc w:val="center"/>
              <w:rPr>
                <w:rFonts w:ascii="宋体" w:cs="宋体"/>
                <w:color w:val="000000"/>
                <w:kern w:val="0"/>
                <w:sz w:val="22"/>
                <w:szCs w:val="22"/>
              </w:rPr>
            </w:pPr>
            <w:r>
              <w:rPr>
                <w:rFonts w:hint="eastAsia" w:ascii="宋体" w:cs="宋体"/>
                <w:color w:val="000000"/>
                <w:kern w:val="0"/>
                <w:sz w:val="22"/>
                <w:szCs w:val="22"/>
              </w:rPr>
              <w:t>满意度</w:t>
            </w:r>
          </w:p>
        </w:tc>
        <w:tc>
          <w:tcPr>
            <w:tcW w:w="1653"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0096593">
            <w:pPr>
              <w:widowControl/>
              <w:spacing w:line="240" w:lineRule="exact"/>
              <w:rPr>
                <w:rFonts w:ascii="宋体" w:cs="宋体"/>
                <w:color w:val="000000"/>
                <w:kern w:val="0"/>
                <w:sz w:val="22"/>
                <w:szCs w:val="22"/>
              </w:rPr>
            </w:pPr>
            <w:r>
              <w:rPr>
                <w:rFonts w:hint="eastAsia" w:ascii="宋体" w:cs="宋体"/>
                <w:color w:val="000000"/>
                <w:kern w:val="0"/>
                <w:sz w:val="22"/>
                <w:szCs w:val="22"/>
              </w:rPr>
              <w:t>社会公众或服务对象对项目实施效果的满意程度。</w:t>
            </w:r>
          </w:p>
        </w:tc>
        <w:tc>
          <w:tcPr>
            <w:tcW w:w="2275"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E0FAEA1">
            <w:pPr>
              <w:widowControl/>
              <w:spacing w:line="240" w:lineRule="exact"/>
              <w:rPr>
                <w:rFonts w:ascii="宋体" w:cs="宋体"/>
                <w:color w:val="000000"/>
                <w:kern w:val="0"/>
                <w:sz w:val="22"/>
                <w:szCs w:val="22"/>
              </w:rPr>
            </w:pPr>
            <w:r>
              <w:rPr>
                <w:rFonts w:hint="eastAsia" w:ascii="宋体" w:cs="宋体"/>
                <w:color w:val="000000"/>
                <w:kern w:val="0"/>
                <w:sz w:val="22"/>
                <w:szCs w:val="22"/>
              </w:rPr>
              <w:t>社会公众或服务对象是指因该项目实施而受到影响的部门（单位）、群体或个人。一般采取社会调查的方式。</w:t>
            </w:r>
          </w:p>
        </w:tc>
        <w:tc>
          <w:tcPr>
            <w:tcW w:w="244" w:type="pct"/>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34FB742">
            <w:pPr>
              <w:widowControl/>
              <w:spacing w:line="560" w:lineRule="exact"/>
              <w:jc w:val="center"/>
              <w:rPr>
                <w:rFonts w:ascii="宋体" w:cs="宋体"/>
                <w:color w:val="000000"/>
                <w:kern w:val="0"/>
                <w:sz w:val="22"/>
                <w:szCs w:val="22"/>
              </w:rPr>
            </w:pPr>
            <w:r>
              <w:rPr>
                <w:rFonts w:hint="eastAsia" w:ascii="宋体" w:cs="宋体"/>
                <w:color w:val="000000"/>
                <w:kern w:val="0"/>
                <w:sz w:val="22"/>
                <w:szCs w:val="22"/>
              </w:rPr>
              <w:t>10</w:t>
            </w:r>
          </w:p>
        </w:tc>
        <w:tc>
          <w:tcPr>
            <w:tcW w:w="7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61F835D">
            <w:pPr>
              <w:widowControl/>
              <w:spacing w:line="560" w:lineRule="exact"/>
              <w:jc w:val="center"/>
              <w:rPr>
                <w:rFonts w:ascii="宋体" w:cs="宋体"/>
                <w:color w:val="000000"/>
                <w:kern w:val="0"/>
                <w:sz w:val="22"/>
                <w:szCs w:val="22"/>
              </w:rPr>
            </w:pPr>
            <w:r>
              <w:rPr>
                <w:rFonts w:ascii="宋体" w:cs="宋体"/>
                <w:color w:val="000000"/>
                <w:kern w:val="0"/>
                <w:sz w:val="22"/>
                <w:szCs w:val="22"/>
              </w:rPr>
              <w:t>10</w:t>
            </w:r>
          </w:p>
        </w:tc>
      </w:tr>
    </w:tbl>
    <w:p w14:paraId="50A7419A">
      <w:pPr>
        <w:spacing w:line="560" w:lineRule="exact"/>
        <w:rPr>
          <w:rStyle w:val="21"/>
          <w:rFonts w:ascii="黑体" w:eastAsia="黑体"/>
          <w:b w:val="0"/>
          <w:bCs w:val="0"/>
          <w:spacing w:val="-4"/>
          <w:sz w:val="32"/>
          <w:szCs w:val="32"/>
        </w:rPr>
        <w:sectPr>
          <w:pgSz w:w="16840" w:h="11907" w:orient="landscape"/>
          <w:pgMar w:top="1418" w:right="1418" w:bottom="1418" w:left="1418" w:header="851" w:footer="992" w:gutter="0"/>
          <w:cols w:space="720" w:num="1"/>
          <w:docGrid w:type="lines" w:linePitch="312" w:charSpace="0"/>
        </w:sectPr>
      </w:pPr>
    </w:p>
    <w:p w14:paraId="3B631821">
      <w:pPr>
        <w:pStyle w:val="17"/>
        <w:widowControl/>
        <w:spacing w:before="0" w:beforeAutospacing="0" w:after="0" w:afterAutospacing="0" w:line="52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项目支出绩效自评表</w:t>
      </w:r>
    </w:p>
    <w:p w14:paraId="68280C9C">
      <w:pPr>
        <w:pStyle w:val="17"/>
        <w:widowControl/>
        <w:spacing w:before="0" w:beforeAutospacing="0" w:after="0" w:afterAutospacing="0" w:line="520" w:lineRule="exact"/>
        <w:jc w:val="center"/>
        <w:rPr>
          <w:rFonts w:ascii="宋体" w:cs="宋体"/>
          <w:sz w:val="28"/>
          <w:szCs w:val="28"/>
        </w:rPr>
      </w:pPr>
      <w:r>
        <w:rPr>
          <w:rFonts w:hint="eastAsia" w:ascii="宋体" w:cs="宋体"/>
          <w:sz w:val="28"/>
          <w:szCs w:val="28"/>
        </w:rPr>
        <w:t>（2020年度）</w:t>
      </w:r>
    </w:p>
    <w:tbl>
      <w:tblPr>
        <w:tblStyle w:val="19"/>
        <w:tblW w:w="9445" w:type="dxa"/>
        <w:tblInd w:w="0" w:type="dxa"/>
        <w:tblLayout w:type="fixed"/>
        <w:tblCellMar>
          <w:top w:w="0" w:type="dxa"/>
          <w:left w:w="108" w:type="dxa"/>
          <w:bottom w:w="0" w:type="dxa"/>
          <w:right w:w="108" w:type="dxa"/>
        </w:tblCellMar>
      </w:tblPr>
      <w:tblGrid>
        <w:gridCol w:w="840"/>
        <w:gridCol w:w="750"/>
        <w:gridCol w:w="1059"/>
        <w:gridCol w:w="712"/>
        <w:gridCol w:w="840"/>
        <w:gridCol w:w="269"/>
        <w:gridCol w:w="1255"/>
        <w:gridCol w:w="995"/>
        <w:gridCol w:w="901"/>
        <w:gridCol w:w="1824"/>
      </w:tblGrid>
      <w:tr w14:paraId="75A665EC">
        <w:tblPrEx>
          <w:tblCellMar>
            <w:top w:w="0" w:type="dxa"/>
            <w:left w:w="108" w:type="dxa"/>
            <w:bottom w:w="0" w:type="dxa"/>
            <w:right w:w="108" w:type="dxa"/>
          </w:tblCellMar>
        </w:tblPrEx>
        <w:trPr>
          <w:trHeight w:val="435" w:hRule="atLeast"/>
        </w:trPr>
        <w:tc>
          <w:tcPr>
            <w:tcW w:w="159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6126319D">
            <w:pPr>
              <w:jc w:val="center"/>
              <w:rPr>
                <w:rFonts w:ascii="宋体" w:cs="Arial"/>
                <w:color w:val="000000"/>
                <w:sz w:val="18"/>
              </w:rPr>
            </w:pPr>
            <w:r>
              <w:rPr>
                <w:rFonts w:ascii="宋体" w:cs="Arial"/>
                <w:color w:val="000000"/>
                <w:sz w:val="18"/>
              </w:rPr>
              <w:t>项目名称</w:t>
            </w:r>
          </w:p>
        </w:tc>
        <w:tc>
          <w:tcPr>
            <w:tcW w:w="7855" w:type="dxa"/>
            <w:gridSpan w:val="8"/>
            <w:tcBorders>
              <w:top w:val="single" w:color="auto" w:sz="6" w:space="0"/>
              <w:left w:val="single" w:color="auto" w:sz="6" w:space="0"/>
              <w:bottom w:val="single" w:color="auto" w:sz="6" w:space="0"/>
              <w:right w:val="single" w:color="auto" w:sz="6" w:space="0"/>
              <w:tl2br w:val="nil"/>
              <w:tr2bl w:val="nil"/>
            </w:tcBorders>
            <w:noWrap/>
            <w:vAlign w:val="center"/>
          </w:tcPr>
          <w:p w14:paraId="00874980">
            <w:pPr>
              <w:jc w:val="center"/>
              <w:rPr>
                <w:rFonts w:ascii="宋体" w:cs="Arial"/>
                <w:color w:val="000000"/>
                <w:sz w:val="18"/>
              </w:rPr>
            </w:pPr>
            <w:r>
              <w:rPr>
                <w:rFonts w:ascii="宋体" w:cs="Arial"/>
                <w:color w:val="000000"/>
                <w:sz w:val="18"/>
              </w:rPr>
              <w:t>印刷费</w:t>
            </w:r>
          </w:p>
        </w:tc>
      </w:tr>
      <w:tr w14:paraId="7D40D4F3">
        <w:tblPrEx>
          <w:tblCellMar>
            <w:top w:w="0" w:type="dxa"/>
            <w:left w:w="108" w:type="dxa"/>
            <w:bottom w:w="0" w:type="dxa"/>
            <w:right w:w="108" w:type="dxa"/>
          </w:tblCellMar>
        </w:tblPrEx>
        <w:trPr>
          <w:trHeight w:val="468" w:hRule="atLeast"/>
        </w:trPr>
        <w:tc>
          <w:tcPr>
            <w:tcW w:w="1590"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773821A0">
            <w:pPr>
              <w:jc w:val="center"/>
              <w:rPr>
                <w:rFonts w:ascii="宋体" w:cs="Arial"/>
                <w:color w:val="000000"/>
                <w:sz w:val="18"/>
              </w:rPr>
            </w:pPr>
            <w:r>
              <w:rPr>
                <w:rFonts w:ascii="宋体" w:cs="Arial"/>
                <w:color w:val="000000"/>
                <w:sz w:val="18"/>
              </w:rPr>
              <w:t>主管部门</w:t>
            </w:r>
          </w:p>
        </w:tc>
        <w:tc>
          <w:tcPr>
            <w:tcW w:w="4135" w:type="dxa"/>
            <w:gridSpan w:val="5"/>
            <w:tcBorders>
              <w:top w:val="single" w:color="auto" w:sz="6" w:space="0"/>
              <w:left w:val="single" w:color="auto" w:sz="6" w:space="0"/>
              <w:bottom w:val="single" w:color="auto" w:sz="6" w:space="0"/>
              <w:right w:val="single" w:color="auto" w:sz="6" w:space="0"/>
              <w:tl2br w:val="nil"/>
              <w:tr2bl w:val="nil"/>
            </w:tcBorders>
            <w:noWrap/>
            <w:vAlign w:val="center"/>
          </w:tcPr>
          <w:p w14:paraId="3BDFB3A2">
            <w:pPr>
              <w:jc w:val="center"/>
              <w:rPr>
                <w:rFonts w:ascii="宋体" w:cs="Arial"/>
                <w:color w:val="000000"/>
                <w:sz w:val="18"/>
              </w:rPr>
            </w:pPr>
          </w:p>
        </w:tc>
        <w:tc>
          <w:tcPr>
            <w:tcW w:w="1896"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63B9E43B">
            <w:pPr>
              <w:jc w:val="center"/>
              <w:rPr>
                <w:rFonts w:ascii="宋体" w:cs="Arial"/>
                <w:color w:val="000000"/>
                <w:sz w:val="18"/>
              </w:rPr>
            </w:pPr>
            <w:r>
              <w:rPr>
                <w:rFonts w:ascii="宋体" w:cs="Arial"/>
                <w:color w:val="000000"/>
                <w:sz w:val="18"/>
              </w:rPr>
              <w:t>实施单位</w:t>
            </w:r>
          </w:p>
        </w:tc>
        <w:tc>
          <w:tcPr>
            <w:tcW w:w="1824" w:type="dxa"/>
            <w:tcBorders>
              <w:top w:val="single" w:color="auto" w:sz="6" w:space="0"/>
              <w:left w:val="single" w:color="auto" w:sz="6" w:space="0"/>
              <w:bottom w:val="single" w:color="auto" w:sz="6" w:space="0"/>
              <w:right w:val="single" w:color="auto" w:sz="6" w:space="0"/>
              <w:tl2br w:val="nil"/>
              <w:tr2bl w:val="nil"/>
            </w:tcBorders>
            <w:noWrap/>
            <w:vAlign w:val="center"/>
          </w:tcPr>
          <w:p w14:paraId="215ACCC0">
            <w:pPr>
              <w:jc w:val="center"/>
              <w:rPr>
                <w:rFonts w:ascii="宋体" w:cs="Arial"/>
                <w:color w:val="000000"/>
                <w:sz w:val="18"/>
              </w:rPr>
            </w:pPr>
            <w:r>
              <w:rPr>
                <w:rFonts w:ascii="宋体" w:cs="Arial"/>
                <w:color w:val="000000"/>
                <w:sz w:val="18"/>
              </w:rPr>
              <w:t>文学艺术服务中心</w:t>
            </w:r>
          </w:p>
        </w:tc>
      </w:tr>
      <w:tr w14:paraId="07A70930">
        <w:tblPrEx>
          <w:tblCellMar>
            <w:top w:w="0" w:type="dxa"/>
            <w:left w:w="108" w:type="dxa"/>
            <w:bottom w:w="0" w:type="dxa"/>
            <w:right w:w="108" w:type="dxa"/>
          </w:tblCellMar>
        </w:tblPrEx>
        <w:trPr>
          <w:trHeight w:val="603" w:hRule="atLeast"/>
        </w:trPr>
        <w:tc>
          <w:tcPr>
            <w:tcW w:w="1590" w:type="dxa"/>
            <w:gridSpan w:val="2"/>
            <w:vMerge w:val="restart"/>
            <w:tcBorders>
              <w:top w:val="single" w:color="auto" w:sz="6" w:space="0"/>
              <w:left w:val="single" w:color="auto" w:sz="6" w:space="0"/>
              <w:right w:val="single" w:color="auto" w:sz="6" w:space="0"/>
              <w:tl2br w:val="nil"/>
              <w:tr2bl w:val="nil"/>
            </w:tcBorders>
            <w:noWrap/>
            <w:vAlign w:val="center"/>
          </w:tcPr>
          <w:p w14:paraId="1A51F2BF">
            <w:pPr>
              <w:jc w:val="center"/>
              <w:rPr>
                <w:rFonts w:ascii="宋体" w:cs="Arial"/>
                <w:color w:val="000000"/>
                <w:sz w:val="18"/>
              </w:rPr>
            </w:pPr>
            <w:r>
              <w:rPr>
                <w:rFonts w:ascii="宋体" w:cs="Arial"/>
                <w:color w:val="000000"/>
                <w:sz w:val="18"/>
              </w:rPr>
              <w:t>项目资金</w:t>
            </w:r>
          </w:p>
          <w:p w14:paraId="63EFB3E9">
            <w:pPr>
              <w:jc w:val="center"/>
              <w:rPr>
                <w:rFonts w:ascii="宋体" w:cs="Arial"/>
                <w:color w:val="000000"/>
                <w:sz w:val="18"/>
              </w:rPr>
            </w:pPr>
            <w:r>
              <w:rPr>
                <w:rFonts w:ascii="宋体" w:cs="Arial"/>
                <w:color w:val="000000"/>
                <w:sz w:val="18"/>
              </w:rPr>
              <w:t>（万元）</w:t>
            </w:r>
          </w:p>
        </w:tc>
        <w:tc>
          <w:tcPr>
            <w:tcW w:w="1771"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3482F250">
            <w:pPr>
              <w:rPr>
                <w:sz w:val="24"/>
              </w:rPr>
            </w:pPr>
          </w:p>
        </w:tc>
        <w:tc>
          <w:tcPr>
            <w:tcW w:w="840" w:type="dxa"/>
            <w:tcBorders>
              <w:top w:val="single" w:color="auto" w:sz="6" w:space="0"/>
              <w:left w:val="single" w:color="auto" w:sz="6" w:space="0"/>
              <w:bottom w:val="single" w:color="auto" w:sz="6" w:space="0"/>
              <w:right w:val="single" w:color="auto" w:sz="6" w:space="0"/>
              <w:tl2br w:val="nil"/>
              <w:tr2bl w:val="nil"/>
            </w:tcBorders>
            <w:noWrap/>
            <w:vAlign w:val="center"/>
          </w:tcPr>
          <w:p w14:paraId="29A7962F">
            <w:pPr>
              <w:jc w:val="center"/>
              <w:rPr>
                <w:rFonts w:ascii="宋体" w:cs="Arial"/>
                <w:color w:val="000000"/>
                <w:sz w:val="18"/>
              </w:rPr>
            </w:pPr>
            <w:r>
              <w:rPr>
                <w:rFonts w:ascii="宋体" w:cs="Arial"/>
                <w:color w:val="000000"/>
                <w:sz w:val="18"/>
              </w:rPr>
              <w:t>年初预算数</w:t>
            </w:r>
          </w:p>
        </w:tc>
        <w:tc>
          <w:tcPr>
            <w:tcW w:w="1524"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6112BD65">
            <w:pPr>
              <w:jc w:val="center"/>
              <w:rPr>
                <w:rFonts w:ascii="宋体" w:cs="Arial"/>
                <w:color w:val="000000"/>
                <w:sz w:val="18"/>
              </w:rPr>
            </w:pPr>
            <w:r>
              <w:rPr>
                <w:rFonts w:ascii="宋体" w:cs="Arial"/>
                <w:color w:val="000000"/>
                <w:sz w:val="18"/>
              </w:rPr>
              <w:t>全年预算数</w:t>
            </w:r>
          </w:p>
        </w:tc>
        <w:tc>
          <w:tcPr>
            <w:tcW w:w="1896"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2BA2179F">
            <w:pPr>
              <w:jc w:val="center"/>
              <w:rPr>
                <w:rFonts w:ascii="宋体" w:cs="Arial"/>
                <w:color w:val="000000"/>
                <w:sz w:val="18"/>
              </w:rPr>
            </w:pPr>
            <w:r>
              <w:rPr>
                <w:rFonts w:ascii="宋体" w:cs="Arial"/>
                <w:color w:val="000000"/>
                <w:sz w:val="18"/>
              </w:rPr>
              <w:t>全年执行数</w:t>
            </w:r>
          </w:p>
        </w:tc>
        <w:tc>
          <w:tcPr>
            <w:tcW w:w="1824" w:type="dxa"/>
            <w:tcBorders>
              <w:top w:val="single" w:color="auto" w:sz="6" w:space="0"/>
              <w:left w:val="single" w:color="auto" w:sz="6" w:space="0"/>
              <w:bottom w:val="single" w:color="auto" w:sz="6" w:space="0"/>
              <w:right w:val="single" w:color="auto" w:sz="6" w:space="0"/>
              <w:tl2br w:val="nil"/>
              <w:tr2bl w:val="nil"/>
            </w:tcBorders>
            <w:noWrap/>
            <w:vAlign w:val="center"/>
          </w:tcPr>
          <w:p w14:paraId="501032C8">
            <w:pPr>
              <w:jc w:val="center"/>
              <w:rPr>
                <w:rFonts w:ascii="宋体" w:cs="Arial"/>
                <w:color w:val="000000"/>
                <w:sz w:val="18"/>
              </w:rPr>
            </w:pPr>
            <w:r>
              <w:rPr>
                <w:rFonts w:ascii="宋体" w:cs="Arial"/>
                <w:color w:val="000000"/>
                <w:sz w:val="18"/>
              </w:rPr>
              <w:t>执行率</w:t>
            </w:r>
          </w:p>
        </w:tc>
      </w:tr>
      <w:tr w14:paraId="49996152">
        <w:tblPrEx>
          <w:tblCellMar>
            <w:top w:w="0" w:type="dxa"/>
            <w:left w:w="108" w:type="dxa"/>
            <w:bottom w:w="0" w:type="dxa"/>
            <w:right w:w="108" w:type="dxa"/>
          </w:tblCellMar>
        </w:tblPrEx>
        <w:trPr>
          <w:trHeight w:val="454" w:hRule="atLeast"/>
        </w:trPr>
        <w:tc>
          <w:tcPr>
            <w:tcW w:w="1590" w:type="dxa"/>
            <w:gridSpan w:val="2"/>
            <w:vMerge w:val="continue"/>
            <w:tcBorders>
              <w:left w:val="single" w:color="auto" w:sz="6" w:space="0"/>
              <w:right w:val="single" w:color="auto" w:sz="6" w:space="0"/>
              <w:tl2br w:val="nil"/>
              <w:tr2bl w:val="nil"/>
            </w:tcBorders>
            <w:noWrap/>
            <w:vAlign w:val="center"/>
          </w:tcPr>
          <w:p w14:paraId="17F8F7CB">
            <w:pPr>
              <w:jc w:val="center"/>
              <w:rPr>
                <w:rFonts w:ascii="宋体" w:cs="Arial"/>
                <w:color w:val="000000"/>
                <w:sz w:val="18"/>
              </w:rPr>
            </w:pPr>
          </w:p>
        </w:tc>
        <w:tc>
          <w:tcPr>
            <w:tcW w:w="1771"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3FB30A7D">
            <w:pPr>
              <w:jc w:val="center"/>
              <w:rPr>
                <w:rFonts w:ascii="宋体" w:cs="Arial"/>
                <w:color w:val="000000"/>
                <w:sz w:val="18"/>
              </w:rPr>
            </w:pPr>
            <w:r>
              <w:rPr>
                <w:rFonts w:ascii="宋体" w:cs="Arial"/>
                <w:color w:val="000000"/>
                <w:sz w:val="18"/>
              </w:rPr>
              <w:t>年度资金总额</w:t>
            </w:r>
          </w:p>
        </w:tc>
        <w:tc>
          <w:tcPr>
            <w:tcW w:w="840" w:type="dxa"/>
            <w:tcBorders>
              <w:top w:val="single" w:color="auto" w:sz="6" w:space="0"/>
              <w:left w:val="single" w:color="auto" w:sz="6" w:space="0"/>
              <w:bottom w:val="single" w:color="auto" w:sz="6" w:space="0"/>
              <w:right w:val="single" w:color="auto" w:sz="6" w:space="0"/>
              <w:tl2br w:val="nil"/>
              <w:tr2bl w:val="nil"/>
            </w:tcBorders>
            <w:noWrap/>
            <w:vAlign w:val="center"/>
          </w:tcPr>
          <w:p w14:paraId="1C497D04">
            <w:pPr>
              <w:jc w:val="center"/>
              <w:rPr>
                <w:rFonts w:ascii="宋体" w:cs="Arial"/>
                <w:color w:val="000000"/>
                <w:sz w:val="18"/>
              </w:rPr>
            </w:pPr>
            <w:r>
              <w:rPr>
                <w:rFonts w:ascii="宋体" w:cs="Arial"/>
                <w:color w:val="000000"/>
                <w:sz w:val="18"/>
              </w:rPr>
              <w:t>36</w:t>
            </w:r>
          </w:p>
        </w:tc>
        <w:tc>
          <w:tcPr>
            <w:tcW w:w="1524"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3E7DFD4B">
            <w:pPr>
              <w:jc w:val="center"/>
              <w:rPr>
                <w:rFonts w:ascii="宋体" w:cs="Arial"/>
                <w:color w:val="000000"/>
                <w:sz w:val="18"/>
              </w:rPr>
            </w:pPr>
            <w:r>
              <w:rPr>
                <w:rFonts w:ascii="宋体" w:cs="Arial"/>
                <w:color w:val="000000"/>
                <w:sz w:val="18"/>
              </w:rPr>
              <w:t>36</w:t>
            </w:r>
          </w:p>
        </w:tc>
        <w:tc>
          <w:tcPr>
            <w:tcW w:w="1896"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7B9073F2">
            <w:pPr>
              <w:jc w:val="center"/>
              <w:rPr>
                <w:rFonts w:hint="default" w:ascii="宋体" w:eastAsia="宋体" w:cs="Arial"/>
                <w:color w:val="000000"/>
                <w:sz w:val="18"/>
                <w:lang w:val="en-US" w:eastAsia="zh-CN"/>
              </w:rPr>
            </w:pPr>
            <w:r>
              <w:rPr>
                <w:rFonts w:hint="eastAsia" w:ascii="宋体" w:cs="Arial"/>
                <w:color w:val="000000"/>
                <w:sz w:val="18"/>
                <w:lang w:val="en-US" w:eastAsia="zh-CN"/>
              </w:rPr>
              <w:t>35.98</w:t>
            </w:r>
          </w:p>
        </w:tc>
        <w:tc>
          <w:tcPr>
            <w:tcW w:w="1824" w:type="dxa"/>
            <w:tcBorders>
              <w:top w:val="single" w:color="auto" w:sz="6" w:space="0"/>
              <w:left w:val="single" w:color="auto" w:sz="6" w:space="0"/>
              <w:bottom w:val="single" w:color="auto" w:sz="6" w:space="0"/>
              <w:right w:val="single" w:color="auto" w:sz="6" w:space="0"/>
              <w:tl2br w:val="nil"/>
              <w:tr2bl w:val="nil"/>
            </w:tcBorders>
            <w:noWrap/>
            <w:vAlign w:val="center"/>
          </w:tcPr>
          <w:p w14:paraId="64723240">
            <w:pPr>
              <w:jc w:val="center"/>
              <w:rPr>
                <w:rFonts w:ascii="宋体" w:cs="Arial"/>
                <w:color w:val="000000"/>
                <w:sz w:val="18"/>
              </w:rPr>
            </w:pPr>
            <w:r>
              <w:rPr>
                <w:rFonts w:hint="eastAsia" w:ascii="宋体" w:cs="Arial"/>
                <w:color w:val="000000"/>
                <w:sz w:val="18"/>
                <w:lang w:val="en-US" w:eastAsia="zh-CN"/>
              </w:rPr>
              <w:t>92.25</w:t>
            </w:r>
            <w:r>
              <w:rPr>
                <w:rFonts w:ascii="宋体" w:cs="Arial"/>
                <w:color w:val="000000"/>
                <w:sz w:val="18"/>
              </w:rPr>
              <w:t>%</w:t>
            </w:r>
          </w:p>
        </w:tc>
      </w:tr>
      <w:tr w14:paraId="242D7751">
        <w:tblPrEx>
          <w:tblCellMar>
            <w:top w:w="0" w:type="dxa"/>
            <w:left w:w="108" w:type="dxa"/>
            <w:bottom w:w="0" w:type="dxa"/>
            <w:right w:w="108" w:type="dxa"/>
          </w:tblCellMar>
        </w:tblPrEx>
        <w:trPr>
          <w:trHeight w:val="376" w:hRule="atLeast"/>
        </w:trPr>
        <w:tc>
          <w:tcPr>
            <w:tcW w:w="1590" w:type="dxa"/>
            <w:gridSpan w:val="2"/>
            <w:vMerge w:val="continue"/>
            <w:tcBorders>
              <w:left w:val="single" w:color="auto" w:sz="6" w:space="0"/>
              <w:right w:val="single" w:color="auto" w:sz="6" w:space="0"/>
              <w:tl2br w:val="nil"/>
              <w:tr2bl w:val="nil"/>
            </w:tcBorders>
            <w:noWrap/>
            <w:vAlign w:val="center"/>
          </w:tcPr>
          <w:p w14:paraId="499F82E3">
            <w:pPr>
              <w:jc w:val="center"/>
              <w:rPr>
                <w:rFonts w:ascii="宋体" w:cs="Arial"/>
                <w:color w:val="000000"/>
                <w:sz w:val="22"/>
              </w:rPr>
            </w:pPr>
          </w:p>
        </w:tc>
        <w:tc>
          <w:tcPr>
            <w:tcW w:w="1771"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50FC9471">
            <w:pPr>
              <w:jc w:val="center"/>
              <w:rPr>
                <w:rFonts w:ascii="宋体" w:cs="Arial"/>
                <w:color w:val="000000"/>
                <w:sz w:val="18"/>
              </w:rPr>
            </w:pPr>
            <w:r>
              <w:rPr>
                <w:rFonts w:ascii="宋体" w:cs="Arial"/>
                <w:color w:val="000000"/>
                <w:sz w:val="18"/>
              </w:rPr>
              <w:t>其中：当年财政拨款</w:t>
            </w:r>
          </w:p>
        </w:tc>
        <w:tc>
          <w:tcPr>
            <w:tcW w:w="840" w:type="dxa"/>
            <w:tcBorders>
              <w:top w:val="single" w:color="auto" w:sz="6" w:space="0"/>
              <w:left w:val="single" w:color="auto" w:sz="6" w:space="0"/>
              <w:bottom w:val="single" w:color="auto" w:sz="6" w:space="0"/>
              <w:right w:val="single" w:color="auto" w:sz="6" w:space="0"/>
              <w:tl2br w:val="nil"/>
              <w:tr2bl w:val="nil"/>
            </w:tcBorders>
            <w:noWrap/>
            <w:vAlign w:val="center"/>
          </w:tcPr>
          <w:p w14:paraId="0E353CB7">
            <w:pPr>
              <w:jc w:val="center"/>
              <w:rPr>
                <w:rFonts w:ascii="宋体" w:cs="Arial"/>
                <w:color w:val="000000"/>
                <w:sz w:val="18"/>
              </w:rPr>
            </w:pPr>
            <w:r>
              <w:rPr>
                <w:rFonts w:ascii="宋体" w:cs="Arial"/>
                <w:color w:val="000000"/>
                <w:sz w:val="18"/>
              </w:rPr>
              <w:t>36.00</w:t>
            </w:r>
          </w:p>
        </w:tc>
        <w:tc>
          <w:tcPr>
            <w:tcW w:w="1524"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15803660">
            <w:pPr>
              <w:jc w:val="center"/>
              <w:rPr>
                <w:rFonts w:ascii="宋体" w:cs="Arial"/>
                <w:color w:val="000000"/>
                <w:sz w:val="18"/>
              </w:rPr>
            </w:pPr>
            <w:r>
              <w:rPr>
                <w:rFonts w:ascii="宋体" w:cs="Arial"/>
                <w:color w:val="000000"/>
                <w:sz w:val="18"/>
              </w:rPr>
              <w:t>36.00</w:t>
            </w:r>
          </w:p>
        </w:tc>
        <w:tc>
          <w:tcPr>
            <w:tcW w:w="1896"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19F225BE">
            <w:pPr>
              <w:jc w:val="center"/>
              <w:rPr>
                <w:rFonts w:ascii="宋体" w:cs="Arial"/>
                <w:color w:val="000000"/>
                <w:sz w:val="18"/>
              </w:rPr>
            </w:pPr>
            <w:r>
              <w:rPr>
                <w:rFonts w:hint="eastAsia" w:ascii="宋体" w:cs="Arial"/>
                <w:color w:val="000000"/>
                <w:sz w:val="18"/>
                <w:lang w:val="en-US" w:eastAsia="zh-CN"/>
              </w:rPr>
              <w:t>35.98</w:t>
            </w:r>
          </w:p>
        </w:tc>
        <w:tc>
          <w:tcPr>
            <w:tcW w:w="1824" w:type="dxa"/>
            <w:tcBorders>
              <w:top w:val="single" w:color="auto" w:sz="6" w:space="0"/>
              <w:left w:val="single" w:color="auto" w:sz="6" w:space="0"/>
              <w:bottom w:val="single" w:color="auto" w:sz="6" w:space="0"/>
              <w:right w:val="single" w:color="auto" w:sz="6" w:space="0"/>
              <w:tl2br w:val="nil"/>
              <w:tr2bl w:val="nil"/>
            </w:tcBorders>
            <w:noWrap/>
            <w:vAlign w:val="center"/>
          </w:tcPr>
          <w:p w14:paraId="76C2E070">
            <w:pPr>
              <w:jc w:val="center"/>
              <w:rPr>
                <w:rFonts w:ascii="宋体" w:cs="Arial"/>
                <w:color w:val="000000"/>
                <w:sz w:val="18"/>
              </w:rPr>
            </w:pPr>
            <w:r>
              <w:rPr>
                <w:rFonts w:ascii="宋体" w:cs="Arial"/>
                <w:color w:val="000000"/>
                <w:sz w:val="18"/>
              </w:rPr>
              <w:t>—</w:t>
            </w:r>
          </w:p>
        </w:tc>
      </w:tr>
      <w:tr w14:paraId="30185E6D">
        <w:tblPrEx>
          <w:tblCellMar>
            <w:top w:w="0" w:type="dxa"/>
            <w:left w:w="108" w:type="dxa"/>
            <w:bottom w:w="0" w:type="dxa"/>
            <w:right w:w="108" w:type="dxa"/>
          </w:tblCellMar>
        </w:tblPrEx>
        <w:trPr>
          <w:trHeight w:val="603" w:hRule="atLeast"/>
        </w:trPr>
        <w:tc>
          <w:tcPr>
            <w:tcW w:w="1590" w:type="dxa"/>
            <w:gridSpan w:val="2"/>
            <w:vMerge w:val="continue"/>
            <w:tcBorders>
              <w:left w:val="single" w:color="auto" w:sz="6" w:space="0"/>
              <w:right w:val="single" w:color="auto" w:sz="6" w:space="0"/>
              <w:tl2br w:val="nil"/>
              <w:tr2bl w:val="nil"/>
            </w:tcBorders>
            <w:noWrap/>
            <w:vAlign w:val="center"/>
          </w:tcPr>
          <w:p w14:paraId="5B4B549E">
            <w:pPr>
              <w:jc w:val="center"/>
              <w:rPr>
                <w:rFonts w:ascii="宋体" w:cs="Arial"/>
                <w:color w:val="000000"/>
                <w:sz w:val="22"/>
              </w:rPr>
            </w:pPr>
          </w:p>
        </w:tc>
        <w:tc>
          <w:tcPr>
            <w:tcW w:w="1771"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3F83F93A">
            <w:pPr>
              <w:jc w:val="center"/>
              <w:rPr>
                <w:rFonts w:ascii="宋体" w:cs="Arial"/>
                <w:color w:val="000000"/>
                <w:sz w:val="18"/>
              </w:rPr>
            </w:pPr>
            <w:r>
              <w:rPr>
                <w:rFonts w:ascii="宋体" w:cs="Arial"/>
                <w:color w:val="000000"/>
                <w:sz w:val="18"/>
              </w:rPr>
              <w:t xml:space="preserve">      上年结转资金</w:t>
            </w:r>
          </w:p>
        </w:tc>
        <w:tc>
          <w:tcPr>
            <w:tcW w:w="840" w:type="dxa"/>
            <w:tcBorders>
              <w:top w:val="single" w:color="auto" w:sz="6" w:space="0"/>
              <w:left w:val="single" w:color="auto" w:sz="6" w:space="0"/>
              <w:bottom w:val="single" w:color="auto" w:sz="6" w:space="0"/>
              <w:right w:val="single" w:color="auto" w:sz="6" w:space="0"/>
              <w:tl2br w:val="nil"/>
              <w:tr2bl w:val="nil"/>
            </w:tcBorders>
            <w:noWrap/>
            <w:vAlign w:val="center"/>
          </w:tcPr>
          <w:p w14:paraId="258F7DA2">
            <w:pPr>
              <w:jc w:val="center"/>
              <w:rPr>
                <w:rFonts w:ascii="宋体" w:cs="Arial"/>
                <w:color w:val="000000"/>
                <w:sz w:val="18"/>
              </w:rPr>
            </w:pPr>
            <w:r>
              <w:rPr>
                <w:rFonts w:ascii="宋体" w:cs="Arial"/>
                <w:color w:val="000000"/>
                <w:sz w:val="18"/>
              </w:rPr>
              <w:t>—</w:t>
            </w:r>
          </w:p>
        </w:tc>
        <w:tc>
          <w:tcPr>
            <w:tcW w:w="1524"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012C3991">
            <w:pPr>
              <w:jc w:val="center"/>
              <w:rPr>
                <w:rFonts w:ascii="宋体" w:cs="Arial"/>
                <w:color w:val="000000"/>
                <w:sz w:val="18"/>
              </w:rPr>
            </w:pPr>
            <w:r>
              <w:rPr>
                <w:rFonts w:ascii="宋体" w:cs="Arial"/>
                <w:color w:val="000000"/>
                <w:sz w:val="18"/>
              </w:rPr>
              <w:t>—</w:t>
            </w:r>
          </w:p>
        </w:tc>
        <w:tc>
          <w:tcPr>
            <w:tcW w:w="1896"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1D3E4439">
            <w:pPr>
              <w:jc w:val="center"/>
              <w:rPr>
                <w:rFonts w:ascii="宋体" w:cs="Arial"/>
                <w:color w:val="000000"/>
                <w:sz w:val="18"/>
              </w:rPr>
            </w:pPr>
            <w:r>
              <w:rPr>
                <w:rFonts w:ascii="宋体" w:cs="Arial"/>
                <w:color w:val="000000"/>
                <w:sz w:val="18"/>
              </w:rPr>
              <w:t>—</w:t>
            </w:r>
          </w:p>
        </w:tc>
        <w:tc>
          <w:tcPr>
            <w:tcW w:w="1824" w:type="dxa"/>
            <w:tcBorders>
              <w:top w:val="single" w:color="auto" w:sz="6" w:space="0"/>
              <w:left w:val="single" w:color="auto" w:sz="6" w:space="0"/>
              <w:bottom w:val="single" w:color="auto" w:sz="6" w:space="0"/>
              <w:right w:val="single" w:color="auto" w:sz="6" w:space="0"/>
              <w:tl2br w:val="nil"/>
              <w:tr2bl w:val="nil"/>
            </w:tcBorders>
            <w:noWrap/>
            <w:vAlign w:val="center"/>
          </w:tcPr>
          <w:p w14:paraId="4A9DC8F8">
            <w:pPr>
              <w:jc w:val="center"/>
              <w:rPr>
                <w:rFonts w:ascii="宋体" w:cs="Arial"/>
                <w:color w:val="000000"/>
                <w:sz w:val="18"/>
              </w:rPr>
            </w:pPr>
            <w:r>
              <w:rPr>
                <w:rFonts w:ascii="宋体" w:cs="Arial"/>
                <w:color w:val="000000"/>
                <w:sz w:val="18"/>
              </w:rPr>
              <w:t>—</w:t>
            </w:r>
          </w:p>
        </w:tc>
      </w:tr>
      <w:tr w14:paraId="63AE503E">
        <w:tblPrEx>
          <w:tblCellMar>
            <w:top w:w="0" w:type="dxa"/>
            <w:left w:w="108" w:type="dxa"/>
            <w:bottom w:w="0" w:type="dxa"/>
            <w:right w:w="108" w:type="dxa"/>
          </w:tblCellMar>
        </w:tblPrEx>
        <w:trPr>
          <w:trHeight w:val="301" w:hRule="atLeast"/>
        </w:trPr>
        <w:tc>
          <w:tcPr>
            <w:tcW w:w="1590" w:type="dxa"/>
            <w:gridSpan w:val="2"/>
            <w:vMerge w:val="continue"/>
            <w:tcBorders>
              <w:left w:val="single" w:color="auto" w:sz="6" w:space="0"/>
              <w:bottom w:val="single" w:color="auto" w:sz="6" w:space="0"/>
              <w:right w:val="single" w:color="auto" w:sz="6" w:space="0"/>
              <w:tl2br w:val="nil"/>
              <w:tr2bl w:val="nil"/>
            </w:tcBorders>
            <w:noWrap/>
            <w:vAlign w:val="center"/>
          </w:tcPr>
          <w:p w14:paraId="21483D78">
            <w:pPr>
              <w:jc w:val="center"/>
              <w:rPr>
                <w:rFonts w:ascii="宋体" w:cs="Arial"/>
                <w:color w:val="000000"/>
                <w:sz w:val="22"/>
              </w:rPr>
            </w:pPr>
          </w:p>
        </w:tc>
        <w:tc>
          <w:tcPr>
            <w:tcW w:w="1771"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7D885216">
            <w:pPr>
              <w:jc w:val="center"/>
              <w:rPr>
                <w:rFonts w:ascii="宋体" w:cs="Arial"/>
                <w:color w:val="000000"/>
                <w:sz w:val="18"/>
              </w:rPr>
            </w:pPr>
            <w:r>
              <w:rPr>
                <w:rFonts w:ascii="宋体" w:cs="Arial"/>
                <w:color w:val="000000"/>
                <w:sz w:val="18"/>
              </w:rPr>
              <w:t xml:space="preserve">  其他资金</w:t>
            </w:r>
          </w:p>
        </w:tc>
        <w:tc>
          <w:tcPr>
            <w:tcW w:w="840" w:type="dxa"/>
            <w:tcBorders>
              <w:top w:val="single" w:color="auto" w:sz="6" w:space="0"/>
              <w:left w:val="single" w:color="auto" w:sz="6" w:space="0"/>
              <w:bottom w:val="single" w:color="auto" w:sz="6" w:space="0"/>
              <w:right w:val="single" w:color="auto" w:sz="6" w:space="0"/>
              <w:tl2br w:val="nil"/>
              <w:tr2bl w:val="nil"/>
            </w:tcBorders>
            <w:noWrap/>
            <w:vAlign w:val="center"/>
          </w:tcPr>
          <w:p w14:paraId="699AC793">
            <w:pPr>
              <w:jc w:val="center"/>
              <w:rPr>
                <w:rFonts w:ascii="宋体" w:cs="Arial"/>
                <w:color w:val="000000"/>
                <w:sz w:val="18"/>
              </w:rPr>
            </w:pPr>
            <w:r>
              <w:rPr>
                <w:rFonts w:ascii="宋体" w:cs="Arial"/>
                <w:color w:val="000000"/>
                <w:sz w:val="18"/>
              </w:rPr>
              <w:t>—</w:t>
            </w:r>
          </w:p>
        </w:tc>
        <w:tc>
          <w:tcPr>
            <w:tcW w:w="1524"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46E95B42">
            <w:pPr>
              <w:jc w:val="center"/>
              <w:rPr>
                <w:rFonts w:ascii="宋体" w:cs="Arial"/>
                <w:color w:val="000000"/>
                <w:sz w:val="18"/>
              </w:rPr>
            </w:pPr>
            <w:r>
              <w:rPr>
                <w:rFonts w:ascii="宋体" w:cs="Arial"/>
                <w:color w:val="000000"/>
                <w:sz w:val="18"/>
              </w:rPr>
              <w:t>—</w:t>
            </w:r>
          </w:p>
        </w:tc>
        <w:tc>
          <w:tcPr>
            <w:tcW w:w="1896"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083B053F">
            <w:pPr>
              <w:jc w:val="center"/>
              <w:rPr>
                <w:rFonts w:ascii="宋体" w:cs="Arial"/>
                <w:color w:val="000000"/>
                <w:sz w:val="18"/>
              </w:rPr>
            </w:pPr>
            <w:r>
              <w:rPr>
                <w:rFonts w:ascii="宋体" w:cs="Arial"/>
                <w:color w:val="000000"/>
                <w:sz w:val="18"/>
              </w:rPr>
              <w:t>—</w:t>
            </w:r>
          </w:p>
        </w:tc>
        <w:tc>
          <w:tcPr>
            <w:tcW w:w="1824" w:type="dxa"/>
            <w:tcBorders>
              <w:top w:val="single" w:color="auto" w:sz="6" w:space="0"/>
              <w:left w:val="single" w:color="auto" w:sz="6" w:space="0"/>
              <w:bottom w:val="single" w:color="auto" w:sz="6" w:space="0"/>
              <w:right w:val="single" w:color="auto" w:sz="6" w:space="0"/>
              <w:tl2br w:val="nil"/>
              <w:tr2bl w:val="nil"/>
            </w:tcBorders>
            <w:noWrap/>
            <w:vAlign w:val="center"/>
          </w:tcPr>
          <w:p w14:paraId="714A4581">
            <w:pPr>
              <w:jc w:val="center"/>
              <w:rPr>
                <w:rFonts w:ascii="宋体" w:cs="Arial"/>
                <w:color w:val="000000"/>
                <w:sz w:val="18"/>
              </w:rPr>
            </w:pPr>
            <w:r>
              <w:rPr>
                <w:rFonts w:ascii="宋体" w:cs="Arial"/>
                <w:color w:val="000000"/>
                <w:sz w:val="18"/>
              </w:rPr>
              <w:t>—</w:t>
            </w:r>
          </w:p>
        </w:tc>
      </w:tr>
      <w:tr w14:paraId="7EB68EEE">
        <w:tblPrEx>
          <w:tblCellMar>
            <w:top w:w="0" w:type="dxa"/>
            <w:left w:w="108" w:type="dxa"/>
            <w:bottom w:w="0" w:type="dxa"/>
            <w:right w:w="108" w:type="dxa"/>
          </w:tblCellMar>
        </w:tblPrEx>
        <w:trPr>
          <w:trHeight w:val="420" w:hRule="atLeast"/>
        </w:trPr>
        <w:tc>
          <w:tcPr>
            <w:tcW w:w="840" w:type="dxa"/>
            <w:vMerge w:val="restart"/>
            <w:tcBorders>
              <w:top w:val="single" w:color="auto" w:sz="6" w:space="0"/>
              <w:left w:val="single" w:color="auto" w:sz="6" w:space="0"/>
              <w:bottom w:val="single" w:color="auto" w:sz="6" w:space="0"/>
              <w:right w:val="single" w:color="auto" w:sz="6" w:space="0"/>
              <w:tl2br w:val="nil"/>
              <w:tr2bl w:val="nil"/>
            </w:tcBorders>
            <w:noWrap/>
            <w:vAlign w:val="center"/>
          </w:tcPr>
          <w:p w14:paraId="18798A0F">
            <w:pPr>
              <w:jc w:val="center"/>
              <w:rPr>
                <w:rFonts w:ascii="宋体" w:cs="Arial"/>
                <w:color w:val="000000"/>
                <w:sz w:val="18"/>
              </w:rPr>
            </w:pPr>
            <w:r>
              <w:rPr>
                <w:rFonts w:ascii="宋体" w:cs="Arial"/>
                <w:color w:val="000000"/>
                <w:sz w:val="18"/>
              </w:rPr>
              <w:t>年度总体目标</w:t>
            </w:r>
          </w:p>
        </w:tc>
        <w:tc>
          <w:tcPr>
            <w:tcW w:w="4885" w:type="dxa"/>
            <w:gridSpan w:val="6"/>
            <w:tcBorders>
              <w:top w:val="single" w:color="auto" w:sz="6" w:space="0"/>
              <w:left w:val="single" w:color="auto" w:sz="6" w:space="0"/>
              <w:bottom w:val="single" w:color="auto" w:sz="6" w:space="0"/>
              <w:right w:val="single" w:color="auto" w:sz="6" w:space="0"/>
              <w:tl2br w:val="nil"/>
              <w:tr2bl w:val="nil"/>
            </w:tcBorders>
            <w:noWrap/>
            <w:vAlign w:val="center"/>
          </w:tcPr>
          <w:p w14:paraId="5A142EAC">
            <w:pPr>
              <w:jc w:val="center"/>
              <w:rPr>
                <w:rFonts w:ascii="宋体" w:cs="Arial"/>
                <w:color w:val="000000"/>
                <w:sz w:val="18"/>
              </w:rPr>
            </w:pPr>
            <w:r>
              <w:rPr>
                <w:rFonts w:ascii="宋体" w:cs="Arial"/>
                <w:color w:val="000000"/>
                <w:sz w:val="18"/>
              </w:rPr>
              <w:t>预期目标</w:t>
            </w:r>
          </w:p>
        </w:tc>
        <w:tc>
          <w:tcPr>
            <w:tcW w:w="372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14:paraId="2A72C7F2">
            <w:pPr>
              <w:jc w:val="center"/>
              <w:rPr>
                <w:rFonts w:ascii="宋体" w:cs="Arial"/>
                <w:color w:val="000000"/>
                <w:sz w:val="18"/>
              </w:rPr>
            </w:pPr>
            <w:r>
              <w:rPr>
                <w:rFonts w:ascii="宋体" w:cs="Arial"/>
                <w:color w:val="000000"/>
                <w:sz w:val="18"/>
              </w:rPr>
              <w:t>实际完成情况</w:t>
            </w:r>
          </w:p>
        </w:tc>
      </w:tr>
      <w:tr w14:paraId="6ECF8911">
        <w:tblPrEx>
          <w:tblCellMar>
            <w:top w:w="0" w:type="dxa"/>
            <w:left w:w="108" w:type="dxa"/>
            <w:bottom w:w="0" w:type="dxa"/>
            <w:right w:w="108" w:type="dxa"/>
          </w:tblCellMar>
        </w:tblPrEx>
        <w:trPr>
          <w:trHeight w:val="1811" w:hRule="atLeast"/>
        </w:trPr>
        <w:tc>
          <w:tcPr>
            <w:tcW w:w="84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6F73DAE9"/>
        </w:tc>
        <w:tc>
          <w:tcPr>
            <w:tcW w:w="4885" w:type="dxa"/>
            <w:gridSpan w:val="6"/>
            <w:tcBorders>
              <w:top w:val="single" w:color="auto" w:sz="6" w:space="0"/>
              <w:left w:val="single" w:color="auto" w:sz="6" w:space="0"/>
              <w:bottom w:val="single" w:color="auto" w:sz="6" w:space="0"/>
              <w:right w:val="single" w:color="auto" w:sz="6" w:space="0"/>
              <w:tl2br w:val="nil"/>
              <w:tr2bl w:val="nil"/>
            </w:tcBorders>
            <w:noWrap/>
            <w:vAlign w:val="center"/>
          </w:tcPr>
          <w:p w14:paraId="5D44C6EA">
            <w:pPr>
              <w:jc w:val="center"/>
              <w:rPr>
                <w:rFonts w:ascii="宋体" w:cs="Arial"/>
                <w:color w:val="000000"/>
                <w:sz w:val="18"/>
              </w:rPr>
            </w:pPr>
            <w:r>
              <w:rPr>
                <w:rFonts w:ascii="宋体" w:cs="Arial"/>
                <w:color w:val="000000"/>
                <w:sz w:val="18"/>
              </w:rPr>
              <w:t>按工作计划做好杂志的编辑、发行工作，全年出版发行《塔尔巴哈台》杂志6期，发行1.2万册，印刷费及稿费318000元，杂志排版费12000元，扶贫攻坚专项征文稿费、翻译等费用30000元，共计360000元，全年完成杂志销售工作目标达到2万元。</w:t>
            </w:r>
          </w:p>
        </w:tc>
        <w:tc>
          <w:tcPr>
            <w:tcW w:w="3720"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14:paraId="7BAC727A">
            <w:pPr>
              <w:jc w:val="center"/>
              <w:rPr>
                <w:rFonts w:ascii="宋体" w:cs="Arial"/>
                <w:color w:val="000000"/>
                <w:sz w:val="18"/>
              </w:rPr>
            </w:pPr>
            <w:r>
              <w:rPr>
                <w:rFonts w:ascii="宋体" w:cs="Arial"/>
                <w:color w:val="000000"/>
                <w:sz w:val="18"/>
              </w:rPr>
              <w:t>按工作计划做好杂志的编辑、发行工作，全年出版发行《塔尔巴哈台》杂志6期，发行1.2万册，印刷费及稿费318000元，杂志排版费12000元，扶贫攻坚专项征文稿费、翻译等费用30000元，共计360000元，全年完成杂志销售工作目标达到2万元。</w:t>
            </w:r>
          </w:p>
        </w:tc>
      </w:tr>
      <w:tr w14:paraId="15500387">
        <w:tblPrEx>
          <w:tblCellMar>
            <w:top w:w="0" w:type="dxa"/>
            <w:left w:w="108" w:type="dxa"/>
            <w:bottom w:w="0" w:type="dxa"/>
            <w:right w:w="108" w:type="dxa"/>
          </w:tblCellMar>
        </w:tblPrEx>
        <w:trPr>
          <w:trHeight w:val="652" w:hRule="atLeast"/>
        </w:trPr>
        <w:tc>
          <w:tcPr>
            <w:tcW w:w="840" w:type="dxa"/>
            <w:tcBorders>
              <w:top w:val="single" w:color="auto" w:sz="6" w:space="0"/>
              <w:left w:val="single" w:color="auto" w:sz="6" w:space="0"/>
              <w:bottom w:val="single" w:color="auto" w:sz="6" w:space="0"/>
              <w:right w:val="single" w:color="auto" w:sz="6" w:space="0"/>
              <w:tl2br w:val="nil"/>
              <w:tr2bl w:val="nil"/>
            </w:tcBorders>
            <w:noWrap/>
            <w:vAlign w:val="center"/>
          </w:tcPr>
          <w:p w14:paraId="014DB5C6">
            <w:pPr>
              <w:jc w:val="center"/>
              <w:rPr>
                <w:rFonts w:ascii="宋体" w:cs="Arial"/>
                <w:color w:val="000000"/>
                <w:sz w:val="18"/>
              </w:rPr>
            </w:pPr>
          </w:p>
        </w:tc>
        <w:tc>
          <w:tcPr>
            <w:tcW w:w="750" w:type="dxa"/>
            <w:tcBorders>
              <w:top w:val="single" w:color="auto" w:sz="6" w:space="0"/>
              <w:left w:val="single" w:color="auto" w:sz="6" w:space="0"/>
              <w:bottom w:val="single" w:color="auto" w:sz="6" w:space="0"/>
              <w:right w:val="single" w:color="auto" w:sz="6" w:space="0"/>
              <w:tl2br w:val="nil"/>
              <w:tr2bl w:val="nil"/>
            </w:tcBorders>
            <w:noWrap/>
            <w:vAlign w:val="center"/>
          </w:tcPr>
          <w:p w14:paraId="1A58A39A">
            <w:pPr>
              <w:jc w:val="center"/>
              <w:rPr>
                <w:rFonts w:ascii="宋体" w:cs="Arial"/>
                <w:color w:val="000000"/>
                <w:sz w:val="18"/>
              </w:rPr>
            </w:pPr>
            <w:r>
              <w:rPr>
                <w:rFonts w:ascii="宋体" w:cs="Arial"/>
                <w:color w:val="000000"/>
                <w:sz w:val="18"/>
              </w:rPr>
              <w:t>一级指标</w:t>
            </w:r>
          </w:p>
        </w:tc>
        <w:tc>
          <w:tcPr>
            <w:tcW w:w="1059" w:type="dxa"/>
            <w:tcBorders>
              <w:top w:val="single" w:color="auto" w:sz="6" w:space="0"/>
              <w:left w:val="single" w:color="auto" w:sz="6" w:space="0"/>
              <w:bottom w:val="single" w:color="auto" w:sz="6" w:space="0"/>
              <w:right w:val="single" w:color="auto" w:sz="6" w:space="0"/>
              <w:tl2br w:val="nil"/>
              <w:tr2bl w:val="nil"/>
            </w:tcBorders>
            <w:noWrap/>
            <w:vAlign w:val="center"/>
          </w:tcPr>
          <w:p w14:paraId="62BD13FA">
            <w:pPr>
              <w:jc w:val="center"/>
              <w:rPr>
                <w:rFonts w:ascii="宋体" w:cs="Arial"/>
                <w:color w:val="000000"/>
                <w:sz w:val="18"/>
              </w:rPr>
            </w:pPr>
            <w:r>
              <w:rPr>
                <w:rFonts w:ascii="宋体" w:cs="Arial"/>
                <w:color w:val="000000"/>
                <w:sz w:val="18"/>
              </w:rPr>
              <w:t>二级指标</w:t>
            </w:r>
          </w:p>
        </w:tc>
        <w:tc>
          <w:tcPr>
            <w:tcW w:w="1821"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14:paraId="46A3D6F3">
            <w:pPr>
              <w:jc w:val="center"/>
              <w:rPr>
                <w:rFonts w:ascii="宋体" w:cs="Arial"/>
                <w:color w:val="000000"/>
                <w:sz w:val="18"/>
              </w:rPr>
            </w:pPr>
            <w:r>
              <w:rPr>
                <w:rFonts w:ascii="宋体" w:cs="Arial"/>
                <w:color w:val="000000"/>
                <w:sz w:val="18"/>
              </w:rPr>
              <w:t>三级指标</w:t>
            </w:r>
          </w:p>
        </w:tc>
        <w:tc>
          <w:tcPr>
            <w:tcW w:w="1255" w:type="dxa"/>
            <w:tcBorders>
              <w:top w:val="single" w:color="auto" w:sz="6" w:space="0"/>
              <w:left w:val="single" w:color="auto" w:sz="6" w:space="0"/>
              <w:bottom w:val="single" w:color="auto" w:sz="6" w:space="0"/>
              <w:right w:val="single" w:color="auto" w:sz="6" w:space="0"/>
              <w:tl2br w:val="nil"/>
              <w:tr2bl w:val="nil"/>
            </w:tcBorders>
            <w:noWrap/>
            <w:vAlign w:val="center"/>
          </w:tcPr>
          <w:p w14:paraId="0B5F2867">
            <w:pPr>
              <w:jc w:val="center"/>
              <w:rPr>
                <w:rFonts w:ascii="宋体" w:cs="Arial"/>
                <w:color w:val="000000"/>
                <w:sz w:val="18"/>
              </w:rPr>
            </w:pPr>
            <w:r>
              <w:rPr>
                <w:rFonts w:ascii="宋体" w:cs="Arial"/>
                <w:color w:val="000000"/>
                <w:sz w:val="18"/>
              </w:rPr>
              <w:t>年度指标值</w:t>
            </w:r>
          </w:p>
        </w:tc>
        <w:tc>
          <w:tcPr>
            <w:tcW w:w="995" w:type="dxa"/>
            <w:tcBorders>
              <w:top w:val="single" w:color="auto" w:sz="6" w:space="0"/>
              <w:left w:val="single" w:color="auto" w:sz="6" w:space="0"/>
              <w:bottom w:val="single" w:color="auto" w:sz="6" w:space="0"/>
              <w:right w:val="single" w:color="auto" w:sz="6" w:space="0"/>
              <w:tl2br w:val="nil"/>
              <w:tr2bl w:val="nil"/>
            </w:tcBorders>
            <w:noWrap/>
            <w:vAlign w:val="center"/>
          </w:tcPr>
          <w:p w14:paraId="1E42F04F">
            <w:pPr>
              <w:jc w:val="center"/>
              <w:rPr>
                <w:rFonts w:ascii="宋体" w:cs="Arial"/>
                <w:color w:val="000000"/>
                <w:sz w:val="18"/>
              </w:rPr>
            </w:pPr>
            <w:r>
              <w:rPr>
                <w:rFonts w:ascii="宋体" w:cs="Arial"/>
                <w:color w:val="000000"/>
                <w:sz w:val="18"/>
              </w:rPr>
              <w:t>实际完成值</w:t>
            </w:r>
          </w:p>
        </w:tc>
        <w:tc>
          <w:tcPr>
            <w:tcW w:w="272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3AA83122">
            <w:pPr>
              <w:jc w:val="center"/>
              <w:rPr>
                <w:rFonts w:ascii="宋体" w:cs="Arial"/>
                <w:color w:val="000000"/>
                <w:sz w:val="18"/>
              </w:rPr>
            </w:pPr>
            <w:r>
              <w:rPr>
                <w:rFonts w:ascii="宋体" w:cs="Arial"/>
                <w:color w:val="000000"/>
                <w:sz w:val="18"/>
              </w:rPr>
              <w:t>偏差原因分析及改进措施</w:t>
            </w:r>
          </w:p>
        </w:tc>
      </w:tr>
      <w:tr w14:paraId="6E94DB1B">
        <w:tblPrEx>
          <w:tblCellMar>
            <w:top w:w="0" w:type="dxa"/>
            <w:left w:w="108" w:type="dxa"/>
            <w:bottom w:w="0" w:type="dxa"/>
            <w:right w:w="108" w:type="dxa"/>
          </w:tblCellMar>
        </w:tblPrEx>
        <w:trPr>
          <w:trHeight w:val="498" w:hRule="atLeast"/>
        </w:trPr>
        <w:tc>
          <w:tcPr>
            <w:tcW w:w="840" w:type="dxa"/>
            <w:vMerge w:val="restart"/>
            <w:tcBorders>
              <w:top w:val="single" w:color="auto" w:sz="6" w:space="0"/>
              <w:left w:val="single" w:color="auto" w:sz="6" w:space="0"/>
              <w:bottom w:val="single" w:color="auto" w:sz="6" w:space="0"/>
              <w:right w:val="single" w:color="auto" w:sz="6" w:space="0"/>
              <w:tl2br w:val="nil"/>
              <w:tr2bl w:val="nil"/>
            </w:tcBorders>
            <w:noWrap/>
            <w:vAlign w:val="center"/>
          </w:tcPr>
          <w:p w14:paraId="5581D8B5">
            <w:pPr>
              <w:jc w:val="center"/>
              <w:rPr>
                <w:rFonts w:ascii="宋体" w:cs="Arial"/>
                <w:color w:val="000000"/>
                <w:sz w:val="18"/>
              </w:rPr>
            </w:pPr>
            <w:r>
              <w:rPr>
                <w:rFonts w:ascii="宋体" w:cs="Arial"/>
                <w:color w:val="000000"/>
                <w:sz w:val="18"/>
              </w:rPr>
              <w:t>年度绩效指标完成情况</w:t>
            </w:r>
          </w:p>
        </w:tc>
        <w:tc>
          <w:tcPr>
            <w:tcW w:w="750" w:type="dxa"/>
            <w:vMerge w:val="restart"/>
            <w:tcBorders>
              <w:top w:val="single" w:color="auto" w:sz="6" w:space="0"/>
              <w:left w:val="single" w:color="auto" w:sz="6" w:space="0"/>
              <w:bottom w:val="single" w:color="auto" w:sz="6" w:space="0"/>
              <w:right w:val="single" w:color="auto" w:sz="6" w:space="0"/>
              <w:tl2br w:val="nil"/>
              <w:tr2bl w:val="nil"/>
            </w:tcBorders>
            <w:noWrap/>
            <w:vAlign w:val="center"/>
          </w:tcPr>
          <w:p w14:paraId="20BB596D">
            <w:pPr>
              <w:jc w:val="center"/>
              <w:rPr>
                <w:rFonts w:ascii="宋体" w:cs="Arial"/>
                <w:color w:val="000000"/>
                <w:sz w:val="18"/>
              </w:rPr>
            </w:pPr>
            <w:r>
              <w:rPr>
                <w:rFonts w:ascii="宋体" w:cs="Arial"/>
                <w:color w:val="000000"/>
                <w:sz w:val="18"/>
              </w:rPr>
              <w:t>产出指标</w:t>
            </w:r>
          </w:p>
        </w:tc>
        <w:tc>
          <w:tcPr>
            <w:tcW w:w="1059" w:type="dxa"/>
            <w:vMerge w:val="restart"/>
            <w:tcBorders>
              <w:top w:val="single" w:color="auto" w:sz="6" w:space="0"/>
              <w:left w:val="single" w:color="auto" w:sz="6" w:space="0"/>
              <w:bottom w:val="single" w:color="auto" w:sz="6" w:space="0"/>
              <w:right w:val="single" w:color="auto" w:sz="6" w:space="0"/>
              <w:tl2br w:val="nil"/>
              <w:tr2bl w:val="nil"/>
            </w:tcBorders>
            <w:noWrap/>
            <w:vAlign w:val="center"/>
          </w:tcPr>
          <w:p w14:paraId="33D2ECBA">
            <w:pPr>
              <w:jc w:val="center"/>
              <w:rPr>
                <w:rFonts w:ascii="宋体" w:cs="Arial"/>
                <w:color w:val="000000"/>
                <w:sz w:val="18"/>
              </w:rPr>
            </w:pPr>
            <w:r>
              <w:rPr>
                <w:rFonts w:ascii="宋体" w:cs="Arial"/>
                <w:color w:val="000000"/>
                <w:sz w:val="18"/>
              </w:rPr>
              <w:t>数量指标</w:t>
            </w:r>
          </w:p>
        </w:tc>
        <w:tc>
          <w:tcPr>
            <w:tcW w:w="1821"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14:paraId="23716FE0">
            <w:pPr>
              <w:jc w:val="center"/>
              <w:rPr>
                <w:rFonts w:ascii="宋体" w:cs="Arial"/>
                <w:color w:val="000000"/>
                <w:sz w:val="18"/>
              </w:rPr>
            </w:pPr>
            <w:r>
              <w:rPr>
                <w:rFonts w:ascii="宋体" w:cs="Arial"/>
                <w:color w:val="000000"/>
                <w:sz w:val="18"/>
              </w:rPr>
              <w:t>报刊杂志发行量</w:t>
            </w:r>
          </w:p>
        </w:tc>
        <w:tc>
          <w:tcPr>
            <w:tcW w:w="1255" w:type="dxa"/>
            <w:tcBorders>
              <w:top w:val="single" w:color="auto" w:sz="6" w:space="0"/>
              <w:left w:val="single" w:color="auto" w:sz="6" w:space="0"/>
              <w:bottom w:val="single" w:color="auto" w:sz="6" w:space="0"/>
              <w:right w:val="single" w:color="auto" w:sz="6" w:space="0"/>
              <w:tl2br w:val="nil"/>
              <w:tr2bl w:val="nil"/>
            </w:tcBorders>
            <w:noWrap/>
            <w:vAlign w:val="center"/>
          </w:tcPr>
          <w:p w14:paraId="5BF40850">
            <w:pPr>
              <w:jc w:val="center"/>
              <w:rPr>
                <w:rFonts w:ascii="宋体" w:cs="Arial"/>
                <w:color w:val="000000"/>
                <w:sz w:val="18"/>
              </w:rPr>
            </w:pPr>
            <w:r>
              <w:rPr>
                <w:rFonts w:ascii="宋体" w:cs="Arial"/>
                <w:color w:val="000000"/>
                <w:sz w:val="18"/>
              </w:rPr>
              <w:t>=1.2万册</w:t>
            </w:r>
          </w:p>
        </w:tc>
        <w:tc>
          <w:tcPr>
            <w:tcW w:w="995" w:type="dxa"/>
            <w:tcBorders>
              <w:top w:val="single" w:color="auto" w:sz="6" w:space="0"/>
              <w:left w:val="single" w:color="auto" w:sz="6" w:space="0"/>
              <w:bottom w:val="single" w:color="auto" w:sz="6" w:space="0"/>
              <w:right w:val="single" w:color="auto" w:sz="6" w:space="0"/>
              <w:tl2br w:val="nil"/>
              <w:tr2bl w:val="nil"/>
            </w:tcBorders>
            <w:noWrap/>
            <w:vAlign w:val="center"/>
          </w:tcPr>
          <w:p w14:paraId="33680C41">
            <w:pPr>
              <w:jc w:val="center"/>
              <w:rPr>
                <w:rFonts w:ascii="宋体" w:cs="Arial"/>
                <w:color w:val="000000"/>
                <w:sz w:val="18"/>
              </w:rPr>
            </w:pPr>
            <w:r>
              <w:rPr>
                <w:rFonts w:ascii="宋体" w:cs="Arial"/>
                <w:color w:val="000000"/>
                <w:sz w:val="18"/>
              </w:rPr>
              <w:t>1.2万册</w:t>
            </w:r>
          </w:p>
        </w:tc>
        <w:tc>
          <w:tcPr>
            <w:tcW w:w="272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53B9D919">
            <w:pPr>
              <w:jc w:val="center"/>
              <w:rPr>
                <w:rFonts w:ascii="宋体" w:cs="Arial"/>
                <w:color w:val="000000"/>
                <w:sz w:val="18"/>
              </w:rPr>
            </w:pPr>
          </w:p>
        </w:tc>
      </w:tr>
      <w:tr w14:paraId="6A67D525">
        <w:tblPrEx>
          <w:tblCellMar>
            <w:top w:w="0" w:type="dxa"/>
            <w:left w:w="108" w:type="dxa"/>
            <w:bottom w:w="0" w:type="dxa"/>
            <w:right w:w="108" w:type="dxa"/>
          </w:tblCellMar>
        </w:tblPrEx>
        <w:trPr>
          <w:trHeight w:val="484" w:hRule="atLeast"/>
        </w:trPr>
        <w:tc>
          <w:tcPr>
            <w:tcW w:w="84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292CBD5C"/>
        </w:tc>
        <w:tc>
          <w:tcPr>
            <w:tcW w:w="75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4E136281"/>
        </w:tc>
        <w:tc>
          <w:tcPr>
            <w:tcW w:w="1059"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04215C42"/>
        </w:tc>
        <w:tc>
          <w:tcPr>
            <w:tcW w:w="1821"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14:paraId="46D6BFD4">
            <w:pPr>
              <w:jc w:val="center"/>
              <w:rPr>
                <w:rFonts w:ascii="宋体" w:cs="Arial"/>
                <w:color w:val="000000"/>
                <w:sz w:val="18"/>
              </w:rPr>
            </w:pPr>
            <w:r>
              <w:rPr>
                <w:rFonts w:ascii="宋体" w:cs="Arial"/>
                <w:color w:val="000000"/>
                <w:sz w:val="18"/>
              </w:rPr>
              <w:t>发行期数</w:t>
            </w:r>
          </w:p>
        </w:tc>
        <w:tc>
          <w:tcPr>
            <w:tcW w:w="1255" w:type="dxa"/>
            <w:tcBorders>
              <w:top w:val="single" w:color="auto" w:sz="6" w:space="0"/>
              <w:left w:val="single" w:color="auto" w:sz="6" w:space="0"/>
              <w:bottom w:val="single" w:color="auto" w:sz="6" w:space="0"/>
              <w:right w:val="single" w:color="auto" w:sz="6" w:space="0"/>
              <w:tl2br w:val="nil"/>
              <w:tr2bl w:val="nil"/>
            </w:tcBorders>
            <w:noWrap/>
            <w:vAlign w:val="center"/>
          </w:tcPr>
          <w:p w14:paraId="35CC40D0">
            <w:pPr>
              <w:jc w:val="center"/>
              <w:rPr>
                <w:rFonts w:ascii="宋体" w:cs="Arial"/>
                <w:color w:val="000000"/>
                <w:sz w:val="18"/>
              </w:rPr>
            </w:pPr>
            <w:r>
              <w:rPr>
                <w:rFonts w:ascii="宋体" w:cs="Arial"/>
                <w:color w:val="000000"/>
                <w:sz w:val="18"/>
              </w:rPr>
              <w:t>=6期</w:t>
            </w:r>
          </w:p>
        </w:tc>
        <w:tc>
          <w:tcPr>
            <w:tcW w:w="995" w:type="dxa"/>
            <w:tcBorders>
              <w:top w:val="single" w:color="auto" w:sz="6" w:space="0"/>
              <w:left w:val="single" w:color="auto" w:sz="6" w:space="0"/>
              <w:bottom w:val="single" w:color="auto" w:sz="6" w:space="0"/>
              <w:right w:val="single" w:color="auto" w:sz="6" w:space="0"/>
              <w:tl2br w:val="nil"/>
              <w:tr2bl w:val="nil"/>
            </w:tcBorders>
            <w:noWrap/>
            <w:vAlign w:val="center"/>
          </w:tcPr>
          <w:p w14:paraId="664F7934">
            <w:pPr>
              <w:jc w:val="center"/>
              <w:rPr>
                <w:rFonts w:ascii="宋体" w:cs="Arial"/>
                <w:color w:val="000000"/>
                <w:sz w:val="18"/>
              </w:rPr>
            </w:pPr>
            <w:r>
              <w:rPr>
                <w:rFonts w:ascii="宋体" w:cs="Arial"/>
                <w:color w:val="000000"/>
                <w:sz w:val="18"/>
              </w:rPr>
              <w:t>6期</w:t>
            </w:r>
          </w:p>
        </w:tc>
        <w:tc>
          <w:tcPr>
            <w:tcW w:w="272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6C8D03BC">
            <w:pPr>
              <w:jc w:val="center"/>
              <w:rPr>
                <w:rFonts w:ascii="宋体" w:cs="Arial"/>
                <w:color w:val="000000"/>
                <w:sz w:val="18"/>
              </w:rPr>
            </w:pPr>
          </w:p>
        </w:tc>
      </w:tr>
      <w:tr w14:paraId="1B8398C8">
        <w:tblPrEx>
          <w:tblCellMar>
            <w:top w:w="0" w:type="dxa"/>
            <w:left w:w="108" w:type="dxa"/>
            <w:bottom w:w="0" w:type="dxa"/>
            <w:right w:w="108" w:type="dxa"/>
          </w:tblCellMar>
        </w:tblPrEx>
        <w:trPr>
          <w:trHeight w:val="421" w:hRule="atLeast"/>
        </w:trPr>
        <w:tc>
          <w:tcPr>
            <w:tcW w:w="84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6A5FD07D"/>
        </w:tc>
        <w:tc>
          <w:tcPr>
            <w:tcW w:w="75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795CAC32"/>
        </w:tc>
        <w:tc>
          <w:tcPr>
            <w:tcW w:w="1059" w:type="dxa"/>
            <w:tcBorders>
              <w:top w:val="single" w:color="auto" w:sz="6" w:space="0"/>
              <w:left w:val="single" w:color="auto" w:sz="6" w:space="0"/>
              <w:bottom w:val="single" w:color="auto" w:sz="6" w:space="0"/>
              <w:right w:val="single" w:color="auto" w:sz="6" w:space="0"/>
              <w:tl2br w:val="nil"/>
              <w:tr2bl w:val="nil"/>
            </w:tcBorders>
            <w:noWrap/>
            <w:vAlign w:val="center"/>
          </w:tcPr>
          <w:p w14:paraId="5168AEF4">
            <w:pPr>
              <w:jc w:val="center"/>
              <w:rPr>
                <w:rFonts w:ascii="宋体" w:cs="Arial"/>
                <w:color w:val="000000"/>
                <w:sz w:val="18"/>
              </w:rPr>
            </w:pPr>
            <w:r>
              <w:rPr>
                <w:rFonts w:ascii="宋体" w:cs="Arial"/>
                <w:color w:val="000000"/>
                <w:sz w:val="18"/>
              </w:rPr>
              <w:t>质量指标</w:t>
            </w:r>
          </w:p>
        </w:tc>
        <w:tc>
          <w:tcPr>
            <w:tcW w:w="1821"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14:paraId="5A26F2F7">
            <w:pPr>
              <w:jc w:val="center"/>
              <w:rPr>
                <w:rFonts w:ascii="宋体" w:cs="Arial"/>
                <w:color w:val="000000"/>
                <w:sz w:val="18"/>
              </w:rPr>
            </w:pPr>
            <w:r>
              <w:rPr>
                <w:rFonts w:ascii="宋体" w:cs="Arial"/>
                <w:color w:val="000000"/>
                <w:sz w:val="18"/>
              </w:rPr>
              <w:t>区域覆盖率</w:t>
            </w:r>
          </w:p>
        </w:tc>
        <w:tc>
          <w:tcPr>
            <w:tcW w:w="1255" w:type="dxa"/>
            <w:tcBorders>
              <w:top w:val="single" w:color="auto" w:sz="6" w:space="0"/>
              <w:left w:val="single" w:color="auto" w:sz="6" w:space="0"/>
              <w:bottom w:val="single" w:color="auto" w:sz="6" w:space="0"/>
              <w:right w:val="single" w:color="auto" w:sz="6" w:space="0"/>
              <w:tl2br w:val="nil"/>
              <w:tr2bl w:val="nil"/>
            </w:tcBorders>
            <w:noWrap/>
            <w:vAlign w:val="center"/>
          </w:tcPr>
          <w:p w14:paraId="5E41AD38">
            <w:pPr>
              <w:jc w:val="center"/>
              <w:rPr>
                <w:rFonts w:ascii="宋体" w:cs="Arial"/>
                <w:color w:val="000000"/>
                <w:sz w:val="18"/>
              </w:rPr>
            </w:pPr>
            <w:r>
              <w:rPr>
                <w:rFonts w:ascii="宋体" w:cs="Arial"/>
                <w:color w:val="000000"/>
                <w:sz w:val="18"/>
              </w:rPr>
              <w:t>=100%</w:t>
            </w:r>
          </w:p>
        </w:tc>
        <w:tc>
          <w:tcPr>
            <w:tcW w:w="995" w:type="dxa"/>
            <w:tcBorders>
              <w:top w:val="single" w:color="auto" w:sz="6" w:space="0"/>
              <w:left w:val="single" w:color="auto" w:sz="6" w:space="0"/>
              <w:bottom w:val="single" w:color="auto" w:sz="6" w:space="0"/>
              <w:right w:val="single" w:color="auto" w:sz="6" w:space="0"/>
              <w:tl2br w:val="nil"/>
              <w:tr2bl w:val="nil"/>
            </w:tcBorders>
            <w:noWrap/>
            <w:vAlign w:val="center"/>
          </w:tcPr>
          <w:p w14:paraId="5403CA85">
            <w:pPr>
              <w:jc w:val="center"/>
              <w:rPr>
                <w:rFonts w:ascii="宋体" w:cs="Arial"/>
                <w:color w:val="000000"/>
                <w:sz w:val="18"/>
              </w:rPr>
            </w:pPr>
            <w:r>
              <w:rPr>
                <w:rFonts w:ascii="宋体" w:cs="Arial"/>
                <w:color w:val="000000"/>
                <w:sz w:val="18"/>
              </w:rPr>
              <w:t>100%</w:t>
            </w:r>
          </w:p>
        </w:tc>
        <w:tc>
          <w:tcPr>
            <w:tcW w:w="272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669A2253">
            <w:pPr>
              <w:jc w:val="center"/>
              <w:rPr>
                <w:rFonts w:ascii="宋体" w:cs="Arial"/>
                <w:color w:val="000000"/>
                <w:sz w:val="18"/>
              </w:rPr>
            </w:pPr>
          </w:p>
        </w:tc>
      </w:tr>
      <w:tr w14:paraId="0C03ACF3">
        <w:tblPrEx>
          <w:tblCellMar>
            <w:top w:w="0" w:type="dxa"/>
            <w:left w:w="108" w:type="dxa"/>
            <w:bottom w:w="0" w:type="dxa"/>
            <w:right w:w="108" w:type="dxa"/>
          </w:tblCellMar>
        </w:tblPrEx>
        <w:trPr>
          <w:trHeight w:val="484" w:hRule="atLeast"/>
        </w:trPr>
        <w:tc>
          <w:tcPr>
            <w:tcW w:w="84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4595035E"/>
        </w:tc>
        <w:tc>
          <w:tcPr>
            <w:tcW w:w="75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7B798AAC"/>
        </w:tc>
        <w:tc>
          <w:tcPr>
            <w:tcW w:w="1059" w:type="dxa"/>
            <w:tcBorders>
              <w:top w:val="single" w:color="auto" w:sz="6" w:space="0"/>
              <w:left w:val="single" w:color="auto" w:sz="6" w:space="0"/>
              <w:bottom w:val="single" w:color="auto" w:sz="6" w:space="0"/>
              <w:right w:val="single" w:color="auto" w:sz="6" w:space="0"/>
              <w:tl2br w:val="nil"/>
              <w:tr2bl w:val="nil"/>
            </w:tcBorders>
            <w:noWrap/>
            <w:vAlign w:val="center"/>
          </w:tcPr>
          <w:p w14:paraId="2C0EA19C">
            <w:pPr>
              <w:jc w:val="center"/>
              <w:rPr>
                <w:rFonts w:ascii="宋体" w:cs="Arial"/>
                <w:color w:val="000000"/>
                <w:sz w:val="18"/>
              </w:rPr>
            </w:pPr>
            <w:r>
              <w:rPr>
                <w:rFonts w:ascii="宋体" w:cs="Arial"/>
                <w:color w:val="000000"/>
                <w:sz w:val="18"/>
              </w:rPr>
              <w:t>时效指标</w:t>
            </w:r>
          </w:p>
        </w:tc>
        <w:tc>
          <w:tcPr>
            <w:tcW w:w="1821"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14:paraId="7B69F8FC">
            <w:pPr>
              <w:jc w:val="center"/>
              <w:rPr>
                <w:rFonts w:ascii="宋体" w:cs="Arial"/>
                <w:color w:val="000000"/>
                <w:sz w:val="18"/>
              </w:rPr>
            </w:pPr>
            <w:r>
              <w:rPr>
                <w:rFonts w:ascii="宋体" w:cs="Arial"/>
                <w:color w:val="000000"/>
                <w:sz w:val="18"/>
              </w:rPr>
              <w:t>发行及时率</w:t>
            </w:r>
          </w:p>
        </w:tc>
        <w:tc>
          <w:tcPr>
            <w:tcW w:w="1255" w:type="dxa"/>
            <w:tcBorders>
              <w:top w:val="single" w:color="auto" w:sz="6" w:space="0"/>
              <w:left w:val="single" w:color="auto" w:sz="6" w:space="0"/>
              <w:bottom w:val="single" w:color="auto" w:sz="6" w:space="0"/>
              <w:right w:val="single" w:color="auto" w:sz="6" w:space="0"/>
              <w:tl2br w:val="nil"/>
              <w:tr2bl w:val="nil"/>
            </w:tcBorders>
            <w:noWrap/>
            <w:vAlign w:val="center"/>
          </w:tcPr>
          <w:p w14:paraId="56FFB11F">
            <w:pPr>
              <w:jc w:val="center"/>
              <w:rPr>
                <w:rFonts w:ascii="宋体" w:cs="Arial"/>
                <w:color w:val="000000"/>
                <w:sz w:val="18"/>
              </w:rPr>
            </w:pPr>
            <w:r>
              <w:rPr>
                <w:rFonts w:ascii="宋体" w:cs="Arial"/>
                <w:color w:val="000000"/>
                <w:sz w:val="18"/>
              </w:rPr>
              <w:t>=100%</w:t>
            </w:r>
          </w:p>
        </w:tc>
        <w:tc>
          <w:tcPr>
            <w:tcW w:w="995" w:type="dxa"/>
            <w:tcBorders>
              <w:top w:val="single" w:color="auto" w:sz="6" w:space="0"/>
              <w:left w:val="single" w:color="auto" w:sz="6" w:space="0"/>
              <w:bottom w:val="single" w:color="auto" w:sz="6" w:space="0"/>
              <w:right w:val="single" w:color="auto" w:sz="6" w:space="0"/>
              <w:tl2br w:val="nil"/>
              <w:tr2bl w:val="nil"/>
            </w:tcBorders>
            <w:noWrap/>
            <w:vAlign w:val="center"/>
          </w:tcPr>
          <w:p w14:paraId="1CDADB59">
            <w:pPr>
              <w:jc w:val="center"/>
              <w:rPr>
                <w:rFonts w:ascii="宋体" w:cs="Arial"/>
                <w:color w:val="000000"/>
                <w:sz w:val="18"/>
              </w:rPr>
            </w:pPr>
            <w:r>
              <w:rPr>
                <w:rFonts w:ascii="宋体" w:cs="Arial"/>
                <w:color w:val="000000"/>
                <w:sz w:val="18"/>
              </w:rPr>
              <w:t>84%</w:t>
            </w:r>
          </w:p>
        </w:tc>
        <w:tc>
          <w:tcPr>
            <w:tcW w:w="272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0DC9C9A6">
            <w:pPr>
              <w:jc w:val="center"/>
              <w:rPr>
                <w:rFonts w:ascii="宋体" w:cs="Arial"/>
                <w:color w:val="000000"/>
                <w:sz w:val="18"/>
              </w:rPr>
            </w:pPr>
            <w:r>
              <w:rPr>
                <w:rFonts w:hint="eastAsia" w:ascii="宋体" w:cs="Arial"/>
                <w:color w:val="000000"/>
                <w:sz w:val="18"/>
                <w:lang w:val="en-US" w:eastAsia="zh-CN"/>
              </w:rPr>
              <w:t>防控工作</w:t>
            </w:r>
            <w:r>
              <w:rPr>
                <w:rFonts w:ascii="宋体" w:cs="Arial"/>
                <w:color w:val="000000"/>
                <w:sz w:val="18"/>
              </w:rPr>
              <w:t>影响整理稿件</w:t>
            </w:r>
          </w:p>
        </w:tc>
      </w:tr>
      <w:tr w14:paraId="00CC31F5">
        <w:tblPrEx>
          <w:tblCellMar>
            <w:top w:w="0" w:type="dxa"/>
            <w:left w:w="108" w:type="dxa"/>
            <w:bottom w:w="0" w:type="dxa"/>
            <w:right w:w="108" w:type="dxa"/>
          </w:tblCellMar>
        </w:tblPrEx>
        <w:trPr>
          <w:trHeight w:val="516" w:hRule="atLeast"/>
        </w:trPr>
        <w:tc>
          <w:tcPr>
            <w:tcW w:w="84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3E2F3824"/>
        </w:tc>
        <w:tc>
          <w:tcPr>
            <w:tcW w:w="75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578F8778"/>
        </w:tc>
        <w:tc>
          <w:tcPr>
            <w:tcW w:w="1059" w:type="dxa"/>
            <w:vMerge w:val="restart"/>
            <w:tcBorders>
              <w:top w:val="single" w:color="auto" w:sz="6" w:space="0"/>
              <w:left w:val="single" w:color="auto" w:sz="6" w:space="0"/>
              <w:bottom w:val="single" w:color="auto" w:sz="6" w:space="0"/>
              <w:right w:val="single" w:color="auto" w:sz="6" w:space="0"/>
              <w:tl2br w:val="nil"/>
              <w:tr2bl w:val="nil"/>
            </w:tcBorders>
            <w:noWrap/>
            <w:vAlign w:val="center"/>
          </w:tcPr>
          <w:p w14:paraId="6723396A">
            <w:pPr>
              <w:jc w:val="center"/>
              <w:rPr>
                <w:rFonts w:ascii="宋体" w:cs="Arial"/>
                <w:color w:val="000000"/>
                <w:sz w:val="18"/>
              </w:rPr>
            </w:pPr>
            <w:r>
              <w:rPr>
                <w:rFonts w:ascii="宋体" w:cs="Arial"/>
                <w:color w:val="000000"/>
                <w:sz w:val="18"/>
              </w:rPr>
              <w:t>成本指标</w:t>
            </w:r>
          </w:p>
        </w:tc>
        <w:tc>
          <w:tcPr>
            <w:tcW w:w="1821"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14:paraId="4981D738">
            <w:pPr>
              <w:jc w:val="center"/>
              <w:rPr>
                <w:rFonts w:ascii="宋体" w:cs="Arial"/>
                <w:color w:val="000000"/>
                <w:sz w:val="18"/>
              </w:rPr>
            </w:pPr>
            <w:r>
              <w:rPr>
                <w:rFonts w:ascii="宋体" w:cs="Arial"/>
                <w:color w:val="000000"/>
                <w:sz w:val="18"/>
              </w:rPr>
              <w:t>每一期稿酬</w:t>
            </w:r>
          </w:p>
        </w:tc>
        <w:tc>
          <w:tcPr>
            <w:tcW w:w="1255" w:type="dxa"/>
            <w:tcBorders>
              <w:top w:val="single" w:color="auto" w:sz="6" w:space="0"/>
              <w:left w:val="single" w:color="auto" w:sz="6" w:space="0"/>
              <w:bottom w:val="single" w:color="auto" w:sz="6" w:space="0"/>
              <w:right w:val="single" w:color="auto" w:sz="6" w:space="0"/>
              <w:tl2br w:val="nil"/>
              <w:tr2bl w:val="nil"/>
            </w:tcBorders>
            <w:noWrap/>
            <w:vAlign w:val="center"/>
          </w:tcPr>
          <w:p w14:paraId="66D8870B">
            <w:pPr>
              <w:jc w:val="center"/>
              <w:rPr>
                <w:rFonts w:ascii="宋体" w:cs="Arial"/>
                <w:color w:val="000000"/>
                <w:sz w:val="18"/>
              </w:rPr>
            </w:pPr>
            <w:r>
              <w:rPr>
                <w:rFonts w:ascii="宋体" w:cs="Arial"/>
                <w:color w:val="000000"/>
                <w:sz w:val="18"/>
              </w:rPr>
              <w:t>≤3万元</w:t>
            </w:r>
          </w:p>
        </w:tc>
        <w:tc>
          <w:tcPr>
            <w:tcW w:w="995" w:type="dxa"/>
            <w:tcBorders>
              <w:top w:val="single" w:color="auto" w:sz="6" w:space="0"/>
              <w:left w:val="single" w:color="auto" w:sz="6" w:space="0"/>
              <w:bottom w:val="single" w:color="auto" w:sz="6" w:space="0"/>
              <w:right w:val="single" w:color="auto" w:sz="6" w:space="0"/>
              <w:tl2br w:val="nil"/>
              <w:tr2bl w:val="nil"/>
            </w:tcBorders>
            <w:noWrap/>
            <w:vAlign w:val="center"/>
          </w:tcPr>
          <w:p w14:paraId="101AA60E">
            <w:pPr>
              <w:jc w:val="center"/>
              <w:rPr>
                <w:rFonts w:ascii="宋体" w:cs="Arial"/>
                <w:color w:val="000000"/>
                <w:sz w:val="18"/>
              </w:rPr>
            </w:pPr>
            <w:r>
              <w:rPr>
                <w:rFonts w:ascii="宋体" w:cs="Arial"/>
                <w:color w:val="000000"/>
                <w:sz w:val="18"/>
              </w:rPr>
              <w:t>3万元</w:t>
            </w:r>
          </w:p>
        </w:tc>
        <w:tc>
          <w:tcPr>
            <w:tcW w:w="272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284D6A8A">
            <w:pPr>
              <w:jc w:val="center"/>
              <w:rPr>
                <w:rFonts w:ascii="宋体" w:cs="Arial"/>
                <w:color w:val="000000"/>
                <w:sz w:val="18"/>
              </w:rPr>
            </w:pPr>
          </w:p>
        </w:tc>
      </w:tr>
      <w:tr w14:paraId="6D420652">
        <w:tblPrEx>
          <w:tblCellMar>
            <w:top w:w="0" w:type="dxa"/>
            <w:left w:w="108" w:type="dxa"/>
            <w:bottom w:w="0" w:type="dxa"/>
            <w:right w:w="108" w:type="dxa"/>
          </w:tblCellMar>
        </w:tblPrEx>
        <w:trPr>
          <w:trHeight w:val="430" w:hRule="atLeast"/>
        </w:trPr>
        <w:tc>
          <w:tcPr>
            <w:tcW w:w="84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1A14C21B"/>
        </w:tc>
        <w:tc>
          <w:tcPr>
            <w:tcW w:w="75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301A83B4"/>
        </w:tc>
        <w:tc>
          <w:tcPr>
            <w:tcW w:w="1059"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6B622154"/>
        </w:tc>
        <w:tc>
          <w:tcPr>
            <w:tcW w:w="1821"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14:paraId="6DAD71F9">
            <w:pPr>
              <w:jc w:val="center"/>
              <w:rPr>
                <w:rFonts w:ascii="宋体" w:cs="Arial"/>
                <w:color w:val="000000"/>
                <w:sz w:val="18"/>
              </w:rPr>
            </w:pPr>
            <w:r>
              <w:rPr>
                <w:rFonts w:ascii="宋体" w:cs="Arial"/>
                <w:color w:val="000000"/>
                <w:sz w:val="18"/>
              </w:rPr>
              <w:t>印刷成本</w:t>
            </w:r>
          </w:p>
        </w:tc>
        <w:tc>
          <w:tcPr>
            <w:tcW w:w="1255" w:type="dxa"/>
            <w:tcBorders>
              <w:top w:val="single" w:color="auto" w:sz="6" w:space="0"/>
              <w:left w:val="single" w:color="auto" w:sz="6" w:space="0"/>
              <w:bottom w:val="single" w:color="auto" w:sz="6" w:space="0"/>
              <w:right w:val="single" w:color="auto" w:sz="6" w:space="0"/>
              <w:tl2br w:val="nil"/>
              <w:tr2bl w:val="nil"/>
            </w:tcBorders>
            <w:noWrap/>
            <w:vAlign w:val="center"/>
          </w:tcPr>
          <w:p w14:paraId="74E516E9">
            <w:pPr>
              <w:jc w:val="center"/>
              <w:rPr>
                <w:rFonts w:ascii="宋体" w:cs="Arial"/>
                <w:color w:val="000000"/>
                <w:sz w:val="18"/>
              </w:rPr>
            </w:pPr>
            <w:r>
              <w:rPr>
                <w:rFonts w:ascii="宋体" w:cs="Arial"/>
                <w:color w:val="000000"/>
                <w:sz w:val="18"/>
              </w:rPr>
              <w:t>≤15万元</w:t>
            </w:r>
          </w:p>
        </w:tc>
        <w:tc>
          <w:tcPr>
            <w:tcW w:w="995" w:type="dxa"/>
            <w:tcBorders>
              <w:top w:val="single" w:color="auto" w:sz="6" w:space="0"/>
              <w:left w:val="single" w:color="auto" w:sz="6" w:space="0"/>
              <w:bottom w:val="single" w:color="auto" w:sz="6" w:space="0"/>
              <w:right w:val="single" w:color="auto" w:sz="6" w:space="0"/>
              <w:tl2br w:val="nil"/>
              <w:tr2bl w:val="nil"/>
            </w:tcBorders>
            <w:noWrap/>
            <w:vAlign w:val="center"/>
          </w:tcPr>
          <w:p w14:paraId="7A58C9E5">
            <w:pPr>
              <w:jc w:val="center"/>
              <w:rPr>
                <w:rFonts w:ascii="宋体" w:cs="Arial"/>
                <w:color w:val="000000"/>
                <w:sz w:val="18"/>
              </w:rPr>
            </w:pPr>
            <w:r>
              <w:rPr>
                <w:rFonts w:ascii="宋体" w:cs="Arial"/>
                <w:color w:val="000000"/>
                <w:sz w:val="18"/>
              </w:rPr>
              <w:t>15万元</w:t>
            </w:r>
          </w:p>
        </w:tc>
        <w:tc>
          <w:tcPr>
            <w:tcW w:w="272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4F2EBC8A">
            <w:pPr>
              <w:jc w:val="center"/>
              <w:rPr>
                <w:rFonts w:ascii="宋体" w:cs="Arial"/>
                <w:color w:val="000000"/>
                <w:sz w:val="18"/>
              </w:rPr>
            </w:pPr>
          </w:p>
        </w:tc>
      </w:tr>
      <w:tr w14:paraId="0412F24D">
        <w:tblPrEx>
          <w:tblCellMar>
            <w:top w:w="0" w:type="dxa"/>
            <w:left w:w="108" w:type="dxa"/>
            <w:bottom w:w="0" w:type="dxa"/>
            <w:right w:w="108" w:type="dxa"/>
          </w:tblCellMar>
        </w:tblPrEx>
        <w:trPr>
          <w:trHeight w:val="382" w:hRule="atLeast"/>
        </w:trPr>
        <w:tc>
          <w:tcPr>
            <w:tcW w:w="84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38D35F6B"/>
        </w:tc>
        <w:tc>
          <w:tcPr>
            <w:tcW w:w="75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3D6C60B0"/>
        </w:tc>
        <w:tc>
          <w:tcPr>
            <w:tcW w:w="1059"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4B0044BC"/>
        </w:tc>
        <w:tc>
          <w:tcPr>
            <w:tcW w:w="1821"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14:paraId="4189FC41">
            <w:pPr>
              <w:jc w:val="center"/>
              <w:rPr>
                <w:rFonts w:ascii="宋体" w:cs="Arial"/>
                <w:color w:val="000000"/>
                <w:sz w:val="18"/>
              </w:rPr>
            </w:pPr>
            <w:r>
              <w:rPr>
                <w:rFonts w:ascii="宋体" w:cs="Arial"/>
                <w:color w:val="000000"/>
                <w:sz w:val="18"/>
              </w:rPr>
              <w:t>扶贫攻坚征文费用</w:t>
            </w:r>
          </w:p>
        </w:tc>
        <w:tc>
          <w:tcPr>
            <w:tcW w:w="1255" w:type="dxa"/>
            <w:tcBorders>
              <w:top w:val="single" w:color="auto" w:sz="6" w:space="0"/>
              <w:left w:val="single" w:color="auto" w:sz="6" w:space="0"/>
              <w:bottom w:val="single" w:color="auto" w:sz="6" w:space="0"/>
              <w:right w:val="single" w:color="auto" w:sz="6" w:space="0"/>
              <w:tl2br w:val="nil"/>
              <w:tr2bl w:val="nil"/>
            </w:tcBorders>
            <w:noWrap/>
            <w:vAlign w:val="center"/>
          </w:tcPr>
          <w:p w14:paraId="513A34D8">
            <w:pPr>
              <w:jc w:val="center"/>
              <w:rPr>
                <w:rFonts w:ascii="宋体" w:cs="Arial"/>
                <w:color w:val="000000"/>
                <w:sz w:val="18"/>
              </w:rPr>
            </w:pPr>
            <w:r>
              <w:rPr>
                <w:rFonts w:ascii="宋体" w:cs="Arial"/>
                <w:color w:val="000000"/>
                <w:sz w:val="18"/>
              </w:rPr>
              <w:t>≤3万元</w:t>
            </w:r>
          </w:p>
        </w:tc>
        <w:tc>
          <w:tcPr>
            <w:tcW w:w="995" w:type="dxa"/>
            <w:tcBorders>
              <w:top w:val="single" w:color="auto" w:sz="6" w:space="0"/>
              <w:left w:val="single" w:color="auto" w:sz="6" w:space="0"/>
              <w:bottom w:val="single" w:color="auto" w:sz="6" w:space="0"/>
              <w:right w:val="single" w:color="auto" w:sz="6" w:space="0"/>
              <w:tl2br w:val="nil"/>
              <w:tr2bl w:val="nil"/>
            </w:tcBorders>
            <w:noWrap/>
            <w:vAlign w:val="center"/>
          </w:tcPr>
          <w:p w14:paraId="3CFBE8D2">
            <w:pPr>
              <w:jc w:val="center"/>
              <w:rPr>
                <w:rFonts w:ascii="宋体" w:cs="Arial"/>
                <w:color w:val="000000"/>
                <w:sz w:val="18"/>
              </w:rPr>
            </w:pPr>
            <w:r>
              <w:rPr>
                <w:rFonts w:ascii="宋体" w:cs="Arial"/>
                <w:color w:val="000000"/>
                <w:sz w:val="18"/>
              </w:rPr>
              <w:t>2.8万元</w:t>
            </w:r>
          </w:p>
        </w:tc>
        <w:tc>
          <w:tcPr>
            <w:tcW w:w="272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726B7F5E">
            <w:pPr>
              <w:jc w:val="center"/>
              <w:rPr>
                <w:rFonts w:ascii="宋体" w:cs="Arial"/>
                <w:color w:val="000000"/>
                <w:sz w:val="18"/>
              </w:rPr>
            </w:pPr>
            <w:r>
              <w:rPr>
                <w:rFonts w:hint="eastAsia" w:ascii="宋体" w:cs="Arial"/>
                <w:color w:val="000000"/>
                <w:sz w:val="18"/>
              </w:rPr>
              <w:t>未按照年初计划开展</w:t>
            </w:r>
          </w:p>
        </w:tc>
      </w:tr>
      <w:tr w14:paraId="5F49BE40">
        <w:tblPrEx>
          <w:tblCellMar>
            <w:top w:w="0" w:type="dxa"/>
            <w:left w:w="108" w:type="dxa"/>
            <w:bottom w:w="0" w:type="dxa"/>
            <w:right w:w="108" w:type="dxa"/>
          </w:tblCellMar>
        </w:tblPrEx>
        <w:trPr>
          <w:trHeight w:val="603" w:hRule="atLeast"/>
        </w:trPr>
        <w:tc>
          <w:tcPr>
            <w:tcW w:w="84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26B087C9"/>
        </w:tc>
        <w:tc>
          <w:tcPr>
            <w:tcW w:w="750" w:type="dxa"/>
            <w:vMerge w:val="restart"/>
            <w:tcBorders>
              <w:top w:val="single" w:color="auto" w:sz="6" w:space="0"/>
              <w:left w:val="single" w:color="auto" w:sz="6" w:space="0"/>
              <w:bottom w:val="single" w:color="auto" w:sz="6" w:space="0"/>
              <w:right w:val="single" w:color="auto" w:sz="6" w:space="0"/>
              <w:tl2br w:val="nil"/>
              <w:tr2bl w:val="nil"/>
            </w:tcBorders>
            <w:noWrap/>
            <w:vAlign w:val="center"/>
          </w:tcPr>
          <w:p w14:paraId="2016F334">
            <w:pPr>
              <w:jc w:val="center"/>
              <w:rPr>
                <w:rFonts w:ascii="宋体" w:cs="Arial"/>
                <w:color w:val="000000"/>
                <w:sz w:val="18"/>
              </w:rPr>
            </w:pPr>
            <w:r>
              <w:rPr>
                <w:rFonts w:ascii="宋体" w:cs="Arial"/>
                <w:color w:val="000000"/>
                <w:sz w:val="18"/>
              </w:rPr>
              <w:t>效益指标</w:t>
            </w:r>
          </w:p>
        </w:tc>
        <w:tc>
          <w:tcPr>
            <w:tcW w:w="1059" w:type="dxa"/>
            <w:tcBorders>
              <w:top w:val="single" w:color="auto" w:sz="6" w:space="0"/>
              <w:left w:val="single" w:color="auto" w:sz="6" w:space="0"/>
              <w:bottom w:val="single" w:color="auto" w:sz="6" w:space="0"/>
              <w:right w:val="single" w:color="auto" w:sz="6" w:space="0"/>
              <w:tl2br w:val="nil"/>
              <w:tr2bl w:val="nil"/>
            </w:tcBorders>
            <w:noWrap/>
            <w:vAlign w:val="center"/>
          </w:tcPr>
          <w:p w14:paraId="49FFBEDD">
            <w:pPr>
              <w:jc w:val="center"/>
              <w:rPr>
                <w:rFonts w:ascii="宋体" w:cs="Arial"/>
                <w:color w:val="000000"/>
                <w:sz w:val="18"/>
              </w:rPr>
            </w:pPr>
            <w:r>
              <w:rPr>
                <w:rFonts w:ascii="宋体" w:cs="Arial"/>
                <w:color w:val="000000"/>
                <w:sz w:val="18"/>
              </w:rPr>
              <w:t>经济效益指标</w:t>
            </w:r>
          </w:p>
        </w:tc>
        <w:tc>
          <w:tcPr>
            <w:tcW w:w="1821"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14:paraId="3DC482CF">
            <w:pPr>
              <w:jc w:val="center"/>
              <w:rPr>
                <w:rFonts w:ascii="宋体" w:cs="Arial"/>
                <w:color w:val="000000"/>
                <w:sz w:val="18"/>
              </w:rPr>
            </w:pPr>
            <w:r>
              <w:rPr>
                <w:rFonts w:ascii="宋体" w:cs="Arial"/>
                <w:color w:val="000000"/>
                <w:sz w:val="18"/>
              </w:rPr>
              <w:t>利润增长率（%）</w:t>
            </w:r>
          </w:p>
        </w:tc>
        <w:tc>
          <w:tcPr>
            <w:tcW w:w="1255" w:type="dxa"/>
            <w:tcBorders>
              <w:top w:val="single" w:color="auto" w:sz="6" w:space="0"/>
              <w:left w:val="single" w:color="auto" w:sz="6" w:space="0"/>
              <w:bottom w:val="single" w:color="auto" w:sz="6" w:space="0"/>
              <w:right w:val="single" w:color="auto" w:sz="6" w:space="0"/>
              <w:tl2br w:val="nil"/>
              <w:tr2bl w:val="nil"/>
            </w:tcBorders>
            <w:noWrap/>
            <w:vAlign w:val="center"/>
          </w:tcPr>
          <w:p w14:paraId="123CD914">
            <w:pPr>
              <w:jc w:val="center"/>
              <w:rPr>
                <w:rFonts w:ascii="宋体" w:cs="Arial"/>
                <w:color w:val="000000"/>
                <w:sz w:val="18"/>
              </w:rPr>
            </w:pPr>
            <w:r>
              <w:rPr>
                <w:rFonts w:ascii="宋体" w:cs="Arial"/>
                <w:color w:val="000000"/>
                <w:sz w:val="18"/>
              </w:rPr>
              <w:t>≤3%</w:t>
            </w:r>
          </w:p>
        </w:tc>
        <w:tc>
          <w:tcPr>
            <w:tcW w:w="995" w:type="dxa"/>
            <w:tcBorders>
              <w:top w:val="single" w:color="auto" w:sz="6" w:space="0"/>
              <w:left w:val="single" w:color="auto" w:sz="6" w:space="0"/>
              <w:bottom w:val="single" w:color="auto" w:sz="6" w:space="0"/>
              <w:right w:val="single" w:color="auto" w:sz="6" w:space="0"/>
              <w:tl2br w:val="nil"/>
              <w:tr2bl w:val="nil"/>
            </w:tcBorders>
            <w:noWrap/>
            <w:vAlign w:val="center"/>
          </w:tcPr>
          <w:p w14:paraId="2DFD51A7">
            <w:pPr>
              <w:jc w:val="center"/>
              <w:rPr>
                <w:rFonts w:ascii="宋体" w:cs="Arial"/>
                <w:color w:val="000000"/>
                <w:sz w:val="18"/>
              </w:rPr>
            </w:pPr>
            <w:r>
              <w:rPr>
                <w:rFonts w:ascii="宋体" w:cs="Arial"/>
                <w:color w:val="000000"/>
                <w:sz w:val="18"/>
              </w:rPr>
              <w:t>2%</w:t>
            </w:r>
          </w:p>
        </w:tc>
        <w:tc>
          <w:tcPr>
            <w:tcW w:w="272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01F396E9">
            <w:pPr>
              <w:jc w:val="center"/>
              <w:rPr>
                <w:rFonts w:ascii="宋体" w:cs="Arial"/>
                <w:color w:val="000000"/>
                <w:sz w:val="18"/>
              </w:rPr>
            </w:pPr>
            <w:r>
              <w:rPr>
                <w:rFonts w:hint="eastAsia" w:ascii="宋体" w:cs="Arial"/>
                <w:color w:val="000000"/>
                <w:sz w:val="18"/>
                <w:lang w:val="en-US" w:eastAsia="zh-CN"/>
              </w:rPr>
              <w:t>防控工作</w:t>
            </w:r>
            <w:r>
              <w:rPr>
                <w:rFonts w:ascii="宋体" w:cs="Arial"/>
                <w:color w:val="000000"/>
                <w:sz w:val="18"/>
              </w:rPr>
              <w:t>影响，外出限制</w:t>
            </w:r>
          </w:p>
        </w:tc>
      </w:tr>
      <w:tr w14:paraId="60EAB078">
        <w:tblPrEx>
          <w:tblCellMar>
            <w:top w:w="0" w:type="dxa"/>
            <w:left w:w="108" w:type="dxa"/>
            <w:bottom w:w="0" w:type="dxa"/>
            <w:right w:w="108" w:type="dxa"/>
          </w:tblCellMar>
        </w:tblPrEx>
        <w:trPr>
          <w:trHeight w:val="694" w:hRule="atLeast"/>
        </w:trPr>
        <w:tc>
          <w:tcPr>
            <w:tcW w:w="84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0019B90D"/>
        </w:tc>
        <w:tc>
          <w:tcPr>
            <w:tcW w:w="75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32C2D213"/>
        </w:tc>
        <w:tc>
          <w:tcPr>
            <w:tcW w:w="1059" w:type="dxa"/>
            <w:tcBorders>
              <w:top w:val="single" w:color="auto" w:sz="6" w:space="0"/>
              <w:left w:val="single" w:color="auto" w:sz="6" w:space="0"/>
              <w:bottom w:val="single" w:color="auto" w:sz="6" w:space="0"/>
              <w:right w:val="single" w:color="auto" w:sz="6" w:space="0"/>
              <w:tl2br w:val="nil"/>
              <w:tr2bl w:val="nil"/>
            </w:tcBorders>
            <w:noWrap/>
            <w:vAlign w:val="center"/>
          </w:tcPr>
          <w:p w14:paraId="742017D8">
            <w:pPr>
              <w:jc w:val="center"/>
              <w:rPr>
                <w:rFonts w:ascii="宋体" w:cs="Arial"/>
                <w:color w:val="000000"/>
                <w:sz w:val="18"/>
              </w:rPr>
            </w:pPr>
            <w:r>
              <w:rPr>
                <w:rFonts w:ascii="宋体" w:cs="Arial"/>
                <w:color w:val="000000"/>
                <w:sz w:val="18"/>
              </w:rPr>
              <w:t>社会效益指标</w:t>
            </w:r>
          </w:p>
        </w:tc>
        <w:tc>
          <w:tcPr>
            <w:tcW w:w="1821"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14:paraId="39A7E95C">
            <w:pPr>
              <w:jc w:val="center"/>
              <w:rPr>
                <w:rFonts w:ascii="宋体" w:cs="Arial"/>
                <w:color w:val="000000"/>
                <w:sz w:val="18"/>
              </w:rPr>
            </w:pPr>
            <w:r>
              <w:rPr>
                <w:rFonts w:ascii="宋体" w:cs="Arial"/>
                <w:color w:val="000000"/>
                <w:sz w:val="18"/>
              </w:rPr>
              <w:t>报刊杂志续订率（%）</w:t>
            </w:r>
          </w:p>
        </w:tc>
        <w:tc>
          <w:tcPr>
            <w:tcW w:w="1255" w:type="dxa"/>
            <w:tcBorders>
              <w:top w:val="single" w:color="auto" w:sz="6" w:space="0"/>
              <w:left w:val="single" w:color="auto" w:sz="6" w:space="0"/>
              <w:bottom w:val="single" w:color="auto" w:sz="6" w:space="0"/>
              <w:right w:val="single" w:color="auto" w:sz="6" w:space="0"/>
              <w:tl2br w:val="nil"/>
              <w:tr2bl w:val="nil"/>
            </w:tcBorders>
            <w:noWrap/>
            <w:vAlign w:val="center"/>
          </w:tcPr>
          <w:p w14:paraId="1EBB2871">
            <w:pPr>
              <w:jc w:val="center"/>
              <w:rPr>
                <w:rFonts w:ascii="宋体" w:cs="Arial"/>
                <w:color w:val="000000"/>
                <w:sz w:val="18"/>
              </w:rPr>
            </w:pPr>
            <w:r>
              <w:rPr>
                <w:rFonts w:ascii="宋体" w:cs="Arial"/>
                <w:color w:val="000000"/>
                <w:sz w:val="18"/>
              </w:rPr>
              <w:t>≥40%</w:t>
            </w:r>
          </w:p>
        </w:tc>
        <w:tc>
          <w:tcPr>
            <w:tcW w:w="995" w:type="dxa"/>
            <w:tcBorders>
              <w:top w:val="single" w:color="auto" w:sz="6" w:space="0"/>
              <w:left w:val="single" w:color="auto" w:sz="6" w:space="0"/>
              <w:bottom w:val="single" w:color="auto" w:sz="6" w:space="0"/>
              <w:right w:val="single" w:color="auto" w:sz="6" w:space="0"/>
              <w:tl2br w:val="nil"/>
              <w:tr2bl w:val="nil"/>
            </w:tcBorders>
            <w:noWrap/>
            <w:vAlign w:val="center"/>
          </w:tcPr>
          <w:p w14:paraId="623F0A38">
            <w:pPr>
              <w:jc w:val="center"/>
              <w:rPr>
                <w:rFonts w:ascii="宋体" w:cs="Arial"/>
                <w:color w:val="000000"/>
                <w:sz w:val="18"/>
              </w:rPr>
            </w:pPr>
            <w:r>
              <w:rPr>
                <w:rFonts w:ascii="宋体" w:cs="Arial"/>
                <w:color w:val="000000"/>
                <w:sz w:val="18"/>
              </w:rPr>
              <w:t>35%</w:t>
            </w:r>
          </w:p>
        </w:tc>
        <w:tc>
          <w:tcPr>
            <w:tcW w:w="272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024701B0">
            <w:pPr>
              <w:jc w:val="center"/>
              <w:rPr>
                <w:rFonts w:ascii="宋体" w:cs="Arial"/>
                <w:color w:val="000000"/>
                <w:sz w:val="18"/>
              </w:rPr>
            </w:pPr>
            <w:r>
              <w:rPr>
                <w:rFonts w:hint="eastAsia" w:ascii="宋体" w:cs="Arial"/>
                <w:color w:val="000000"/>
                <w:sz w:val="18"/>
                <w:lang w:val="en-US" w:eastAsia="zh-CN"/>
              </w:rPr>
              <w:t>防控工作</w:t>
            </w:r>
            <w:bookmarkStart w:id="2" w:name="_GoBack"/>
            <w:bookmarkEnd w:id="2"/>
            <w:r>
              <w:rPr>
                <w:rFonts w:ascii="宋体" w:cs="Arial"/>
                <w:color w:val="000000"/>
                <w:sz w:val="18"/>
              </w:rPr>
              <w:t>影响，外出限制</w:t>
            </w:r>
          </w:p>
        </w:tc>
      </w:tr>
      <w:tr w14:paraId="79C26F53">
        <w:tblPrEx>
          <w:tblCellMar>
            <w:top w:w="0" w:type="dxa"/>
            <w:left w:w="108" w:type="dxa"/>
            <w:bottom w:w="0" w:type="dxa"/>
            <w:right w:w="108" w:type="dxa"/>
          </w:tblCellMar>
        </w:tblPrEx>
        <w:trPr>
          <w:trHeight w:val="905" w:hRule="atLeast"/>
        </w:trPr>
        <w:tc>
          <w:tcPr>
            <w:tcW w:w="840" w:type="dxa"/>
            <w:vMerge w:val="continue"/>
            <w:tcBorders>
              <w:top w:val="single" w:color="auto" w:sz="6" w:space="0"/>
              <w:left w:val="single" w:color="auto" w:sz="6" w:space="0"/>
              <w:bottom w:val="single" w:color="auto" w:sz="6" w:space="0"/>
              <w:right w:val="single" w:color="auto" w:sz="6" w:space="0"/>
              <w:tl2br w:val="nil"/>
              <w:tr2bl w:val="nil"/>
            </w:tcBorders>
            <w:noWrap/>
            <w:vAlign w:val="center"/>
          </w:tcPr>
          <w:p w14:paraId="4F81B05D"/>
        </w:tc>
        <w:tc>
          <w:tcPr>
            <w:tcW w:w="750" w:type="dxa"/>
            <w:tcBorders>
              <w:top w:val="single" w:color="auto" w:sz="6" w:space="0"/>
              <w:left w:val="single" w:color="auto" w:sz="6" w:space="0"/>
              <w:bottom w:val="single" w:color="auto" w:sz="6" w:space="0"/>
              <w:right w:val="single" w:color="auto" w:sz="6" w:space="0"/>
              <w:tl2br w:val="nil"/>
              <w:tr2bl w:val="nil"/>
            </w:tcBorders>
            <w:noWrap/>
            <w:vAlign w:val="center"/>
          </w:tcPr>
          <w:p w14:paraId="13585DF0">
            <w:pPr>
              <w:jc w:val="center"/>
              <w:rPr>
                <w:rFonts w:ascii="宋体" w:cs="Arial"/>
                <w:color w:val="000000"/>
                <w:sz w:val="18"/>
              </w:rPr>
            </w:pPr>
            <w:r>
              <w:rPr>
                <w:rFonts w:ascii="宋体" w:cs="Arial"/>
                <w:color w:val="000000"/>
                <w:sz w:val="18"/>
              </w:rPr>
              <w:t>满意度指标</w:t>
            </w:r>
          </w:p>
        </w:tc>
        <w:tc>
          <w:tcPr>
            <w:tcW w:w="1059" w:type="dxa"/>
            <w:tcBorders>
              <w:top w:val="single" w:color="auto" w:sz="6" w:space="0"/>
              <w:left w:val="single" w:color="auto" w:sz="6" w:space="0"/>
              <w:bottom w:val="single" w:color="auto" w:sz="6" w:space="0"/>
              <w:right w:val="single" w:color="auto" w:sz="6" w:space="0"/>
              <w:tl2br w:val="nil"/>
              <w:tr2bl w:val="nil"/>
            </w:tcBorders>
            <w:noWrap/>
            <w:vAlign w:val="center"/>
          </w:tcPr>
          <w:p w14:paraId="7CDA707E">
            <w:pPr>
              <w:jc w:val="center"/>
              <w:rPr>
                <w:rFonts w:ascii="宋体" w:cs="Arial"/>
                <w:color w:val="000000"/>
                <w:sz w:val="18"/>
              </w:rPr>
            </w:pPr>
            <w:r>
              <w:rPr>
                <w:rFonts w:ascii="宋体" w:cs="Arial"/>
                <w:color w:val="000000"/>
                <w:sz w:val="18"/>
              </w:rPr>
              <w:t>服务对象满意度指标</w:t>
            </w:r>
          </w:p>
        </w:tc>
        <w:tc>
          <w:tcPr>
            <w:tcW w:w="1821" w:type="dxa"/>
            <w:gridSpan w:val="3"/>
            <w:tcBorders>
              <w:top w:val="single" w:color="auto" w:sz="6" w:space="0"/>
              <w:left w:val="single" w:color="auto" w:sz="6" w:space="0"/>
              <w:bottom w:val="single" w:color="auto" w:sz="6" w:space="0"/>
              <w:right w:val="single" w:color="auto" w:sz="6" w:space="0"/>
              <w:tl2br w:val="nil"/>
              <w:tr2bl w:val="nil"/>
            </w:tcBorders>
            <w:noWrap/>
            <w:vAlign w:val="center"/>
          </w:tcPr>
          <w:p w14:paraId="4F29714F">
            <w:pPr>
              <w:jc w:val="center"/>
              <w:rPr>
                <w:rFonts w:ascii="宋体" w:cs="Arial"/>
                <w:color w:val="000000"/>
                <w:sz w:val="18"/>
              </w:rPr>
            </w:pPr>
            <w:r>
              <w:rPr>
                <w:rFonts w:ascii="宋体" w:cs="Arial"/>
                <w:color w:val="000000"/>
                <w:sz w:val="18"/>
              </w:rPr>
              <w:t>读者满意度</w:t>
            </w:r>
          </w:p>
        </w:tc>
        <w:tc>
          <w:tcPr>
            <w:tcW w:w="1255" w:type="dxa"/>
            <w:tcBorders>
              <w:top w:val="single" w:color="auto" w:sz="6" w:space="0"/>
              <w:left w:val="single" w:color="auto" w:sz="6" w:space="0"/>
              <w:bottom w:val="single" w:color="auto" w:sz="6" w:space="0"/>
              <w:right w:val="single" w:color="auto" w:sz="6" w:space="0"/>
              <w:tl2br w:val="nil"/>
              <w:tr2bl w:val="nil"/>
            </w:tcBorders>
            <w:noWrap/>
            <w:vAlign w:val="center"/>
          </w:tcPr>
          <w:p w14:paraId="4C185CE0">
            <w:pPr>
              <w:jc w:val="center"/>
              <w:rPr>
                <w:rFonts w:ascii="宋体" w:cs="Arial"/>
                <w:color w:val="000000"/>
                <w:sz w:val="18"/>
              </w:rPr>
            </w:pPr>
            <w:r>
              <w:rPr>
                <w:rFonts w:ascii="宋体" w:cs="Arial"/>
                <w:color w:val="000000"/>
                <w:sz w:val="18"/>
              </w:rPr>
              <w:t>≥90%</w:t>
            </w:r>
          </w:p>
        </w:tc>
        <w:tc>
          <w:tcPr>
            <w:tcW w:w="995" w:type="dxa"/>
            <w:tcBorders>
              <w:top w:val="single" w:color="auto" w:sz="6" w:space="0"/>
              <w:left w:val="single" w:color="auto" w:sz="6" w:space="0"/>
              <w:bottom w:val="single" w:color="auto" w:sz="6" w:space="0"/>
              <w:right w:val="single" w:color="auto" w:sz="6" w:space="0"/>
              <w:tl2br w:val="nil"/>
              <w:tr2bl w:val="nil"/>
            </w:tcBorders>
            <w:noWrap/>
            <w:vAlign w:val="center"/>
          </w:tcPr>
          <w:p w14:paraId="4410F9E2">
            <w:pPr>
              <w:jc w:val="center"/>
              <w:rPr>
                <w:rFonts w:ascii="宋体" w:cs="Arial"/>
                <w:color w:val="000000"/>
                <w:sz w:val="18"/>
              </w:rPr>
            </w:pPr>
            <w:r>
              <w:rPr>
                <w:rFonts w:ascii="宋体" w:cs="Arial"/>
                <w:color w:val="000000"/>
                <w:sz w:val="18"/>
              </w:rPr>
              <w:t>90%</w:t>
            </w:r>
          </w:p>
        </w:tc>
        <w:tc>
          <w:tcPr>
            <w:tcW w:w="2725" w:type="dxa"/>
            <w:gridSpan w:val="2"/>
            <w:tcBorders>
              <w:top w:val="single" w:color="auto" w:sz="6" w:space="0"/>
              <w:left w:val="single" w:color="auto" w:sz="6" w:space="0"/>
              <w:bottom w:val="single" w:color="auto" w:sz="6" w:space="0"/>
              <w:right w:val="single" w:color="auto" w:sz="6" w:space="0"/>
              <w:tl2br w:val="nil"/>
              <w:tr2bl w:val="nil"/>
            </w:tcBorders>
            <w:noWrap/>
            <w:vAlign w:val="center"/>
          </w:tcPr>
          <w:p w14:paraId="2700D4FC">
            <w:pPr>
              <w:jc w:val="center"/>
              <w:rPr>
                <w:rFonts w:ascii="宋体" w:cs="Arial"/>
                <w:color w:val="000000"/>
                <w:sz w:val="18"/>
              </w:rPr>
            </w:pPr>
          </w:p>
        </w:tc>
      </w:tr>
    </w:tbl>
    <w:p w14:paraId="5634E016">
      <w:pPr>
        <w:pStyle w:val="2"/>
        <w:jc w:val="both"/>
      </w:pPr>
    </w:p>
    <w:sectPr>
      <w:pgSz w:w="11907" w:h="16840"/>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A49A624-0015-4B3E-923B-BD34CCC865A6}"/>
  </w:font>
  <w:font w:name="黑体">
    <w:panose1 w:val="02010609060101010101"/>
    <w:charset w:val="86"/>
    <w:family w:val="auto"/>
    <w:pitch w:val="default"/>
    <w:sig w:usb0="800002BF" w:usb1="38CF7CFA" w:usb2="00000016" w:usb3="00000000" w:csb0="00040001" w:csb1="00000000"/>
    <w:embedRegular r:id="rId2" w:fontKey="{97A263F8-032C-4ED0-A38E-619356E985E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3" w:fontKey="{6AD5C25A-4D76-46C7-8055-335DE31CD08D}"/>
  </w:font>
  <w:font w:name="华文中宋">
    <w:panose1 w:val="02010600040101010101"/>
    <w:charset w:val="86"/>
    <w:family w:val="auto"/>
    <w:pitch w:val="default"/>
    <w:sig w:usb0="00000287" w:usb1="080F0000" w:usb2="00000000" w:usb3="00000000" w:csb0="0004009F" w:csb1="DFD70000"/>
    <w:embedRegular r:id="rId4" w:fontKey="{2AC501EE-D9F1-418E-AF64-C18491D1FBA8}"/>
  </w:font>
  <w:font w:name="方正小标宋简体">
    <w:panose1 w:val="02000000000000000000"/>
    <w:charset w:val="86"/>
    <w:family w:val="auto"/>
    <w:pitch w:val="default"/>
    <w:sig w:usb0="00000001" w:usb1="08000000" w:usb2="00000000" w:usb3="00000000" w:csb0="00040000" w:csb1="00000000"/>
    <w:embedRegular r:id="rId5" w:fontKey="{B66A5730-C138-41B5-AFA8-FDD824C6F20C}"/>
  </w:font>
  <w:font w:name="楷体_GB2312">
    <w:altName w:val="楷体"/>
    <w:panose1 w:val="00000000000000000000"/>
    <w:charset w:val="86"/>
    <w:family w:val="auto"/>
    <w:pitch w:val="default"/>
    <w:sig w:usb0="00000000" w:usb1="00000000" w:usb2="00000000" w:usb3="00000000" w:csb0="00040000" w:csb1="00000000"/>
    <w:embedRegular r:id="rId6" w:fontKey="{65A341CE-E10C-45D8-9086-865F2337E7E2}"/>
  </w:font>
  <w:font w:name="楷体">
    <w:panose1 w:val="02010609060101010101"/>
    <w:charset w:val="86"/>
    <w:family w:val="modern"/>
    <w:pitch w:val="default"/>
    <w:sig w:usb0="800002BF" w:usb1="38CF7CFA" w:usb2="00000016" w:usb3="00000000" w:csb0="00040001" w:csb1="00000000"/>
    <w:embedRegular r:id="rId7" w:fontKey="{F6CF6BF5-6A6C-4567-ACA2-644C36CD0634}"/>
  </w:font>
  <w:font w:name="仿宋">
    <w:panose1 w:val="02010609060101010101"/>
    <w:charset w:val="86"/>
    <w:family w:val="modern"/>
    <w:pitch w:val="default"/>
    <w:sig w:usb0="800002BF" w:usb1="38CF7CFA" w:usb2="00000016" w:usb3="00000000" w:csb0="00040001" w:csb1="00000000"/>
    <w:embedRegular r:id="rId8" w:fontKey="{247FD2F3-5017-4193-9BC3-EB357DC4A789}"/>
  </w:font>
  <w:font w:name="方正仿宋_GBK">
    <w:panose1 w:val="02000000000000000000"/>
    <w:charset w:val="86"/>
    <w:family w:val="script"/>
    <w:pitch w:val="default"/>
    <w:sig w:usb0="A00002BF" w:usb1="38CF7CFA" w:usb2="00082016" w:usb3="00000000" w:csb0="00040001" w:csb1="00000000"/>
    <w:embedRegular r:id="rId9" w:fontKey="{049BFC76-ACA5-40F3-A1F4-81B35B9663F1}"/>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91188981"/>
    </w:sdtPr>
    <w:sdtContent>
      <w:p w14:paraId="35FDB444">
        <w:pPr>
          <w:pStyle w:val="14"/>
          <w:jc w:val="center"/>
        </w:pPr>
        <w:r>
          <w:fldChar w:fldCharType="begin"/>
        </w:r>
        <w:r>
          <w:instrText xml:space="preserve">PAGE   \* MERGEFORMAT</w:instrText>
        </w:r>
        <w:r>
          <w:fldChar w:fldCharType="separate"/>
        </w:r>
        <w:r>
          <w:rPr>
            <w:lang w:val="zh-CN"/>
          </w:rPr>
          <w:t>21</w:t>
        </w:r>
        <w:r>
          <w:fldChar w:fldCharType="end"/>
        </w:r>
      </w:p>
    </w:sdtContent>
  </w:sdt>
  <w:p w14:paraId="2040D6B6">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pPr>
        <w:tabs>
          <w:tab w:val="left" w:pos="0"/>
        </w:tabs>
        <w:ind w:left="0" w:firstLine="0"/>
      </w:pPr>
      <w:rPr>
        <w:rFonts w:hint="eastAsia"/>
      </w:rPr>
    </w:lvl>
  </w:abstractNum>
  <w:abstractNum w:abstractNumId="1">
    <w:nsid w:val="B2661FE9"/>
    <w:multiLevelType w:val="multilevel"/>
    <w:tmpl w:val="B2661FE9"/>
    <w:lvl w:ilvl="0" w:tentative="0">
      <w:start w:val="1"/>
      <w:numFmt w:val="decimal"/>
      <w:lvlText w:val="%1、"/>
      <w:legacy w:legacy="1" w:legacySpace="0" w:legacyIndent="480"/>
      <w:lvlJc w:val="left"/>
      <w:pPr>
        <w:ind w:left="1120" w:hanging="480"/>
      </w:pPr>
      <w:rPr>
        <w:rFonts w:hint="default" w:ascii="仿宋_GB2312" w:hAnsi="仿宋_GB2312" w:eastAsia="仿宋_GB2312" w:cs="仿宋_GB2312"/>
      </w:rPr>
    </w:lvl>
    <w:lvl w:ilvl="1" w:tentative="0">
      <w:start w:val="1"/>
      <w:numFmt w:val="lowerLetter"/>
      <w:lvlText w:val="%2)"/>
      <w:legacy w:legacy="1" w:legacySpace="0" w:legacyIndent="420"/>
      <w:lvlJc w:val="left"/>
      <w:pPr>
        <w:ind w:left="1480" w:hanging="420"/>
      </w:pPr>
    </w:lvl>
    <w:lvl w:ilvl="2" w:tentative="0">
      <w:start w:val="1"/>
      <w:numFmt w:val="lowerRoman"/>
      <w:lvlText w:val="%3."/>
      <w:legacy w:legacy="1" w:legacySpace="0" w:legacyIndent="420"/>
      <w:lvlJc w:val="right"/>
      <w:pPr>
        <w:ind w:left="1900" w:hanging="420"/>
      </w:pPr>
    </w:lvl>
    <w:lvl w:ilvl="3" w:tentative="0">
      <w:start w:val="1"/>
      <w:numFmt w:val="decimal"/>
      <w:lvlText w:val="%4."/>
      <w:legacy w:legacy="1" w:legacySpace="0" w:legacyIndent="420"/>
      <w:lvlJc w:val="left"/>
      <w:pPr>
        <w:ind w:left="2320" w:hanging="420"/>
      </w:pPr>
    </w:lvl>
    <w:lvl w:ilvl="4" w:tentative="0">
      <w:start w:val="1"/>
      <w:numFmt w:val="lowerLetter"/>
      <w:lvlText w:val="%5)"/>
      <w:legacy w:legacy="1" w:legacySpace="0" w:legacyIndent="420"/>
      <w:lvlJc w:val="left"/>
      <w:pPr>
        <w:ind w:left="2740" w:hanging="420"/>
      </w:pPr>
    </w:lvl>
    <w:lvl w:ilvl="5" w:tentative="0">
      <w:start w:val="1"/>
      <w:numFmt w:val="lowerRoman"/>
      <w:lvlText w:val="%6."/>
      <w:legacy w:legacy="1" w:legacySpace="0" w:legacyIndent="420"/>
      <w:lvlJc w:val="right"/>
      <w:pPr>
        <w:ind w:left="3160" w:hanging="420"/>
      </w:pPr>
    </w:lvl>
    <w:lvl w:ilvl="6" w:tentative="0">
      <w:start w:val="1"/>
      <w:numFmt w:val="decimal"/>
      <w:lvlText w:val="%7."/>
      <w:legacy w:legacy="1" w:legacySpace="0" w:legacyIndent="420"/>
      <w:lvlJc w:val="left"/>
      <w:pPr>
        <w:ind w:left="3580" w:hanging="420"/>
      </w:pPr>
    </w:lvl>
    <w:lvl w:ilvl="7" w:tentative="0">
      <w:start w:val="1"/>
      <w:numFmt w:val="lowerLetter"/>
      <w:lvlText w:val="%8)"/>
      <w:legacy w:legacy="1" w:legacySpace="0" w:legacyIndent="420"/>
      <w:lvlJc w:val="left"/>
      <w:pPr>
        <w:ind w:left="4000" w:hanging="420"/>
      </w:pPr>
    </w:lvl>
    <w:lvl w:ilvl="8" w:tentative="0">
      <w:start w:val="1"/>
      <w:numFmt w:val="lowerRoman"/>
      <w:lvlText w:val="%9."/>
      <w:legacy w:legacy="1" w:legacySpace="0" w:legacyIndent="420"/>
      <w:lvlJc w:val="right"/>
      <w:pPr>
        <w:ind w:left="4420" w:hanging="420"/>
      </w:pPr>
    </w:lvl>
  </w:abstractNum>
  <w:abstractNum w:abstractNumId="2">
    <w:nsid w:val="DEF60FE1"/>
    <w:multiLevelType w:val="singleLevel"/>
    <w:tmpl w:val="DEF60FE1"/>
    <w:lvl w:ilvl="0" w:tentative="0">
      <w:start w:val="1"/>
      <w:numFmt w:val="decimal"/>
      <w:suff w:val="nothing"/>
      <w:lvlText w:val="（%1）"/>
      <w:lvlJc w:val="left"/>
      <w:pPr>
        <w:tabs>
          <w:tab w:val="left" w:pos="0"/>
        </w:tabs>
        <w:ind w:left="0" w:firstLine="0"/>
      </w:pPr>
    </w:lvl>
  </w:abstractNum>
  <w:abstractNum w:abstractNumId="3">
    <w:nsid w:val="FF4BB6DE"/>
    <w:multiLevelType w:val="singleLevel"/>
    <w:tmpl w:val="FF4BB6DE"/>
    <w:lvl w:ilvl="0" w:tentative="0">
      <w:start w:val="1"/>
      <w:numFmt w:val="decimal"/>
      <w:suff w:val="nothing"/>
      <w:lvlText w:val="%1、"/>
      <w:lvlJc w:val="left"/>
      <w:pPr>
        <w:tabs>
          <w:tab w:val="left" w:pos="0"/>
        </w:tabs>
        <w:ind w:left="0" w:firstLine="0"/>
      </w:pPr>
    </w:lvl>
  </w:abstractNum>
  <w:abstractNum w:abstractNumId="4">
    <w:nsid w:val="FF9379A8"/>
    <w:multiLevelType w:val="singleLevel"/>
    <w:tmpl w:val="FF9379A8"/>
    <w:lvl w:ilvl="0" w:tentative="0">
      <w:start w:val="2"/>
      <w:numFmt w:val="chineseCounting"/>
      <w:suff w:val="nothing"/>
      <w:lvlText w:val="（%1）"/>
      <w:lvlJc w:val="left"/>
      <w:pPr>
        <w:tabs>
          <w:tab w:val="left" w:pos="0"/>
        </w:tabs>
        <w:ind w:left="0" w:firstLine="0"/>
      </w:pPr>
      <w:rPr>
        <w:rFonts w:hint="eastAsia"/>
      </w:rPr>
    </w:lvl>
  </w:abstractNum>
  <w:abstractNum w:abstractNumId="5">
    <w:nsid w:val="08B96FC6"/>
    <w:multiLevelType w:val="multilevel"/>
    <w:tmpl w:val="08B96FC6"/>
    <w:lvl w:ilvl="0" w:tentative="0">
      <w:start w:val="1"/>
      <w:numFmt w:val="decimal"/>
      <w:lvlText w:val="%1、"/>
      <w:legacy w:legacy="1" w:legacySpace="0" w:legacyIndent="480"/>
      <w:lvlJc w:val="left"/>
      <w:pPr>
        <w:ind w:left="1121" w:hanging="480"/>
      </w:pPr>
      <w:rPr>
        <w:rFonts w:hint="default" w:ascii="仿宋_GB2312" w:hAnsi="仿宋_GB2312" w:eastAsia="仿宋_GB2312" w:cs="仿宋_GB2312"/>
        <w:sz w:val="32"/>
        <w:szCs w:val="32"/>
      </w:rPr>
    </w:lvl>
    <w:lvl w:ilvl="1" w:tentative="0">
      <w:start w:val="1"/>
      <w:numFmt w:val="lowerLetter"/>
      <w:lvlText w:val="%2)"/>
      <w:legacy w:legacy="1" w:legacySpace="0" w:legacyIndent="420"/>
      <w:lvlJc w:val="left"/>
      <w:pPr>
        <w:ind w:left="1481" w:hanging="420"/>
      </w:pPr>
    </w:lvl>
    <w:lvl w:ilvl="2" w:tentative="0">
      <w:start w:val="1"/>
      <w:numFmt w:val="lowerRoman"/>
      <w:lvlText w:val="%3."/>
      <w:legacy w:legacy="1" w:legacySpace="0" w:legacyIndent="420"/>
      <w:lvlJc w:val="right"/>
      <w:pPr>
        <w:ind w:left="1901" w:hanging="420"/>
      </w:pPr>
    </w:lvl>
    <w:lvl w:ilvl="3" w:tentative="0">
      <w:start w:val="1"/>
      <w:numFmt w:val="decimal"/>
      <w:lvlText w:val="%4."/>
      <w:legacy w:legacy="1" w:legacySpace="0" w:legacyIndent="420"/>
      <w:lvlJc w:val="left"/>
      <w:pPr>
        <w:ind w:left="2321" w:hanging="420"/>
      </w:pPr>
    </w:lvl>
    <w:lvl w:ilvl="4" w:tentative="0">
      <w:start w:val="1"/>
      <w:numFmt w:val="lowerLetter"/>
      <w:lvlText w:val="%5)"/>
      <w:legacy w:legacy="1" w:legacySpace="0" w:legacyIndent="420"/>
      <w:lvlJc w:val="left"/>
      <w:pPr>
        <w:ind w:left="2741" w:hanging="420"/>
      </w:pPr>
    </w:lvl>
    <w:lvl w:ilvl="5" w:tentative="0">
      <w:start w:val="1"/>
      <w:numFmt w:val="lowerRoman"/>
      <w:lvlText w:val="%6."/>
      <w:legacy w:legacy="1" w:legacySpace="0" w:legacyIndent="420"/>
      <w:lvlJc w:val="right"/>
      <w:pPr>
        <w:ind w:left="3161" w:hanging="420"/>
      </w:pPr>
    </w:lvl>
    <w:lvl w:ilvl="6" w:tentative="0">
      <w:start w:val="1"/>
      <w:numFmt w:val="decimal"/>
      <w:lvlText w:val="%7."/>
      <w:legacy w:legacy="1" w:legacySpace="0" w:legacyIndent="420"/>
      <w:lvlJc w:val="left"/>
      <w:pPr>
        <w:ind w:left="3581" w:hanging="420"/>
      </w:pPr>
    </w:lvl>
    <w:lvl w:ilvl="7" w:tentative="0">
      <w:start w:val="1"/>
      <w:numFmt w:val="lowerLetter"/>
      <w:lvlText w:val="%8)"/>
      <w:legacy w:legacy="1" w:legacySpace="0" w:legacyIndent="420"/>
      <w:lvlJc w:val="left"/>
      <w:pPr>
        <w:ind w:left="4001" w:hanging="420"/>
      </w:pPr>
    </w:lvl>
    <w:lvl w:ilvl="8" w:tentative="0">
      <w:start w:val="1"/>
      <w:numFmt w:val="lowerRoman"/>
      <w:lvlText w:val="%9."/>
      <w:legacy w:legacy="1" w:legacySpace="0" w:legacyIndent="420"/>
      <w:lvlJc w:val="right"/>
      <w:pPr>
        <w:ind w:left="4421" w:hanging="420"/>
      </w:pPr>
    </w:lvl>
  </w:abstractNum>
  <w:abstractNum w:abstractNumId="6">
    <w:nsid w:val="116B29BF"/>
    <w:multiLevelType w:val="singleLevel"/>
    <w:tmpl w:val="116B29BF"/>
    <w:lvl w:ilvl="0" w:tentative="0">
      <w:start w:val="3"/>
      <w:numFmt w:val="chineseCounting"/>
      <w:suff w:val="nothing"/>
      <w:lvlText w:val="%1、"/>
      <w:lvlJc w:val="left"/>
      <w:pPr>
        <w:tabs>
          <w:tab w:val="left" w:pos="0"/>
        </w:tabs>
        <w:ind w:left="0" w:firstLine="0"/>
      </w:pPr>
      <w:rPr>
        <w:rFonts w:hint="eastAsia"/>
      </w:rPr>
    </w:lvl>
  </w:abstractNum>
  <w:num w:numId="1">
    <w:abstractNumId w:val="5"/>
  </w:num>
  <w:num w:numId="2">
    <w:abstractNumId w:val="2"/>
  </w:num>
  <w:num w:numId="3">
    <w:abstractNumId w:val="6"/>
  </w:num>
  <w:num w:numId="4">
    <w:abstractNumId w:val="4"/>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AF4"/>
    <w:rsid w:val="002E2D67"/>
    <w:rsid w:val="00646AF4"/>
    <w:rsid w:val="00C5659E"/>
    <w:rsid w:val="1766283F"/>
    <w:rsid w:val="1CF53994"/>
    <w:rsid w:val="222D3D27"/>
    <w:rsid w:val="316F4EC4"/>
    <w:rsid w:val="4433379F"/>
    <w:rsid w:val="5CA95D7B"/>
    <w:rsid w:val="5DC25401"/>
    <w:rsid w:val="6D707575"/>
    <w:rsid w:val="6E6F1320"/>
    <w:rsid w:val="7459546E"/>
    <w:rsid w:val="7E170873"/>
    <w:rsid w:val="7FFE2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widowControl/>
      <w:spacing w:before="240" w:after="60"/>
      <w:jc w:val="left"/>
      <w:outlineLvl w:val="0"/>
    </w:pPr>
    <w:rPr>
      <w:rFonts w:ascii="Cambria" w:hAnsi="Cambria"/>
      <w:b/>
      <w:bCs/>
      <w:kern w:val="32"/>
      <w:sz w:val="32"/>
      <w:szCs w:val="32"/>
    </w:rPr>
  </w:style>
  <w:style w:type="paragraph" w:styleId="4">
    <w:name w:val="heading 2"/>
    <w:basedOn w:val="1"/>
    <w:next w:val="1"/>
    <w:qFormat/>
    <w:uiPriority w:val="0"/>
    <w:pPr>
      <w:keepNext/>
      <w:widowControl/>
      <w:spacing w:before="240" w:after="60"/>
      <w:jc w:val="left"/>
      <w:outlineLvl w:val="1"/>
    </w:pPr>
    <w:rPr>
      <w:rFonts w:ascii="Cambria" w:hAnsi="Cambria"/>
      <w:b/>
      <w:bCs/>
      <w:i/>
      <w:iCs/>
      <w:kern w:val="0"/>
      <w:sz w:val="28"/>
      <w:szCs w:val="28"/>
    </w:rPr>
  </w:style>
  <w:style w:type="paragraph" w:styleId="5">
    <w:name w:val="heading 3"/>
    <w:next w:val="1"/>
    <w:qFormat/>
    <w:uiPriority w:val="0"/>
    <w:pPr>
      <w:keepNext/>
      <w:keepLines/>
      <w:widowControl w:val="0"/>
      <w:spacing w:before="260" w:after="260" w:line="415" w:lineRule="auto"/>
      <w:jc w:val="both"/>
      <w:outlineLvl w:val="2"/>
    </w:pPr>
    <w:rPr>
      <w:rFonts w:ascii="Times New Roman" w:hAnsi="Times New Roman" w:eastAsia="宋体" w:cs="Times New Roman"/>
      <w:b/>
      <w:bCs/>
      <w:kern w:val="2"/>
      <w:sz w:val="21"/>
      <w:szCs w:val="24"/>
      <w:lang w:val="en-US" w:eastAsia="zh-CN" w:bidi="ar-SA"/>
    </w:rPr>
  </w:style>
  <w:style w:type="paragraph" w:styleId="6">
    <w:name w:val="heading 4"/>
    <w:basedOn w:val="1"/>
    <w:next w:val="1"/>
    <w:qFormat/>
    <w:uiPriority w:val="0"/>
    <w:pPr>
      <w:keepNext/>
      <w:widowControl/>
      <w:spacing w:before="240" w:after="60"/>
      <w:jc w:val="left"/>
      <w:outlineLvl w:val="3"/>
    </w:pPr>
    <w:rPr>
      <w:rFonts w:ascii="Calibri" w:hAnsi="Calibri"/>
      <w:b/>
      <w:bCs/>
      <w:kern w:val="0"/>
      <w:sz w:val="28"/>
      <w:szCs w:val="28"/>
    </w:rPr>
  </w:style>
  <w:style w:type="paragraph" w:styleId="7">
    <w:name w:val="heading 5"/>
    <w:basedOn w:val="1"/>
    <w:next w:val="1"/>
    <w:qFormat/>
    <w:uiPriority w:val="0"/>
    <w:pPr>
      <w:widowControl/>
      <w:spacing w:before="240" w:after="60"/>
      <w:jc w:val="left"/>
      <w:outlineLvl w:val="4"/>
    </w:pPr>
    <w:rPr>
      <w:rFonts w:ascii="Calibri" w:hAnsi="Calibri"/>
      <w:b/>
      <w:bCs/>
      <w:i/>
      <w:iCs/>
      <w:kern w:val="0"/>
      <w:sz w:val="26"/>
      <w:szCs w:val="26"/>
    </w:rPr>
  </w:style>
  <w:style w:type="paragraph" w:styleId="8">
    <w:name w:val="heading 6"/>
    <w:basedOn w:val="1"/>
    <w:next w:val="1"/>
    <w:qFormat/>
    <w:uiPriority w:val="0"/>
    <w:pPr>
      <w:widowControl/>
      <w:spacing w:before="240" w:after="60"/>
      <w:jc w:val="left"/>
      <w:outlineLvl w:val="5"/>
    </w:pPr>
    <w:rPr>
      <w:rFonts w:ascii="Calibri" w:hAnsi="Calibri"/>
      <w:b/>
      <w:bCs/>
      <w:kern w:val="0"/>
      <w:sz w:val="22"/>
      <w:szCs w:val="22"/>
    </w:rPr>
  </w:style>
  <w:style w:type="paragraph" w:styleId="9">
    <w:name w:val="heading 7"/>
    <w:basedOn w:val="1"/>
    <w:next w:val="1"/>
    <w:qFormat/>
    <w:uiPriority w:val="0"/>
    <w:pPr>
      <w:widowControl/>
      <w:spacing w:before="240" w:after="60"/>
      <w:jc w:val="left"/>
      <w:outlineLvl w:val="6"/>
    </w:pPr>
    <w:rPr>
      <w:rFonts w:ascii="Calibri" w:hAnsi="Calibri"/>
      <w:kern w:val="0"/>
      <w:sz w:val="24"/>
    </w:rPr>
  </w:style>
  <w:style w:type="paragraph" w:styleId="10">
    <w:name w:val="heading 8"/>
    <w:basedOn w:val="1"/>
    <w:next w:val="1"/>
    <w:qFormat/>
    <w:uiPriority w:val="0"/>
    <w:pPr>
      <w:widowControl/>
      <w:spacing w:before="240" w:after="60"/>
      <w:jc w:val="left"/>
      <w:outlineLvl w:val="7"/>
    </w:pPr>
    <w:rPr>
      <w:rFonts w:ascii="Calibri" w:hAnsi="Calibri"/>
      <w:i/>
      <w:iCs/>
      <w:kern w:val="0"/>
      <w:sz w:val="24"/>
    </w:rPr>
  </w:style>
  <w:style w:type="paragraph" w:styleId="11">
    <w:name w:val="heading 9"/>
    <w:basedOn w:val="1"/>
    <w:next w:val="1"/>
    <w:qFormat/>
    <w:uiPriority w:val="0"/>
    <w:pPr>
      <w:widowControl/>
      <w:spacing w:before="240" w:after="60"/>
      <w:jc w:val="left"/>
      <w:outlineLvl w:val="8"/>
    </w:pPr>
    <w:rPr>
      <w:rFonts w:ascii="Cambria" w:hAnsi="Cambr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spacing w:before="240" w:after="60"/>
      <w:jc w:val="center"/>
      <w:outlineLvl w:val="0"/>
    </w:pPr>
    <w:rPr>
      <w:rFonts w:ascii="Cambria" w:hAnsi="Cambria"/>
      <w:b/>
      <w:bCs/>
      <w:kern w:val="28"/>
      <w:sz w:val="32"/>
      <w:szCs w:val="32"/>
    </w:rPr>
  </w:style>
  <w:style w:type="paragraph" w:styleId="12">
    <w:name w:val="Body Text"/>
    <w:basedOn w:val="1"/>
    <w:qFormat/>
    <w:uiPriority w:val="0"/>
    <w:pPr>
      <w:spacing w:after="120"/>
    </w:pPr>
  </w:style>
  <w:style w:type="paragraph" w:styleId="13">
    <w:name w:val="Balloon Text"/>
    <w:basedOn w:val="1"/>
    <w:qFormat/>
    <w:uiPriority w:val="0"/>
    <w:rPr>
      <w:sz w:val="18"/>
      <w:szCs w:val="18"/>
    </w:rPr>
  </w:style>
  <w:style w:type="paragraph" w:styleId="14">
    <w:name w:val="footer"/>
    <w:basedOn w:val="1"/>
    <w:qFormat/>
    <w:uiPriority w:val="0"/>
    <w:pPr>
      <w:tabs>
        <w:tab w:val="center" w:pos="4153"/>
        <w:tab w:val="right" w:pos="8306"/>
      </w:tabs>
      <w:snapToGrid w:val="0"/>
      <w:jc w:val="left"/>
    </w:pPr>
    <w:rPr>
      <w:rFonts w:ascii="Calibri" w:hAnsi="Calibri"/>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qFormat/>
    <w:uiPriority w:val="0"/>
    <w:pPr>
      <w:widowControl/>
      <w:spacing w:after="60"/>
      <w:jc w:val="center"/>
      <w:outlineLvl w:val="1"/>
    </w:pPr>
    <w:rPr>
      <w:rFonts w:ascii="Cambria" w:hAnsi="Cambria"/>
      <w:kern w:val="0"/>
      <w:sz w:val="24"/>
    </w:rPr>
  </w:style>
  <w:style w:type="paragraph" w:styleId="17">
    <w:name w:val="Normal (Web)"/>
    <w:next w:val="16"/>
    <w:qFormat/>
    <w:uiPriority w:val="0"/>
    <w:pPr>
      <w:widowControl w:val="0"/>
      <w:spacing w:before="100" w:beforeAutospacing="1" w:after="100" w:afterAutospacing="1"/>
    </w:pPr>
    <w:rPr>
      <w:rFonts w:ascii="Calibri" w:hAnsi="Calibri" w:eastAsia="宋体" w:cs="Calibri"/>
      <w:color w:val="000000"/>
      <w:sz w:val="24"/>
      <w:szCs w:val="24"/>
      <w:lang w:val="en-US" w:eastAsia="zh-CN" w:bidi="ar-SA"/>
    </w:rPr>
  </w:style>
  <w:style w:type="paragraph" w:styleId="18">
    <w:name w:val="Body Text First Indent"/>
    <w:basedOn w:val="12"/>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0"/>
    <w:rPr>
      <w:rFonts w:ascii="Calibri" w:hAnsi="Calibri"/>
      <w:b/>
      <w:i/>
      <w:iCs/>
    </w:rPr>
  </w:style>
  <w:style w:type="paragraph" w:styleId="23">
    <w:name w:val="No Spacing"/>
    <w:basedOn w:val="1"/>
    <w:qFormat/>
    <w:uiPriority w:val="0"/>
    <w:pPr>
      <w:widowControl/>
      <w:jc w:val="left"/>
    </w:pPr>
    <w:rPr>
      <w:rFonts w:ascii="Calibri" w:hAnsi="Calibri"/>
      <w:kern w:val="0"/>
      <w:sz w:val="24"/>
      <w:szCs w:val="32"/>
      <w:lang w:bidi="en-US"/>
    </w:rPr>
  </w:style>
  <w:style w:type="paragraph" w:styleId="24">
    <w:name w:val="List Paragraph"/>
    <w:basedOn w:val="1"/>
    <w:qFormat/>
    <w:uiPriority w:val="0"/>
    <w:pPr>
      <w:widowControl/>
      <w:ind w:left="720"/>
      <w:contextualSpacing/>
      <w:jc w:val="left"/>
    </w:pPr>
    <w:rPr>
      <w:rFonts w:ascii="Calibri" w:hAnsi="Calibri"/>
      <w:kern w:val="0"/>
      <w:sz w:val="24"/>
      <w:lang w:bidi="en-US"/>
    </w:rPr>
  </w:style>
  <w:style w:type="paragraph" w:styleId="25">
    <w:name w:val="Quote"/>
    <w:basedOn w:val="1"/>
    <w:next w:val="1"/>
    <w:qFormat/>
    <w:uiPriority w:val="0"/>
    <w:pPr>
      <w:widowControl/>
      <w:jc w:val="left"/>
    </w:pPr>
    <w:rPr>
      <w:rFonts w:ascii="Calibri" w:hAnsi="Calibri"/>
      <w:i/>
      <w:kern w:val="0"/>
      <w:sz w:val="24"/>
    </w:rPr>
  </w:style>
  <w:style w:type="paragraph" w:styleId="26">
    <w:name w:val="Intense Quote"/>
    <w:basedOn w:val="1"/>
    <w:next w:val="1"/>
    <w:qFormat/>
    <w:uiPriority w:val="0"/>
    <w:pPr>
      <w:widowControl/>
      <w:ind w:left="720" w:right="720"/>
      <w:jc w:val="left"/>
    </w:pPr>
    <w:rPr>
      <w:rFonts w:ascii="Calibri" w:hAnsi="Calibri"/>
      <w:b/>
      <w:i/>
      <w:kern w:val="0"/>
      <w:sz w:val="24"/>
      <w:szCs w:val="22"/>
    </w:rPr>
  </w:style>
  <w:style w:type="character" w:customStyle="1" w:styleId="27">
    <w:name w:val="不明显强调1"/>
    <w:qFormat/>
    <w:uiPriority w:val="0"/>
    <w:rPr>
      <w:i/>
      <w:color w:val="595959"/>
    </w:rPr>
  </w:style>
  <w:style w:type="character" w:customStyle="1" w:styleId="28">
    <w:name w:val="明显强调1"/>
    <w:basedOn w:val="20"/>
    <w:qFormat/>
    <w:uiPriority w:val="0"/>
    <w:rPr>
      <w:b/>
      <w:i/>
      <w:sz w:val="24"/>
      <w:szCs w:val="24"/>
      <w:u w:val="single"/>
    </w:rPr>
  </w:style>
  <w:style w:type="character" w:customStyle="1" w:styleId="29">
    <w:name w:val="不明显参考1"/>
    <w:basedOn w:val="20"/>
    <w:qFormat/>
    <w:uiPriority w:val="0"/>
    <w:rPr>
      <w:sz w:val="24"/>
      <w:szCs w:val="24"/>
      <w:u w:val="single"/>
    </w:rPr>
  </w:style>
  <w:style w:type="character" w:customStyle="1" w:styleId="30">
    <w:name w:val="明显参考1"/>
    <w:basedOn w:val="20"/>
    <w:qFormat/>
    <w:uiPriority w:val="0"/>
    <w:rPr>
      <w:b/>
      <w:sz w:val="24"/>
      <w:u w:val="single"/>
    </w:rPr>
  </w:style>
  <w:style w:type="character" w:customStyle="1" w:styleId="31">
    <w:name w:val="书籍标题1"/>
    <w:basedOn w:val="20"/>
    <w:qFormat/>
    <w:uiPriority w:val="0"/>
    <w:rPr>
      <w:rFonts w:ascii="Cambria" w:hAnsi="Cambria" w:eastAsia="宋体"/>
      <w:b/>
      <w:i/>
      <w:sz w:val="24"/>
      <w:szCs w:val="24"/>
    </w:rPr>
  </w:style>
  <w:style w:type="paragraph" w:customStyle="1" w:styleId="32">
    <w:name w:val="TOC 标题1"/>
    <w:basedOn w:val="3"/>
    <w:next w:val="1"/>
    <w:qFormat/>
    <w:uiPriority w:val="0"/>
    <w:pPr>
      <w:outlineLvl w:val="9"/>
    </w:pPr>
    <w:rPr>
      <w:lang w:bidi="en-US"/>
    </w:rPr>
  </w:style>
  <w:style w:type="paragraph" w:customStyle="1" w:styleId="33">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34">
    <w:name w:val="fontstyle01"/>
    <w:qFormat/>
    <w:uiPriority w:val="0"/>
    <w:rPr>
      <w:rFonts w:asci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DB34C-0B34-4DB4-9688-D4504EC74319}">
  <ds:schemaRefs/>
</ds:datastoreItem>
</file>

<file path=docProps/app.xml><?xml version="1.0" encoding="utf-8"?>
<Properties xmlns="http://schemas.openxmlformats.org/officeDocument/2006/extended-properties" xmlns:vt="http://schemas.openxmlformats.org/officeDocument/2006/docPropsVTypes">
  <Template>Normal</Template>
  <Pages>21</Pages>
  <Words>6115</Words>
  <Characters>6491</Characters>
  <Lines>70</Lines>
  <Paragraphs>19</Paragraphs>
  <TotalTime>1</TotalTime>
  <ScaleCrop>false</ScaleCrop>
  <LinksUpToDate>false</LinksUpToDate>
  <CharactersWithSpaces>6518</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周而</cp:lastModifiedBy>
  <cp:lastPrinted>2019-12-31T08:02:00Z</cp:lastPrinted>
  <dcterms:modified xsi:type="dcterms:W3CDTF">2025-09-03T03:24:35Z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SaveFontToCloudKey">
    <vt:lpwstr>390855185_btnclosed</vt:lpwstr>
  </property>
  <property fmtid="{D5CDD505-2E9C-101B-9397-08002B2CF9AE}" pid="4" name="ICV">
    <vt:lpwstr>862215DEF2F345F39C267E5974965959</vt:lpwstr>
  </property>
  <property fmtid="{D5CDD505-2E9C-101B-9397-08002B2CF9AE}" pid="5" name="KSOTemplateDocerSaveRecord">
    <vt:lpwstr>eyJoZGlkIjoiN2VjMGM4YTNmZTY1NDFjMWFjNmVmZmU0NDA2ZTk0ZmMiLCJ1c2VySWQiOiI4NjI1NDMxNDkifQ==</vt:lpwstr>
  </property>
</Properties>
</file>