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widowControl/>
        <w:adjustRightInd w:val="0"/>
        <w:snapToGrid w:val="0"/>
        <w:spacing w:after="200"/>
        <w:contextualSpacing/>
        <w:jc w:val="center"/>
        <w:rPr>
          <w:rFonts w:hint="eastAsia"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rPr>
        <w:t>塔城地区图书馆数字化建设图书购置项目支出绩效评价报告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0"/>
          <w:sz w:val="36"/>
          <w:szCs w:val="36"/>
          <w:lang w:bidi="en-US"/>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bidi="en-US"/>
        </w:rPr>
        <w:t>塔城地区图书馆数字化建设图书购置</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bidi="en-US"/>
        </w:rPr>
        <w:t>塔城地区图书馆</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主管部门（公章）：塔城地区店文体广旅局</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项目负责人（签章）：刘春英</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填报时间：2021年03月30日</w:t>
      </w:r>
    </w:p>
    <w:p>
      <w:pPr>
        <w:spacing w:line="600" w:lineRule="exact"/>
        <w:rPr>
          <w:rFonts w:ascii="黑体" w:hAnsi="黑体" w:eastAsia="黑体" w:cs="黑体"/>
          <w:bCs/>
          <w:sz w:val="32"/>
          <w:szCs w:val="32"/>
        </w:rPr>
      </w:pPr>
    </w:p>
    <w:p>
      <w:pPr>
        <w:spacing w:line="600" w:lineRule="exact"/>
        <w:rPr>
          <w:rFonts w:ascii="黑体" w:hAnsi="黑体" w:eastAsia="黑体" w:cs="黑体"/>
          <w:bCs/>
          <w:sz w:val="32"/>
          <w:szCs w:val="32"/>
        </w:rPr>
      </w:pPr>
    </w:p>
    <w:p>
      <w:pPr>
        <w:spacing w:line="600" w:lineRule="exact"/>
        <w:rPr>
          <w:rFonts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atLeast"/>
        <w:rPr>
          <w:rFonts w:ascii="黑体" w:hAnsi="黑体" w:eastAsia="黑体" w:cs="黑体"/>
          <w:bCs/>
          <w:sz w:val="32"/>
          <w:szCs w:val="32"/>
        </w:rPr>
      </w:pPr>
      <w:r>
        <w:rPr>
          <w:rFonts w:hint="eastAsia" w:ascii="黑体" w:hAnsi="黑体" w:eastAsia="黑体" w:cs="黑体"/>
          <w:bCs/>
          <w:sz w:val="32"/>
          <w:szCs w:val="32"/>
        </w:rPr>
        <w:t>一、基本情况</w:t>
      </w:r>
    </w:p>
    <w:p>
      <w:pPr>
        <w:keepNext w:val="0"/>
        <w:keepLines w:val="0"/>
        <w:pageBreakBefore w:val="0"/>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eastAsia="仿宋_GB231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1）项目实施的政策背景：为扎实推进我区图书馆事业的发展，促进图书馆事业发展，加强项目管理，确保项目效益，为塔城地区各族人民提供图书的借阅及各项文化惠民工作。地区图</w:t>
      </w:r>
      <w:r>
        <w:rPr>
          <w:rFonts w:hint="eastAsia" w:ascii="仿宋_GB2312" w:hAnsi="仿宋_GB2312" w:eastAsia="仿宋_GB2312" w:cs="仿宋_GB2312"/>
          <w:sz w:val="32"/>
          <w:szCs w:val="32"/>
          <w:lang w:val="en-US" w:eastAsia="zh-CN"/>
        </w:rPr>
        <w:t>书馆各项</w:t>
      </w:r>
      <w:r>
        <w:rPr>
          <w:rFonts w:hint="eastAsia" w:ascii="仿宋_GB2312" w:hAnsi="仿宋_GB2312" w:eastAsia="仿宋_GB2312" w:cs="仿宋_GB2312"/>
          <w:sz w:val="32"/>
          <w:szCs w:val="32"/>
        </w:rPr>
        <w:t>工作正在</w:t>
      </w:r>
      <w:r>
        <w:rPr>
          <w:rFonts w:hint="eastAsia" w:ascii="仿宋_GB2312" w:hAnsi="仿宋_GB2312" w:eastAsia="仿宋_GB2312" w:cs="仿宋_GB2312"/>
          <w:sz w:val="32"/>
          <w:szCs w:val="32"/>
          <w:lang w:val="en-US" w:eastAsia="zh-CN"/>
        </w:rPr>
        <w:t>有序</w:t>
      </w:r>
      <w:r>
        <w:rPr>
          <w:rFonts w:hint="eastAsia" w:ascii="仿宋_GB2312" w:hAnsi="仿宋_GB2312" w:eastAsia="仿宋_GB2312" w:cs="仿宋_GB2312"/>
          <w:sz w:val="32"/>
          <w:szCs w:val="32"/>
        </w:rPr>
        <w:t>进行。由于新馆文博书苑（塔城地区文化中心）是交钥匙工程，馆内的数字化建设及配套设施有待解决，本年争取中央专项资金100万资金。</w:t>
      </w:r>
      <w:r>
        <w:rPr>
          <w:rFonts w:hint="eastAsia" w:ascii="仿宋_GB2312" w:hAnsi="仿宋_GB2312" w:eastAsia="仿宋_GB2312" w:cs="仿宋_GB2312"/>
          <w:sz w:val="32"/>
          <w:szCs w:val="32"/>
          <w:lang w:eastAsia="zh-CN"/>
        </w:rPr>
        <w:t>根据文件</w:t>
      </w:r>
      <w:r>
        <w:rPr>
          <w:rFonts w:hint="eastAsia" w:ascii="仿宋_GB2312" w:hAnsi="仿宋_GB2312" w:eastAsia="仿宋_GB2312" w:cs="仿宋_GB2312"/>
          <w:sz w:val="32"/>
          <w:szCs w:val="32"/>
        </w:rPr>
        <w:t>精神，一次性补助塔城地区图书馆专项资金100万元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此款将严格按照财经法规和资金管理办法，规范专项资金的使用和监管，确保专款专用。现结合塔城地区图书馆新馆的实际情况，此款专门用于新馆文博书苑（塔城地区文化中心）数字化建设配套费用、图书采购，地区图书馆实施此项目的具体任务落实。</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（2）项目实施的历史概况：</w:t>
      </w:r>
      <w:r>
        <w:rPr>
          <w:rFonts w:hint="eastAsia" w:ascii="仿宋_GB2312" w:hAnsi="仿宋_GB2312" w:eastAsia="仿宋_GB2312" w:cs="仿宋_GB2312"/>
          <w:sz w:val="32"/>
          <w:szCs w:val="32"/>
        </w:rPr>
        <w:t>本项目资金主要用于地区图书馆新馆文博书苑（塔城地区文化中心）数字化的建设配套设备及图书购置。以便文博书苑（塔城地区文化中心）项目建成后为塔城地区图书馆事业健康发展及各项惠民政策实施提供了强有力的支持。</w:t>
      </w:r>
    </w:p>
    <w:p>
      <w:pPr>
        <w:keepNext w:val="0"/>
        <w:keepLines w:val="0"/>
        <w:pageBreakBefore w:val="0"/>
        <w:numPr>
          <w:ilvl w:val="0"/>
          <w:numId w:val="1"/>
        </w:numPr>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地区图书馆数字化建设及图书购置款100万元由塔城地区图书馆组织实施。该项目的实施可以更好地为塔城地区热爱阅读的读者提供专业场所，从而吸引更多的青少年参加阅读推广活动。2020年该项目预算金额100万元，资金全部用于塔城地区图书馆新馆文博书苑（塔城地区文化中心）数字化建设配套设施及图书采购上。</w:t>
      </w:r>
    </w:p>
    <w:p>
      <w:pPr>
        <w:keepNext w:val="0"/>
        <w:keepLines w:val="0"/>
        <w:pageBreakBefore w:val="0"/>
        <w:kinsoku/>
        <w:wordWrap/>
        <w:overflowPunct/>
        <w:topLinePunct w:val="0"/>
        <w:autoSpaceDE/>
        <w:autoSpaceDN/>
        <w:bidi w:val="0"/>
        <w:adjustRightInd/>
        <w:snapToGrid/>
        <w:spacing w:line="560" w:lineRule="atLeast"/>
        <w:ind w:firstLine="640" w:firstLineChars="200"/>
      </w:pPr>
      <w:r>
        <w:rPr>
          <w:rFonts w:hint="eastAsia" w:ascii="仿宋_GB2312" w:hAnsi="仿宋_GB2312" w:eastAsia="仿宋_GB2312" w:cs="仿宋_GB2312"/>
          <w:sz w:val="32"/>
          <w:szCs w:val="32"/>
        </w:rPr>
        <w:t>项目实施情况：项目在实施过程中严格按照目标设立的各阶段任务进行开展工作，在前期工作过程中严格把质量关，建立安全防护机制，保证项目实施各阶段安全顺利进行。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keepNext w:val="0"/>
        <w:keepLines w:val="0"/>
        <w:pageBreakBefore w:val="0"/>
        <w:kinsoku/>
        <w:wordWrap/>
        <w:overflowPunct/>
        <w:topLinePunct w:val="0"/>
        <w:autoSpaceDE/>
        <w:autoSpaceDN/>
        <w:bidi w:val="0"/>
        <w:adjustRightInd/>
        <w:snapToGrid/>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本年项目总投资100万元，其中：中央专项资金100万。项目实际支出100万元，支出率为100%。</w:t>
      </w:r>
    </w:p>
    <w:p>
      <w:pPr>
        <w:keepNext w:val="0"/>
        <w:keepLines w:val="0"/>
        <w:pageBreakBefore w:val="0"/>
        <w:kinsoku/>
        <w:wordWrap/>
        <w:overflowPunct/>
        <w:topLinePunct w:val="0"/>
        <w:autoSpaceDE/>
        <w:autoSpaceDN/>
        <w:bidi w:val="0"/>
        <w:adjustRightInd/>
        <w:snapToGrid/>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keepNext w:val="0"/>
        <w:keepLines w:val="0"/>
        <w:pageBreakBefore w:val="0"/>
        <w:kinsoku/>
        <w:wordWrap/>
        <w:overflowPunct/>
        <w:topLinePunct w:val="0"/>
        <w:autoSpaceDE/>
        <w:autoSpaceDN/>
        <w:bidi w:val="0"/>
        <w:adjustRightInd/>
        <w:snapToGrid/>
        <w:spacing w:line="560" w:lineRule="atLeast"/>
        <w:ind w:firstLine="579" w:firstLineChars="181"/>
        <w:rPr>
          <w:rFonts w:ascii="仿宋_GB2312" w:hAnsi="仿宋_GB2312" w:eastAsia="仿宋_GB2312" w:cs="仿宋_GB2312"/>
        </w:rPr>
      </w:pPr>
      <w:r>
        <w:rPr>
          <w:rFonts w:hint="eastAsia" w:ascii="仿宋_GB2312" w:hAnsi="仿宋_GB2312" w:eastAsia="仿宋_GB2312" w:cs="仿宋_GB2312"/>
          <w:sz w:val="32"/>
          <w:szCs w:val="32"/>
        </w:rPr>
        <w:t>项目预算资金来源于：文件中批复的资金，下达的中央补助地方公共文化服务体系建设专项补助资金100万元，本年项目资金到位100万元，按照《财政资金管理办法》及单位财务制度等相关规定，资金支出符合财政专项资金费用范围，做到了专款专用。在项目资金拨付和使用过程中，为确保项目资金的安全性，提高项目资金使用效率，严格遵循财政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keepNext w:val="0"/>
        <w:keepLines w:val="0"/>
        <w:pageBreakBefore w:val="0"/>
        <w:kinsoku/>
        <w:wordWrap/>
        <w:overflowPunct/>
        <w:topLinePunct w:val="0"/>
        <w:autoSpaceDE/>
        <w:autoSpaceDN/>
        <w:bidi w:val="0"/>
        <w:adjustRightInd/>
        <w:snapToGrid/>
        <w:spacing w:line="560" w:lineRule="atLeast"/>
        <w:ind w:firstLine="641"/>
        <w:rPr>
          <w:rFonts w:eastAsia="仿宋_GB2312"/>
        </w:rPr>
      </w:pPr>
      <w:r>
        <w:rPr>
          <w:rFonts w:hint="eastAsia" w:ascii="仿宋_GB2312" w:hAnsi="仿宋_GB2312" w:eastAsia="仿宋_GB2312" w:cs="仿宋_GB2312"/>
          <w:sz w:val="32"/>
          <w:szCs w:val="32"/>
        </w:rPr>
        <w:t>1、总体目标：图书馆数字化建设及图书采购，缓解和改善开馆条件。</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（1）前期准备：根据塔城地区图书馆数字化建设图书购置实施方案，通过制定项目实施方案，经项目负责人审核通过后，有序开展后续工程。</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（2）组织实施：资金一到位，立即根据项目要求实施项目。项目责任人按照《塔城地区图书馆数字化建设及图书购置实施方案》要求逐一进行项目部署安排，提高项目质量及效率性。</w:t>
      </w:r>
    </w:p>
    <w:p>
      <w:pPr>
        <w:keepNext w:val="0"/>
        <w:keepLines w:val="0"/>
        <w:pageBreakBefore w:val="0"/>
        <w:kinsoku/>
        <w:wordWrap/>
        <w:overflowPunct/>
        <w:topLinePunct w:val="0"/>
        <w:autoSpaceDE/>
        <w:autoSpaceDN/>
        <w:bidi w:val="0"/>
        <w:adjustRightInd/>
        <w:snapToGrid/>
        <w:spacing w:line="560" w:lineRule="atLeast"/>
        <w:ind w:firstLine="641"/>
        <w:rPr>
          <w:rFonts w:ascii="黑体" w:hAnsi="黑体" w:eastAsia="黑体"/>
          <w:sz w:val="32"/>
          <w:szCs w:val="32"/>
        </w:rPr>
      </w:pPr>
      <w:r>
        <w:rPr>
          <w:rFonts w:hint="eastAsia" w:ascii="黑体" w:hAnsi="黑体" w:eastAsia="黑体"/>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2"/>
        </w:numPr>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560" w:lineRule="atLeas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kinsoku/>
        <w:wordWrap/>
        <w:overflowPunct/>
        <w:topLinePunct w:val="0"/>
        <w:autoSpaceDE/>
        <w:autoSpaceDN/>
        <w:bidi w:val="0"/>
        <w:adjustRightInd/>
        <w:snapToGrid/>
        <w:spacing w:line="560" w:lineRule="atLeast"/>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bookmarkStart w:id="2" w:name="_GoBack"/>
      <w:bookmarkEnd w:id="2"/>
      <w:r>
        <w:rPr>
          <w:rFonts w:hint="eastAsia" w:ascii="仿宋_GB2312" w:hAnsi="仿宋_GB2312" w:eastAsia="仿宋_GB2312" w:cs="仿宋_GB2312"/>
          <w:sz w:val="32"/>
          <w:szCs w:val="32"/>
        </w:rPr>
        <w:t>地区图书馆数字化建设、图书购置，地区图书馆数字化建设图书购置项目，本年拨入资金100万元。</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从塔城地区图书馆数字化建设图书购置，地区图书馆数字化建设图书购置项目的决策、过程、产出、效益等方面进行评价。</w:t>
      </w:r>
    </w:p>
    <w:p>
      <w:pPr>
        <w:keepNext w:val="0"/>
        <w:keepLines w:val="0"/>
        <w:pageBreakBefore w:val="0"/>
        <w:kinsoku/>
        <w:wordWrap/>
        <w:overflowPunct/>
        <w:topLinePunct w:val="0"/>
        <w:autoSpaceDE/>
        <w:autoSpaceDN/>
        <w:bidi w:val="0"/>
        <w:adjustRightInd/>
        <w:snapToGrid/>
        <w:spacing w:line="560" w:lineRule="atLeast"/>
        <w:ind w:firstLine="643" w:firstLineChars="200"/>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1、绩效评价原则</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本次项目绩效评价遵循以下基本原则：</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w:t>
      </w:r>
      <w:r>
        <w:rPr>
          <w:rFonts w:hint="eastAsia" w:ascii="仿宋_GB2312" w:hAnsi="仿宋_GB2312" w:eastAsia="仿宋_GB2312" w:cs="仿宋_GB2312"/>
          <w:sz w:val="32"/>
          <w:szCs w:val="32"/>
          <w:lang w:val="en-US" w:eastAsia="zh-CN"/>
        </w:rPr>
        <w:t>要</w:t>
      </w:r>
      <w:r>
        <w:rPr>
          <w:rFonts w:hint="eastAsia" w:ascii="仿宋_GB2312" w:hAnsi="仿宋_GB2312" w:eastAsia="仿宋_GB2312" w:cs="仿宋_GB2312"/>
          <w:sz w:val="32"/>
          <w:szCs w:val="32"/>
        </w:rPr>
        <w:t>安排、低效要压减、无效要问责。</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2、评价指标体系</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（1）确定评价指标</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（2）确定权重</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确定各个指标相对于项目总体绩效的权重分值。在绩效评价指标体系中，项目决策权重为10%，项目产出权重值占50%，项目效益权重占40%。</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（3）确定指标标准值</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指标标准值是绩效评价指标的尺度，既要反映同类项目的先进水平，又要符合项目的实际绩效水平。具体采用计划标准等确定此次绩效评价指标标准值。</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3、绩效评价方法</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（1）比较法</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通过对绩效目标与实施效果、历史与当期情况，综合分析绩效目标实现程度。对项目最终验收情况与年度绩效目标对比、预算资金执行情况等相关因素进行比较。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（2）因素分析法</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4、评价标准</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ascii="仿宋_GB2312" w:hAnsi="仿宋_GB2312" w:eastAsia="仿宋_GB2312" w:cs="仿宋_GB2312"/>
          <w:sz w:val="32"/>
          <w:szCs w:val="32"/>
        </w:rPr>
        <w:t>绩效评价标准通常包括计划标准、行业标准、历史标准等，用于对绩效指标完成情况进行比较。本次评价主要采用了计划标准和行业标准。</w:t>
      </w:r>
    </w:p>
    <w:p>
      <w:pPr>
        <w:pStyle w:val="2"/>
        <w:keepNext w:val="0"/>
        <w:keepLines w:val="0"/>
        <w:pageBreakBefore w:val="0"/>
        <w:numPr>
          <w:ilvl w:val="0"/>
          <w:numId w:val="3"/>
        </w:numPr>
        <w:kinsoku/>
        <w:wordWrap/>
        <w:overflowPunct/>
        <w:topLinePunct w:val="0"/>
        <w:autoSpaceDE/>
        <w:autoSpaceDN/>
        <w:bidi w:val="0"/>
        <w:adjustRightInd/>
        <w:snapToGrid/>
        <w:spacing w:before="0" w:after="0" w:line="560" w:lineRule="atLeast"/>
        <w:jc w:val="both"/>
        <w:rPr>
          <w:rFonts w:ascii="仿宋_GB2312" w:hAnsi="仿宋_GB2312" w:eastAsia="仿宋_GB2312" w:cs="仿宋_GB2312"/>
          <w:color w:val="000000"/>
          <w:spacing w:val="17"/>
        </w:rPr>
      </w:pPr>
      <w:r>
        <w:rPr>
          <w:rFonts w:hint="eastAsia" w:ascii="仿宋_GB2312" w:hAnsi="仿宋_GB2312" w:eastAsia="仿宋_GB2312" w:cs="仿宋_GB2312"/>
          <w:color w:val="000000"/>
          <w:spacing w:val="17"/>
        </w:rPr>
        <w:t>绩效评价工作过程</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4"/>
        </w:numPr>
        <w:kinsoku/>
        <w:wordWrap/>
        <w:overflowPunct/>
        <w:topLinePunct w:val="0"/>
        <w:autoSpaceDE/>
        <w:autoSpaceDN/>
        <w:bidi w:val="0"/>
        <w:adjustRightInd/>
        <w:snapToGrid/>
        <w:spacing w:line="560" w:lineRule="atLeas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综合考虑投入、产出、效果、影响力等各方面因素，通过数据采集及分析，最终评分结果：项目绩效评价结果为:总得分90分，"属于"优"。本次评价通过文件研读、实地调研、数据分析等方式，全面了解该项目资金的使用效率和效果，项目管理过程规范，完成了预期绩效目标等。同时，通过开展自我评价来总结经验和教训，今后的开展提供参考建议。"</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对塔城地区图书馆数字化建设及图书购置项目进行客观评价，最终评分结果：总得分为90分，属于“优”。其中，项目决策类指标权重为5分，得分为 5分，得分率为 100%。项目过程类指标权重为5分，得分为5 分，得分率为 100%。项目产出类指标权重为50分，得分为50分，得分率为 100%。项目效益类指标权重为40分，得分为30分，得分率为 75%。</w:t>
      </w:r>
    </w:p>
    <w:p>
      <w:pPr>
        <w:pStyle w:val="2"/>
        <w:keepNext w:val="0"/>
        <w:keepLines w:val="0"/>
        <w:pageBreakBefore w:val="0"/>
        <w:kinsoku/>
        <w:wordWrap/>
        <w:overflowPunct/>
        <w:topLinePunct w:val="0"/>
        <w:autoSpaceDE/>
        <w:autoSpaceDN/>
        <w:bidi w:val="0"/>
        <w:adjustRightInd/>
        <w:snapToGrid/>
        <w:spacing w:before="0" w:after="0" w:line="560" w:lineRule="atLeast"/>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pPr>
        <w:keepNext w:val="0"/>
        <w:keepLines w:val="0"/>
        <w:pageBreakBefore w:val="0"/>
        <w:kinsoku/>
        <w:wordWrap/>
        <w:overflowPunct/>
        <w:topLinePunct w:val="0"/>
        <w:autoSpaceDE/>
        <w:autoSpaceDN/>
        <w:bidi w:val="0"/>
        <w:adjustRightInd/>
        <w:snapToGrid/>
        <w:spacing w:line="560" w:lineRule="atLeast"/>
      </w:pPr>
    </w:p>
    <w:tbl>
      <w:tblPr>
        <w:tblStyle w:val="18"/>
        <w:tblpPr w:leftFromText="180" w:rightFromText="180" w:vertAnchor="text" w:horzAnchor="page" w:tblpXSpec="center" w:tblpY="-67"/>
        <w:tblOverlap w:val="never"/>
        <w:tblW w:w="503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6"/>
        <w:gridCol w:w="761"/>
        <w:gridCol w:w="1471"/>
        <w:gridCol w:w="1646"/>
        <w:gridCol w:w="768"/>
        <w:gridCol w:w="731"/>
        <w:gridCol w:w="862"/>
        <w:gridCol w:w="1067"/>
        <w:gridCol w:w="68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jc w:val="center"/>
        </w:trPr>
        <w:tc>
          <w:tcPr>
            <w:tcW w:w="474" w:type="pct"/>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431" w:type="pct"/>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833" w:type="pct"/>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930" w:type="pct"/>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435" w:type="pct"/>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414" w:type="pct"/>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488" w:type="pct"/>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604" w:type="pct"/>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386" w:type="pct"/>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431"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833"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43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4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48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60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43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4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48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60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43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8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0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43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8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0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9" w:hRule="atLeast"/>
          <w:jc w:val="center"/>
        </w:trPr>
        <w:tc>
          <w:tcPr>
            <w:tcW w:w="474" w:type="pct"/>
            <w:vMerge w:val="restart"/>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431"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833"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5" w:hRule="atLeast"/>
          <w:jc w:val="center"/>
        </w:trPr>
        <w:tc>
          <w:tcPr>
            <w:tcW w:w="474"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435"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1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8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0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474"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431"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highlight w:val="yellow"/>
              </w:rPr>
            </w:pPr>
            <w:r>
              <w:rPr>
                <w:rFonts w:hint="eastAsia" w:ascii="宋体" w:hAnsi="宋体" w:cs="宋体"/>
                <w:kern w:val="0"/>
                <w:sz w:val="22"/>
                <w:szCs w:val="22"/>
              </w:rPr>
              <w:t>50分</w:t>
            </w:r>
          </w:p>
        </w:tc>
        <w:tc>
          <w:tcPr>
            <w:tcW w:w="83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3" w:hRule="atLeast"/>
          <w:jc w:val="center"/>
        </w:trPr>
        <w:tc>
          <w:tcPr>
            <w:tcW w:w="474"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highlight w:val="yellow"/>
              </w:rPr>
            </w:pPr>
          </w:p>
        </w:tc>
        <w:tc>
          <w:tcPr>
            <w:tcW w:w="83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474"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highlight w:val="yellow"/>
              </w:rPr>
            </w:pPr>
          </w:p>
        </w:tc>
        <w:tc>
          <w:tcPr>
            <w:tcW w:w="833" w:type="pct"/>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7" w:hRule="atLeast"/>
          <w:jc w:val="center"/>
        </w:trPr>
        <w:tc>
          <w:tcPr>
            <w:tcW w:w="474"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highlight w:val="yellow"/>
              </w:rPr>
            </w:pPr>
          </w:p>
        </w:tc>
        <w:tc>
          <w:tcPr>
            <w:tcW w:w="83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0" w:hRule="atLeast"/>
          <w:jc w:val="center"/>
        </w:trPr>
        <w:tc>
          <w:tcPr>
            <w:tcW w:w="474"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w:t>
            </w:r>
          </w:p>
        </w:tc>
        <w:tc>
          <w:tcPr>
            <w:tcW w:w="431"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highlight w:val="yellow"/>
              </w:rPr>
            </w:pPr>
            <w:r>
              <w:rPr>
                <w:rFonts w:hint="eastAsia" w:ascii="宋体" w:hAnsi="宋体" w:cs="宋体"/>
                <w:color w:val="000000"/>
                <w:kern w:val="0"/>
                <w:sz w:val="22"/>
                <w:szCs w:val="22"/>
              </w:rPr>
              <w:t>40</w:t>
            </w:r>
          </w:p>
        </w:tc>
        <w:tc>
          <w:tcPr>
            <w:tcW w:w="83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社会效益指标</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公共服务水平</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15</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15</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14</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93.33</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0" w:hRule="atLeast"/>
          <w:jc w:val="center"/>
        </w:trPr>
        <w:tc>
          <w:tcPr>
            <w:tcW w:w="474"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可持续影响指标</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预计使用年限</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15</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15</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7</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46.67%</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74" w:type="pct"/>
            <w:vMerge w:val="continue"/>
            <w:tcBorders>
              <w:bottom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431" w:type="pct"/>
            <w:vMerge w:val="continue"/>
            <w:tcBorders>
              <w:bottom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83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服务对象满意度</w:t>
            </w:r>
          </w:p>
        </w:tc>
        <w:tc>
          <w:tcPr>
            <w:tcW w:w="9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读者对基础设施建设满意度</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3" w:hRule="atLeast"/>
          <w:jc w:val="center"/>
        </w:trPr>
        <w:tc>
          <w:tcPr>
            <w:tcW w:w="2670" w:type="pct"/>
            <w:gridSpan w:val="4"/>
            <w:tcBorders>
              <w:top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435"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41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48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90</w:t>
            </w:r>
          </w:p>
        </w:tc>
        <w:tc>
          <w:tcPr>
            <w:tcW w:w="60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90%</w:t>
            </w:r>
          </w:p>
        </w:tc>
        <w:tc>
          <w:tcPr>
            <w:tcW w:w="386"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90</w:t>
            </w:r>
          </w:p>
        </w:tc>
      </w:tr>
    </w:tbl>
    <w:p>
      <w:pPr>
        <w:keepNext w:val="0"/>
        <w:keepLines w:val="0"/>
        <w:pageBreakBefore w:val="0"/>
        <w:kinsoku/>
        <w:wordWrap/>
        <w:overflowPunct/>
        <w:topLinePunct w:val="0"/>
        <w:autoSpaceDE/>
        <w:autoSpaceDN/>
        <w:bidi w:val="0"/>
        <w:adjustRightInd/>
        <w:snapToGrid/>
        <w:spacing w:line="560" w:lineRule="atLeast"/>
        <w:ind w:firstLine="320" w:firstLineChars="100"/>
        <w:rPr>
          <w:rFonts w:ascii="黑体" w:hAnsi="黑体" w:eastAsia="黑体"/>
          <w:sz w:val="32"/>
          <w:szCs w:val="32"/>
        </w:rPr>
      </w:pPr>
      <w:r>
        <w:rPr>
          <w:rFonts w:hint="eastAsia" w:ascii="黑体" w:hAnsi="黑体" w:eastAsia="黑体"/>
          <w:sz w:val="32"/>
          <w:szCs w:val="32"/>
        </w:rPr>
        <w:t>四、绩效评价指标分析</w:t>
      </w:r>
    </w:p>
    <w:p>
      <w:pPr>
        <w:pStyle w:val="2"/>
        <w:keepNext w:val="0"/>
        <w:keepLines w:val="0"/>
        <w:pageBreakBefore w:val="0"/>
        <w:kinsoku/>
        <w:wordWrap/>
        <w:overflowPunct/>
        <w:topLinePunct w:val="0"/>
        <w:autoSpaceDE/>
        <w:autoSpaceDN/>
        <w:bidi w:val="0"/>
        <w:adjustRightInd/>
        <w:snapToGrid/>
        <w:spacing w:before="0" w:after="0" w:line="560" w:lineRule="atLeast"/>
        <w:ind w:firstLine="321" w:firstLineChars="100"/>
        <w:jc w:val="both"/>
        <w:rPr>
          <w:rFonts w:ascii="楷体_GB2312" w:hAnsi="楷体_GB2312" w:eastAsia="楷体_GB2312" w:cs="楷体_GB2312"/>
        </w:rPr>
      </w:pPr>
      <w:r>
        <w:rPr>
          <w:rFonts w:hint="eastAsia" w:ascii="楷体_GB2312" w:hAnsi="楷体_GB2312" w:eastAsia="楷体_GB2312" w:cs="楷体_GB2312"/>
        </w:rPr>
        <w:t>（一）项目决策情况</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项目决策指标从项目立项、绩效目标、资金投入3个方面对项目的决策进行考察，项目决策类指标分值5分，实际得分5分，得分率100%。项目决策指标得分情况如表所示。</w:t>
      </w:r>
    </w:p>
    <w:tbl>
      <w:tblPr>
        <w:tblStyle w:val="18"/>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黑体" w:hAnsi="黑体" w:eastAsia="黑体" w:cs="Tahoma"/>
                <w:sz w:val="28"/>
                <w:szCs w:val="28"/>
              </w:rPr>
            </w:pPr>
            <w:r>
              <w:rPr>
                <w:rFonts w:hint="eastAsia" w:ascii="黑体" w:hAnsi="黑体" w:eastAsia="黑体" w:cs="Tahoma"/>
                <w:sz w:val="28"/>
                <w:szCs w:val="28"/>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b/>
                <w:bCs/>
              </w:rPr>
            </w:pPr>
            <w:r>
              <w:rPr>
                <w:rFonts w:hint="eastAsia" w:ascii="仿宋" w:hAnsi="仿宋" w:eastAsia="仿宋" w:cs="Tahoma"/>
                <w:b/>
                <w:bCs/>
              </w:rPr>
              <w:t>二级指标</w:t>
            </w:r>
          </w:p>
        </w:tc>
        <w:tc>
          <w:tcPr>
            <w:tcW w:w="2269" w:type="dxa"/>
            <w:tcBorders>
              <w:top w:val="nil"/>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b/>
                <w:bCs/>
              </w:rPr>
            </w:pPr>
            <w:r>
              <w:rPr>
                <w:rFonts w:hint="eastAsia" w:ascii="仿宋" w:hAnsi="仿宋" w:eastAsia="仿宋" w:cs="Tahoma"/>
                <w:b/>
                <w:bCs/>
              </w:rPr>
              <w:t>权重</w:t>
            </w:r>
          </w:p>
        </w:tc>
        <w:tc>
          <w:tcPr>
            <w:tcW w:w="1986" w:type="dxa"/>
            <w:tcBorders>
              <w:top w:val="nil"/>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b/>
                <w:bCs/>
              </w:rPr>
            </w:pPr>
            <w:r>
              <w:rPr>
                <w:rFonts w:hint="eastAsia" w:ascii="仿宋" w:hAnsi="仿宋" w:eastAsia="仿宋" w:cs="Tahoma"/>
                <w:b/>
                <w:bCs/>
              </w:rPr>
              <w:t>得分率</w:t>
            </w:r>
          </w:p>
        </w:tc>
        <w:tc>
          <w:tcPr>
            <w:tcW w:w="1752" w:type="dxa"/>
            <w:tcBorders>
              <w:top w:val="nil"/>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b/>
                <w:bCs/>
              </w:rPr>
            </w:pPr>
            <w:r>
              <w:rPr>
                <w:rFonts w:hint="eastAsia" w:ascii="仿宋" w:hAnsi="仿宋" w:eastAsia="仿宋" w:cs="Tahoma"/>
                <w:b/>
                <w:bCs/>
              </w:rPr>
              <w:t>实际得分</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sz w:val="24"/>
              </w:rPr>
            </w:pPr>
            <w:r>
              <w:rPr>
                <w:rFonts w:hint="eastAsia" w:ascii="仿宋" w:hAnsi="仿宋" w:eastAsia="仿宋" w:cs="Tahoma"/>
                <w:sz w:val="24"/>
              </w:rPr>
              <w:t>项目立项</w:t>
            </w:r>
          </w:p>
        </w:tc>
        <w:tc>
          <w:tcPr>
            <w:tcW w:w="2269"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w:t>
            </w:r>
          </w:p>
        </w:tc>
        <w:tc>
          <w:tcPr>
            <w:tcW w:w="1986"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100</w:t>
            </w:r>
            <w:r>
              <w:rPr>
                <w:rFonts w:ascii="仿宋" w:hAnsi="仿宋" w:eastAsia="仿宋"/>
                <w:sz w:val="24"/>
              </w:rPr>
              <w:t>%</w:t>
            </w:r>
          </w:p>
        </w:tc>
        <w:tc>
          <w:tcPr>
            <w:tcW w:w="175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sz w:val="24"/>
              </w:rPr>
            </w:pPr>
            <w:r>
              <w:rPr>
                <w:rFonts w:hint="eastAsia" w:ascii="仿宋" w:hAnsi="仿宋" w:eastAsia="仿宋" w:cs="Tahoma"/>
                <w:sz w:val="24"/>
              </w:rPr>
              <w:t>绩效目标</w:t>
            </w:r>
          </w:p>
        </w:tc>
        <w:tc>
          <w:tcPr>
            <w:tcW w:w="2269"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2</w:t>
            </w:r>
          </w:p>
        </w:tc>
        <w:tc>
          <w:tcPr>
            <w:tcW w:w="1986"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100</w:t>
            </w:r>
            <w:r>
              <w:rPr>
                <w:rFonts w:ascii="仿宋" w:hAnsi="仿宋" w:eastAsia="仿宋"/>
                <w:sz w:val="24"/>
              </w:rPr>
              <w:t>%</w:t>
            </w:r>
          </w:p>
        </w:tc>
        <w:tc>
          <w:tcPr>
            <w:tcW w:w="175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2</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sz w:val="24"/>
              </w:rPr>
            </w:pPr>
            <w:r>
              <w:rPr>
                <w:rFonts w:hint="eastAsia" w:ascii="仿宋" w:hAnsi="仿宋" w:eastAsia="仿宋" w:cs="Tahoma"/>
                <w:sz w:val="24"/>
              </w:rPr>
              <w:t>资金投入</w:t>
            </w:r>
          </w:p>
        </w:tc>
        <w:tc>
          <w:tcPr>
            <w:tcW w:w="2269"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2</w:t>
            </w:r>
          </w:p>
        </w:tc>
        <w:tc>
          <w:tcPr>
            <w:tcW w:w="1986"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100%</w:t>
            </w:r>
          </w:p>
        </w:tc>
        <w:tc>
          <w:tcPr>
            <w:tcW w:w="1752" w:type="dxa"/>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2</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sz w:val="24"/>
              </w:rPr>
            </w:pPr>
            <w:r>
              <w:rPr>
                <w:rFonts w:hint="eastAsia" w:ascii="仿宋" w:hAnsi="仿宋" w:eastAsia="仿宋" w:cs="Tahoma"/>
                <w:sz w:val="24"/>
              </w:rPr>
              <w:t>合</w:t>
            </w:r>
            <w:r>
              <w:rPr>
                <w:rFonts w:ascii="仿宋" w:hAnsi="仿宋" w:eastAsia="仿宋" w:cs="Tahoma"/>
                <w:sz w:val="24"/>
              </w:rPr>
              <w:t xml:space="preserve">  </w:t>
            </w:r>
            <w:r>
              <w:rPr>
                <w:rFonts w:hint="eastAsia" w:ascii="仿宋" w:hAnsi="仿宋" w:eastAsia="仿宋" w:cs="Tahoma"/>
                <w:sz w:val="24"/>
              </w:rPr>
              <w:t>计</w:t>
            </w:r>
          </w:p>
        </w:tc>
        <w:tc>
          <w:tcPr>
            <w:tcW w:w="2269"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5</w:t>
            </w:r>
          </w:p>
        </w:tc>
        <w:tc>
          <w:tcPr>
            <w:tcW w:w="1986"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ascii="仿宋" w:hAnsi="仿宋" w:eastAsia="仿宋"/>
                <w:sz w:val="24"/>
              </w:rPr>
              <w:t>100%</w:t>
            </w:r>
          </w:p>
        </w:tc>
        <w:tc>
          <w:tcPr>
            <w:tcW w:w="1752" w:type="dxa"/>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5</w:t>
            </w:r>
          </w:p>
        </w:tc>
      </w:tr>
    </w:tbl>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对于“项目立项”，塔城地区图书馆数化建设及图书采购项目目标明确、细化、量化，符合要求，根据评分标准，实际得分率为100%。</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对于“绩效目标”，塔城地区图书馆数化建设及图书采购项目，严格按照实际需求设置资金需求、工作需求设置。实际得分率为100%。</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对于“资金分配”， 塔城地区图书馆数化建设及图书采购项目支出项目资金分配办法健全、规范，项目符合相关分配办法，资金分配合理。根据评分标准，该指标实际得分率100%。</w:t>
      </w:r>
    </w:p>
    <w:p>
      <w:pPr>
        <w:pStyle w:val="2"/>
        <w:keepNext w:val="0"/>
        <w:keepLines w:val="0"/>
        <w:pageBreakBefore w:val="0"/>
        <w:kinsoku/>
        <w:wordWrap/>
        <w:overflowPunct/>
        <w:topLinePunct w:val="0"/>
        <w:autoSpaceDE/>
        <w:autoSpaceDN/>
        <w:bidi w:val="0"/>
        <w:adjustRightInd/>
        <w:snapToGrid/>
        <w:spacing w:before="0" w:after="0" w:line="560" w:lineRule="atLeast"/>
        <w:jc w:val="both"/>
      </w:pPr>
      <w:r>
        <w:rPr>
          <w:rFonts w:hint="eastAsia" w:ascii="楷体_GB2312" w:hAnsi="楷体_GB2312" w:eastAsia="楷体_GB2312" w:cs="楷体_GB2312"/>
        </w:rPr>
        <w:t>（二）项目过程情况</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 w:hAnsi="仿宋" w:eastAsia="仿宋" w:cs="宋体"/>
          <w:sz w:val="32"/>
          <w:szCs w:val="32"/>
        </w:rPr>
      </w:pPr>
      <w:r>
        <w:rPr>
          <w:rFonts w:hint="eastAsia" w:ascii="仿宋_GB2312" w:hAnsi="仿宋_GB2312" w:eastAsia="仿宋_GB2312" w:cs="仿宋_GB2312"/>
          <w:sz w:val="32"/>
          <w:szCs w:val="32"/>
        </w:rPr>
        <w:t>项目管理指标从资金到位、资金管理和组织实施3个方面对项目管理情况进行考察。项目过程类指标分值5分，实际得分5分，得分率为100%。项目管理指标得分情况如表所示。</w:t>
      </w:r>
    </w:p>
    <w:tbl>
      <w:tblPr>
        <w:tblStyle w:val="18"/>
        <w:tblW w:w="8522" w:type="dxa"/>
        <w:tblInd w:w="0" w:type="dxa"/>
        <w:tblLayout w:type="fixed"/>
        <w:tblCellMar>
          <w:top w:w="0" w:type="dxa"/>
          <w:left w:w="108" w:type="dxa"/>
          <w:bottom w:w="0" w:type="dxa"/>
          <w:right w:w="108" w:type="dxa"/>
        </w:tblCellMar>
      </w:tblPr>
      <w:tblGrid>
        <w:gridCol w:w="2232"/>
        <w:gridCol w:w="2407"/>
        <w:gridCol w:w="1986"/>
        <w:gridCol w:w="1897"/>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黑体" w:hAnsi="黑体" w:eastAsia="黑体" w:cs="宋体"/>
                <w:sz w:val="24"/>
              </w:rPr>
            </w:pPr>
            <w:r>
              <w:rPr>
                <w:rFonts w:hint="eastAsia" w:ascii="黑体" w:hAnsi="黑体" w:eastAsia="黑体" w:cs="宋体"/>
                <w:sz w:val="28"/>
              </w:rPr>
              <w:t>过程指标得分情况</w:t>
            </w:r>
          </w:p>
        </w:tc>
      </w:tr>
      <w:tr>
        <w:tblPrEx>
          <w:tblCellMar>
            <w:top w:w="0" w:type="dxa"/>
            <w:left w:w="108" w:type="dxa"/>
            <w:bottom w:w="0" w:type="dxa"/>
            <w:right w:w="108" w:type="dxa"/>
          </w:tblCellMar>
        </w:tblPrEx>
        <w:trPr>
          <w:trHeight w:val="510" w:hRule="exact"/>
          <w:tblHeader/>
        </w:trPr>
        <w:tc>
          <w:tcPr>
            <w:tcW w:w="2232" w:type="dxa"/>
            <w:tcBorders>
              <w:top w:val="nil"/>
              <w:left w:val="single" w:color="auto" w:sz="8" w:space="0"/>
              <w:bottom w:val="nil"/>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b/>
                <w:bCs/>
                <w:sz w:val="24"/>
              </w:rPr>
            </w:pPr>
            <w:r>
              <w:rPr>
                <w:rFonts w:hint="eastAsia" w:ascii="仿宋" w:hAnsi="仿宋" w:eastAsia="仿宋" w:cs="宋体"/>
                <w:b/>
                <w:bCs/>
                <w:sz w:val="24"/>
              </w:rPr>
              <w:t>三级指标</w:t>
            </w:r>
          </w:p>
        </w:tc>
        <w:tc>
          <w:tcPr>
            <w:tcW w:w="2407" w:type="dxa"/>
            <w:tcBorders>
              <w:top w:val="nil"/>
              <w:left w:val="nil"/>
              <w:bottom w:val="nil"/>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b/>
                <w:bCs/>
                <w:sz w:val="24"/>
              </w:rPr>
            </w:pPr>
            <w:r>
              <w:rPr>
                <w:rFonts w:hint="eastAsia" w:ascii="仿宋" w:hAnsi="仿宋" w:eastAsia="仿宋" w:cs="宋体"/>
                <w:b/>
                <w:bCs/>
                <w:sz w:val="24"/>
              </w:rPr>
              <w:t>权重</w:t>
            </w:r>
          </w:p>
        </w:tc>
        <w:tc>
          <w:tcPr>
            <w:tcW w:w="1986" w:type="dxa"/>
            <w:tcBorders>
              <w:top w:val="nil"/>
              <w:left w:val="nil"/>
              <w:bottom w:val="nil"/>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b/>
                <w:bCs/>
                <w:sz w:val="24"/>
              </w:rPr>
            </w:pPr>
            <w:r>
              <w:rPr>
                <w:rFonts w:hint="eastAsia" w:ascii="仿宋" w:hAnsi="仿宋" w:eastAsia="仿宋" w:cs="宋体"/>
                <w:b/>
                <w:bCs/>
                <w:sz w:val="24"/>
              </w:rPr>
              <w:t>得分率</w:t>
            </w:r>
          </w:p>
        </w:tc>
        <w:tc>
          <w:tcPr>
            <w:tcW w:w="1897" w:type="dxa"/>
            <w:tcBorders>
              <w:top w:val="nil"/>
              <w:left w:val="nil"/>
              <w:bottom w:val="nil"/>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b/>
                <w:bCs/>
                <w:sz w:val="24"/>
              </w:rPr>
            </w:pPr>
            <w:r>
              <w:rPr>
                <w:rFonts w:hint="eastAsia" w:ascii="仿宋" w:hAnsi="仿宋" w:eastAsia="仿宋" w:cs="宋体"/>
                <w:b/>
                <w:bCs/>
                <w:sz w:val="24"/>
              </w:rPr>
              <w:t>实际得分</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资金到位率</w:t>
            </w:r>
          </w:p>
        </w:tc>
        <w:tc>
          <w:tcPr>
            <w:tcW w:w="2407"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w:t>
            </w:r>
          </w:p>
        </w:tc>
        <w:tc>
          <w:tcPr>
            <w:tcW w:w="198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100%</w:t>
            </w:r>
          </w:p>
        </w:tc>
        <w:tc>
          <w:tcPr>
            <w:tcW w:w="1897"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资金到位时效</w:t>
            </w:r>
          </w:p>
        </w:tc>
        <w:tc>
          <w:tcPr>
            <w:tcW w:w="2407"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w:t>
            </w:r>
          </w:p>
        </w:tc>
        <w:tc>
          <w:tcPr>
            <w:tcW w:w="1986"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100%</w:t>
            </w:r>
          </w:p>
        </w:tc>
        <w:tc>
          <w:tcPr>
            <w:tcW w:w="1897"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资金执行率</w:t>
            </w:r>
          </w:p>
        </w:tc>
        <w:tc>
          <w:tcPr>
            <w:tcW w:w="2407"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w:t>
            </w:r>
          </w:p>
        </w:tc>
        <w:tc>
          <w:tcPr>
            <w:tcW w:w="1986"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100%</w:t>
            </w:r>
          </w:p>
        </w:tc>
        <w:tc>
          <w:tcPr>
            <w:tcW w:w="1897"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资金使用合规性</w:t>
            </w:r>
          </w:p>
        </w:tc>
        <w:tc>
          <w:tcPr>
            <w:tcW w:w="2407"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w:t>
            </w:r>
          </w:p>
        </w:tc>
        <w:tc>
          <w:tcPr>
            <w:tcW w:w="1986"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100%</w:t>
            </w:r>
          </w:p>
        </w:tc>
        <w:tc>
          <w:tcPr>
            <w:tcW w:w="1897"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管理制度健全性</w:t>
            </w:r>
          </w:p>
        </w:tc>
        <w:tc>
          <w:tcPr>
            <w:tcW w:w="2407"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0.5</w:t>
            </w:r>
          </w:p>
        </w:tc>
        <w:tc>
          <w:tcPr>
            <w:tcW w:w="1986"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100%</w:t>
            </w:r>
          </w:p>
        </w:tc>
        <w:tc>
          <w:tcPr>
            <w:tcW w:w="1897"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0.5</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制度执行有效性</w:t>
            </w:r>
          </w:p>
        </w:tc>
        <w:tc>
          <w:tcPr>
            <w:tcW w:w="2407"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0.5</w:t>
            </w:r>
          </w:p>
        </w:tc>
        <w:tc>
          <w:tcPr>
            <w:tcW w:w="198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100%</w:t>
            </w:r>
          </w:p>
        </w:tc>
        <w:tc>
          <w:tcPr>
            <w:tcW w:w="1897"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0.5</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合  计</w:t>
            </w:r>
          </w:p>
        </w:tc>
        <w:tc>
          <w:tcPr>
            <w:tcW w:w="2407"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5</w:t>
            </w:r>
          </w:p>
        </w:tc>
        <w:tc>
          <w:tcPr>
            <w:tcW w:w="198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100%</w:t>
            </w:r>
          </w:p>
        </w:tc>
        <w:tc>
          <w:tcPr>
            <w:tcW w:w="1897"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宋体"/>
                <w:sz w:val="24"/>
              </w:rPr>
            </w:pPr>
            <w:r>
              <w:rPr>
                <w:rFonts w:hint="eastAsia" w:ascii="仿宋" w:hAnsi="仿宋" w:eastAsia="仿宋" w:cs="宋体"/>
                <w:sz w:val="24"/>
              </w:rPr>
              <w:t>5</w:t>
            </w:r>
          </w:p>
        </w:tc>
      </w:tr>
    </w:tbl>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对于“资金到位率”和“资金到位实效性”，项目资金到位及时，到位率为100%。根据评分标准，该两项指标不扣分。</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管理”，塔城地区图书馆数化建设及图书采购项目按照专项资金列支的范围使用资金，支出范围合规；资金支出能按财务制度执行，并能按国库集中支付制度规定执行，不存在资金违纪违规使用情况。按评分标准，指标实际得分率100%。</w:t>
      </w:r>
    </w:p>
    <w:p>
      <w:pPr>
        <w:keepNext w:val="0"/>
        <w:keepLines w:val="0"/>
        <w:pageBreakBefore w:val="0"/>
        <w:kinsoku/>
        <w:wordWrap/>
        <w:overflowPunct/>
        <w:topLinePunct w:val="0"/>
        <w:autoSpaceDE/>
        <w:autoSpaceDN/>
        <w:bidi w:val="0"/>
        <w:adjustRightInd/>
        <w:snapToGrid/>
        <w:spacing w:line="560" w:lineRule="atLeast"/>
      </w:pPr>
    </w:p>
    <w:p>
      <w:pPr>
        <w:pStyle w:val="17"/>
        <w:keepNext w:val="0"/>
        <w:keepLines w:val="0"/>
        <w:pageBreakBefore w:val="0"/>
        <w:numPr>
          <w:ilvl w:val="0"/>
          <w:numId w:val="5"/>
        </w:numPr>
        <w:kinsoku/>
        <w:wordWrap/>
        <w:overflowPunct/>
        <w:topLinePunct w:val="0"/>
        <w:autoSpaceDE/>
        <w:autoSpaceDN/>
        <w:bidi w:val="0"/>
        <w:adjustRightInd/>
        <w:snapToGrid/>
        <w:spacing w:after="0" w:line="560" w:lineRule="atLeas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 w:hAnsi="仿宋" w:eastAsia="仿宋" w:cs="宋体"/>
          <w:sz w:val="32"/>
          <w:szCs w:val="32"/>
        </w:rPr>
      </w:pPr>
      <w:r>
        <w:rPr>
          <w:rFonts w:hint="eastAsia" w:ascii="仿宋" w:hAnsi="仿宋" w:eastAsia="仿宋" w:cs="宋体"/>
          <w:sz w:val="32"/>
          <w:szCs w:val="32"/>
        </w:rPr>
        <w:t>项目管理指标从产出数量、产出质量、产出实效、产出成本4</w:t>
      </w:r>
      <w:r>
        <w:rPr>
          <w:rFonts w:hint="eastAsia" w:ascii="仿宋" w:hAnsi="仿宋" w:eastAsia="仿宋"/>
          <w:sz w:val="32"/>
          <w:szCs w:val="32"/>
        </w:rPr>
        <w:t>个方面对项目管理情况进行考察。项目过程类指标分值50分，实际得分50分，得分率为100</w:t>
      </w:r>
      <w:r>
        <w:rPr>
          <w:rFonts w:ascii="仿宋" w:hAnsi="仿宋" w:eastAsia="仿宋"/>
          <w:sz w:val="32"/>
          <w:szCs w:val="32"/>
        </w:rPr>
        <w:t>%</w:t>
      </w:r>
      <w:r>
        <w:rPr>
          <w:rFonts w:hint="eastAsia" w:ascii="仿宋" w:hAnsi="仿宋" w:eastAsia="仿宋"/>
          <w:sz w:val="32"/>
          <w:szCs w:val="32"/>
        </w:rPr>
        <w:t>。项目管理指标得分</w:t>
      </w:r>
      <w:r>
        <w:rPr>
          <w:rFonts w:hint="eastAsia" w:ascii="仿宋" w:hAnsi="仿宋" w:eastAsia="仿宋" w:cs="宋体"/>
          <w:sz w:val="32"/>
          <w:szCs w:val="32"/>
        </w:rPr>
        <w:t>情况如表所示。</w:t>
      </w:r>
    </w:p>
    <w:p>
      <w:pPr>
        <w:pStyle w:val="17"/>
        <w:keepNext w:val="0"/>
        <w:keepLines w:val="0"/>
        <w:pageBreakBefore w:val="0"/>
        <w:kinsoku/>
        <w:wordWrap/>
        <w:overflowPunct/>
        <w:topLinePunct w:val="0"/>
        <w:autoSpaceDE/>
        <w:autoSpaceDN/>
        <w:bidi w:val="0"/>
        <w:adjustRightInd/>
        <w:snapToGrid/>
        <w:spacing w:after="0" w:line="560" w:lineRule="atLeast"/>
        <w:ind w:firstLine="0" w:firstLineChars="0"/>
        <w:rPr>
          <w:rFonts w:ascii="楷体_GB2312" w:hAnsi="楷体_GB2312" w:eastAsia="楷体_GB2312" w:cs="楷体_GB2312"/>
          <w:b/>
          <w:bCs/>
          <w:sz w:val="32"/>
          <w:szCs w:val="32"/>
        </w:rPr>
      </w:pPr>
    </w:p>
    <w:tbl>
      <w:tblPr>
        <w:tblStyle w:val="18"/>
        <w:tblW w:w="8473" w:type="dxa"/>
        <w:tblInd w:w="0" w:type="dxa"/>
        <w:tblLayout w:type="fixed"/>
        <w:tblCellMar>
          <w:top w:w="0" w:type="dxa"/>
          <w:left w:w="108" w:type="dxa"/>
          <w:bottom w:w="0" w:type="dxa"/>
          <w:right w:w="108" w:type="dxa"/>
        </w:tblCellMar>
      </w:tblPr>
      <w:tblGrid>
        <w:gridCol w:w="2517"/>
        <w:gridCol w:w="1986"/>
        <w:gridCol w:w="1984"/>
        <w:gridCol w:w="1986"/>
      </w:tblGrid>
      <w:tr>
        <w:tblPrEx>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b/>
                <w:bCs/>
              </w:rPr>
            </w:pPr>
            <w:r>
              <w:rPr>
                <w:rFonts w:hint="eastAsia" w:ascii="仿宋" w:hAnsi="仿宋" w:eastAsia="仿宋" w:cs="Tahoma"/>
                <w:b/>
                <w:bCs/>
              </w:rPr>
              <w:t>二级指标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b/>
                <w:bCs/>
              </w:rPr>
            </w:pPr>
            <w:r>
              <w:rPr>
                <w:rFonts w:hint="eastAsia" w:ascii="仿宋" w:hAnsi="仿宋" w:eastAsia="仿宋" w:cs="Tahoma"/>
                <w:b/>
                <w:bCs/>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b/>
                <w:bCs/>
              </w:rPr>
            </w:pPr>
            <w:r>
              <w:rPr>
                <w:rFonts w:hint="eastAsia" w:ascii="仿宋" w:hAnsi="仿宋" w:eastAsia="仿宋" w:cs="Tahoma"/>
                <w:b/>
                <w:bCs/>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b/>
                <w:bCs/>
              </w:rPr>
            </w:pPr>
            <w:r>
              <w:rPr>
                <w:rFonts w:hint="eastAsia" w:ascii="仿宋" w:hAnsi="仿宋" w:eastAsia="仿宋" w:cs="Tahoma"/>
                <w:b/>
                <w:bCs/>
              </w:rPr>
              <w:t>实际得分</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sz w:val="24"/>
              </w:rPr>
            </w:pPr>
            <w:r>
              <w:rPr>
                <w:rFonts w:hint="eastAsia" w:ascii="仿宋" w:hAnsi="仿宋" w:eastAsia="仿宋" w:cs="Tahoma"/>
                <w:sz w:val="24"/>
              </w:rPr>
              <w:t>产出数量</w:t>
            </w:r>
          </w:p>
        </w:tc>
        <w:tc>
          <w:tcPr>
            <w:tcW w:w="1986"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hint="default" w:ascii="仿宋" w:hAnsi="仿宋" w:eastAsia="仿宋"/>
                <w:sz w:val="24"/>
                <w:lang w:val="en-US" w:eastAsia="zh-CN"/>
              </w:rPr>
            </w:pPr>
            <w:r>
              <w:rPr>
                <w:rFonts w:hint="eastAsia" w:ascii="仿宋" w:hAnsi="仿宋" w:eastAsia="仿宋"/>
                <w:sz w:val="24"/>
                <w:lang w:val="en-US" w:eastAsia="zh-CN"/>
              </w:rPr>
              <w:t>15</w:t>
            </w:r>
          </w:p>
        </w:tc>
        <w:tc>
          <w:tcPr>
            <w:tcW w:w="1984"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100</w:t>
            </w:r>
            <w:r>
              <w:rPr>
                <w:rFonts w:ascii="仿宋" w:hAnsi="仿宋" w:eastAsia="仿宋"/>
                <w:sz w:val="24"/>
              </w:rPr>
              <w:t>%</w:t>
            </w:r>
          </w:p>
        </w:tc>
        <w:tc>
          <w:tcPr>
            <w:tcW w:w="1986"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lang w:val="en-US" w:eastAsia="zh-CN"/>
              </w:rPr>
              <w:t>15</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sz w:val="24"/>
              </w:rPr>
            </w:pPr>
            <w:r>
              <w:rPr>
                <w:rFonts w:hint="eastAsia" w:ascii="仿宋" w:hAnsi="仿宋" w:eastAsia="仿宋" w:cs="Tahoma"/>
                <w:sz w:val="24"/>
              </w:rPr>
              <w:t>产出质量</w:t>
            </w:r>
          </w:p>
        </w:tc>
        <w:tc>
          <w:tcPr>
            <w:tcW w:w="1986"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hint="default" w:ascii="仿宋" w:hAnsi="仿宋" w:eastAsia="仿宋"/>
                <w:sz w:val="24"/>
                <w:lang w:val="en-US" w:eastAsia="zh-CN"/>
              </w:rPr>
            </w:pPr>
            <w:r>
              <w:rPr>
                <w:rFonts w:hint="eastAsia" w:ascii="仿宋" w:hAnsi="仿宋" w:eastAsia="仿宋"/>
                <w:sz w:val="24"/>
                <w:lang w:val="en-US" w:eastAsia="zh-CN"/>
              </w:rPr>
              <w:t>10</w:t>
            </w:r>
          </w:p>
        </w:tc>
        <w:tc>
          <w:tcPr>
            <w:tcW w:w="1984"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100</w:t>
            </w:r>
            <w:r>
              <w:rPr>
                <w:rFonts w:ascii="仿宋" w:hAnsi="仿宋" w:eastAsia="仿宋"/>
                <w:sz w:val="24"/>
              </w:rPr>
              <w:t>%</w:t>
            </w:r>
          </w:p>
        </w:tc>
        <w:tc>
          <w:tcPr>
            <w:tcW w:w="1986" w:type="dxa"/>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lang w:val="en-US" w:eastAsia="zh-CN"/>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sz w:val="24"/>
              </w:rPr>
            </w:pPr>
            <w:r>
              <w:rPr>
                <w:rFonts w:hint="eastAsia" w:ascii="仿宋" w:hAnsi="仿宋" w:eastAsia="仿宋" w:cs="Tahoma"/>
                <w:sz w:val="24"/>
              </w:rPr>
              <w:t>产出时效</w:t>
            </w:r>
          </w:p>
        </w:tc>
        <w:tc>
          <w:tcPr>
            <w:tcW w:w="1986"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hint="default" w:ascii="仿宋" w:hAnsi="仿宋" w:eastAsia="仿宋"/>
                <w:sz w:val="24"/>
                <w:lang w:val="en-US" w:eastAsia="zh-CN"/>
              </w:rPr>
            </w:pPr>
            <w:r>
              <w:rPr>
                <w:rFonts w:hint="eastAsia" w:ascii="仿宋" w:hAnsi="仿宋" w:eastAsia="仿宋"/>
                <w:sz w:val="24"/>
                <w:lang w:val="en-US" w:eastAsia="zh-CN"/>
              </w:rPr>
              <w:t>15</w:t>
            </w:r>
          </w:p>
        </w:tc>
        <w:tc>
          <w:tcPr>
            <w:tcW w:w="1984"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100</w:t>
            </w:r>
            <w:r>
              <w:rPr>
                <w:rFonts w:ascii="仿宋" w:hAnsi="仿宋" w:eastAsia="仿宋"/>
                <w:sz w:val="24"/>
              </w:rPr>
              <w:t>%</w:t>
            </w:r>
          </w:p>
        </w:tc>
        <w:tc>
          <w:tcPr>
            <w:tcW w:w="1986"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lang w:val="en-US" w:eastAsia="zh-CN"/>
              </w:rPr>
              <w:t>15</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sz w:val="24"/>
              </w:rPr>
            </w:pPr>
            <w:r>
              <w:rPr>
                <w:rFonts w:hint="eastAsia" w:ascii="仿宋" w:hAnsi="仿宋" w:eastAsia="仿宋" w:cs="Tahoma"/>
                <w:sz w:val="24"/>
              </w:rPr>
              <w:t>成本情况</w:t>
            </w:r>
          </w:p>
        </w:tc>
        <w:tc>
          <w:tcPr>
            <w:tcW w:w="1986"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hint="default" w:ascii="仿宋" w:hAnsi="仿宋" w:eastAsia="仿宋"/>
                <w:sz w:val="24"/>
                <w:lang w:val="en-US" w:eastAsia="zh-CN"/>
              </w:rPr>
            </w:pPr>
            <w:r>
              <w:rPr>
                <w:rFonts w:hint="eastAsia" w:ascii="仿宋" w:hAnsi="仿宋" w:eastAsia="仿宋"/>
                <w:sz w:val="24"/>
                <w:lang w:val="en-US" w:eastAsia="zh-CN"/>
              </w:rPr>
              <w:t>10</w:t>
            </w:r>
          </w:p>
        </w:tc>
        <w:tc>
          <w:tcPr>
            <w:tcW w:w="1984"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100</w:t>
            </w:r>
            <w:r>
              <w:rPr>
                <w:rFonts w:ascii="仿宋" w:hAnsi="仿宋" w:eastAsia="仿宋"/>
                <w:sz w:val="24"/>
              </w:rPr>
              <w:t>%</w:t>
            </w:r>
          </w:p>
        </w:tc>
        <w:tc>
          <w:tcPr>
            <w:tcW w:w="1986"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lang w:val="en-US" w:eastAsia="zh-CN"/>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cs="Tahoma"/>
                <w:sz w:val="24"/>
              </w:rPr>
            </w:pPr>
            <w:r>
              <w:rPr>
                <w:rFonts w:hint="eastAsia" w:ascii="仿宋" w:hAnsi="仿宋" w:eastAsia="仿宋" w:cs="Tahoma"/>
                <w:sz w:val="24"/>
              </w:rPr>
              <w:t>合</w:t>
            </w:r>
            <w:r>
              <w:rPr>
                <w:rFonts w:ascii="仿宋" w:hAnsi="仿宋" w:eastAsia="仿宋" w:cs="Tahoma"/>
                <w:sz w:val="24"/>
              </w:rPr>
              <w:t xml:space="preserve">  </w:t>
            </w:r>
            <w:r>
              <w:rPr>
                <w:rFonts w:hint="eastAsia" w:ascii="仿宋" w:hAnsi="仿宋" w:eastAsia="仿宋" w:cs="Tahoma"/>
                <w:sz w:val="24"/>
              </w:rPr>
              <w:t>计</w:t>
            </w:r>
          </w:p>
        </w:tc>
        <w:tc>
          <w:tcPr>
            <w:tcW w:w="1986"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50</w:t>
            </w:r>
          </w:p>
        </w:tc>
        <w:tc>
          <w:tcPr>
            <w:tcW w:w="1984"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100</w:t>
            </w:r>
            <w:r>
              <w:rPr>
                <w:rFonts w:ascii="仿宋" w:hAnsi="仿宋" w:eastAsia="仿宋"/>
                <w:sz w:val="24"/>
              </w:rPr>
              <w:t>%</w:t>
            </w:r>
          </w:p>
        </w:tc>
        <w:tc>
          <w:tcPr>
            <w:tcW w:w="1986" w:type="dxa"/>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560" w:lineRule="atLeast"/>
              <w:jc w:val="center"/>
              <w:rPr>
                <w:rFonts w:ascii="仿宋" w:hAnsi="仿宋" w:eastAsia="仿宋"/>
                <w:sz w:val="24"/>
              </w:rPr>
            </w:pPr>
            <w:r>
              <w:rPr>
                <w:rFonts w:hint="eastAsia" w:ascii="仿宋" w:hAnsi="仿宋" w:eastAsia="仿宋"/>
                <w:sz w:val="24"/>
              </w:rPr>
              <w:t>50</w:t>
            </w:r>
          </w:p>
        </w:tc>
      </w:tr>
    </w:tbl>
    <w:p>
      <w:pPr>
        <w:keepNext w:val="0"/>
        <w:keepLines w:val="0"/>
        <w:pageBreakBefore w:val="0"/>
        <w:kinsoku/>
        <w:wordWrap/>
        <w:overflowPunct/>
        <w:topLinePunct w:val="0"/>
        <w:autoSpaceDE/>
        <w:autoSpaceDN/>
        <w:bidi w:val="0"/>
        <w:adjustRightInd/>
        <w:snapToGrid/>
        <w:spacing w:line="560" w:lineRule="atLeast"/>
        <w:ind w:firstLine="640"/>
        <w:rPr>
          <w:rStyle w:val="20"/>
          <w:rFonts w:ascii="仿宋" w:hAnsi="仿宋" w:eastAsia="仿宋" w:cs="仿宋"/>
          <w:b w:val="0"/>
          <w:spacing w:val="-4"/>
          <w:sz w:val="32"/>
          <w:szCs w:val="32"/>
        </w:rPr>
      </w:pPr>
      <w:r>
        <w:rPr>
          <w:rStyle w:val="20"/>
          <w:rFonts w:hint="eastAsia" w:ascii="仿宋" w:hAnsi="仿宋" w:eastAsia="仿宋" w:cs="仿宋"/>
          <w:bCs w:val="0"/>
          <w:spacing w:val="-4"/>
          <w:sz w:val="32"/>
          <w:szCs w:val="32"/>
        </w:rPr>
        <w:t>数量指标方面：</w:t>
      </w:r>
      <w:r>
        <w:rPr>
          <w:rStyle w:val="20"/>
          <w:rFonts w:hint="eastAsia" w:ascii="仿宋" w:hAnsi="仿宋" w:eastAsia="仿宋" w:cs="仿宋"/>
          <w:b w:val="0"/>
          <w:spacing w:val="-4"/>
          <w:sz w:val="32"/>
          <w:szCs w:val="32"/>
        </w:rPr>
        <w:t>实际完成率,严格按照联想电脑10台，朗读厅1台,图书杀菌机1台进行采购.该分值不扣.</w:t>
      </w:r>
    </w:p>
    <w:p>
      <w:pPr>
        <w:keepNext w:val="0"/>
        <w:keepLines w:val="0"/>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b/>
          <w:bCs/>
          <w:color w:val="auto"/>
        </w:rPr>
        <w:t>质量指标方面：</w:t>
      </w:r>
      <w:r>
        <w:rPr>
          <w:rStyle w:val="49"/>
          <w:rFonts w:hint="eastAsia"/>
          <w:color w:val="auto"/>
        </w:rPr>
        <w:t>购置产品验收合格率按政府采购要求采购，合格率100%；</w:t>
      </w:r>
    </w:p>
    <w:p>
      <w:pPr>
        <w:keepNext w:val="0"/>
        <w:keepLines w:val="0"/>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color w:val="auto"/>
        </w:rPr>
        <w:t>各项采购合格率：100%完成,该指标分值10分,得分率100%.</w:t>
      </w:r>
    </w:p>
    <w:p>
      <w:pPr>
        <w:keepNext w:val="0"/>
        <w:keepLines w:val="0"/>
        <w:pageBreakBefore w:val="0"/>
        <w:kinsoku/>
        <w:wordWrap/>
        <w:overflowPunct/>
        <w:topLinePunct w:val="0"/>
        <w:autoSpaceDE/>
        <w:autoSpaceDN/>
        <w:bidi w:val="0"/>
        <w:adjustRightInd/>
        <w:snapToGrid/>
        <w:spacing w:line="560" w:lineRule="atLeast"/>
        <w:ind w:firstLine="643" w:firstLineChars="200"/>
        <w:rPr>
          <w:rStyle w:val="49"/>
          <w:color w:val="auto"/>
        </w:rPr>
      </w:pPr>
      <w:r>
        <w:rPr>
          <w:rStyle w:val="49"/>
          <w:rFonts w:hint="eastAsia"/>
          <w:b/>
          <w:bCs/>
          <w:color w:val="auto"/>
        </w:rPr>
        <w:t>时效指标方面：</w:t>
      </w:r>
      <w:r>
        <w:rPr>
          <w:rStyle w:val="49"/>
          <w:rFonts w:hint="eastAsia"/>
          <w:color w:val="auto"/>
        </w:rPr>
        <w:t>完成及时性,因该项目执行期限是1年项目,</w:t>
      </w:r>
      <w:r>
        <w:rPr>
          <w:rStyle w:val="49"/>
          <w:rFonts w:hint="eastAsia" w:eastAsia="仿宋_GB2312"/>
          <w:color w:val="auto"/>
          <w:lang w:eastAsia="zh-CN"/>
        </w:rPr>
        <w:t>截至目前</w:t>
      </w:r>
      <w:r>
        <w:rPr>
          <w:rStyle w:val="49"/>
          <w:rFonts w:hint="eastAsia"/>
          <w:color w:val="auto"/>
        </w:rPr>
        <w:t>2020.12.30已全部完成，完成率100%,得分</w:t>
      </w:r>
      <w:r>
        <w:rPr>
          <w:rStyle w:val="49"/>
          <w:rFonts w:hint="eastAsia" w:eastAsia="仿宋_GB2312"/>
          <w:color w:val="auto"/>
          <w:lang w:val="en-US" w:eastAsia="zh-CN"/>
        </w:rPr>
        <w:t>15</w:t>
      </w:r>
      <w:r>
        <w:rPr>
          <w:rStyle w:val="49"/>
          <w:rFonts w:hint="eastAsia"/>
          <w:color w:val="auto"/>
        </w:rPr>
        <w:t>分.</w:t>
      </w:r>
    </w:p>
    <w:p>
      <w:pPr>
        <w:keepNext w:val="0"/>
        <w:keepLines w:val="0"/>
        <w:pageBreakBefore w:val="0"/>
        <w:kinsoku/>
        <w:wordWrap/>
        <w:overflowPunct/>
        <w:topLinePunct w:val="0"/>
        <w:autoSpaceDE/>
        <w:autoSpaceDN/>
        <w:bidi w:val="0"/>
        <w:adjustRightInd/>
        <w:snapToGrid/>
        <w:spacing w:line="560" w:lineRule="atLeast"/>
        <w:ind w:firstLine="643" w:firstLineChars="200"/>
      </w:pPr>
      <w:r>
        <w:rPr>
          <w:rStyle w:val="49"/>
          <w:rFonts w:hint="eastAsia"/>
          <w:b/>
          <w:bCs/>
          <w:color w:val="auto"/>
        </w:rPr>
        <w:t>成本指标方面：</w:t>
      </w:r>
      <w:r>
        <w:rPr>
          <w:rStyle w:val="49"/>
          <w:rFonts w:hint="eastAsia"/>
          <w:color w:val="auto"/>
        </w:rPr>
        <w:t>成本节约率100%成本是以该项目总投资为基数计算完成总体的100%,与总投资计算该项的分10分.</w:t>
      </w:r>
    </w:p>
    <w:p>
      <w:pPr>
        <w:pStyle w:val="17"/>
        <w:keepNext w:val="0"/>
        <w:keepLines w:val="0"/>
        <w:pageBreakBefore w:val="0"/>
        <w:numPr>
          <w:ilvl w:val="0"/>
          <w:numId w:val="5"/>
        </w:numPr>
        <w:kinsoku/>
        <w:wordWrap/>
        <w:overflowPunct/>
        <w:topLinePunct w:val="0"/>
        <w:autoSpaceDE/>
        <w:autoSpaceDN/>
        <w:bidi w:val="0"/>
        <w:adjustRightInd/>
        <w:snapToGrid/>
        <w:spacing w:after="0" w:line="560" w:lineRule="atLeast"/>
        <w:ind w:firstLine="321" w:firstLineChars="100"/>
        <w:rPr>
          <w:rStyle w:val="49"/>
          <w:color w:val="auto"/>
        </w:rPr>
      </w:pPr>
      <w:r>
        <w:rPr>
          <w:rFonts w:hint="eastAsia" w:ascii="楷体_GB2312" w:hAnsi="楷体_GB2312" w:eastAsia="楷体_GB2312" w:cs="楷体_GB2312"/>
          <w:b/>
          <w:bCs/>
          <w:sz w:val="32"/>
          <w:szCs w:val="32"/>
        </w:rPr>
        <w:t>效益情况</w:t>
      </w:r>
    </w:p>
    <w:p>
      <w:pPr>
        <w:keepNext w:val="0"/>
        <w:keepLines w:val="0"/>
        <w:pageBreakBefore w:val="0"/>
        <w:kinsoku/>
        <w:wordWrap/>
        <w:overflowPunct/>
        <w:topLinePunct w:val="0"/>
        <w:autoSpaceDE/>
        <w:autoSpaceDN/>
        <w:bidi w:val="0"/>
        <w:adjustRightInd/>
        <w:snapToGrid/>
        <w:spacing w:line="560" w:lineRule="atLeast"/>
        <w:ind w:firstLine="640" w:firstLineChars="200"/>
        <w:rPr>
          <w:rStyle w:val="49"/>
          <w:rFonts w:hint="eastAsia" w:eastAsia="仿宋_GB2312"/>
          <w:color w:val="auto"/>
          <w:lang w:val="en-US" w:eastAsia="zh-CN"/>
        </w:rPr>
      </w:pPr>
      <w:r>
        <w:rPr>
          <w:rStyle w:val="49"/>
          <w:rFonts w:hint="eastAsia"/>
          <w:color w:val="auto"/>
        </w:rPr>
        <w:t>社会效益指标方面：下设公共服务水平能力,设置分值为</w:t>
      </w:r>
      <w:r>
        <w:rPr>
          <w:rStyle w:val="49"/>
          <w:rFonts w:hint="eastAsia" w:eastAsia="仿宋_GB2312"/>
          <w:color w:val="auto"/>
          <w:lang w:val="en-US" w:eastAsia="zh-CN"/>
        </w:rPr>
        <w:t>10</w:t>
      </w:r>
      <w:r>
        <w:rPr>
          <w:rStyle w:val="49"/>
          <w:rFonts w:hint="eastAsia"/>
          <w:color w:val="auto"/>
        </w:rPr>
        <w:t>分.因该项目的完成,为即将改善办公条件等方面奠定基础,势必会改善读者读书环境,该项目已经实施,因此该分值为</w:t>
      </w:r>
      <w:r>
        <w:rPr>
          <w:rStyle w:val="49"/>
          <w:rFonts w:hint="eastAsia" w:eastAsia="仿宋_GB2312"/>
          <w:color w:val="auto"/>
          <w:lang w:val="en-US" w:eastAsia="zh-CN"/>
        </w:rPr>
        <w:t>10</w:t>
      </w:r>
      <w:r>
        <w:rPr>
          <w:rStyle w:val="49"/>
          <w:rFonts w:hint="eastAsia"/>
          <w:color w:val="auto"/>
        </w:rPr>
        <w:t>分,得分率</w:t>
      </w:r>
      <w:r>
        <w:rPr>
          <w:rStyle w:val="49"/>
          <w:rFonts w:hint="eastAsia" w:eastAsia="仿宋_GB2312"/>
          <w:color w:val="auto"/>
          <w:lang w:val="en-US" w:eastAsia="zh-CN"/>
        </w:rPr>
        <w:t>100</w:t>
      </w:r>
      <w:r>
        <w:rPr>
          <w:rStyle w:val="49"/>
          <w:rFonts w:hint="eastAsia"/>
          <w:color w:val="auto"/>
        </w:rPr>
        <w:t>%</w:t>
      </w:r>
      <w:r>
        <w:rPr>
          <w:rStyle w:val="49"/>
          <w:rFonts w:hint="eastAsia" w:eastAsia="仿宋_GB2312"/>
          <w:color w:val="auto"/>
          <w:lang w:val="en-US" w:eastAsia="zh-CN"/>
        </w:rPr>
        <w:t>.下设业务保障能力提升 ,</w:t>
      </w:r>
      <w:r>
        <w:rPr>
          <w:rStyle w:val="49"/>
          <w:rFonts w:hint="eastAsia"/>
          <w:color w:val="auto"/>
        </w:rPr>
        <w:t>因该项目的完成</w:t>
      </w:r>
      <w:r>
        <w:rPr>
          <w:rStyle w:val="49"/>
          <w:rFonts w:hint="eastAsia" w:eastAsia="仿宋_GB2312"/>
          <w:color w:val="auto"/>
          <w:lang w:val="en-US" w:eastAsia="zh-CN"/>
        </w:rPr>
        <w:t>,</w:t>
      </w:r>
      <w:r>
        <w:rPr>
          <w:rStyle w:val="49"/>
          <w:rFonts w:hint="eastAsia"/>
          <w:color w:val="auto"/>
        </w:rPr>
        <w:t>因此该分值为</w:t>
      </w:r>
      <w:r>
        <w:rPr>
          <w:rStyle w:val="49"/>
          <w:rFonts w:hint="eastAsia" w:eastAsia="仿宋_GB2312"/>
          <w:color w:val="auto"/>
          <w:lang w:val="en-US" w:eastAsia="zh-CN"/>
        </w:rPr>
        <w:t>10</w:t>
      </w:r>
      <w:r>
        <w:rPr>
          <w:rStyle w:val="49"/>
          <w:rFonts w:hint="eastAsia"/>
          <w:color w:val="auto"/>
        </w:rPr>
        <w:t>分,得分率</w:t>
      </w:r>
      <w:r>
        <w:rPr>
          <w:rStyle w:val="49"/>
          <w:rFonts w:hint="eastAsia" w:eastAsia="仿宋_GB2312"/>
          <w:color w:val="auto"/>
          <w:lang w:val="en-US" w:eastAsia="zh-CN"/>
        </w:rPr>
        <w:t>100</w:t>
      </w:r>
      <w:r>
        <w:rPr>
          <w:rStyle w:val="49"/>
          <w:rFonts w:hint="eastAsia"/>
          <w:color w:val="auto"/>
        </w:rPr>
        <w:t>%</w:t>
      </w:r>
    </w:p>
    <w:p>
      <w:pPr>
        <w:keepNext w:val="0"/>
        <w:keepLines w:val="0"/>
        <w:pageBreakBefore w:val="0"/>
        <w:kinsoku/>
        <w:wordWrap/>
        <w:overflowPunct/>
        <w:topLinePunct w:val="0"/>
        <w:autoSpaceDE/>
        <w:autoSpaceDN/>
        <w:bidi w:val="0"/>
        <w:adjustRightInd/>
        <w:snapToGrid/>
        <w:spacing w:line="560" w:lineRule="atLeast"/>
        <w:ind w:firstLine="640" w:firstLineChars="200"/>
        <w:rPr>
          <w:rStyle w:val="49"/>
          <w:color w:val="auto"/>
        </w:rPr>
      </w:pPr>
      <w:r>
        <w:rPr>
          <w:rStyle w:val="49"/>
          <w:rFonts w:hint="eastAsia"/>
          <w:color w:val="auto"/>
        </w:rPr>
        <w:t>可持续影响指标方面：预计电脑使用年限设置为6年设置分值为1</w:t>
      </w:r>
      <w:r>
        <w:rPr>
          <w:rStyle w:val="49"/>
          <w:rFonts w:hint="eastAsia" w:eastAsia="仿宋_GB2312"/>
          <w:color w:val="auto"/>
          <w:lang w:val="en-US" w:eastAsia="zh-CN"/>
        </w:rPr>
        <w:t>0</w:t>
      </w:r>
      <w:r>
        <w:rPr>
          <w:rStyle w:val="49"/>
          <w:rFonts w:hint="eastAsia"/>
          <w:color w:val="auto"/>
        </w:rPr>
        <w:t>分,自2020年项目开始实施之日起,就按照固定资产的使用确定了其使用年限,,得分</w:t>
      </w:r>
      <w:r>
        <w:rPr>
          <w:rStyle w:val="49"/>
          <w:rFonts w:hint="eastAsia" w:eastAsia="仿宋_GB2312"/>
          <w:color w:val="auto"/>
          <w:lang w:val="en-US" w:eastAsia="zh-CN"/>
        </w:rPr>
        <w:t>10</w:t>
      </w:r>
      <w:r>
        <w:rPr>
          <w:rStyle w:val="49"/>
          <w:rFonts w:hint="eastAsia"/>
          <w:color w:val="auto"/>
        </w:rPr>
        <w:t>分，得分</w:t>
      </w:r>
      <w:r>
        <w:rPr>
          <w:rStyle w:val="49"/>
          <w:rFonts w:hint="eastAsia" w:eastAsia="仿宋_GB2312"/>
          <w:color w:val="auto"/>
          <w:lang w:eastAsia="zh-CN"/>
        </w:rPr>
        <w:t>率</w:t>
      </w:r>
      <w:r>
        <w:rPr>
          <w:rStyle w:val="49"/>
          <w:rFonts w:hint="eastAsia" w:eastAsia="仿宋_GB2312"/>
          <w:color w:val="auto"/>
          <w:lang w:val="en-US" w:eastAsia="zh-CN"/>
        </w:rPr>
        <w:t>100</w:t>
      </w:r>
      <w:r>
        <w:rPr>
          <w:rStyle w:val="49"/>
          <w:rFonts w:hint="eastAsia"/>
          <w:color w:val="auto"/>
        </w:rPr>
        <w:t>%.</w:t>
      </w:r>
    </w:p>
    <w:p>
      <w:pPr>
        <w:keepNext w:val="0"/>
        <w:keepLines w:val="0"/>
        <w:pageBreakBefore w:val="0"/>
        <w:kinsoku/>
        <w:wordWrap/>
        <w:overflowPunct/>
        <w:topLinePunct w:val="0"/>
        <w:autoSpaceDE/>
        <w:autoSpaceDN/>
        <w:bidi w:val="0"/>
        <w:adjustRightInd/>
        <w:snapToGrid/>
        <w:spacing w:line="560" w:lineRule="atLeast"/>
        <w:ind w:firstLine="640" w:firstLineChars="200"/>
        <w:rPr>
          <w:rStyle w:val="49"/>
          <w:color w:val="auto"/>
        </w:rPr>
      </w:pPr>
      <w:r>
        <w:rPr>
          <w:rStyle w:val="49"/>
          <w:rFonts w:hint="eastAsia"/>
          <w:color w:val="auto"/>
        </w:rPr>
        <w:t>满意度指标方面：项目效果主要从项目服务对象满意度方面进行评价。项目绩效类指标分值10分，实际得分</w:t>
      </w:r>
      <w:r>
        <w:rPr>
          <w:rStyle w:val="49"/>
          <w:rFonts w:hint="eastAsia" w:eastAsia="仿宋_GB2312"/>
          <w:color w:val="auto"/>
          <w:lang w:val="en-US" w:eastAsia="zh-CN"/>
        </w:rPr>
        <w:t>10</w:t>
      </w:r>
      <w:r>
        <w:rPr>
          <w:rStyle w:val="49"/>
          <w:rFonts w:hint="eastAsia"/>
          <w:color w:val="auto"/>
        </w:rPr>
        <w:t>分，得分率为</w:t>
      </w:r>
      <w:r>
        <w:rPr>
          <w:rStyle w:val="49"/>
          <w:rFonts w:hint="eastAsia" w:eastAsia="仿宋_GB2312"/>
          <w:color w:val="auto"/>
          <w:lang w:val="en-US" w:eastAsia="zh-CN"/>
        </w:rPr>
        <w:t>10</w:t>
      </w:r>
      <w:r>
        <w:rPr>
          <w:rStyle w:val="49"/>
          <w:rFonts w:hint="eastAsia"/>
          <w:color w:val="auto"/>
        </w:rPr>
        <w:t>0%。项目绩效指标得分情况如表所示：</w:t>
      </w:r>
    </w:p>
    <w:tbl>
      <w:tblPr>
        <w:tblStyle w:val="18"/>
        <w:tblW w:w="8324" w:type="dxa"/>
        <w:tblInd w:w="0" w:type="dxa"/>
        <w:tblLayout w:type="fixed"/>
        <w:tblCellMar>
          <w:top w:w="0" w:type="dxa"/>
          <w:left w:w="0" w:type="dxa"/>
          <w:bottom w:w="0" w:type="dxa"/>
          <w:right w:w="0" w:type="dxa"/>
        </w:tblCellMar>
      </w:tblPr>
      <w:tblGrid>
        <w:gridCol w:w="3016"/>
        <w:gridCol w:w="1525"/>
        <w:gridCol w:w="906"/>
        <w:gridCol w:w="2877"/>
      </w:tblGrid>
      <w:tr>
        <w:trPr>
          <w:trHeight w:val="260" w:hRule="atLeast"/>
        </w:trPr>
        <w:tc>
          <w:tcPr>
            <w:tcW w:w="3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jc w:val="center"/>
              <w:textAlignment w:val="bottom"/>
              <w:rPr>
                <w:rFonts w:ascii="仿宋" w:hAnsi="仿宋" w:eastAsia="仿宋" w:cs="宋体"/>
                <w:sz w:val="20"/>
                <w:szCs w:val="20"/>
              </w:rPr>
            </w:pPr>
            <w:r>
              <w:rPr>
                <w:rFonts w:hint="eastAsia" w:ascii="仿宋" w:hAnsi="仿宋" w:eastAsia="仿宋" w:cs="宋体"/>
                <w:sz w:val="20"/>
                <w:szCs w:val="20"/>
              </w:rPr>
              <w:t>三级指标</w:t>
            </w:r>
          </w:p>
        </w:tc>
        <w:tc>
          <w:tcPr>
            <w:tcW w:w="1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textAlignment w:val="bottom"/>
              <w:rPr>
                <w:rFonts w:ascii="仿宋" w:hAnsi="仿宋" w:eastAsia="仿宋" w:cs="宋体"/>
                <w:sz w:val="20"/>
                <w:szCs w:val="20"/>
              </w:rPr>
            </w:pPr>
            <w:r>
              <w:rPr>
                <w:rFonts w:hint="eastAsia" w:ascii="仿宋" w:hAnsi="仿宋" w:eastAsia="仿宋" w:cs="宋体"/>
                <w:sz w:val="20"/>
                <w:szCs w:val="20"/>
              </w:rPr>
              <w:t>分值</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textAlignment w:val="bottom"/>
              <w:rPr>
                <w:rFonts w:ascii="仿宋" w:hAnsi="仿宋" w:eastAsia="仿宋" w:cs="宋体"/>
                <w:sz w:val="20"/>
                <w:szCs w:val="20"/>
              </w:rPr>
            </w:pPr>
            <w:r>
              <w:rPr>
                <w:rFonts w:hint="eastAsia" w:ascii="仿宋" w:hAnsi="仿宋" w:eastAsia="仿宋" w:cs="宋体"/>
                <w:sz w:val="20"/>
                <w:szCs w:val="20"/>
              </w:rPr>
              <w:t>得分率</w:t>
            </w:r>
          </w:p>
        </w:tc>
        <w:tc>
          <w:tcPr>
            <w:tcW w:w="28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textAlignment w:val="bottom"/>
              <w:rPr>
                <w:rFonts w:ascii="仿宋" w:hAnsi="仿宋" w:eastAsia="仿宋" w:cs="宋体"/>
                <w:sz w:val="20"/>
                <w:szCs w:val="20"/>
              </w:rPr>
            </w:pPr>
            <w:r>
              <w:rPr>
                <w:rFonts w:hint="eastAsia" w:ascii="仿宋" w:hAnsi="仿宋" w:eastAsia="仿宋" w:cs="宋体"/>
                <w:sz w:val="20"/>
                <w:szCs w:val="20"/>
              </w:rPr>
              <w:t>得分</w:t>
            </w:r>
          </w:p>
        </w:tc>
      </w:tr>
      <w:tr>
        <w:tblPrEx>
          <w:tblCellMar>
            <w:top w:w="0" w:type="dxa"/>
            <w:left w:w="0" w:type="dxa"/>
            <w:bottom w:w="0" w:type="dxa"/>
            <w:right w:w="0" w:type="dxa"/>
          </w:tblCellMar>
        </w:tblPrEx>
        <w:trPr>
          <w:trHeight w:val="310" w:hRule="atLeast"/>
        </w:trPr>
        <w:tc>
          <w:tcPr>
            <w:tcW w:w="3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jc w:val="center"/>
              <w:textAlignment w:val="bottom"/>
              <w:rPr>
                <w:rFonts w:ascii="仿宋" w:hAnsi="仿宋" w:eastAsia="仿宋" w:cs="方正仿宋_GBK"/>
                <w:sz w:val="24"/>
              </w:rPr>
            </w:pPr>
            <w:r>
              <w:rPr>
                <w:rFonts w:hint="eastAsia" w:ascii="仿宋" w:hAnsi="仿宋" w:eastAsia="仿宋" w:cs="方正仿宋_GBK"/>
                <w:sz w:val="24"/>
              </w:rPr>
              <w:t>读者满意度</w:t>
            </w:r>
          </w:p>
        </w:tc>
        <w:tc>
          <w:tcPr>
            <w:tcW w:w="1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jc w:val="center"/>
              <w:textAlignment w:val="bottom"/>
              <w:rPr>
                <w:rFonts w:ascii="仿宋" w:hAnsi="仿宋" w:eastAsia="仿宋" w:cs="方正仿宋_GBK"/>
                <w:sz w:val="24"/>
              </w:rPr>
            </w:pPr>
            <w:r>
              <w:rPr>
                <w:rFonts w:hint="eastAsia" w:ascii="仿宋" w:hAnsi="仿宋" w:eastAsia="仿宋" w:cs="方正仿宋_GBK"/>
                <w:sz w:val="24"/>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jc w:val="center"/>
              <w:textAlignment w:val="bottom"/>
              <w:rPr>
                <w:rFonts w:ascii="仿宋" w:hAnsi="仿宋" w:eastAsia="仿宋" w:cs="方正仿宋_GBK"/>
                <w:sz w:val="24"/>
              </w:rPr>
            </w:pPr>
            <w:r>
              <w:rPr>
                <w:rFonts w:hint="eastAsia" w:ascii="仿宋" w:hAnsi="仿宋" w:eastAsia="仿宋" w:cs="方正仿宋_GBK"/>
                <w:sz w:val="24"/>
              </w:rPr>
              <w:t>100%</w:t>
            </w:r>
          </w:p>
        </w:tc>
        <w:tc>
          <w:tcPr>
            <w:tcW w:w="28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jc w:val="center"/>
              <w:textAlignment w:val="bottom"/>
              <w:rPr>
                <w:rFonts w:ascii="仿宋" w:hAnsi="仿宋" w:eastAsia="仿宋" w:cs="方正仿宋_GBK"/>
                <w:sz w:val="24"/>
              </w:rPr>
            </w:pPr>
            <w:r>
              <w:rPr>
                <w:rFonts w:hint="eastAsia" w:ascii="仿宋" w:hAnsi="仿宋" w:eastAsia="仿宋" w:cs="方正仿宋_GBK"/>
                <w:sz w:val="24"/>
              </w:rPr>
              <w:t>10</w:t>
            </w:r>
          </w:p>
        </w:tc>
      </w:tr>
      <w:tr>
        <w:tblPrEx>
          <w:tblCellMar>
            <w:top w:w="0" w:type="dxa"/>
            <w:left w:w="0" w:type="dxa"/>
            <w:bottom w:w="0" w:type="dxa"/>
            <w:right w:w="0" w:type="dxa"/>
          </w:tblCellMar>
        </w:tblPrEx>
        <w:trPr>
          <w:trHeight w:val="310" w:hRule="atLeast"/>
        </w:trPr>
        <w:tc>
          <w:tcPr>
            <w:tcW w:w="30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jc w:val="center"/>
              <w:textAlignment w:val="bottom"/>
              <w:rPr>
                <w:rFonts w:ascii="仿宋" w:hAnsi="仿宋" w:eastAsia="仿宋" w:cs="方正仿宋_GBK"/>
                <w:sz w:val="24"/>
              </w:rPr>
            </w:pPr>
            <w:r>
              <w:rPr>
                <w:rFonts w:hint="eastAsia" w:ascii="仿宋" w:hAnsi="仿宋" w:eastAsia="仿宋" w:cs="方正仿宋_GBK"/>
                <w:sz w:val="24"/>
              </w:rPr>
              <w:t>合</w:t>
            </w:r>
            <w:r>
              <w:rPr>
                <w:rStyle w:val="51"/>
                <w:rFonts w:hint="default" w:ascii="仿宋" w:hAnsi="仿宋" w:eastAsia="仿宋"/>
                <w:color w:val="auto"/>
              </w:rPr>
              <w:t xml:space="preserve">  计</w:t>
            </w:r>
          </w:p>
        </w:tc>
        <w:tc>
          <w:tcPr>
            <w:tcW w:w="15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jc w:val="center"/>
              <w:textAlignment w:val="bottom"/>
              <w:rPr>
                <w:rFonts w:ascii="仿宋" w:hAnsi="仿宋" w:eastAsia="仿宋"/>
                <w:sz w:val="24"/>
              </w:rPr>
            </w:pPr>
            <w:r>
              <w:rPr>
                <w:rFonts w:hint="eastAsia" w:ascii="仿宋" w:hAnsi="仿宋" w:eastAsia="仿宋"/>
                <w:sz w:val="24"/>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jc w:val="center"/>
              <w:textAlignment w:val="bottom"/>
              <w:rPr>
                <w:rFonts w:ascii="仿宋" w:hAnsi="仿宋" w:eastAsia="仿宋" w:cs="方正仿宋_GBK"/>
                <w:sz w:val="24"/>
              </w:rPr>
            </w:pPr>
            <w:r>
              <w:rPr>
                <w:rFonts w:hint="eastAsia" w:ascii="仿宋" w:hAnsi="仿宋" w:eastAsia="仿宋" w:cs="方正仿宋_GBK"/>
                <w:sz w:val="24"/>
              </w:rPr>
              <w:t>100%</w:t>
            </w:r>
          </w:p>
        </w:tc>
        <w:tc>
          <w:tcPr>
            <w:tcW w:w="28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keepNext w:val="0"/>
              <w:keepLines w:val="0"/>
              <w:pageBreakBefore w:val="0"/>
              <w:kinsoku/>
              <w:wordWrap/>
              <w:overflowPunct/>
              <w:topLinePunct w:val="0"/>
              <w:autoSpaceDE/>
              <w:autoSpaceDN/>
              <w:bidi w:val="0"/>
              <w:adjustRightInd/>
              <w:snapToGrid/>
              <w:spacing w:line="560" w:lineRule="atLeast"/>
              <w:jc w:val="center"/>
              <w:textAlignment w:val="bottom"/>
              <w:rPr>
                <w:rFonts w:ascii="仿宋" w:hAnsi="仿宋" w:eastAsia="仿宋" w:cs="方正仿宋_GBK"/>
                <w:sz w:val="24"/>
              </w:rPr>
            </w:pPr>
            <w:r>
              <w:rPr>
                <w:rFonts w:hint="eastAsia" w:ascii="仿宋" w:hAnsi="仿宋" w:eastAsia="仿宋" w:cs="方正仿宋_GBK"/>
                <w:sz w:val="24"/>
              </w:rPr>
              <w:t>10</w:t>
            </w:r>
          </w:p>
        </w:tc>
      </w:tr>
    </w:tbl>
    <w:p>
      <w:pPr>
        <w:keepNext w:val="0"/>
        <w:keepLines w:val="0"/>
        <w:pageBreakBefore w:val="0"/>
        <w:kinsoku/>
        <w:wordWrap/>
        <w:overflowPunct/>
        <w:topLinePunct w:val="0"/>
        <w:autoSpaceDE/>
        <w:autoSpaceDN/>
        <w:bidi w:val="0"/>
        <w:adjustRightInd/>
        <w:snapToGrid/>
        <w:spacing w:line="560" w:lineRule="atLeast"/>
        <w:ind w:firstLine="320" w:firstLineChars="100"/>
        <w:rPr>
          <w:rStyle w:val="49"/>
          <w:color w:val="auto"/>
        </w:rPr>
      </w:pPr>
      <w:r>
        <w:rPr>
          <w:rFonts w:hint="eastAsia" w:ascii="黑体" w:hAnsi="黑体" w:eastAsia="黑体"/>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line="560" w:lineRule="atLeas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keepNext w:val="0"/>
        <w:keepLines w:val="0"/>
        <w:pageBreakBefore w:val="0"/>
        <w:kinsoku/>
        <w:wordWrap/>
        <w:overflowPunct/>
        <w:topLinePunct w:val="0"/>
        <w:autoSpaceDE/>
        <w:autoSpaceDN/>
        <w:bidi w:val="0"/>
        <w:adjustRightInd/>
        <w:snapToGrid/>
        <w:spacing w:line="560" w:lineRule="atLeast"/>
        <w:ind w:firstLine="640" w:firstLineChars="200"/>
        <w:rPr>
          <w:rStyle w:val="49"/>
          <w:color w:val="auto"/>
        </w:rPr>
      </w:pPr>
      <w:r>
        <w:rPr>
          <w:rStyle w:val="49"/>
          <w:rFonts w:hint="eastAsia"/>
          <w:color w:val="auto"/>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val="0"/>
        <w:keepLines w:val="0"/>
        <w:pageBreakBefore w:val="0"/>
        <w:kinsoku/>
        <w:wordWrap/>
        <w:overflowPunct/>
        <w:topLinePunct w:val="0"/>
        <w:autoSpaceDE/>
        <w:autoSpaceDN/>
        <w:bidi w:val="0"/>
        <w:adjustRightInd/>
        <w:snapToGrid/>
        <w:spacing w:line="560" w:lineRule="atLeast"/>
        <w:ind w:firstLine="640" w:firstLineChars="200"/>
        <w:rPr>
          <w:rStyle w:val="49"/>
          <w:color w:val="auto"/>
        </w:rPr>
      </w:pPr>
      <w:r>
        <w:rPr>
          <w:rStyle w:val="49"/>
          <w:rFonts w:hint="eastAsia"/>
          <w:color w:val="auto"/>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kinsoku/>
        <w:wordWrap/>
        <w:overflowPunct/>
        <w:topLinePunct w:val="0"/>
        <w:autoSpaceDE/>
        <w:autoSpaceDN/>
        <w:bidi w:val="0"/>
        <w:adjustRightInd/>
        <w:snapToGrid/>
        <w:spacing w:line="560" w:lineRule="atLeast"/>
        <w:ind w:firstLine="567" w:firstLineChars="181"/>
        <w:rPr>
          <w:rFonts w:ascii="楷体" w:hAnsi="楷体" w:eastAsia="楷体"/>
          <w:b/>
          <w:spacing w:val="-4"/>
          <w:sz w:val="32"/>
          <w:szCs w:val="32"/>
        </w:rPr>
      </w:pPr>
      <w:r>
        <w:rPr>
          <w:rFonts w:hint="eastAsia" w:ascii="楷体" w:hAnsi="楷体" w:eastAsia="楷体"/>
          <w:b/>
          <w:spacing w:val="-4"/>
          <w:sz w:val="32"/>
          <w:szCs w:val="32"/>
        </w:rPr>
        <w:t>（二）存在的问题及原因分析</w:t>
      </w:r>
    </w:p>
    <w:p>
      <w:pPr>
        <w:keepNext w:val="0"/>
        <w:keepLines w:val="0"/>
        <w:pageBreakBefore w:val="0"/>
        <w:kinsoku/>
        <w:wordWrap/>
        <w:overflowPunct/>
        <w:topLinePunct w:val="0"/>
        <w:autoSpaceDE/>
        <w:autoSpaceDN/>
        <w:bidi w:val="0"/>
        <w:adjustRightInd/>
        <w:snapToGrid/>
        <w:spacing w:line="560" w:lineRule="atLeast"/>
        <w:ind w:firstLine="640" w:firstLineChars="200"/>
        <w:rPr>
          <w:rStyle w:val="49"/>
          <w:color w:val="auto"/>
        </w:rPr>
      </w:pPr>
      <w:r>
        <w:rPr>
          <w:rStyle w:val="49"/>
          <w:rFonts w:hint="eastAsia"/>
          <w:color w:val="auto"/>
        </w:rPr>
        <w:t>1、存在的问题：项目管理制度有待进一步健全、细化。前期预算考虑问题不够全面，项目预算及支出管理有待进一步提高。</w:t>
      </w:r>
    </w:p>
    <w:p>
      <w:pPr>
        <w:keepNext w:val="0"/>
        <w:keepLines w:val="0"/>
        <w:pageBreakBefore w:val="0"/>
        <w:kinsoku/>
        <w:wordWrap/>
        <w:overflowPunct/>
        <w:topLinePunct w:val="0"/>
        <w:autoSpaceDE/>
        <w:autoSpaceDN/>
        <w:bidi w:val="0"/>
        <w:adjustRightInd/>
        <w:snapToGrid/>
        <w:spacing w:line="560" w:lineRule="atLeast"/>
        <w:ind w:firstLine="640" w:firstLineChars="200"/>
        <w:rPr>
          <w:rStyle w:val="49"/>
          <w:color w:val="auto"/>
        </w:rPr>
      </w:pPr>
      <w:r>
        <w:rPr>
          <w:rStyle w:val="49"/>
          <w:rFonts w:hint="eastAsia"/>
          <w:color w:val="auto"/>
        </w:rPr>
        <w:t>2、原因分析：在项目绩效设置的过程中欠考虑一些因自然因素导致某一些指标不能按期完成的因素，与设置值有差异。</w:t>
      </w:r>
    </w:p>
    <w:p>
      <w:pPr>
        <w:keepNext w:val="0"/>
        <w:keepLines w:val="0"/>
        <w:pageBreakBefore w:val="0"/>
        <w:kinsoku/>
        <w:wordWrap/>
        <w:overflowPunct/>
        <w:topLinePunct w:val="0"/>
        <w:autoSpaceDE/>
        <w:autoSpaceDN/>
        <w:bidi w:val="0"/>
        <w:adjustRightInd/>
        <w:snapToGrid/>
        <w:spacing w:line="560" w:lineRule="atLeast"/>
        <w:ind w:firstLine="320" w:firstLineChars="100"/>
        <w:rPr>
          <w:rFonts w:ascii="黑体" w:hAnsi="黑体" w:eastAsia="黑体"/>
          <w:sz w:val="32"/>
          <w:szCs w:val="32"/>
        </w:rPr>
      </w:pPr>
      <w:r>
        <w:rPr>
          <w:rFonts w:hint="eastAsia" w:ascii="黑体" w:hAnsi="黑体" w:eastAsia="黑体"/>
          <w:sz w:val="32"/>
          <w:szCs w:val="32"/>
        </w:rPr>
        <w:t>六、有关建议</w:t>
      </w:r>
    </w:p>
    <w:p>
      <w:pPr>
        <w:keepNext w:val="0"/>
        <w:keepLines w:val="0"/>
        <w:pageBreakBefore w:val="0"/>
        <w:kinsoku/>
        <w:wordWrap/>
        <w:overflowPunct/>
        <w:topLinePunct w:val="0"/>
        <w:autoSpaceDE/>
        <w:autoSpaceDN/>
        <w:bidi w:val="0"/>
        <w:adjustRightInd/>
        <w:snapToGrid/>
        <w:spacing w:line="560" w:lineRule="atLeast"/>
        <w:ind w:firstLine="640" w:firstLineChars="200"/>
        <w:rPr>
          <w:rStyle w:val="49"/>
          <w:color w:val="auto"/>
        </w:rPr>
      </w:pPr>
      <w:r>
        <w:rPr>
          <w:rStyle w:val="49"/>
          <w:rFonts w:hint="eastAsia"/>
          <w:color w:val="auto"/>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Style w:val="49"/>
          <w:rFonts w:hint="eastAsia"/>
          <w:color w:val="auto"/>
        </w:rPr>
        <w:t>财政和项目实施单位严格实行“三专”管理，即设专户、建专账、定专人。同时，资金拨付除坚持按项目计划、工程进度和质量分阶段验收拨款外，还坚持部门联审制，项目单位先做事、后报账，从而确保专项资金专款专用，有效地</w:t>
      </w:r>
      <w:r>
        <w:rPr>
          <w:rFonts w:hint="eastAsia" w:ascii="仿宋_GB2312" w:hAnsi="仿宋_GB2312" w:eastAsia="仿宋_GB2312" w:cs="仿宋_GB2312"/>
          <w:sz w:val="32"/>
          <w:szCs w:val="32"/>
        </w:rPr>
        <w:t>防止了截留、挤占和挪用。</w:t>
      </w:r>
    </w:p>
    <w:p>
      <w:pPr>
        <w:keepNext w:val="0"/>
        <w:keepLines w:val="0"/>
        <w:pageBreakBefore w:val="0"/>
        <w:kinsoku/>
        <w:wordWrap/>
        <w:overflowPunct/>
        <w:topLinePunct w:val="0"/>
        <w:autoSpaceDE/>
        <w:autoSpaceDN/>
        <w:bidi w:val="0"/>
        <w:adjustRightInd/>
        <w:snapToGrid/>
        <w:spacing w:line="560" w:lineRule="atLeast"/>
        <w:ind w:firstLine="320" w:firstLineChars="100"/>
        <w:rPr>
          <w:rFonts w:ascii="黑体" w:hAnsi="黑体" w:eastAsia="黑体"/>
          <w:sz w:val="32"/>
          <w:szCs w:val="32"/>
        </w:rPr>
      </w:pPr>
      <w:r>
        <w:rPr>
          <w:rFonts w:hint="eastAsia" w:ascii="黑体" w:hAnsi="黑体" w:eastAsia="黑体"/>
          <w:sz w:val="32"/>
          <w:szCs w:val="32"/>
        </w:rPr>
        <w:t>七、其他需要说</w:t>
      </w:r>
      <w:bookmarkStart w:id="1" w:name="page8"/>
      <w:bookmarkEnd w:id="1"/>
      <w:r>
        <w:rPr>
          <w:rFonts w:hint="eastAsia" w:ascii="黑体" w:hAnsi="黑体" w:eastAsia="黑体"/>
          <w:sz w:val="32"/>
          <w:szCs w:val="32"/>
        </w:rPr>
        <w:t>明的问题</w:t>
      </w:r>
    </w:p>
    <w:p>
      <w:pPr>
        <w:keepNext w:val="0"/>
        <w:keepLines w:val="0"/>
        <w:pageBreakBefore w:val="0"/>
        <w:kinsoku/>
        <w:wordWrap/>
        <w:overflowPunct/>
        <w:topLinePunct w:val="0"/>
        <w:autoSpaceDE/>
        <w:autoSpaceDN/>
        <w:bidi w:val="0"/>
        <w:adjustRightInd/>
        <w:snapToGrid/>
        <w:spacing w:line="560" w:lineRule="atLeast"/>
        <w:ind w:firstLine="640" w:firstLineChars="200"/>
        <w:rPr>
          <w:rStyle w:val="49"/>
          <w:color w:val="auto"/>
        </w:rPr>
      </w:pPr>
      <w:r>
        <w:rPr>
          <w:rStyle w:val="49"/>
          <w:rFonts w:hint="eastAsia"/>
          <w:color w:val="auto"/>
        </w:rPr>
        <w:t>无。</w:t>
      </w:r>
    </w:p>
    <w:p>
      <w:pPr>
        <w:pStyle w:val="2"/>
        <w:rPr>
          <w:rFonts w:ascii="黑体" w:hAnsi="黑体" w:eastAsia="黑体"/>
        </w:rPr>
      </w:pPr>
    </w:p>
    <w:p>
      <w:pPr>
        <w:rPr>
          <w:rFonts w:ascii="黑体" w:hAnsi="黑体" w:eastAsia="黑体"/>
          <w:sz w:val="32"/>
          <w:szCs w:val="32"/>
        </w:rPr>
      </w:pPr>
    </w:p>
    <w:p>
      <w:pPr>
        <w:widowControl/>
        <w:jc w:val="center"/>
        <w:textAlignment w:val="center"/>
        <w:rPr>
          <w:rFonts w:ascii="宋体" w:hAnsi="宋体" w:cs="宋体"/>
          <w:b/>
          <w:color w:val="000000"/>
          <w:kern w:val="0"/>
          <w:sz w:val="32"/>
          <w:szCs w:val="32"/>
          <w:lang w:bidi="ar"/>
        </w:rPr>
      </w:pPr>
      <w:r>
        <w:rPr>
          <w:rFonts w:hint="eastAsia" w:ascii="宋体" w:hAnsi="宋体" w:cs="宋体"/>
          <w:b/>
          <w:color w:val="000000"/>
          <w:kern w:val="0"/>
          <w:sz w:val="32"/>
          <w:szCs w:val="32"/>
          <w:lang w:bidi="ar"/>
        </w:rPr>
        <w:br w:type="page"/>
      </w:r>
    </w:p>
    <w:tbl>
      <w:tblPr>
        <w:tblStyle w:val="18"/>
        <w:tblW w:w="8820" w:type="dxa"/>
        <w:tblInd w:w="0" w:type="dxa"/>
        <w:tblLayout w:type="fixed"/>
        <w:tblCellMar>
          <w:top w:w="0" w:type="dxa"/>
          <w:left w:w="0" w:type="dxa"/>
          <w:bottom w:w="0" w:type="dxa"/>
          <w:right w:w="0" w:type="dxa"/>
        </w:tblCellMar>
      </w:tblPr>
      <w:tblGrid>
        <w:gridCol w:w="678"/>
        <w:gridCol w:w="678"/>
        <w:gridCol w:w="678"/>
        <w:gridCol w:w="678"/>
        <w:gridCol w:w="678"/>
        <w:gridCol w:w="678"/>
        <w:gridCol w:w="1083"/>
        <w:gridCol w:w="1680"/>
        <w:gridCol w:w="389"/>
        <w:gridCol w:w="1600"/>
      </w:tblGrid>
      <w:tr>
        <w:tblPrEx>
          <w:tblCellMar>
            <w:top w:w="0" w:type="dxa"/>
            <w:left w:w="0" w:type="dxa"/>
            <w:bottom w:w="0" w:type="dxa"/>
            <w:right w:w="0" w:type="dxa"/>
          </w:tblCellMar>
        </w:tblPrEx>
        <w:trPr>
          <w:trHeight w:val="696" w:hRule="atLeast"/>
        </w:trPr>
        <w:tc>
          <w:tcPr>
            <w:tcW w:w="882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b/>
                <w:color w:val="000000"/>
                <w:sz w:val="32"/>
                <w:szCs w:val="32"/>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tblCellMar>
            <w:top w:w="0" w:type="dxa"/>
            <w:left w:w="0" w:type="dxa"/>
            <w:bottom w:w="0" w:type="dxa"/>
            <w:right w:w="0" w:type="dxa"/>
          </w:tblCellMar>
        </w:tblPrEx>
        <w:trPr>
          <w:trHeight w:val="696" w:hRule="atLeast"/>
        </w:trPr>
        <w:tc>
          <w:tcPr>
            <w:tcW w:w="882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32"/>
                <w:szCs w:val="3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0" w:type="dxa"/>
            <w:bottom w:w="0" w:type="dxa"/>
            <w:right w:w="0" w:type="dxa"/>
          </w:tblCellMar>
        </w:tblPrEx>
        <w:trPr>
          <w:trHeight w:val="419" w:hRule="atLeast"/>
        </w:trPr>
        <w:tc>
          <w:tcPr>
            <w:tcW w:w="8820" w:type="dxa"/>
            <w:gridSpan w:val="10"/>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19" w:hRule="atLeast"/>
        </w:trPr>
        <w:tc>
          <w:tcPr>
            <w:tcW w:w="1356"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464" w:type="dxa"/>
            <w:gridSpan w:val="8"/>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数字化建设、图书采购</w:t>
            </w:r>
          </w:p>
        </w:tc>
      </w:tr>
      <w:tr>
        <w:tblPrEx>
          <w:tblCellMar>
            <w:top w:w="0" w:type="dxa"/>
            <w:left w:w="0" w:type="dxa"/>
            <w:bottom w:w="0" w:type="dxa"/>
            <w:right w:w="0" w:type="dxa"/>
          </w:tblCellMar>
        </w:tblPrEx>
        <w:trPr>
          <w:trHeight w:val="454" w:hRule="atLeast"/>
        </w:trPr>
        <w:tc>
          <w:tcPr>
            <w:tcW w:w="1356" w:type="dxa"/>
            <w:gridSpan w:val="2"/>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3795" w:type="dxa"/>
            <w:gridSpan w:val="5"/>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pPr>
          </w:p>
        </w:tc>
        <w:tc>
          <w:tcPr>
            <w:tcW w:w="16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实施单位</w:t>
            </w:r>
          </w:p>
        </w:tc>
        <w:tc>
          <w:tcPr>
            <w:tcW w:w="1989"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塔城地区图书馆</w:t>
            </w:r>
          </w:p>
        </w:tc>
      </w:tr>
      <w:tr>
        <w:tblPrEx>
          <w:tblCellMar>
            <w:top w:w="0" w:type="dxa"/>
            <w:left w:w="0" w:type="dxa"/>
            <w:bottom w:w="0" w:type="dxa"/>
            <w:right w:w="0" w:type="dxa"/>
          </w:tblCellMar>
        </w:tblPrEx>
        <w:trPr>
          <w:trHeight w:val="522" w:hRule="atLeast"/>
        </w:trPr>
        <w:tc>
          <w:tcPr>
            <w:tcW w:w="1356" w:type="dxa"/>
            <w:gridSpan w:val="2"/>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678" w:type="dxa"/>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bottom"/>
          </w:tcPr>
          <w:p>
            <w:pPr>
              <w:rPr>
                <w:rFonts w:ascii="宋体" w:hAnsi="宋体" w:cs="宋体"/>
                <w:color w:val="000000"/>
                <w:sz w:val="18"/>
                <w:szCs w:val="18"/>
              </w:rPr>
            </w:pPr>
          </w:p>
        </w:tc>
        <w:tc>
          <w:tcPr>
            <w:tcW w:w="678"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bottom"/>
          </w:tcPr>
          <w:p>
            <w:pPr>
              <w:rPr>
                <w:rFonts w:ascii="宋体" w:hAnsi="宋体" w:cs="宋体"/>
                <w:color w:val="000000"/>
                <w:sz w:val="18"/>
                <w:szCs w:val="18"/>
              </w:rPr>
            </w:pP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76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全年预算数</w:t>
            </w:r>
          </w:p>
        </w:tc>
        <w:tc>
          <w:tcPr>
            <w:tcW w:w="16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1989"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0" w:type="dxa"/>
            <w:bottom w:w="0" w:type="dxa"/>
            <w:right w:w="0" w:type="dxa"/>
          </w:tblCellMar>
        </w:tblPrEx>
        <w:trPr>
          <w:trHeight w:val="707" w:hRule="atLeast"/>
        </w:trPr>
        <w:tc>
          <w:tcPr>
            <w:tcW w:w="1356" w:type="dxa"/>
            <w:gridSpan w:val="2"/>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22"/>
                <w:szCs w:val="22"/>
              </w:rPr>
            </w:pPr>
            <w:r>
              <w:rPr>
                <w:rFonts w:hint="eastAsia" w:ascii="宋体" w:hAnsi="宋体" w:eastAsia="宋体" w:cs="宋体"/>
                <w:i w:val="0"/>
                <w:color w:val="000000"/>
                <w:kern w:val="0"/>
                <w:sz w:val="18"/>
                <w:szCs w:val="18"/>
                <w:u w:val="none"/>
                <w:lang w:val="en-US" w:eastAsia="zh-CN" w:bidi="ar"/>
              </w:rPr>
              <w:t>（万元）</w:t>
            </w:r>
          </w:p>
        </w:tc>
        <w:tc>
          <w:tcPr>
            <w:tcW w:w="135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76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w:t>
            </w:r>
          </w:p>
        </w:tc>
        <w:tc>
          <w:tcPr>
            <w:tcW w:w="16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989"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0" w:type="dxa"/>
            <w:bottom w:w="0" w:type="dxa"/>
            <w:right w:w="0" w:type="dxa"/>
          </w:tblCellMar>
        </w:tblPrEx>
        <w:trPr>
          <w:trHeight w:val="707" w:hRule="atLeast"/>
        </w:trPr>
        <w:tc>
          <w:tcPr>
            <w:tcW w:w="1356" w:type="dxa"/>
            <w:gridSpan w:val="2"/>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c>
          <w:tcPr>
            <w:tcW w:w="135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76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100.00</w:t>
            </w:r>
          </w:p>
        </w:tc>
        <w:tc>
          <w:tcPr>
            <w:tcW w:w="16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100.00</w:t>
            </w:r>
          </w:p>
        </w:tc>
        <w:tc>
          <w:tcPr>
            <w:tcW w:w="1989"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452" w:hRule="atLeast"/>
        </w:trPr>
        <w:tc>
          <w:tcPr>
            <w:tcW w:w="1356" w:type="dxa"/>
            <w:gridSpan w:val="2"/>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c>
          <w:tcPr>
            <w:tcW w:w="135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6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989"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499" w:hRule="atLeast"/>
        </w:trPr>
        <w:tc>
          <w:tcPr>
            <w:tcW w:w="1356"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76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989"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2066" w:hRule="atLeast"/>
        </w:trPr>
        <w:tc>
          <w:tcPr>
            <w:tcW w:w="678" w:type="dxa"/>
            <w:vMerge w:val="restar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4473" w:type="dxa"/>
            <w:gridSpan w:val="6"/>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预期目标</w:t>
            </w:r>
          </w:p>
        </w:tc>
        <w:tc>
          <w:tcPr>
            <w:tcW w:w="366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0" w:type="dxa"/>
            <w:bottom w:w="0" w:type="dxa"/>
            <w:right w:w="0" w:type="dxa"/>
          </w:tblCellMar>
        </w:tblPrEx>
        <w:trPr>
          <w:trHeight w:val="476" w:hRule="atLeast"/>
        </w:trPr>
        <w:tc>
          <w:tcPr>
            <w:tcW w:w="678" w:type="dxa"/>
            <w:vMerge w:val="continue"/>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73" w:type="dxa"/>
            <w:gridSpan w:val="6"/>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截止2020年12月30日塔城地区图书馆将完成100万元的采购任务。其中：70万元的信息构建费（包括20万元数字资源建设、3.46万元微信服务大厅建设，自助还书箱）等；30万元的专项材料款（其中10万元用于图书资源建设（电子图书）。</w:t>
            </w:r>
          </w:p>
        </w:tc>
        <w:tc>
          <w:tcPr>
            <w:tcW w:w="366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截止2020年12月30日塔城地区图书馆将完成100万元的采购任务。其中：70万元的信息构建费（包括20万元数字资源建设、3.46万元微信服务大厅建设，自助还书箱）等；30万元的专项材料款（其中10万元用于图书资源建设（电子图书）。</w:t>
            </w:r>
          </w:p>
        </w:tc>
      </w:tr>
      <w:tr>
        <w:tblPrEx>
          <w:tblCellMar>
            <w:top w:w="0" w:type="dxa"/>
            <w:left w:w="0" w:type="dxa"/>
            <w:bottom w:w="0" w:type="dxa"/>
            <w:right w:w="0" w:type="dxa"/>
          </w:tblCellMar>
        </w:tblPrEx>
        <w:trPr>
          <w:trHeight w:val="664" w:hRule="atLeast"/>
        </w:trPr>
        <w:tc>
          <w:tcPr>
            <w:tcW w:w="678" w:type="dxa"/>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678" w:type="dxa"/>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二级指标</w:t>
            </w:r>
          </w:p>
        </w:tc>
        <w:tc>
          <w:tcPr>
            <w:tcW w:w="2034" w:type="dxa"/>
            <w:gridSpan w:val="3"/>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08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206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160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0" w:type="dxa"/>
            <w:bottom w:w="0" w:type="dxa"/>
            <w:right w:w="0" w:type="dxa"/>
          </w:tblCellMar>
        </w:tblPrEx>
        <w:trPr>
          <w:trHeight w:val="664" w:hRule="atLeast"/>
        </w:trPr>
        <w:tc>
          <w:tcPr>
            <w:tcW w:w="678" w:type="dxa"/>
            <w:vMerge w:val="restart"/>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年度绩效指标完成情况</w:t>
            </w:r>
          </w:p>
        </w:tc>
        <w:tc>
          <w:tcPr>
            <w:tcW w:w="678" w:type="dxa"/>
            <w:vMerge w:val="restart"/>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产出指标</w:t>
            </w:r>
          </w:p>
        </w:tc>
        <w:tc>
          <w:tcPr>
            <w:tcW w:w="678" w:type="dxa"/>
            <w:vMerge w:val="restart"/>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数量指标</w:t>
            </w:r>
          </w:p>
        </w:tc>
        <w:tc>
          <w:tcPr>
            <w:tcW w:w="2034" w:type="dxa"/>
            <w:gridSpan w:val="3"/>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联想电脑</w:t>
            </w:r>
          </w:p>
        </w:tc>
        <w:tc>
          <w:tcPr>
            <w:tcW w:w="108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≤10台</w:t>
            </w:r>
          </w:p>
        </w:tc>
        <w:tc>
          <w:tcPr>
            <w:tcW w:w="206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10台</w:t>
            </w:r>
          </w:p>
        </w:tc>
        <w:tc>
          <w:tcPr>
            <w:tcW w:w="160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664"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kern w:val="0"/>
                <w:sz w:val="18"/>
                <w:szCs w:val="18"/>
                <w:lang w:bidi="ar"/>
              </w:rPr>
            </w:pPr>
          </w:p>
        </w:tc>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kern w:val="0"/>
                <w:sz w:val="18"/>
                <w:szCs w:val="18"/>
                <w:lang w:bidi="ar"/>
              </w:rPr>
            </w:pPr>
          </w:p>
        </w:tc>
        <w:tc>
          <w:tcPr>
            <w:tcW w:w="67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kern w:val="0"/>
                <w:sz w:val="18"/>
                <w:szCs w:val="18"/>
                <w:lang w:bidi="ar"/>
              </w:rPr>
            </w:pPr>
          </w:p>
        </w:tc>
        <w:tc>
          <w:tcPr>
            <w:tcW w:w="2034" w:type="dxa"/>
            <w:gridSpan w:val="3"/>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朗读亭</w:t>
            </w:r>
          </w:p>
        </w:tc>
        <w:tc>
          <w:tcPr>
            <w:tcW w:w="108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206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160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43"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34" w:type="dxa"/>
            <w:gridSpan w:val="3"/>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数字资源库</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≤20tb</w:t>
            </w:r>
          </w:p>
        </w:tc>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20tb</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17"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kern w:val="0"/>
                <w:sz w:val="18"/>
                <w:szCs w:val="18"/>
                <w:lang w:bidi="ar"/>
              </w:rPr>
            </w:pPr>
          </w:p>
        </w:tc>
        <w:tc>
          <w:tcPr>
            <w:tcW w:w="2034" w:type="dxa"/>
            <w:gridSpan w:val="3"/>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图书杀菌机</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=1台</w:t>
            </w:r>
          </w:p>
        </w:tc>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1台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kern w:val="0"/>
                <w:sz w:val="18"/>
                <w:szCs w:val="18"/>
                <w:lang w:bidi="ar"/>
              </w:rPr>
            </w:pPr>
          </w:p>
        </w:tc>
      </w:tr>
      <w:tr>
        <w:tblPrEx>
          <w:tblCellMar>
            <w:top w:w="0" w:type="dxa"/>
            <w:left w:w="0" w:type="dxa"/>
            <w:bottom w:w="0" w:type="dxa"/>
            <w:right w:w="0" w:type="dxa"/>
          </w:tblCellMar>
        </w:tblPrEx>
        <w:trPr>
          <w:trHeight w:val="367"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数字阅览资源机</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=2台</w:t>
            </w:r>
          </w:p>
        </w:tc>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2台</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707"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34" w:type="dxa"/>
            <w:gridSpan w:val="3"/>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图书扫描枪</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≤10把</w:t>
            </w:r>
          </w:p>
        </w:tc>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10把</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367"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restart"/>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质量指标</w:t>
            </w:r>
          </w:p>
        </w:tc>
        <w:tc>
          <w:tcPr>
            <w:tcW w:w="2034" w:type="dxa"/>
            <w:gridSpan w:val="3"/>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购置产品验收合格率</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=100%</w:t>
            </w:r>
          </w:p>
        </w:tc>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100%</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kern w:val="0"/>
                <w:sz w:val="18"/>
                <w:szCs w:val="18"/>
                <w:lang w:bidi="ar"/>
              </w:rPr>
            </w:pPr>
          </w:p>
        </w:tc>
      </w:tr>
      <w:tr>
        <w:tblPrEx>
          <w:tblCellMar>
            <w:top w:w="0" w:type="dxa"/>
            <w:left w:w="0" w:type="dxa"/>
            <w:bottom w:w="0" w:type="dxa"/>
            <w:right w:w="0" w:type="dxa"/>
          </w:tblCellMar>
        </w:tblPrEx>
        <w:trPr>
          <w:trHeight w:val="367"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top w:val="single" w:color="000000" w:sz="4" w:space="0"/>
              <w:left w:val="single" w:color="auto"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34" w:type="dxa"/>
            <w:gridSpan w:val="3"/>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各项采购合格率</w:t>
            </w:r>
          </w:p>
        </w:tc>
        <w:tc>
          <w:tcPr>
            <w:tcW w:w="108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20"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时效指标</w:t>
            </w:r>
          </w:p>
        </w:tc>
        <w:tc>
          <w:tcPr>
            <w:tcW w:w="2034"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项目执行期限 </w:t>
            </w:r>
          </w:p>
        </w:tc>
        <w:tc>
          <w:tcPr>
            <w:tcW w:w="1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≤1年</w:t>
            </w:r>
          </w:p>
        </w:tc>
        <w:tc>
          <w:tcPr>
            <w:tcW w:w="2069" w:type="dxa"/>
            <w:gridSpan w:val="2"/>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1年</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kern w:val="0"/>
                <w:sz w:val="18"/>
                <w:szCs w:val="18"/>
                <w:lang w:bidi="ar"/>
              </w:rPr>
            </w:pPr>
          </w:p>
        </w:tc>
      </w:tr>
      <w:tr>
        <w:tblPrEx>
          <w:tblCellMar>
            <w:top w:w="0" w:type="dxa"/>
            <w:left w:w="0" w:type="dxa"/>
            <w:bottom w:w="0" w:type="dxa"/>
            <w:right w:w="0" w:type="dxa"/>
          </w:tblCellMar>
        </w:tblPrEx>
        <w:trPr>
          <w:trHeight w:val="779"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成本指标</w:t>
            </w:r>
          </w:p>
        </w:tc>
        <w:tc>
          <w:tcPr>
            <w:tcW w:w="2034"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信息网络构建费</w:t>
            </w:r>
          </w:p>
        </w:tc>
        <w:tc>
          <w:tcPr>
            <w:tcW w:w="1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≤70万元</w:t>
            </w:r>
          </w:p>
        </w:tc>
        <w:tc>
          <w:tcPr>
            <w:tcW w:w="2069" w:type="dxa"/>
            <w:gridSpan w:val="2"/>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70万元</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800"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34"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图书采购</w:t>
            </w:r>
          </w:p>
        </w:tc>
        <w:tc>
          <w:tcPr>
            <w:tcW w:w="1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≤30万元</w:t>
            </w:r>
          </w:p>
        </w:tc>
        <w:tc>
          <w:tcPr>
            <w:tcW w:w="2069" w:type="dxa"/>
            <w:gridSpan w:val="2"/>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30万元</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800" w:hRule="atLeast"/>
        </w:trPr>
        <w:tc>
          <w:tcPr>
            <w:tcW w:w="67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社会效益指标</w:t>
            </w:r>
          </w:p>
        </w:tc>
        <w:tc>
          <w:tcPr>
            <w:tcW w:w="2034"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公共服务水平得到提升</w:t>
            </w:r>
          </w:p>
        </w:tc>
        <w:tc>
          <w:tcPr>
            <w:tcW w:w="1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有所提升</w:t>
            </w:r>
          </w:p>
        </w:tc>
        <w:tc>
          <w:tcPr>
            <w:tcW w:w="2069" w:type="dxa"/>
            <w:gridSpan w:val="2"/>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有所提升</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800" w:hRule="atLeast"/>
        </w:trPr>
        <w:tc>
          <w:tcPr>
            <w:tcW w:w="678"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6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服务对象满意度指标</w:t>
            </w:r>
          </w:p>
        </w:tc>
        <w:tc>
          <w:tcPr>
            <w:tcW w:w="2034"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读者满意度</w:t>
            </w:r>
          </w:p>
        </w:tc>
        <w:tc>
          <w:tcPr>
            <w:tcW w:w="1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≥90%</w:t>
            </w:r>
          </w:p>
        </w:tc>
        <w:tc>
          <w:tcPr>
            <w:tcW w:w="2069" w:type="dxa"/>
            <w:gridSpan w:val="2"/>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黑体" w:hAnsi="黑体" w:eastAsia="黑体"/>
          <w:sz w:val="32"/>
          <w:szCs w:val="32"/>
        </w:rPr>
      </w:pPr>
    </w:p>
    <w:p>
      <w:pPr>
        <w:pStyle w:val="2"/>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附件1</w:t>
      </w:r>
    </w:p>
    <w:tbl>
      <w:tblPr>
        <w:tblStyle w:val="18"/>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67"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873"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353"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5188"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1300"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363"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1363"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1363"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235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20</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2353"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5188"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30</w:t>
            </w:r>
          </w:p>
        </w:tc>
        <w:tc>
          <w:tcPr>
            <w:tcW w:w="1363"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21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235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9</w:t>
            </w:r>
          </w:p>
        </w:tc>
      </w:tr>
    </w:tbl>
    <w:p>
      <w:pPr>
        <w:pStyle w:val="2"/>
      </w:pPr>
    </w:p>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rPr>
          <w:rStyle w:val="20"/>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9</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1F041C"/>
    <w:rsid w:val="003C18BC"/>
    <w:rsid w:val="004366A8"/>
    <w:rsid w:val="00464900"/>
    <w:rsid w:val="00502BA7"/>
    <w:rsid w:val="005162F1"/>
    <w:rsid w:val="00535153"/>
    <w:rsid w:val="00554F82"/>
    <w:rsid w:val="0056390D"/>
    <w:rsid w:val="005719B0"/>
    <w:rsid w:val="005D10D6"/>
    <w:rsid w:val="007806A5"/>
    <w:rsid w:val="00786710"/>
    <w:rsid w:val="00855E3A"/>
    <w:rsid w:val="00922CB9"/>
    <w:rsid w:val="009E5CD9"/>
    <w:rsid w:val="00A26421"/>
    <w:rsid w:val="00A4293B"/>
    <w:rsid w:val="00A67D50"/>
    <w:rsid w:val="00A8691A"/>
    <w:rsid w:val="00AC1946"/>
    <w:rsid w:val="00B40063"/>
    <w:rsid w:val="00B41F61"/>
    <w:rsid w:val="00BA46E6"/>
    <w:rsid w:val="00BF1DDC"/>
    <w:rsid w:val="00C56C72"/>
    <w:rsid w:val="00CA6457"/>
    <w:rsid w:val="00D17F2E"/>
    <w:rsid w:val="00D30354"/>
    <w:rsid w:val="00DF42A0"/>
    <w:rsid w:val="00DF7C45"/>
    <w:rsid w:val="00E31565"/>
    <w:rsid w:val="00E46C51"/>
    <w:rsid w:val="00E769FE"/>
    <w:rsid w:val="00EA2CBE"/>
    <w:rsid w:val="00F32FEE"/>
    <w:rsid w:val="00F71278"/>
    <w:rsid w:val="00FB10BB"/>
    <w:rsid w:val="013365C8"/>
    <w:rsid w:val="025E4B05"/>
    <w:rsid w:val="02801455"/>
    <w:rsid w:val="04477554"/>
    <w:rsid w:val="05031F42"/>
    <w:rsid w:val="051A56F5"/>
    <w:rsid w:val="057E0253"/>
    <w:rsid w:val="061E27D0"/>
    <w:rsid w:val="066D6EAA"/>
    <w:rsid w:val="08C662D4"/>
    <w:rsid w:val="09BD4D95"/>
    <w:rsid w:val="0C882C8F"/>
    <w:rsid w:val="0D3A187C"/>
    <w:rsid w:val="0DE43618"/>
    <w:rsid w:val="0F8D41CB"/>
    <w:rsid w:val="0FC42E37"/>
    <w:rsid w:val="107B490D"/>
    <w:rsid w:val="118E6BD6"/>
    <w:rsid w:val="11C75270"/>
    <w:rsid w:val="11EC7771"/>
    <w:rsid w:val="12637CC3"/>
    <w:rsid w:val="12E657C5"/>
    <w:rsid w:val="13CF3033"/>
    <w:rsid w:val="157F501F"/>
    <w:rsid w:val="15FB0AF3"/>
    <w:rsid w:val="15FE6D35"/>
    <w:rsid w:val="167C7687"/>
    <w:rsid w:val="168B3546"/>
    <w:rsid w:val="18B703EA"/>
    <w:rsid w:val="194737BA"/>
    <w:rsid w:val="1A2374E0"/>
    <w:rsid w:val="1C317CE2"/>
    <w:rsid w:val="1CE34604"/>
    <w:rsid w:val="1DD45808"/>
    <w:rsid w:val="1DDE08C7"/>
    <w:rsid w:val="1DED42AC"/>
    <w:rsid w:val="20005763"/>
    <w:rsid w:val="20FB313D"/>
    <w:rsid w:val="212A005A"/>
    <w:rsid w:val="220B4804"/>
    <w:rsid w:val="22C4715A"/>
    <w:rsid w:val="243421BC"/>
    <w:rsid w:val="24F55312"/>
    <w:rsid w:val="26143699"/>
    <w:rsid w:val="265B37A8"/>
    <w:rsid w:val="282475E3"/>
    <w:rsid w:val="283C3C89"/>
    <w:rsid w:val="2A97029C"/>
    <w:rsid w:val="2C6100C1"/>
    <w:rsid w:val="2CBE1AA8"/>
    <w:rsid w:val="2DFC7805"/>
    <w:rsid w:val="2E616EA5"/>
    <w:rsid w:val="2EF01775"/>
    <w:rsid w:val="311944DF"/>
    <w:rsid w:val="3264220D"/>
    <w:rsid w:val="3642584F"/>
    <w:rsid w:val="38A82559"/>
    <w:rsid w:val="38BD4CD3"/>
    <w:rsid w:val="3963178C"/>
    <w:rsid w:val="3A615BAF"/>
    <w:rsid w:val="3AA434D8"/>
    <w:rsid w:val="3C0C4460"/>
    <w:rsid w:val="3C315F61"/>
    <w:rsid w:val="3D1327E4"/>
    <w:rsid w:val="3F2B2578"/>
    <w:rsid w:val="412F57DA"/>
    <w:rsid w:val="41CC2676"/>
    <w:rsid w:val="44834BC1"/>
    <w:rsid w:val="46B21672"/>
    <w:rsid w:val="46FA3E34"/>
    <w:rsid w:val="48FB6220"/>
    <w:rsid w:val="4C06218D"/>
    <w:rsid w:val="4CA36659"/>
    <w:rsid w:val="4F552460"/>
    <w:rsid w:val="4FCC6863"/>
    <w:rsid w:val="500A214A"/>
    <w:rsid w:val="51784C0D"/>
    <w:rsid w:val="522D604D"/>
    <w:rsid w:val="523E22BE"/>
    <w:rsid w:val="5297585E"/>
    <w:rsid w:val="52AD7D6F"/>
    <w:rsid w:val="5549519D"/>
    <w:rsid w:val="5557596B"/>
    <w:rsid w:val="563C7FF3"/>
    <w:rsid w:val="572A4C80"/>
    <w:rsid w:val="58075CC5"/>
    <w:rsid w:val="592B5B35"/>
    <w:rsid w:val="5A0C1994"/>
    <w:rsid w:val="5A3C5B3A"/>
    <w:rsid w:val="5A4057AB"/>
    <w:rsid w:val="5B596DFC"/>
    <w:rsid w:val="5DF03945"/>
    <w:rsid w:val="5E4A41B4"/>
    <w:rsid w:val="5FA15BA2"/>
    <w:rsid w:val="637C2815"/>
    <w:rsid w:val="646820E3"/>
    <w:rsid w:val="652570D1"/>
    <w:rsid w:val="6560284E"/>
    <w:rsid w:val="667264CC"/>
    <w:rsid w:val="67612E40"/>
    <w:rsid w:val="677172D3"/>
    <w:rsid w:val="681737AC"/>
    <w:rsid w:val="690A0199"/>
    <w:rsid w:val="6B4F224E"/>
    <w:rsid w:val="6BB34F8F"/>
    <w:rsid w:val="6C1D285F"/>
    <w:rsid w:val="6C5138D6"/>
    <w:rsid w:val="700D74F2"/>
    <w:rsid w:val="73044393"/>
    <w:rsid w:val="737626FD"/>
    <w:rsid w:val="76AB3897"/>
    <w:rsid w:val="77781B67"/>
    <w:rsid w:val="77F35779"/>
    <w:rsid w:val="79AD287A"/>
    <w:rsid w:val="7A171295"/>
    <w:rsid w:val="7A353D0B"/>
    <w:rsid w:val="7AE6388E"/>
    <w:rsid w:val="7D3A5E2F"/>
    <w:rsid w:val="7D875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4"/>
    <w:semiHidden/>
    <w:qFormat/>
    <w:uiPriority w:val="9"/>
    <w:rPr>
      <w:rFonts w:asciiTheme="majorHAnsi" w:hAnsiTheme="majorHAnsi" w:eastAsiaTheme="majorEastAsia"/>
      <w:b/>
      <w:bCs/>
      <w:i/>
      <w:iCs/>
      <w:sz w:val="28"/>
      <w:szCs w:val="28"/>
    </w:rPr>
  </w:style>
  <w:style w:type="character" w:customStyle="1" w:styleId="24">
    <w:name w:val="标题 3 字符"/>
    <w:basedOn w:val="19"/>
    <w:link w:val="5"/>
    <w:semiHidden/>
    <w:qFormat/>
    <w:uiPriority w:val="9"/>
    <w:rPr>
      <w:rFonts w:asciiTheme="majorHAnsi" w:hAnsiTheme="majorHAnsi" w:eastAsiaTheme="majorEastAsia"/>
      <w:b/>
      <w:bCs/>
      <w:sz w:val="26"/>
      <w:szCs w:val="26"/>
    </w:rPr>
  </w:style>
  <w:style w:type="character" w:customStyle="1" w:styleId="25">
    <w:name w:val="标题 4 字符"/>
    <w:basedOn w:val="19"/>
    <w:link w:val="6"/>
    <w:semiHidden/>
    <w:qFormat/>
    <w:uiPriority w:val="9"/>
    <w:rPr>
      <w:b/>
      <w:bCs/>
      <w:sz w:val="28"/>
      <w:szCs w:val="28"/>
    </w:rPr>
  </w:style>
  <w:style w:type="character" w:customStyle="1" w:styleId="26">
    <w:name w:val="标题 5 字符"/>
    <w:basedOn w:val="19"/>
    <w:link w:val="7"/>
    <w:semiHidden/>
    <w:qFormat/>
    <w:uiPriority w:val="9"/>
    <w:rPr>
      <w:b/>
      <w:bCs/>
      <w:i/>
      <w:iCs/>
      <w:sz w:val="26"/>
      <w:szCs w:val="26"/>
    </w:rPr>
  </w:style>
  <w:style w:type="character" w:customStyle="1" w:styleId="27">
    <w:name w:val="标题 6 字符"/>
    <w:basedOn w:val="19"/>
    <w:link w:val="8"/>
    <w:semiHidden/>
    <w:qFormat/>
    <w:uiPriority w:val="9"/>
    <w:rPr>
      <w:b/>
      <w:bCs/>
    </w:rPr>
  </w:style>
  <w:style w:type="character" w:customStyle="1" w:styleId="28">
    <w:name w:val="标题 7 字符"/>
    <w:basedOn w:val="19"/>
    <w:link w:val="9"/>
    <w:semiHidden/>
    <w:qFormat/>
    <w:uiPriority w:val="9"/>
    <w:rPr>
      <w:sz w:val="24"/>
      <w:szCs w:val="24"/>
    </w:rPr>
  </w:style>
  <w:style w:type="character" w:customStyle="1" w:styleId="29">
    <w:name w:val="标题 8 字符"/>
    <w:basedOn w:val="19"/>
    <w:link w:val="10"/>
    <w:semiHidden/>
    <w:qFormat/>
    <w:uiPriority w:val="9"/>
    <w:rPr>
      <w:i/>
      <w:iCs/>
      <w:sz w:val="24"/>
      <w:szCs w:val="24"/>
    </w:rPr>
  </w:style>
  <w:style w:type="character" w:customStyle="1" w:styleId="30">
    <w:name w:val="标题 9 字符"/>
    <w:basedOn w:val="19"/>
    <w:link w:val="11"/>
    <w:semiHidden/>
    <w:qFormat/>
    <w:uiPriority w:val="9"/>
    <w:rPr>
      <w:rFonts w:asciiTheme="majorHAnsi" w:hAnsiTheme="majorHAnsi" w:eastAsiaTheme="majorEastAsia"/>
    </w:rPr>
  </w:style>
  <w:style w:type="character" w:customStyle="1" w:styleId="31">
    <w:name w:val="标题 字符"/>
    <w:basedOn w:val="19"/>
    <w:link w:val="2"/>
    <w:qFormat/>
    <w:uiPriority w:val="10"/>
    <w:rPr>
      <w:rFonts w:asciiTheme="majorHAnsi" w:hAnsiTheme="majorHAnsi" w:eastAsiaTheme="majorEastAsia"/>
      <w:b/>
      <w:bCs/>
      <w:kern w:val="28"/>
      <w:sz w:val="32"/>
      <w:szCs w:val="32"/>
    </w:rPr>
  </w:style>
  <w:style w:type="character" w:customStyle="1" w:styleId="32">
    <w:name w:val="副标题 字符"/>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5"/>
    <w:qFormat/>
    <w:uiPriority w:val="99"/>
    <w:rPr>
      <w:rFonts w:ascii="Calibri" w:hAnsi="Calibri" w:eastAsia="宋体"/>
      <w:kern w:val="2"/>
      <w:sz w:val="18"/>
      <w:szCs w:val="18"/>
    </w:rPr>
  </w:style>
  <w:style w:type="character" w:customStyle="1" w:styleId="46">
    <w:name w:val="页脚 字符"/>
    <w:basedOn w:val="19"/>
    <w:link w:val="14"/>
    <w:qFormat/>
    <w:uiPriority w:val="99"/>
    <w:rPr>
      <w:rFonts w:ascii="Calibri" w:hAnsi="Calibri" w:eastAsia="宋体"/>
      <w:kern w:val="2"/>
      <w:sz w:val="18"/>
      <w:szCs w:val="18"/>
    </w:rPr>
  </w:style>
  <w:style w:type="character" w:customStyle="1" w:styleId="47">
    <w:name w:val="批注框文本 字符"/>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 w:type="paragraph" w:customStyle="1" w:styleId="50">
    <w:name w:val="闻政-正文段落文字"/>
    <w:basedOn w:val="1"/>
    <w:qFormat/>
    <w:uiPriority w:val="3"/>
    <w:pPr>
      <w:spacing w:line="500" w:lineRule="exact"/>
      <w:ind w:firstLine="200"/>
    </w:pPr>
    <w:rPr>
      <w:kern w:val="0"/>
      <w:szCs w:val="28"/>
    </w:rPr>
  </w:style>
  <w:style w:type="character" w:customStyle="1" w:styleId="51">
    <w:name w:val="font31"/>
    <w:basedOn w:val="19"/>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4256</Words>
  <Characters>4487</Characters>
  <Lines>69</Lines>
  <Paragraphs>19</Paragraphs>
  <TotalTime>21</TotalTime>
  <ScaleCrop>false</ScaleCrop>
  <LinksUpToDate>false</LinksUpToDate>
  <CharactersWithSpaces>4509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2021-04-14T03:37:00Z</cp:lastPrinted>
  <dcterms:modified xsi:type="dcterms:W3CDTF">2025-09-04T13:08:38Z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CB442A529B86425F926798D9A2EBE024</vt:lpwstr>
  </property>
  <property fmtid="{D5CDD505-2E9C-101B-9397-08002B2CF9AE}" pid="4" name="KSOSaveFontToCloudKey">
    <vt:lpwstr>390855185_btnclosed</vt:lpwstr>
  </property>
  <property fmtid="{D5CDD505-2E9C-101B-9397-08002B2CF9AE}" pid="5" name="KSOTemplateDocerSaveRecord">
    <vt:lpwstr>eyJoZGlkIjoiN2VjMGM4YTNmZTY1NDFjMWFjNmVmZmU0NDA2ZTk0ZmMiLCJ1c2VySWQiOiI4NjI1NDMxNDkifQ==</vt:lpwstr>
  </property>
</Properties>
</file>