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lang w:val="en-US" w:eastAsia="zh-CN"/>
        </w:rPr>
        <w:t>塔城地区国土资源规划研究院2020年测绘地理信息收费</w:t>
      </w:r>
      <w:r>
        <w:rPr>
          <w:rFonts w:hint="eastAsia" w:ascii="方正小标宋_GBK" w:hAnsi="华文中宋" w:eastAsia="方正小标宋_GBK" w:cs="宋体"/>
          <w:kern w:val="0"/>
          <w:sz w:val="48"/>
          <w:szCs w:val="48"/>
        </w:rPr>
        <w:t>项目支出绩效评价报告</w:t>
      </w: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6"/>
          <w:szCs w:val="36"/>
        </w:rPr>
      </w:pPr>
      <w:r>
        <w:rPr>
          <w:rFonts w:hint="eastAsia" w:hAnsi="宋体" w:eastAsia="仿宋_GB2312" w:cs="宋体"/>
          <w:kern w:val="0"/>
          <w:sz w:val="36"/>
          <w:szCs w:val="36"/>
        </w:rPr>
        <w:t>（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年度）</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2020年测绘地理信息收费项目</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塔城地区国土资源规划研究院</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塔城地区自然资源局</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彭立秋</w:t>
      </w:r>
    </w:p>
    <w:p>
      <w:pPr>
        <w:pageBreakBefore w:val="0"/>
        <w:kinsoku/>
        <w:wordWrap/>
        <w:overflowPunct/>
        <w:topLinePunct w:val="0"/>
        <w:autoSpaceDE/>
        <w:autoSpaceDN/>
        <w:bidi w:val="0"/>
        <w:adjustRightInd/>
        <w:snapToGrid/>
        <w:spacing w:line="56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21</w:t>
      </w:r>
      <w:r>
        <w:rPr>
          <w:rFonts w:hint="eastAsia" w:hAnsi="宋体" w:eastAsia="仿宋_GB2312" w:cs="宋体"/>
          <w:kern w:val="0"/>
          <w:sz w:val="36"/>
          <w:szCs w:val="36"/>
        </w:rPr>
        <w:t>日</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塔城地区国土资源规划研究院</w:t>
      </w:r>
      <w:r>
        <w:rPr>
          <w:rFonts w:hint="eastAsia" w:ascii="仿宋_GB2312" w:hAnsi="仿宋_GB2312" w:eastAsia="仿宋_GB2312" w:cs="仿宋_GB2312"/>
          <w:sz w:val="32"/>
          <w:szCs w:val="32"/>
        </w:rPr>
        <w:t>主要职能：塔城地区国土资源规划研究院承担地区土地利用、矿产资源、地质勘查总体规划和专项规划编制、设计和研究工作；承担有关地籍测量和调查；承担上级批准建设用地项目的土地权属勘界工作；承担矿产资源补偿费、地质勘查项目的设计审核质量管理；开展与国土资源相关的测绘、制图等应用开发工作。</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为了更好地满足业务发展需要，提高工作效率，保证国土规划、勘界工作安全稳定运行。</w:t>
      </w:r>
    </w:p>
    <w:p>
      <w:pPr>
        <w:pageBreakBefore w:val="0"/>
        <w:kinsoku/>
        <w:wordWrap/>
        <w:overflowPunct/>
        <w:topLinePunct w:val="0"/>
        <w:autoSpaceDE/>
        <w:autoSpaceDN/>
        <w:bidi w:val="0"/>
        <w:adjustRightInd/>
        <w:snapToGrid/>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2020年测绘地理信息收费项目是以收费为基础，承担单位聘用人员支出及事业运行经费。</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2、项目主要内容及实施情况</w:t>
      </w:r>
    </w:p>
    <w:p>
      <w:pPr>
        <w:pageBreakBefore w:val="0"/>
        <w:kinsoku/>
        <w:wordWrap/>
        <w:overflowPunct/>
        <w:topLinePunct w:val="0"/>
        <w:autoSpaceDE/>
        <w:autoSpaceDN/>
        <w:bidi w:val="0"/>
        <w:adjustRightInd/>
        <w:snapToGrid/>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项目主要内容：主要用于事业运行经费和聘用人员支出。</w:t>
      </w:r>
    </w:p>
    <w:p>
      <w:pPr>
        <w:pageBreakBefore w:val="0"/>
        <w:kinsoku/>
        <w:wordWrap/>
        <w:overflowPunct/>
        <w:topLinePunct w:val="0"/>
        <w:autoSpaceDE/>
        <w:autoSpaceDN/>
        <w:bidi w:val="0"/>
        <w:adjustRightInd/>
        <w:snapToGrid/>
        <w:spacing w:line="560" w:lineRule="exact"/>
        <w:ind w:firstLine="640" w:firstLineChars="200"/>
      </w:pPr>
      <w:r>
        <w:rPr>
          <w:rFonts w:hint="eastAsia" w:ascii="仿宋_GB2312" w:hAnsi="仿宋_GB2312" w:eastAsia="仿宋_GB2312" w:cs="仿宋_GB2312"/>
          <w:sz w:val="32"/>
          <w:szCs w:val="32"/>
          <w:lang w:val="en-US" w:eastAsia="zh-CN"/>
        </w:rPr>
        <w:t>项目实施情况：项目目前已经完成实际设立的目标，项目在实施过程中严格按照目标设立</w:t>
      </w:r>
      <w:r>
        <w:rPr>
          <w:rFonts w:hint="eastAsia" w:ascii="仿宋_GB2312" w:hAnsi="仿宋_GB2312" w:eastAsia="仿宋_GB2312" w:cs="仿宋_GB2312"/>
          <w:sz w:val="32"/>
          <w:szCs w:val="32"/>
        </w:rPr>
        <w:t>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color w:val="auto"/>
          <w:sz w:val="32"/>
          <w:szCs w:val="32"/>
          <w:highlight w:val="none"/>
          <w:shd w:val="clear" w:color="auto" w:fill="auto"/>
          <w:lang w:val="en-US" w:eastAsia="zh-CN"/>
        </w:rPr>
        <w:t>640.1</w:t>
      </w:r>
      <w:r>
        <w:rPr>
          <w:rFonts w:hint="eastAsia" w:ascii="仿宋_GB2312" w:hAnsi="仿宋_GB2312" w:eastAsia="仿宋_GB2312" w:cs="仿宋_GB2312"/>
          <w:sz w:val="32"/>
          <w:szCs w:val="32"/>
        </w:rPr>
        <w:t>万元，其中：当年财政拨款626.60万元</w:t>
      </w:r>
      <w:r>
        <w:rPr>
          <w:rFonts w:hint="eastAsia" w:ascii="仿宋_GB2312" w:hAnsi="仿宋_GB2312" w:eastAsia="仿宋_GB2312" w:cs="仿宋_GB2312"/>
          <w:sz w:val="32"/>
          <w:szCs w:val="32"/>
          <w:lang w:val="en-US" w:eastAsia="zh-CN"/>
        </w:rPr>
        <w:t>,其他资金13.5万元</w:t>
      </w:r>
      <w:r>
        <w:rPr>
          <w:rFonts w:hint="eastAsia" w:ascii="仿宋_GB2312" w:hAnsi="仿宋_GB2312" w:eastAsia="仿宋_GB2312" w:cs="仿宋_GB2312"/>
          <w:sz w:val="32"/>
          <w:szCs w:val="32"/>
        </w:rPr>
        <w:t>。项目实际支出</w:t>
      </w:r>
      <w:r>
        <w:rPr>
          <w:rFonts w:hint="eastAsia" w:ascii="仿宋_GB2312" w:hAnsi="仿宋_GB2312" w:eastAsia="仿宋_GB2312" w:cs="仿宋_GB2312"/>
          <w:color w:val="auto"/>
          <w:sz w:val="32"/>
          <w:szCs w:val="32"/>
          <w:highlight w:val="none"/>
          <w:shd w:val="clear" w:color="auto" w:fill="auto"/>
          <w:lang w:val="en-US" w:eastAsia="zh-CN"/>
        </w:rPr>
        <w:t>633.3</w:t>
      </w:r>
      <w:r>
        <w:rPr>
          <w:rFonts w:hint="eastAsia" w:ascii="仿宋_GB2312" w:hAnsi="仿宋_GB2312" w:eastAsia="仿宋_GB2312" w:cs="仿宋_GB2312"/>
          <w:sz w:val="32"/>
          <w:szCs w:val="32"/>
        </w:rPr>
        <w:t>万元，支出率为</w:t>
      </w:r>
      <w:r>
        <w:rPr>
          <w:rFonts w:hint="eastAsia" w:ascii="仿宋_GB2312" w:hAnsi="仿宋_GB2312" w:eastAsia="仿宋_GB2312" w:cs="仿宋_GB2312"/>
          <w:sz w:val="32"/>
          <w:szCs w:val="32"/>
          <w:lang w:val="en-US" w:eastAsia="zh-CN"/>
        </w:rPr>
        <w:t>98.94</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color w:val="auto"/>
          <w:sz w:val="32"/>
          <w:szCs w:val="32"/>
          <w:highlight w:val="none"/>
          <w:shd w:val="clear" w:color="auto" w:fill="auto"/>
          <w:lang w:val="en-US" w:eastAsia="zh-CN"/>
        </w:rPr>
        <w:t>640.1</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highlight w:val="none"/>
          <w:lang w:val="en-US" w:eastAsia="zh-CN"/>
        </w:rPr>
        <w:t>2020年测绘地理信息收费项目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2020年测绘地理信息收费项目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rPr>
        <w:t>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val="en-US" w:eastAsia="zh-CN"/>
        </w:rPr>
        <w:t>塔城地区国土资源规划研究院2020年收费</w:t>
      </w:r>
      <w:r>
        <w:rPr>
          <w:rFonts w:hint="eastAsia" w:ascii="仿宋_GB2312" w:hAnsi="仿宋_GB2312" w:eastAsia="仿宋_GB2312" w:cs="仿宋_GB2312"/>
          <w:sz w:val="32"/>
          <w:szCs w:val="32"/>
        </w:rPr>
        <w:t>，项目资金到位</w:t>
      </w:r>
      <w:r>
        <w:rPr>
          <w:rFonts w:hint="eastAsia" w:ascii="仿宋_GB2312" w:hAnsi="仿宋_GB2312" w:eastAsia="仿宋_GB2312" w:cs="仿宋_GB2312"/>
          <w:color w:val="auto"/>
          <w:sz w:val="32"/>
          <w:szCs w:val="32"/>
          <w:highlight w:val="none"/>
          <w:shd w:val="clear" w:color="auto" w:fill="auto"/>
          <w:lang w:val="en-US" w:eastAsia="zh-CN"/>
        </w:rPr>
        <w:t>640.1</w:t>
      </w:r>
      <w:r>
        <w:rPr>
          <w:rFonts w:hint="eastAsia" w:ascii="仿宋_GB2312" w:hAnsi="仿宋_GB2312" w:eastAsia="仿宋_GB2312" w:cs="仿宋_GB2312"/>
          <w:sz w:val="32"/>
          <w:szCs w:val="32"/>
        </w:rPr>
        <w:t>万元，用于支付项目实施进程中的各项费用。</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目标1：保障国土规划研究院在职职工及通体职工的正常生活及办公。                                                                                     </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目标2：托里第三次全国国土调查、新建铁路新疆克拉玛依至塔城段工程建设用地土地使用权界线进行勘测定界、新疆巴尔鲁克山国家级自然保护区”勘测定界立标工作、克拉玛依石油用地的长期用地和临时用地进行土地权属勘测定界工作、政府及上级主管部门下达的工作任务等。          </w:t>
      </w:r>
    </w:p>
    <w:p>
      <w:pPr>
        <w:pageBreakBefore w:val="0"/>
        <w:kinsoku/>
        <w:wordWrap/>
        <w:overflowPunct/>
        <w:topLinePunct w:val="0"/>
        <w:autoSpaceDE/>
        <w:autoSpaceDN/>
        <w:bidi w:val="0"/>
        <w:adjustRightInd/>
        <w:snapToGrid/>
        <w:spacing w:line="560" w:lineRule="exact"/>
        <w:ind w:firstLine="641"/>
      </w:pPr>
      <w:r>
        <w:rPr>
          <w:rFonts w:hint="eastAsia" w:ascii="仿宋_GB2312" w:hAnsi="仿宋_GB2312" w:eastAsia="仿宋_GB2312" w:cs="仿宋_GB2312"/>
          <w:sz w:val="32"/>
          <w:szCs w:val="32"/>
        </w:rPr>
        <w:t>目标3：保质保量完成上级部门及当地政府安排的各项工作任务。</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w:t>
      </w:r>
      <w:r>
        <w:rPr>
          <w:rFonts w:hint="eastAsia" w:ascii="仿宋_GB2312" w:hAnsi="仿宋_GB2312" w:eastAsia="仿宋_GB2312" w:cs="仿宋_GB2312"/>
          <w:sz w:val="32"/>
          <w:szCs w:val="32"/>
          <w:lang w:eastAsia="zh-CN"/>
        </w:rPr>
        <w:t>在做好</w:t>
      </w:r>
      <w:r>
        <w:rPr>
          <w:rFonts w:hint="eastAsia" w:ascii="仿宋_GB2312" w:eastAsia="仿宋_GB2312"/>
          <w:kern w:val="2"/>
          <w:sz w:val="32"/>
          <w:szCs w:val="32"/>
          <w:lang w:val="en-US" w:eastAsia="zh-CN" w:bidi="ar-SA"/>
        </w:rPr>
        <w:t>传染病防治</w:t>
      </w:r>
      <w:r>
        <w:rPr>
          <w:rFonts w:hint="eastAsia" w:ascii="仿宋_GB2312" w:hAnsi="仿宋_GB2312" w:eastAsia="仿宋_GB2312" w:cs="仿宋_GB2312"/>
          <w:sz w:val="32"/>
          <w:szCs w:val="32"/>
          <w:lang w:eastAsia="zh-CN"/>
        </w:rPr>
        <w:t>防控工作的前提下，正常开展国土规划空间及各项测绘工作，根据各合同要求保质保量完成工作</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塔城地区国土资源规划研究院事业运行经费及人员聘用需要</w:t>
      </w:r>
      <w:r>
        <w:rPr>
          <w:rFonts w:hint="eastAsia" w:ascii="仿宋_GB2312" w:hAnsi="仿宋_GB2312" w:eastAsia="仿宋_GB2312" w:cs="仿宋_GB2312"/>
          <w:sz w:val="32"/>
          <w:szCs w:val="32"/>
        </w:rPr>
        <w:t>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sz w:val="32"/>
          <w:szCs w:val="32"/>
        </w:rPr>
      </w:pPr>
      <w:r>
        <w:rPr>
          <w:rFonts w:hint="eastAsia" w:ascii="黑体" w:hAnsi="黑体" w:eastAsia="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2020年测绘地理信息收费项目</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从2020年测绘地理信息收费项目的决策、过程、产出、效益等方面进行评价。</w:t>
      </w:r>
    </w:p>
    <w:p>
      <w:pPr>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楷体_GB2312" w:hAnsi="楷体_GB2312" w:eastAsia="楷体_GB2312" w:cs="楷体_GB2312"/>
          <w:b/>
          <w:bCs/>
        </w:rPr>
      </w:pPr>
      <w:r>
        <w:rPr>
          <w:rFonts w:hint="eastAsia" w:ascii="楷体_GB2312" w:hAnsi="楷体_GB2312" w:eastAsia="楷体_GB2312" w:cs="楷体_GB2312"/>
          <w:b/>
          <w:bCs/>
        </w:rPr>
        <w:t>1、绩效评价原则</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楷体_GB2312" w:hAnsi="楷体_GB2312" w:eastAsia="楷体_GB2312" w:cs="楷体_GB2312"/>
          <w:b/>
          <w:bCs/>
        </w:rPr>
      </w:pPr>
      <w:r>
        <w:rPr>
          <w:rFonts w:hint="eastAsia" w:ascii="楷体_GB2312" w:hAnsi="楷体_GB2312" w:eastAsia="楷体_GB2312" w:cs="楷体_GB2312"/>
          <w:b/>
          <w:bCs/>
        </w:rPr>
        <w:t>2、评价指标体系</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（1）确定评价指标</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（2）确定权重</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lang w:val="en-US" w:eastAsia="zh-CN"/>
        </w:rPr>
        <w:t>占5分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lang w:val="en-US" w:eastAsia="zh-CN"/>
        </w:rPr>
        <w:t>40分</w:t>
      </w:r>
      <w:r>
        <w:rPr>
          <w:rFonts w:hint="eastAsia" w:ascii="仿宋_GB2312" w:hAnsi="仿宋_GB2312" w:eastAsia="仿宋_GB2312" w:cs="仿宋_GB2312"/>
          <w:color w:val="000000"/>
          <w:spacing w:val="17"/>
          <w:sz w:val="32"/>
          <w:szCs w:val="32"/>
          <w:highlight w:val="none"/>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（3）确定指标标准值</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left="0"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708" w:firstLineChars="200"/>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楷体_GB2312" w:hAnsi="楷体_GB2312" w:eastAsia="楷体_GB2312" w:cs="楷体_GB2312"/>
          <w:b/>
          <w:bCs/>
        </w:rPr>
      </w:pPr>
      <w:r>
        <w:rPr>
          <w:rFonts w:hint="eastAsia" w:ascii="楷体_GB2312" w:hAnsi="楷体_GB2312" w:eastAsia="楷体_GB2312" w:cs="楷体_GB2312"/>
          <w:b/>
          <w:bCs/>
        </w:rPr>
        <w:t>3、绩效评价方法</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（1）比较法</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（2）因素分析法</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keepNext w:val="0"/>
        <w:keepLines w:val="0"/>
        <w:pageBreakBefore w:val="0"/>
        <w:kinsoku/>
        <w:wordWrap/>
        <w:overflowPunct/>
        <w:topLinePunct w:val="0"/>
        <w:autoSpaceDE/>
        <w:autoSpaceDN/>
        <w:bidi w:val="0"/>
        <w:adjustRightInd/>
        <w:snapToGrid/>
        <w:spacing w:line="560" w:lineRule="exact"/>
        <w:ind w:left="0" w:firstLine="711" w:firstLineChars="200"/>
        <w:textAlignment w:val="auto"/>
        <w:rPr>
          <w:rFonts w:hint="eastAsia" w:ascii="楷体_GB2312" w:hAnsi="楷体_GB2312" w:eastAsia="楷体_GB2312" w:cs="楷体_GB2312"/>
          <w:b w:val="0"/>
          <w:bCs w:val="0"/>
          <w:color w:val="000000"/>
          <w:spacing w:val="17"/>
          <w:kern w:val="2"/>
          <w:sz w:val="32"/>
          <w:szCs w:val="32"/>
          <w:highlight w:val="none"/>
          <w:lang w:val="en-US" w:eastAsia="zh-CN" w:bidi="ar-SA"/>
        </w:rPr>
      </w:pPr>
      <w:r>
        <w:rPr>
          <w:rFonts w:hint="eastAsia" w:ascii="楷体_GB2312" w:hAnsi="楷体_GB2312" w:eastAsia="楷体_GB2312" w:cs="楷体_GB2312"/>
          <w:b/>
          <w:bCs/>
          <w:color w:val="000000"/>
          <w:spacing w:val="17"/>
          <w:kern w:val="2"/>
          <w:sz w:val="32"/>
          <w:szCs w:val="32"/>
          <w:highlight w:val="none"/>
          <w:lang w:val="en-US" w:eastAsia="zh-CN" w:bidi="ar-SA"/>
        </w:rPr>
        <w:t>（三）绩效评价工作过程</w:t>
      </w:r>
      <w:r>
        <w:rPr>
          <w:rFonts w:hint="eastAsia" w:ascii="楷体_GB2312" w:hAnsi="楷体_GB2312" w:eastAsia="楷体_GB2312" w:cs="楷体_GB2312"/>
          <w:b w:val="0"/>
          <w:bCs w:val="0"/>
          <w:color w:val="000000"/>
          <w:spacing w:val="17"/>
          <w:kern w:val="2"/>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highlight w:val="yellow"/>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2020年测绘地理信息收费项目</w:t>
      </w:r>
      <w:r>
        <w:rPr>
          <w:rFonts w:hint="eastAsia" w:ascii="仿宋_GB2312" w:hAnsi="仿宋_GB2312" w:eastAsia="仿宋_GB2312" w:cs="仿宋_GB2312"/>
          <w:b w:val="0"/>
          <w:bCs w:val="0"/>
          <w:highlight w:val="none"/>
        </w:rPr>
        <w:t>进行客观评价，最终评分结果：总得分为</w:t>
      </w:r>
      <w:r>
        <w:rPr>
          <w:rFonts w:hint="eastAsia" w:ascii="仿宋_GB2312" w:hAnsi="仿宋_GB2312" w:eastAsia="仿宋_GB2312" w:cs="仿宋_GB2312"/>
          <w:b w:val="0"/>
          <w:bCs w:val="0"/>
          <w:highlight w:val="none"/>
          <w:lang w:val="en-US" w:eastAsia="zh-CN"/>
        </w:rPr>
        <w:t>99.09</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4.99</w:t>
      </w:r>
      <w:r>
        <w:rPr>
          <w:rFonts w:hint="eastAsia" w:ascii="仿宋_GB2312" w:hAnsi="仿宋_GB2312" w:eastAsia="仿宋_GB2312" w:cs="仿宋_GB2312"/>
          <w:b w:val="0"/>
          <w:bCs w:val="0"/>
          <w:highlight w:val="none"/>
        </w:rPr>
        <w:t xml:space="preserve"> 分，得分率为 </w:t>
      </w:r>
      <w:r>
        <w:rPr>
          <w:rFonts w:hint="eastAsia" w:ascii="仿宋_GB2312" w:hAnsi="仿宋_GB2312" w:eastAsia="仿宋_GB2312" w:cs="仿宋_GB2312"/>
          <w:b w:val="0"/>
          <w:bCs w:val="0"/>
          <w:highlight w:val="none"/>
          <w:lang w:val="en-US" w:eastAsia="zh-CN"/>
        </w:rPr>
        <w:t>99.8</w:t>
      </w:r>
      <w:r>
        <w:rPr>
          <w:rFonts w:hint="eastAsia" w:ascii="仿宋_GB2312" w:hAnsi="仿宋_GB2312" w:eastAsia="仿宋_GB2312" w:cs="仿宋_GB2312"/>
          <w:b w:val="0"/>
          <w:bCs w:val="0"/>
          <w:highlight w:val="none"/>
        </w:rPr>
        <w:t>%。项目产出类指标权重为50分，得分为</w:t>
      </w:r>
      <w:r>
        <w:rPr>
          <w:rFonts w:hint="eastAsia" w:ascii="仿宋_GB2312" w:hAnsi="仿宋_GB2312" w:eastAsia="仿宋_GB2312" w:cs="仿宋_GB2312"/>
          <w:b w:val="0"/>
          <w:bCs w:val="0"/>
          <w:highlight w:val="none"/>
          <w:lang w:val="en-US" w:eastAsia="zh-CN"/>
        </w:rPr>
        <w:t>49.3</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98.8</w:t>
      </w:r>
      <w:r>
        <w:rPr>
          <w:rFonts w:hint="eastAsia" w:ascii="仿宋_GB2312" w:hAnsi="仿宋_GB2312" w:eastAsia="仿宋_GB2312" w:cs="仿宋_GB2312"/>
          <w:b w:val="0"/>
          <w:bCs w:val="0"/>
          <w:highlight w:val="none"/>
        </w:rPr>
        <w:t>%。项目效益类指标权重为</w:t>
      </w:r>
      <w:r>
        <w:rPr>
          <w:rFonts w:hint="eastAsia" w:ascii="仿宋_GB2312" w:hAnsi="仿宋_GB2312" w:eastAsia="仿宋_GB2312" w:cs="仿宋_GB2312"/>
          <w:b w:val="0"/>
          <w:bCs w:val="0"/>
          <w:highlight w:val="green"/>
          <w:lang w:val="en-US" w:eastAsia="zh-CN"/>
        </w:rPr>
        <w:t>40</w:t>
      </w:r>
      <w:r>
        <w:rPr>
          <w:rFonts w:hint="eastAsia" w:ascii="仿宋_GB2312" w:hAnsi="仿宋_GB2312" w:eastAsia="仿宋_GB2312" w:cs="仿宋_GB2312"/>
          <w:b w:val="0"/>
          <w:bCs w:val="0"/>
          <w:highlight w:val="green"/>
        </w:rPr>
        <w:t>分，得分为</w:t>
      </w:r>
      <w:r>
        <w:rPr>
          <w:rFonts w:hint="eastAsia" w:ascii="仿宋_GB2312" w:hAnsi="仿宋_GB2312" w:eastAsia="仿宋_GB2312" w:cs="仿宋_GB2312"/>
          <w:b w:val="0"/>
          <w:bCs w:val="0"/>
          <w:highlight w:val="green"/>
          <w:lang w:val="en-US" w:eastAsia="zh-CN"/>
        </w:rPr>
        <w:t>39.8</w:t>
      </w:r>
      <w:r>
        <w:rPr>
          <w:rFonts w:hint="eastAsia" w:ascii="仿宋_GB2312" w:hAnsi="仿宋_GB2312" w:eastAsia="仿宋_GB2312" w:cs="仿宋_GB2312"/>
          <w:b w:val="0"/>
          <w:bCs w:val="0"/>
          <w:highlight w:val="green"/>
        </w:rPr>
        <w:t>分，</w:t>
      </w:r>
      <w:r>
        <w:rPr>
          <w:rFonts w:hint="eastAsia" w:ascii="仿宋_GB2312" w:hAnsi="仿宋_GB2312" w:eastAsia="仿宋_GB2312" w:cs="仿宋_GB2312"/>
          <w:b w:val="0"/>
          <w:bCs w:val="0"/>
          <w:highlight w:val="none"/>
        </w:rPr>
        <w:t xml:space="preserve">得分率为 </w:t>
      </w:r>
      <w:r>
        <w:rPr>
          <w:rFonts w:hint="eastAsia" w:ascii="仿宋_GB2312" w:hAnsi="仿宋_GB2312" w:eastAsia="仿宋_GB2312" w:cs="仿宋_GB2312"/>
          <w:b w:val="0"/>
          <w:bCs w:val="0"/>
          <w:highlight w:val="none"/>
          <w:lang w:val="en-US" w:eastAsia="zh-CN"/>
        </w:rPr>
        <w:t>99.5</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98.9%</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0.99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9.3</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93%</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29.8</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99.5%</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rPr>
          <w:rFonts w:hint="eastAsia" w:ascii="楷体_GB2312" w:hAnsi="楷体_GB2312" w:eastAsia="楷体_GB2312" w:cs="楷体_GB2312"/>
        </w:rPr>
      </w:pPr>
      <w:r>
        <w:rPr>
          <w:rFonts w:hint="eastAsia" w:ascii="楷体_GB2312" w:hAnsi="楷体_GB2312" w:eastAsia="楷体_GB2312" w:cs="楷体_GB2312"/>
        </w:rPr>
        <w:t>（一）项目决策情况</w:t>
      </w:r>
    </w:p>
    <w:p>
      <w:pPr>
        <w:pStyle w:val="5"/>
        <w:keepNext w:val="0"/>
        <w:keepLines w:val="0"/>
        <w:pageBreakBefore w:val="0"/>
        <w:kinsoku/>
        <w:wordWrap/>
        <w:overflowPunct/>
        <w:topLinePunct w:val="0"/>
        <w:autoSpaceDE/>
        <w:autoSpaceDN/>
        <w:bidi w:val="0"/>
        <w:adjustRightInd/>
        <w:snapToGrid/>
        <w:spacing w:before="0" w:after="0" w:line="560" w:lineRule="exact"/>
        <w:ind w:firstLine="624" w:firstLineChars="200"/>
        <w:rPr>
          <w:rStyle w:val="21"/>
          <w:rFonts w:hint="eastAsia" w:ascii="仿宋_GB2312" w:hAnsi="仿宋_GB2312" w:eastAsia="仿宋_GB2312" w:cs="仿宋_GB2312"/>
          <w:b w:val="0"/>
          <w:bCs/>
          <w:color w:val="auto"/>
          <w:spacing w:val="-4"/>
          <w:kern w:val="2"/>
          <w:sz w:val="32"/>
          <w:szCs w:val="32"/>
          <w:lang w:val="en-US" w:eastAsia="zh-CN" w:bidi="ar-SA"/>
        </w:rPr>
      </w:pPr>
      <w:r>
        <w:rPr>
          <w:rStyle w:val="21"/>
          <w:rFonts w:hint="eastAsia" w:ascii="仿宋_GB2312" w:hAnsi="仿宋_GB2312" w:eastAsia="仿宋_GB2312" w:cs="仿宋_GB2312"/>
          <w:b w:val="0"/>
          <w:bCs/>
          <w:color w:val="auto"/>
          <w:spacing w:val="-4"/>
          <w:kern w:val="2"/>
          <w:sz w:val="32"/>
          <w:szCs w:val="32"/>
          <w:lang w:val="en-US" w:eastAsia="zh-CN" w:bidi="ar-SA"/>
        </w:rPr>
        <w:t>项目决策指标从项目立项、绩效目标、资金投入3个方面对项目的决策进行考察，项目决策类指标分值5分，实际得分5分，得分率100%。项目决策指标得分情况如表所示。</w:t>
      </w:r>
    </w:p>
    <w:tbl>
      <w:tblPr>
        <w:tblStyle w:val="19"/>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 w:hAnsi="仿宋" w:eastAsia="仿宋" w:cs="仿宋"/>
                <w:color w:val="000000"/>
                <w:kern w:val="0"/>
                <w:sz w:val="32"/>
                <w:szCs w:val="32"/>
              </w:rPr>
            </w:pPr>
            <w:r>
              <w:rPr>
                <w:rFonts w:hint="eastAsia" w:ascii="仿宋_GB2312" w:hAnsi="仿宋_GB2312" w:eastAsia="仿宋_GB2312" w:cs="仿宋_GB2312"/>
                <w:color w:val="000000"/>
                <w:kern w:val="0"/>
                <w:sz w:val="32"/>
                <w:szCs w:val="32"/>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lang w:eastAsia="zh-CN"/>
              </w:rPr>
              <w:t>二</w:t>
            </w:r>
            <w:r>
              <w:rPr>
                <w:rFonts w:hint="eastAsia" w:ascii="仿宋" w:hAnsi="仿宋" w:eastAsia="仿宋" w:cs="仿宋"/>
                <w:b/>
                <w:bCs/>
                <w:color w:val="000000"/>
                <w:kern w:val="0"/>
                <w:sz w:val="32"/>
                <w:szCs w:val="32"/>
              </w:rPr>
              <w:t>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Style w:val="21"/>
                <w:rFonts w:hint="eastAsia" w:ascii="仿宋_GB2312" w:hAnsi="仿宋_GB2312" w:eastAsia="仿宋_GB2312" w:cs="仿宋_GB2312"/>
                <w:b w:val="0"/>
                <w:bCs/>
                <w:color w:val="auto"/>
                <w:spacing w:val="-4"/>
                <w:kern w:val="2"/>
                <w:sz w:val="32"/>
                <w:szCs w:val="32"/>
                <w:lang w:val="en-US" w:eastAsia="zh-CN" w:bidi="ar-SA"/>
              </w:rPr>
              <w:t>项目立项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bCs/>
                <w:color w:val="auto"/>
                <w:spacing w:val="-4"/>
                <w:kern w:val="2"/>
                <w:sz w:val="32"/>
                <w:szCs w:val="32"/>
                <w:lang w:val="en-US" w:eastAsia="zh-CN" w:bidi="ar-SA"/>
              </w:rPr>
            </w:pPr>
            <w:r>
              <w:rPr>
                <w:rStyle w:val="21"/>
                <w:rFonts w:hint="eastAsia" w:ascii="仿宋_GB2312" w:hAnsi="仿宋_GB2312" w:eastAsia="仿宋_GB2312" w:cs="仿宋_GB2312"/>
                <w:b w:val="0"/>
                <w:bCs/>
                <w:color w:val="auto"/>
                <w:spacing w:val="-4"/>
                <w:kern w:val="2"/>
                <w:sz w:val="32"/>
                <w:szCs w:val="32"/>
                <w:lang w:val="en-US" w:eastAsia="zh-CN" w:bidi="ar-SA"/>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bCs/>
                <w:color w:val="auto"/>
                <w:spacing w:val="-4"/>
                <w:kern w:val="2"/>
                <w:sz w:val="32"/>
                <w:szCs w:val="32"/>
                <w:lang w:val="en-US" w:eastAsia="zh-CN" w:bidi="ar-SA"/>
              </w:rPr>
            </w:pPr>
            <w:r>
              <w:rPr>
                <w:rStyle w:val="21"/>
                <w:rFonts w:hint="eastAsia" w:ascii="仿宋_GB2312" w:hAnsi="仿宋_GB2312" w:eastAsia="仿宋_GB2312" w:cs="仿宋_GB2312"/>
                <w:b w:val="0"/>
                <w:bCs/>
                <w:color w:val="auto"/>
                <w:spacing w:val="-4"/>
                <w:kern w:val="2"/>
                <w:sz w:val="32"/>
                <w:szCs w:val="32"/>
                <w:lang w:val="en-US" w:eastAsia="zh-CN" w:bidi="ar-SA"/>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w:t>
            </w:r>
          </w:p>
        </w:tc>
      </w:tr>
    </w:tbl>
    <w:p>
      <w:pPr>
        <w:pStyle w:val="5"/>
        <w:keepNext w:val="0"/>
        <w:keepLines w:val="0"/>
        <w:pageBreakBefore w:val="0"/>
        <w:kinsoku/>
        <w:wordWrap/>
        <w:overflowPunct/>
        <w:topLinePunct w:val="0"/>
        <w:autoSpaceDE/>
        <w:autoSpaceDN/>
        <w:bidi w:val="0"/>
        <w:adjustRightInd/>
        <w:snapToGrid/>
        <w:spacing w:before="0" w:after="0" w:line="560" w:lineRule="exact"/>
        <w:ind w:firstLine="624" w:firstLineChars="200"/>
        <w:textAlignment w:val="auto"/>
        <w:rPr>
          <w:rStyle w:val="21"/>
          <w:rFonts w:hint="eastAsia" w:ascii="仿宋_GB2312" w:hAnsi="仿宋_GB2312" w:eastAsia="仿宋_GB2312" w:cs="仿宋_GB2312"/>
          <w:b w:val="0"/>
          <w:bCs/>
          <w:color w:val="auto"/>
          <w:spacing w:val="-4"/>
          <w:kern w:val="2"/>
          <w:sz w:val="32"/>
          <w:szCs w:val="32"/>
          <w:lang w:val="en-US" w:eastAsia="zh-CN" w:bidi="ar-SA"/>
        </w:rPr>
      </w:pPr>
      <w:r>
        <w:rPr>
          <w:rStyle w:val="21"/>
          <w:rFonts w:hint="eastAsia" w:ascii="仿宋_GB2312" w:hAnsi="仿宋_GB2312" w:eastAsia="仿宋_GB2312" w:cs="仿宋_GB2312"/>
          <w:b w:val="0"/>
          <w:bCs/>
          <w:color w:val="auto"/>
          <w:spacing w:val="-4"/>
          <w:kern w:val="2"/>
          <w:sz w:val="32"/>
          <w:szCs w:val="32"/>
          <w:lang w:val="en-US" w:eastAsia="zh-CN" w:bidi="ar-SA"/>
        </w:rPr>
        <w:t>对于“项目立项”是根据塔城地区国土资源规划研究院本年收费安排进行立项，根据评分标准，该指标实际得分率100%。</w:t>
      </w:r>
    </w:p>
    <w:p>
      <w:pPr>
        <w:pStyle w:val="5"/>
        <w:keepNext w:val="0"/>
        <w:keepLines w:val="0"/>
        <w:pageBreakBefore w:val="0"/>
        <w:kinsoku/>
        <w:wordWrap/>
        <w:overflowPunct/>
        <w:topLinePunct w:val="0"/>
        <w:autoSpaceDE/>
        <w:autoSpaceDN/>
        <w:bidi w:val="0"/>
        <w:adjustRightInd/>
        <w:snapToGrid/>
        <w:spacing w:before="0" w:after="0" w:line="560" w:lineRule="exact"/>
        <w:ind w:firstLine="624" w:firstLineChars="200"/>
        <w:textAlignment w:val="auto"/>
        <w:rPr>
          <w:rStyle w:val="21"/>
          <w:rFonts w:hint="eastAsia" w:ascii="仿宋_GB2312" w:hAnsi="仿宋_GB2312" w:eastAsia="仿宋_GB2312" w:cs="仿宋_GB2312"/>
          <w:b w:val="0"/>
          <w:bCs/>
          <w:color w:val="auto"/>
          <w:spacing w:val="-4"/>
          <w:kern w:val="2"/>
          <w:sz w:val="32"/>
          <w:szCs w:val="32"/>
          <w:lang w:val="en-US" w:eastAsia="zh-CN" w:bidi="ar-SA"/>
        </w:rPr>
      </w:pPr>
      <w:r>
        <w:rPr>
          <w:rStyle w:val="21"/>
          <w:rFonts w:hint="eastAsia" w:ascii="仿宋_GB2312" w:hAnsi="仿宋_GB2312" w:eastAsia="仿宋_GB2312" w:cs="仿宋_GB2312"/>
          <w:b w:val="0"/>
          <w:bCs/>
          <w:color w:val="auto"/>
          <w:spacing w:val="-4"/>
          <w:kern w:val="2"/>
          <w:sz w:val="32"/>
          <w:szCs w:val="32"/>
          <w:lang w:val="en-US" w:eastAsia="zh-CN" w:bidi="ar-SA"/>
        </w:rPr>
        <w:t>对于“绩效目标”，设置了较为详细的项目绩效目标，项目绩效目标的设置，满足规划院实际工作要求，根据评分标准，该指标实际得分率100%。</w:t>
      </w:r>
    </w:p>
    <w:p>
      <w:pPr>
        <w:keepNext w:val="0"/>
        <w:keepLines w:val="0"/>
        <w:pageBreakBefore w:val="0"/>
        <w:kinsoku/>
        <w:wordWrap/>
        <w:overflowPunct/>
        <w:topLinePunct w:val="0"/>
        <w:autoSpaceDE/>
        <w:autoSpaceDN/>
        <w:bidi w:val="0"/>
        <w:adjustRightInd/>
        <w:snapToGrid/>
        <w:spacing w:line="560" w:lineRule="exact"/>
        <w:ind w:firstLine="624" w:firstLineChars="200"/>
        <w:contextualSpacing/>
        <w:textAlignment w:val="auto"/>
        <w:rPr>
          <w:rStyle w:val="21"/>
          <w:rFonts w:hint="eastAsia" w:ascii="仿宋_GB2312" w:hAnsi="仿宋_GB2312" w:eastAsia="仿宋_GB2312" w:cs="仿宋_GB2312"/>
          <w:b w:val="0"/>
          <w:color w:val="auto"/>
          <w:spacing w:val="-4"/>
          <w:kern w:val="2"/>
          <w:sz w:val="32"/>
          <w:szCs w:val="32"/>
          <w:lang w:val="en-US" w:eastAsia="zh-CN" w:bidi="ar-SA"/>
        </w:rPr>
      </w:pPr>
      <w:r>
        <w:rPr>
          <w:rStyle w:val="21"/>
          <w:rFonts w:hint="eastAsia" w:ascii="仿宋_GB2312" w:hAnsi="仿宋_GB2312" w:eastAsia="仿宋_GB2312" w:cs="仿宋_GB2312"/>
          <w:b w:val="0"/>
          <w:color w:val="auto"/>
          <w:spacing w:val="-4"/>
          <w:kern w:val="2"/>
          <w:sz w:val="32"/>
          <w:szCs w:val="32"/>
          <w:lang w:val="en-US" w:eastAsia="zh-CN" w:bidi="ar-SA"/>
        </w:rPr>
        <w:t>对于“</w:t>
      </w:r>
      <w:r>
        <w:rPr>
          <w:rStyle w:val="21"/>
          <w:rFonts w:hint="eastAsia" w:ascii="仿宋_GB2312" w:hAnsi="仿宋_GB2312" w:eastAsia="仿宋_GB2312" w:cs="仿宋_GB2312"/>
          <w:b w:val="0"/>
          <w:bCs/>
          <w:color w:val="auto"/>
          <w:spacing w:val="-4"/>
          <w:kern w:val="2"/>
          <w:sz w:val="32"/>
          <w:szCs w:val="32"/>
          <w:lang w:val="en-US" w:eastAsia="zh-CN" w:bidi="ar-SA"/>
        </w:rPr>
        <w:t>资金投入</w:t>
      </w:r>
      <w:r>
        <w:rPr>
          <w:rStyle w:val="21"/>
          <w:rFonts w:hint="eastAsia" w:ascii="仿宋_GB2312" w:hAnsi="仿宋_GB2312" w:eastAsia="仿宋_GB2312" w:cs="仿宋_GB2312"/>
          <w:b w:val="0"/>
          <w:color w:val="auto"/>
          <w:spacing w:val="-4"/>
          <w:kern w:val="2"/>
          <w:sz w:val="32"/>
          <w:szCs w:val="32"/>
          <w:lang w:val="en-US" w:eastAsia="zh-CN" w:bidi="ar-SA"/>
        </w:rPr>
        <w:t>”，是根据塔城地区国土资源规划研究院事业运行及聘用人员支出合计情况进行评定。根据评分标准，该指标实际得分率100%。</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keepNext w:val="0"/>
        <w:keepLines w:val="0"/>
        <w:pageBreakBefore w:val="0"/>
        <w:kinsoku/>
        <w:wordWrap/>
        <w:overflowPunct/>
        <w:topLinePunct w:val="0"/>
        <w:autoSpaceDE/>
        <w:autoSpaceDN/>
        <w:bidi w:val="0"/>
        <w:adjustRightInd/>
        <w:snapToGrid/>
        <w:spacing w:line="560" w:lineRule="exact"/>
        <w:ind w:firstLine="624" w:firstLineChars="200"/>
        <w:contextualSpacing/>
        <w:textAlignment w:val="auto"/>
        <w:rPr>
          <w:rStyle w:val="21"/>
          <w:rFonts w:hint="eastAsia" w:ascii="仿宋_GB2312" w:hAnsi="仿宋_GB2312" w:eastAsia="仿宋_GB2312" w:cs="仿宋_GB2312"/>
          <w:b w:val="0"/>
          <w:color w:val="auto"/>
          <w:spacing w:val="-4"/>
          <w:kern w:val="2"/>
          <w:sz w:val="32"/>
          <w:szCs w:val="32"/>
          <w:highlight w:val="none"/>
          <w:lang w:val="en-US" w:eastAsia="zh-CN" w:bidi="ar-SA"/>
        </w:rPr>
      </w:pPr>
      <w:r>
        <w:rPr>
          <w:rStyle w:val="21"/>
          <w:rFonts w:hint="eastAsia" w:ascii="仿宋_GB2312" w:hAnsi="仿宋_GB2312" w:eastAsia="仿宋_GB2312" w:cs="仿宋_GB2312"/>
          <w:b w:val="0"/>
          <w:color w:val="auto"/>
          <w:spacing w:val="-4"/>
          <w:kern w:val="2"/>
          <w:sz w:val="32"/>
          <w:szCs w:val="32"/>
          <w:highlight w:val="none"/>
          <w:lang w:val="en-US" w:eastAsia="zh-CN" w:bidi="ar-SA"/>
        </w:rPr>
        <w:t>项目过程指标从资金到位率、预算执行率、资金使用合规性、管理制度健全性、制度执行有效性5个方面对项目的过程情况进行考察。项目过程指标分值5分，实际得分4.99分，得分率为99.8%。项目过程指标得分情况如表所示。</w:t>
      </w:r>
    </w:p>
    <w:tbl>
      <w:tblPr>
        <w:tblStyle w:val="19"/>
        <w:tblW w:w="8522" w:type="dxa"/>
        <w:tblInd w:w="0" w:type="dxa"/>
        <w:tblLayout w:type="fixed"/>
        <w:tblCellMar>
          <w:top w:w="0" w:type="dxa"/>
          <w:left w:w="108" w:type="dxa"/>
          <w:bottom w:w="0" w:type="dxa"/>
          <w:right w:w="108" w:type="dxa"/>
        </w:tblCellMar>
      </w:tblPr>
      <w:tblGrid>
        <w:gridCol w:w="2874"/>
        <w:gridCol w:w="1765"/>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4"/>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val="en-US" w:eastAsia="zh-CN"/>
              </w:rPr>
              <w:t>过程</w:t>
            </w:r>
            <w:r>
              <w:rPr>
                <w:rFonts w:hint="eastAsia" w:ascii="仿宋_GB2312" w:hAnsi="仿宋_GB2312" w:eastAsia="仿宋_GB2312" w:cs="仿宋_GB2312"/>
                <w:b/>
                <w:bCs/>
                <w:color w:val="000000"/>
                <w:kern w:val="0"/>
                <w:sz w:val="32"/>
                <w:szCs w:val="32"/>
              </w:rPr>
              <w:t>指标得分情况</w:t>
            </w:r>
          </w:p>
        </w:tc>
      </w:tr>
      <w:tr>
        <w:tblPrEx>
          <w:tblCellMar>
            <w:top w:w="0" w:type="dxa"/>
            <w:left w:w="108" w:type="dxa"/>
            <w:bottom w:w="0" w:type="dxa"/>
            <w:right w:w="108" w:type="dxa"/>
          </w:tblCellMar>
        </w:tblPrEx>
        <w:trPr>
          <w:trHeight w:val="510" w:hRule="exact"/>
          <w:tblHeader/>
        </w:trPr>
        <w:tc>
          <w:tcPr>
            <w:tcW w:w="2874"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lang w:eastAsia="zh-CN"/>
              </w:rPr>
              <w:t>三</w:t>
            </w:r>
            <w:r>
              <w:rPr>
                <w:rFonts w:hint="eastAsia" w:ascii="仿宋_GB2312" w:hAnsi="仿宋_GB2312" w:eastAsia="仿宋_GB2312" w:cs="仿宋_GB2312"/>
                <w:b/>
                <w:bCs/>
                <w:color w:val="000000"/>
                <w:kern w:val="0"/>
                <w:sz w:val="32"/>
                <w:szCs w:val="32"/>
              </w:rPr>
              <w:t>级指标</w:t>
            </w:r>
          </w:p>
        </w:tc>
        <w:tc>
          <w:tcPr>
            <w:tcW w:w="176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89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rPr>
              <w:t>资金到位率</w:t>
            </w:r>
          </w:p>
        </w:tc>
        <w:tc>
          <w:tcPr>
            <w:tcW w:w="1765"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rPr>
              <w:t>预算执行率</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98.9%</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default"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0.99</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rPr>
              <w:t>资金使用合规性</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管理制度健全性</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制度执行有效性</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合  计</w:t>
            </w:r>
          </w:p>
        </w:tc>
        <w:tc>
          <w:tcPr>
            <w:tcW w:w="1765"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100</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4.99</w:t>
            </w:r>
          </w:p>
        </w:tc>
      </w:tr>
    </w:tbl>
    <w:p>
      <w:pPr>
        <w:pageBreakBefore w:val="0"/>
        <w:kinsoku/>
        <w:wordWrap/>
        <w:overflowPunct/>
        <w:topLinePunct w:val="0"/>
        <w:autoSpaceDE/>
        <w:autoSpaceDN/>
        <w:bidi w:val="0"/>
        <w:adjustRightInd/>
        <w:snapToGrid/>
        <w:spacing w:line="560" w:lineRule="exact"/>
        <w:ind w:firstLine="624" w:firstLineChars="200"/>
        <w:contextualSpacing/>
        <w:rPr>
          <w:rStyle w:val="21"/>
          <w:rFonts w:hint="eastAsia" w:ascii="仿宋_GB2312" w:hAnsi="仿宋_GB2312" w:eastAsia="仿宋_GB2312" w:cs="仿宋_GB2312"/>
          <w:b w:val="0"/>
          <w:color w:val="auto"/>
          <w:spacing w:val="-4"/>
          <w:kern w:val="2"/>
          <w:sz w:val="32"/>
          <w:szCs w:val="32"/>
          <w:lang w:val="en-US" w:eastAsia="zh-CN" w:bidi="ar-SA"/>
        </w:rPr>
      </w:pPr>
      <w:r>
        <w:rPr>
          <w:rStyle w:val="21"/>
          <w:rFonts w:hint="eastAsia" w:ascii="仿宋_GB2312" w:hAnsi="仿宋_GB2312" w:eastAsia="仿宋_GB2312" w:cs="仿宋_GB2312"/>
          <w:b w:val="0"/>
          <w:color w:val="auto"/>
          <w:spacing w:val="-4"/>
          <w:kern w:val="2"/>
          <w:sz w:val="32"/>
          <w:szCs w:val="32"/>
          <w:lang w:val="en-US" w:eastAsia="zh-CN" w:bidi="ar-SA"/>
        </w:rPr>
        <w:t>对于“资金到位率”，项目资金到位及时，到位率为100%。根据评分标准，该指标不扣分。</w:t>
      </w:r>
    </w:p>
    <w:p>
      <w:pPr>
        <w:pageBreakBefore w:val="0"/>
        <w:kinsoku/>
        <w:wordWrap/>
        <w:overflowPunct/>
        <w:topLinePunct w:val="0"/>
        <w:autoSpaceDE/>
        <w:autoSpaceDN/>
        <w:bidi w:val="0"/>
        <w:adjustRightInd/>
        <w:snapToGrid/>
        <w:spacing w:line="560" w:lineRule="exact"/>
        <w:ind w:firstLine="624" w:firstLineChars="200"/>
        <w:contextualSpacing/>
        <w:rPr>
          <w:rStyle w:val="21"/>
          <w:rFonts w:hint="eastAsia" w:ascii="仿宋_GB2312" w:hAnsi="仿宋_GB2312" w:eastAsia="仿宋_GB2312" w:cs="仿宋_GB2312"/>
          <w:b w:val="0"/>
          <w:color w:val="auto"/>
          <w:spacing w:val="-4"/>
          <w:kern w:val="2"/>
          <w:sz w:val="32"/>
          <w:szCs w:val="32"/>
          <w:lang w:val="en-US" w:eastAsia="zh-CN" w:bidi="ar-SA"/>
        </w:rPr>
      </w:pPr>
      <w:r>
        <w:rPr>
          <w:rStyle w:val="21"/>
          <w:rFonts w:hint="eastAsia" w:ascii="仿宋_GB2312" w:hAnsi="仿宋_GB2312" w:eastAsia="仿宋_GB2312" w:cs="仿宋_GB2312"/>
          <w:b w:val="0"/>
          <w:color w:val="auto"/>
          <w:spacing w:val="-4"/>
          <w:kern w:val="2"/>
          <w:sz w:val="32"/>
          <w:szCs w:val="32"/>
          <w:lang w:val="en-US" w:eastAsia="zh-CN" w:bidi="ar-SA"/>
        </w:rPr>
        <w:t>对于“预算执行率”，严格按照预算执行本年项目资金，执行率为98.9%。根据评分标准，该指标得0.99分。</w:t>
      </w:r>
    </w:p>
    <w:p>
      <w:pPr>
        <w:pageBreakBefore w:val="0"/>
        <w:kinsoku/>
        <w:wordWrap/>
        <w:overflowPunct/>
        <w:topLinePunct w:val="0"/>
        <w:autoSpaceDE/>
        <w:autoSpaceDN/>
        <w:bidi w:val="0"/>
        <w:adjustRightInd/>
        <w:snapToGrid/>
        <w:spacing w:line="560" w:lineRule="exact"/>
        <w:ind w:firstLine="624" w:firstLineChars="200"/>
        <w:contextualSpacing/>
        <w:rPr>
          <w:rStyle w:val="21"/>
          <w:rFonts w:hint="eastAsia" w:ascii="仿宋_GB2312" w:hAnsi="仿宋_GB2312" w:eastAsia="仿宋_GB2312" w:cs="仿宋_GB2312"/>
          <w:b w:val="0"/>
          <w:color w:val="auto"/>
          <w:spacing w:val="-4"/>
          <w:kern w:val="2"/>
          <w:sz w:val="32"/>
          <w:szCs w:val="32"/>
          <w:lang w:val="en-US" w:eastAsia="zh-CN" w:bidi="ar-SA"/>
        </w:rPr>
      </w:pPr>
      <w:r>
        <w:rPr>
          <w:rStyle w:val="21"/>
          <w:rFonts w:hint="eastAsia" w:ascii="仿宋_GB2312" w:hAnsi="仿宋_GB2312" w:eastAsia="仿宋_GB2312" w:cs="仿宋_GB2312"/>
          <w:b w:val="0"/>
          <w:color w:val="auto"/>
          <w:spacing w:val="-4"/>
          <w:kern w:val="2"/>
          <w:sz w:val="32"/>
          <w:szCs w:val="32"/>
          <w:lang w:val="en-US" w:eastAsia="zh-CN" w:bidi="ar-SA"/>
        </w:rPr>
        <w:t>对于“资金使用合规性”按照专项资金列支的范围使用资金，支出范围合规；资金支出能按财务制度执行，并能按国库集中支付制度规定执行，不存在资金违纪违规使用情况。按评分标准，指标实际得分率100%。</w:t>
      </w:r>
    </w:p>
    <w:p>
      <w:pPr>
        <w:pageBreakBefore w:val="0"/>
        <w:kinsoku/>
        <w:wordWrap/>
        <w:overflowPunct/>
        <w:topLinePunct w:val="0"/>
        <w:autoSpaceDE/>
        <w:autoSpaceDN/>
        <w:bidi w:val="0"/>
        <w:adjustRightInd/>
        <w:snapToGrid/>
        <w:spacing w:line="560" w:lineRule="exact"/>
        <w:ind w:firstLine="624" w:firstLineChars="200"/>
        <w:contextualSpacing/>
        <w:rPr>
          <w:rStyle w:val="21"/>
          <w:rFonts w:hint="eastAsia" w:ascii="仿宋_GB2312" w:hAnsi="仿宋_GB2312" w:eastAsia="仿宋_GB2312" w:cs="仿宋_GB2312"/>
          <w:b w:val="0"/>
          <w:color w:val="auto"/>
          <w:spacing w:val="-4"/>
          <w:kern w:val="2"/>
          <w:sz w:val="32"/>
          <w:szCs w:val="32"/>
          <w:lang w:val="en-US" w:eastAsia="zh-CN" w:bidi="ar-SA"/>
        </w:rPr>
      </w:pPr>
      <w:r>
        <w:rPr>
          <w:rStyle w:val="21"/>
          <w:rFonts w:hint="eastAsia" w:ascii="仿宋_GB2312" w:hAnsi="仿宋_GB2312" w:eastAsia="仿宋_GB2312" w:cs="仿宋_GB2312"/>
          <w:b w:val="0"/>
          <w:color w:val="auto"/>
          <w:spacing w:val="-4"/>
          <w:kern w:val="2"/>
          <w:sz w:val="32"/>
          <w:szCs w:val="32"/>
          <w:lang w:val="en-US" w:eastAsia="zh-CN" w:bidi="ar-SA"/>
        </w:rPr>
        <w:t>对于“管理制度健全性”，本院严格按《财务管理办法》、《财务岗位职责规范》、《差旅费管理暂行规定》等一系列规章制度，进一步完善和加强财务的管理和监督。按评价标准，指标实际得分率100%。</w:t>
      </w:r>
    </w:p>
    <w:p>
      <w:pPr>
        <w:pageBreakBefore w:val="0"/>
        <w:kinsoku/>
        <w:wordWrap/>
        <w:overflowPunct/>
        <w:topLinePunct w:val="0"/>
        <w:autoSpaceDE/>
        <w:autoSpaceDN/>
        <w:bidi w:val="0"/>
        <w:adjustRightInd/>
        <w:snapToGrid/>
        <w:spacing w:line="560" w:lineRule="exact"/>
        <w:ind w:firstLine="624" w:firstLineChars="200"/>
        <w:contextualSpacing/>
        <w:rPr>
          <w:rStyle w:val="21"/>
          <w:rFonts w:hint="eastAsia" w:ascii="仿宋_GB2312" w:hAnsi="仿宋_GB2312" w:eastAsia="仿宋_GB2312" w:cs="仿宋_GB2312"/>
          <w:b w:val="0"/>
          <w:color w:val="auto"/>
          <w:spacing w:val="-4"/>
          <w:kern w:val="2"/>
          <w:sz w:val="32"/>
          <w:szCs w:val="32"/>
          <w:lang w:val="en-US" w:eastAsia="zh-CN" w:bidi="ar-SA"/>
        </w:rPr>
      </w:pPr>
      <w:r>
        <w:rPr>
          <w:rStyle w:val="21"/>
          <w:rFonts w:hint="eastAsia" w:ascii="仿宋_GB2312" w:hAnsi="仿宋_GB2312" w:eastAsia="仿宋_GB2312" w:cs="仿宋_GB2312"/>
          <w:b w:val="0"/>
          <w:color w:val="auto"/>
          <w:spacing w:val="-4"/>
          <w:kern w:val="2"/>
          <w:sz w:val="32"/>
          <w:szCs w:val="32"/>
          <w:lang w:val="en-US" w:eastAsia="zh-CN" w:bidi="ar-SA"/>
        </w:rPr>
        <w:t>对于“制度执行有效性”，严格按照资金管理制度执行，不存在资金违纪违规使用情况。按评价标准，指标实际得分率100%。</w:t>
      </w:r>
    </w:p>
    <w:p>
      <w:pPr>
        <w:pStyle w:val="18"/>
        <w:pageBreakBefore w:val="0"/>
        <w:numPr>
          <w:ilvl w:val="0"/>
          <w:numId w:val="3"/>
        </w:numPr>
        <w:kinsoku/>
        <w:wordWrap/>
        <w:overflowPunct/>
        <w:topLinePunct w:val="0"/>
        <w:autoSpaceDE/>
        <w:autoSpaceDN/>
        <w:bidi w:val="0"/>
        <w:adjustRightInd/>
        <w:snapToGrid/>
        <w:spacing w:after="0" w:line="560" w:lineRule="exac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tbl>
      <w:tblPr>
        <w:tblStyle w:val="19"/>
        <w:tblW w:w="8522" w:type="dxa"/>
        <w:tblInd w:w="0" w:type="dxa"/>
        <w:tblLayout w:type="fixed"/>
        <w:tblCellMar>
          <w:top w:w="0" w:type="dxa"/>
          <w:left w:w="108" w:type="dxa"/>
          <w:bottom w:w="0" w:type="dxa"/>
          <w:right w:w="108" w:type="dxa"/>
        </w:tblCellMar>
      </w:tblPr>
      <w:tblGrid>
        <w:gridCol w:w="2874"/>
        <w:gridCol w:w="1765"/>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4"/>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产出</w:t>
            </w:r>
            <w:r>
              <w:rPr>
                <w:rFonts w:hint="eastAsia" w:ascii="仿宋_GB2312" w:hAnsi="仿宋_GB2312" w:eastAsia="仿宋_GB2312" w:cs="仿宋_GB2312"/>
                <w:b/>
                <w:bCs/>
                <w:color w:val="000000"/>
                <w:kern w:val="0"/>
                <w:sz w:val="32"/>
                <w:szCs w:val="32"/>
              </w:rPr>
              <w:t>指标得分情况</w:t>
            </w:r>
          </w:p>
        </w:tc>
      </w:tr>
      <w:tr>
        <w:tblPrEx>
          <w:tblCellMar>
            <w:top w:w="0" w:type="dxa"/>
            <w:left w:w="108" w:type="dxa"/>
            <w:bottom w:w="0" w:type="dxa"/>
            <w:right w:w="108" w:type="dxa"/>
          </w:tblCellMar>
        </w:tblPrEx>
        <w:trPr>
          <w:trHeight w:val="510" w:hRule="exact"/>
          <w:tblHeader/>
        </w:trPr>
        <w:tc>
          <w:tcPr>
            <w:tcW w:w="2874"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lang w:eastAsia="zh-CN"/>
              </w:rPr>
              <w:t>三</w:t>
            </w:r>
            <w:r>
              <w:rPr>
                <w:rFonts w:hint="eastAsia" w:ascii="仿宋_GB2312" w:hAnsi="仿宋_GB2312" w:eastAsia="仿宋_GB2312" w:cs="仿宋_GB2312"/>
                <w:b/>
                <w:bCs/>
                <w:color w:val="000000"/>
                <w:kern w:val="0"/>
                <w:sz w:val="32"/>
                <w:szCs w:val="32"/>
              </w:rPr>
              <w:t>级指标</w:t>
            </w:r>
          </w:p>
        </w:tc>
        <w:tc>
          <w:tcPr>
            <w:tcW w:w="176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89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rPr>
              <w:t>产出数量</w:t>
            </w:r>
          </w:p>
        </w:tc>
        <w:tc>
          <w:tcPr>
            <w:tcW w:w="1765"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15</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15</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rPr>
              <w:t>产出质量</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rPr>
              <w:t>产出时效</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15</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15</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产出成本</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93%</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9.3</w:t>
            </w:r>
          </w:p>
        </w:tc>
      </w:tr>
      <w:tr>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合  计</w:t>
            </w:r>
          </w:p>
        </w:tc>
        <w:tc>
          <w:tcPr>
            <w:tcW w:w="1765"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50</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98.25%</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49.3</w:t>
            </w:r>
          </w:p>
        </w:tc>
      </w:tr>
    </w:tbl>
    <w:p>
      <w:pPr>
        <w:pageBreakBefore w:val="0"/>
        <w:kinsoku/>
        <w:wordWrap/>
        <w:overflowPunct/>
        <w:topLinePunct w:val="0"/>
        <w:autoSpaceDE/>
        <w:autoSpaceDN/>
        <w:bidi w:val="0"/>
        <w:adjustRightInd/>
        <w:snapToGrid/>
        <w:spacing w:line="560" w:lineRule="exact"/>
        <w:ind w:firstLine="624" w:firstLineChars="200"/>
        <w:contextualSpacing/>
        <w:rPr>
          <w:rStyle w:val="21"/>
          <w:rFonts w:hint="eastAsia" w:ascii="仿宋_GB2312" w:hAnsi="仿宋_GB2312" w:eastAsia="仿宋_GB2312" w:cs="仿宋_GB2312"/>
          <w:b w:val="0"/>
          <w:bCs/>
          <w:spacing w:val="-4"/>
          <w:sz w:val="32"/>
          <w:szCs w:val="32"/>
        </w:rPr>
      </w:pPr>
      <w:r>
        <w:rPr>
          <w:rStyle w:val="21"/>
          <w:rFonts w:hint="eastAsia" w:ascii="仿宋_GB2312" w:hAnsi="仿宋_GB2312" w:eastAsia="仿宋_GB2312" w:cs="仿宋_GB2312"/>
          <w:b w:val="0"/>
          <w:bCs/>
          <w:spacing w:val="-4"/>
          <w:sz w:val="32"/>
          <w:szCs w:val="32"/>
        </w:rPr>
        <w:t>数量指标方面：采购仪器设备数量</w:t>
      </w:r>
      <w:r>
        <w:rPr>
          <w:rStyle w:val="21"/>
          <w:rFonts w:hint="eastAsia" w:ascii="仿宋_GB2312" w:hAnsi="仿宋_GB2312" w:eastAsia="仿宋_GB2312" w:cs="仿宋_GB2312"/>
          <w:b w:val="0"/>
          <w:bCs/>
          <w:spacing w:val="-4"/>
          <w:sz w:val="32"/>
          <w:szCs w:val="32"/>
          <w:lang w:eastAsia="zh-CN"/>
        </w:rPr>
        <w:t>年度指标值≥20个，实际完成值27个；第三次全国土地调查数据建库年度指标值=1个，实际完成值1个；聘用人员数量年度指标值≥15人，实际完成值1</w:t>
      </w:r>
      <w:r>
        <w:rPr>
          <w:rStyle w:val="21"/>
          <w:rFonts w:hint="eastAsia" w:ascii="仿宋_GB2312" w:hAnsi="仿宋_GB2312" w:eastAsia="仿宋_GB2312" w:cs="仿宋_GB2312"/>
          <w:b w:val="0"/>
          <w:bCs/>
          <w:spacing w:val="-4"/>
          <w:sz w:val="32"/>
          <w:szCs w:val="32"/>
          <w:lang w:val="en-US" w:eastAsia="zh-CN"/>
        </w:rPr>
        <w:t>8</w:t>
      </w:r>
      <w:r>
        <w:rPr>
          <w:rStyle w:val="21"/>
          <w:rFonts w:hint="eastAsia" w:ascii="仿宋_GB2312" w:hAnsi="仿宋_GB2312" w:eastAsia="仿宋_GB2312" w:cs="仿宋_GB2312"/>
          <w:b w:val="0"/>
          <w:bCs/>
          <w:spacing w:val="-4"/>
          <w:sz w:val="32"/>
          <w:szCs w:val="32"/>
          <w:lang w:eastAsia="zh-CN"/>
        </w:rPr>
        <w:t>人；“新疆巴尔鲁克山国家级自然保护区”勘测定界立标数量年度指标值≥250个，实际完成值298个。</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按评价标准，指标实际得分率100%。</w:t>
      </w:r>
    </w:p>
    <w:p>
      <w:pPr>
        <w:pageBreakBefore w:val="0"/>
        <w:kinsoku/>
        <w:wordWrap/>
        <w:overflowPunct/>
        <w:topLinePunct w:val="0"/>
        <w:autoSpaceDE/>
        <w:autoSpaceDN/>
        <w:bidi w:val="0"/>
        <w:adjustRightInd/>
        <w:snapToGrid/>
        <w:spacing w:line="560" w:lineRule="exact"/>
        <w:ind w:firstLine="640" w:firstLineChars="200"/>
        <w:contextualSpacing/>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rPr>
        <w:t>质量指标方面：采购产品验收合格率</w:t>
      </w:r>
      <w:r>
        <w:rPr>
          <w:rStyle w:val="21"/>
          <w:rFonts w:hint="eastAsia" w:ascii="仿宋_GB2312" w:hAnsi="仿宋_GB2312" w:eastAsia="仿宋_GB2312" w:cs="仿宋_GB2312"/>
          <w:b w:val="0"/>
          <w:bCs/>
          <w:spacing w:val="-4"/>
          <w:sz w:val="32"/>
          <w:szCs w:val="32"/>
          <w:lang w:eastAsia="zh-CN"/>
        </w:rPr>
        <w:t>年度指标值≥95%，实际完成值100%；质检软件通过率年度指标值≥95%，实际完成值100%；规程要求通过率年度指标值≥95%，实际完成值100%。</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按评价标准，指标实际得分率100%。</w:t>
      </w:r>
    </w:p>
    <w:p>
      <w:pPr>
        <w:pageBreakBefore w:val="0"/>
        <w:kinsoku/>
        <w:wordWrap/>
        <w:overflowPunct/>
        <w:topLinePunct w:val="0"/>
        <w:autoSpaceDE/>
        <w:autoSpaceDN/>
        <w:bidi w:val="0"/>
        <w:adjustRightInd/>
        <w:snapToGrid/>
        <w:spacing w:line="560" w:lineRule="exact"/>
        <w:ind w:firstLine="640" w:firstLineChars="200"/>
        <w:contextualSpacing/>
        <w:rPr>
          <w:rStyle w:val="21"/>
          <w:rFonts w:hint="eastAsia" w:ascii="仿宋_GB2312" w:hAnsi="仿宋_GB2312" w:eastAsia="仿宋_GB2312" w:cs="仿宋_GB2312"/>
          <w:b w:val="0"/>
          <w:color w:val="auto"/>
          <w:spacing w:val="-4"/>
          <w:kern w:val="2"/>
          <w:sz w:val="32"/>
          <w:szCs w:val="32"/>
          <w:lang w:val="en-US" w:eastAsia="zh-CN" w:bidi="ar-SA"/>
        </w:rPr>
      </w:pPr>
      <w:r>
        <w:rPr>
          <w:rStyle w:val="50"/>
          <w:rFonts w:hint="eastAsia" w:ascii="仿宋_GB2312" w:hAnsi="仿宋_GB2312" w:eastAsia="仿宋_GB2312" w:cs="仿宋_GB2312"/>
          <w:color w:val="auto"/>
          <w:lang w:val="en-US" w:eastAsia="zh-CN"/>
        </w:rPr>
        <w:t>时效指标方面：设备采购及时率</w:t>
      </w:r>
      <w:r>
        <w:rPr>
          <w:rStyle w:val="21"/>
          <w:rFonts w:hint="eastAsia" w:ascii="仿宋_GB2312" w:hAnsi="仿宋_GB2312" w:eastAsia="仿宋_GB2312" w:cs="仿宋_GB2312"/>
          <w:b w:val="0"/>
          <w:bCs/>
          <w:spacing w:val="-4"/>
          <w:sz w:val="32"/>
          <w:szCs w:val="32"/>
          <w:lang w:eastAsia="zh-CN"/>
        </w:rPr>
        <w:t>年度指标值≥95%，实际完成值≥95%；“新疆巴尔鲁克山国家级自然保护区”勘测定界立标工作验收年度指标值2020年4月14日验收完成，实际完成值2020年4月14日验收完成；聘用人员费用年度指标值</w:t>
      </w:r>
      <w:r>
        <w:rPr>
          <w:rStyle w:val="21"/>
          <w:rFonts w:hint="eastAsia" w:ascii="仿宋_GB2312" w:hAnsi="仿宋_GB2312" w:eastAsia="仿宋_GB2312" w:cs="仿宋_GB2312"/>
          <w:b w:val="0"/>
          <w:bCs/>
          <w:spacing w:val="-4"/>
          <w:sz w:val="32"/>
          <w:szCs w:val="32"/>
          <w:lang w:val="en-US" w:eastAsia="zh-CN"/>
        </w:rPr>
        <w:t>100%</w:t>
      </w:r>
      <w:r>
        <w:rPr>
          <w:rStyle w:val="21"/>
          <w:rFonts w:hint="eastAsia" w:ascii="仿宋_GB2312" w:hAnsi="仿宋_GB2312" w:eastAsia="仿宋_GB2312" w:cs="仿宋_GB2312"/>
          <w:b w:val="0"/>
          <w:bCs/>
          <w:spacing w:val="-4"/>
          <w:sz w:val="32"/>
          <w:szCs w:val="32"/>
          <w:lang w:eastAsia="zh-CN"/>
        </w:rPr>
        <w:t>，实际完成值</w:t>
      </w:r>
      <w:r>
        <w:rPr>
          <w:rStyle w:val="21"/>
          <w:rFonts w:hint="eastAsia" w:ascii="仿宋_GB2312" w:hAnsi="仿宋_GB2312" w:eastAsia="仿宋_GB2312" w:cs="仿宋_GB2312"/>
          <w:b w:val="0"/>
          <w:bCs/>
          <w:spacing w:val="-4"/>
          <w:sz w:val="32"/>
          <w:szCs w:val="32"/>
          <w:lang w:val="en-US" w:eastAsia="zh-CN"/>
        </w:rPr>
        <w:t>100%。</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按评价标准，指标实际得分率100%。</w:t>
      </w:r>
    </w:p>
    <w:p>
      <w:pPr>
        <w:pageBreakBefore w:val="0"/>
        <w:kinsoku/>
        <w:wordWrap/>
        <w:overflowPunct/>
        <w:topLinePunct w:val="0"/>
        <w:autoSpaceDE/>
        <w:autoSpaceDN/>
        <w:bidi w:val="0"/>
        <w:adjustRightInd/>
        <w:snapToGrid/>
        <w:spacing w:line="560" w:lineRule="exact"/>
        <w:ind w:firstLine="640" w:firstLineChars="200"/>
        <w:contextualSpacing/>
        <w:rPr>
          <w:rStyle w:val="50"/>
          <w:rFonts w:hint="eastAsia" w:ascii="仿宋_GB2312" w:hAnsi="仿宋_GB2312" w:eastAsia="仿宋_GB2312" w:cs="仿宋_GB2312"/>
          <w:b w:val="0"/>
          <w:bCs w:val="0"/>
          <w:color w:val="auto"/>
          <w:lang w:val="en-US" w:eastAsia="zh-CN"/>
        </w:rPr>
      </w:pPr>
      <w:r>
        <w:rPr>
          <w:rStyle w:val="50"/>
          <w:rFonts w:hint="eastAsia" w:ascii="仿宋_GB2312" w:hAnsi="仿宋_GB2312" w:eastAsia="仿宋_GB2312" w:cs="仿宋_GB2312"/>
          <w:b w:val="0"/>
          <w:bCs w:val="0"/>
          <w:color w:val="auto"/>
          <w:lang w:val="en-US" w:eastAsia="zh-CN"/>
        </w:rPr>
        <w:t>成本指标方面：政府采购经费</w:t>
      </w:r>
      <w:r>
        <w:rPr>
          <w:rStyle w:val="21"/>
          <w:rFonts w:hint="eastAsia" w:ascii="仿宋_GB2312" w:hAnsi="仿宋_GB2312" w:eastAsia="仿宋_GB2312" w:cs="仿宋_GB2312"/>
          <w:b w:val="0"/>
          <w:bCs/>
          <w:spacing w:val="-4"/>
          <w:sz w:val="32"/>
          <w:szCs w:val="32"/>
          <w:lang w:eastAsia="zh-CN"/>
        </w:rPr>
        <w:t>年度指标值≤155万元，实际完成值165.7万元，超过年初计划，应扣分；劳务经费年度指标值≤350万元，实际完成值308.9万元。</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按评价标准，指标实际得分率93%。</w:t>
      </w:r>
    </w:p>
    <w:p>
      <w:pPr>
        <w:pStyle w:val="18"/>
        <w:pageBreakBefore w:val="0"/>
        <w:numPr>
          <w:ilvl w:val="0"/>
          <w:numId w:val="3"/>
        </w:numPr>
        <w:kinsoku/>
        <w:wordWrap/>
        <w:overflowPunct/>
        <w:topLinePunct w:val="0"/>
        <w:autoSpaceDE/>
        <w:autoSpaceDN/>
        <w:bidi w:val="0"/>
        <w:adjustRightInd/>
        <w:snapToGrid/>
        <w:spacing w:after="0" w:line="560" w:lineRule="exac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tbl>
      <w:tblPr>
        <w:tblStyle w:val="19"/>
        <w:tblW w:w="8522" w:type="dxa"/>
        <w:tblInd w:w="0" w:type="dxa"/>
        <w:tblLayout w:type="fixed"/>
        <w:tblCellMar>
          <w:top w:w="0" w:type="dxa"/>
          <w:left w:w="108" w:type="dxa"/>
          <w:bottom w:w="0" w:type="dxa"/>
          <w:right w:w="108" w:type="dxa"/>
        </w:tblCellMar>
      </w:tblPr>
      <w:tblGrid>
        <w:gridCol w:w="2874"/>
        <w:gridCol w:w="1765"/>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4"/>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效益</w:t>
            </w:r>
            <w:r>
              <w:rPr>
                <w:rFonts w:hint="eastAsia" w:ascii="仿宋_GB2312" w:hAnsi="仿宋_GB2312" w:eastAsia="仿宋_GB2312" w:cs="仿宋_GB2312"/>
                <w:b/>
                <w:bCs/>
                <w:color w:val="000000"/>
                <w:kern w:val="0"/>
                <w:sz w:val="32"/>
                <w:szCs w:val="32"/>
              </w:rPr>
              <w:t>指标得分情况</w:t>
            </w:r>
          </w:p>
        </w:tc>
      </w:tr>
      <w:tr>
        <w:tblPrEx>
          <w:tblCellMar>
            <w:top w:w="0" w:type="dxa"/>
            <w:left w:w="108" w:type="dxa"/>
            <w:bottom w:w="0" w:type="dxa"/>
            <w:right w:w="108" w:type="dxa"/>
          </w:tblCellMar>
        </w:tblPrEx>
        <w:trPr>
          <w:trHeight w:val="510" w:hRule="exact"/>
          <w:tblHeader/>
        </w:trPr>
        <w:tc>
          <w:tcPr>
            <w:tcW w:w="2874"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lang w:eastAsia="zh-CN"/>
              </w:rPr>
              <w:t>三</w:t>
            </w:r>
            <w:r>
              <w:rPr>
                <w:rFonts w:hint="eastAsia" w:ascii="仿宋_GB2312" w:hAnsi="仿宋_GB2312" w:eastAsia="仿宋_GB2312" w:cs="仿宋_GB2312"/>
                <w:b/>
                <w:bCs/>
                <w:color w:val="000000"/>
                <w:kern w:val="0"/>
                <w:sz w:val="32"/>
                <w:szCs w:val="32"/>
              </w:rPr>
              <w:t>级指标</w:t>
            </w:r>
          </w:p>
        </w:tc>
        <w:tc>
          <w:tcPr>
            <w:tcW w:w="176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89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Style w:val="50"/>
                <w:rFonts w:hint="eastAsia" w:ascii="仿宋_GB2312" w:hAnsi="仿宋_GB2312" w:eastAsia="仿宋_GB2312" w:cs="仿宋_GB2312"/>
                <w:color w:val="auto"/>
              </w:rPr>
              <w:t>经济效益</w:t>
            </w:r>
          </w:p>
        </w:tc>
        <w:tc>
          <w:tcPr>
            <w:tcW w:w="1765"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Style w:val="50"/>
                <w:rFonts w:hint="eastAsia" w:ascii="仿宋_GB2312" w:hAnsi="仿宋_GB2312" w:eastAsia="仿宋_GB2312" w:cs="仿宋_GB2312"/>
                <w:color w:val="auto"/>
                <w:lang w:eastAsia="zh-CN"/>
              </w:rPr>
              <w:t>社会</w:t>
            </w:r>
            <w:r>
              <w:rPr>
                <w:rStyle w:val="50"/>
                <w:rFonts w:hint="eastAsia" w:ascii="仿宋_GB2312" w:hAnsi="仿宋_GB2312" w:eastAsia="仿宋_GB2312" w:cs="仿宋_GB2312"/>
                <w:color w:val="auto"/>
              </w:rPr>
              <w:t>效益</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Style w:val="50"/>
                <w:rFonts w:hint="eastAsia" w:ascii="仿宋_GB2312" w:hAnsi="仿宋_GB2312" w:eastAsia="仿宋_GB2312" w:cs="仿宋_GB2312"/>
                <w:color w:val="auto"/>
              </w:rPr>
              <w:t>可持续影响</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default"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98%</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default"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9.8</w:t>
            </w:r>
          </w:p>
        </w:tc>
      </w:tr>
      <w:tr>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满意度</w:t>
            </w:r>
          </w:p>
        </w:tc>
        <w:tc>
          <w:tcPr>
            <w:tcW w:w="176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Style w:val="21"/>
                <w:rFonts w:hint="eastAsia"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Style w:val="21"/>
                <w:rFonts w:hint="default" w:ascii="仿宋_GB2312" w:hAnsi="仿宋_GB2312" w:eastAsia="仿宋_GB2312" w:cs="仿宋_GB2312"/>
                <w:b w:val="0"/>
                <w:color w:val="auto"/>
                <w:spacing w:val="-4"/>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rPr>
              <w:t>10</w:t>
            </w:r>
          </w:p>
        </w:tc>
      </w:tr>
      <w:tr>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合  计</w:t>
            </w:r>
          </w:p>
        </w:tc>
        <w:tc>
          <w:tcPr>
            <w:tcW w:w="1765"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40</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99.5%</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39.8</w:t>
            </w:r>
          </w:p>
        </w:tc>
      </w:tr>
    </w:tbl>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rPr>
        <w:t>经济效益指标方面：创造经济效益</w:t>
      </w:r>
      <w:r>
        <w:rPr>
          <w:rStyle w:val="21"/>
          <w:rFonts w:hint="eastAsia" w:ascii="仿宋_GB2312" w:hAnsi="仿宋_GB2312" w:eastAsia="仿宋_GB2312" w:cs="仿宋_GB2312"/>
          <w:b w:val="0"/>
          <w:bCs/>
          <w:spacing w:val="-4"/>
          <w:sz w:val="32"/>
          <w:szCs w:val="32"/>
          <w:lang w:eastAsia="zh-CN"/>
        </w:rPr>
        <w:t>年度指标值</w:t>
      </w:r>
      <w:r>
        <w:rPr>
          <w:rStyle w:val="21"/>
          <w:rFonts w:hint="eastAsia" w:ascii="仿宋_GB2312" w:hAnsi="仿宋_GB2312" w:eastAsia="仿宋_GB2312" w:cs="仿宋_GB2312"/>
          <w:b w:val="0"/>
          <w:bCs/>
          <w:spacing w:val="-4"/>
          <w:sz w:val="32"/>
          <w:szCs w:val="32"/>
          <w:lang w:val="en-US" w:eastAsia="zh-CN"/>
        </w:rPr>
        <w:t>≤650万元</w:t>
      </w:r>
      <w:r>
        <w:rPr>
          <w:rStyle w:val="21"/>
          <w:rFonts w:hint="eastAsia" w:ascii="仿宋_GB2312" w:hAnsi="仿宋_GB2312" w:eastAsia="仿宋_GB2312" w:cs="仿宋_GB2312"/>
          <w:b w:val="0"/>
          <w:bCs/>
          <w:spacing w:val="-4"/>
          <w:sz w:val="32"/>
          <w:szCs w:val="32"/>
          <w:lang w:eastAsia="zh-CN"/>
        </w:rPr>
        <w:t>，实际完成值</w:t>
      </w:r>
      <w:r>
        <w:rPr>
          <w:rStyle w:val="21"/>
          <w:rFonts w:hint="eastAsia" w:ascii="仿宋_GB2312" w:hAnsi="仿宋_GB2312" w:eastAsia="仿宋_GB2312" w:cs="仿宋_GB2312"/>
          <w:b w:val="0"/>
          <w:bCs/>
          <w:spacing w:val="-4"/>
          <w:sz w:val="32"/>
          <w:szCs w:val="32"/>
          <w:lang w:val="en-US" w:eastAsia="zh-CN"/>
        </w:rPr>
        <w:t>791万元，</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按评价标准，指标实际得分率100%。</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rPr>
        <w:t>社会效益指标方面：聘用人员就业、上岗率</w:t>
      </w:r>
      <w:r>
        <w:rPr>
          <w:rStyle w:val="21"/>
          <w:rFonts w:hint="eastAsia" w:ascii="仿宋_GB2312" w:hAnsi="仿宋_GB2312" w:eastAsia="仿宋_GB2312" w:cs="仿宋_GB2312"/>
          <w:b w:val="0"/>
          <w:bCs/>
          <w:spacing w:val="-4"/>
          <w:sz w:val="32"/>
          <w:szCs w:val="32"/>
          <w:lang w:eastAsia="zh-CN"/>
        </w:rPr>
        <w:t>年度指标值</w:t>
      </w:r>
      <w:r>
        <w:rPr>
          <w:rStyle w:val="21"/>
          <w:rFonts w:hint="eastAsia" w:ascii="仿宋_GB2312" w:hAnsi="仿宋_GB2312" w:eastAsia="仿宋_GB2312" w:cs="仿宋_GB2312"/>
          <w:b w:val="0"/>
          <w:bCs/>
          <w:spacing w:val="-4"/>
          <w:sz w:val="32"/>
          <w:szCs w:val="32"/>
          <w:lang w:val="en-US" w:eastAsia="zh-CN"/>
        </w:rPr>
        <w:t>≥95%</w:t>
      </w:r>
      <w:r>
        <w:rPr>
          <w:rStyle w:val="21"/>
          <w:rFonts w:hint="eastAsia" w:ascii="仿宋_GB2312" w:hAnsi="仿宋_GB2312" w:eastAsia="仿宋_GB2312" w:cs="仿宋_GB2312"/>
          <w:b w:val="0"/>
          <w:bCs/>
          <w:spacing w:val="-4"/>
          <w:sz w:val="32"/>
          <w:szCs w:val="32"/>
          <w:lang w:eastAsia="zh-CN"/>
        </w:rPr>
        <w:t>，实际完成值</w:t>
      </w:r>
      <w:r>
        <w:rPr>
          <w:rStyle w:val="21"/>
          <w:rFonts w:hint="eastAsia" w:ascii="仿宋_GB2312" w:hAnsi="仿宋_GB2312" w:eastAsia="仿宋_GB2312" w:cs="仿宋_GB2312"/>
          <w:b w:val="0"/>
          <w:bCs/>
          <w:spacing w:val="-4"/>
          <w:sz w:val="32"/>
          <w:szCs w:val="32"/>
          <w:lang w:val="en-US" w:eastAsia="zh-CN"/>
        </w:rPr>
        <w:t>100%，</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按评价标准，指标实际得分率100%。</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rPr>
        <w:t>可持续影响指标方面：测绘成果应用时间</w:t>
      </w:r>
      <w:r>
        <w:rPr>
          <w:rStyle w:val="21"/>
          <w:rFonts w:hint="eastAsia" w:ascii="仿宋_GB2312" w:hAnsi="仿宋_GB2312" w:eastAsia="仿宋_GB2312" w:cs="仿宋_GB2312"/>
          <w:b w:val="0"/>
          <w:bCs/>
          <w:spacing w:val="-4"/>
          <w:sz w:val="32"/>
          <w:szCs w:val="32"/>
          <w:lang w:eastAsia="zh-CN"/>
        </w:rPr>
        <w:t>年度指标值</w:t>
      </w:r>
      <w:r>
        <w:rPr>
          <w:rStyle w:val="21"/>
          <w:rFonts w:hint="eastAsia" w:ascii="仿宋_GB2312" w:hAnsi="仿宋_GB2312" w:eastAsia="仿宋_GB2312" w:cs="仿宋_GB2312"/>
          <w:b w:val="0"/>
          <w:bCs/>
          <w:spacing w:val="-4"/>
          <w:sz w:val="32"/>
          <w:szCs w:val="32"/>
          <w:lang w:val="en-US" w:eastAsia="zh-CN"/>
        </w:rPr>
        <w:t>≥中长期</w:t>
      </w:r>
      <w:r>
        <w:rPr>
          <w:rStyle w:val="21"/>
          <w:rFonts w:hint="eastAsia" w:ascii="仿宋_GB2312" w:hAnsi="仿宋_GB2312" w:eastAsia="仿宋_GB2312" w:cs="仿宋_GB2312"/>
          <w:b w:val="0"/>
          <w:bCs/>
          <w:spacing w:val="-4"/>
          <w:sz w:val="32"/>
          <w:szCs w:val="32"/>
          <w:lang w:eastAsia="zh-CN"/>
        </w:rPr>
        <w:t>，实际完成值</w:t>
      </w:r>
      <w:r>
        <w:rPr>
          <w:rStyle w:val="21"/>
          <w:rFonts w:hint="eastAsia" w:ascii="仿宋_GB2312" w:hAnsi="仿宋_GB2312" w:eastAsia="仿宋_GB2312" w:cs="仿宋_GB2312"/>
          <w:b w:val="0"/>
          <w:bCs/>
          <w:spacing w:val="-4"/>
          <w:sz w:val="32"/>
          <w:szCs w:val="32"/>
          <w:lang w:val="en-US" w:eastAsia="zh-CN"/>
        </w:rPr>
        <w:t>中长期，但因测绘成果应用时间的划分问题，该指标扣分，</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按评价标准，指标实际得分率98%。</w:t>
      </w:r>
    </w:p>
    <w:p>
      <w:pPr>
        <w:pageBreakBefore w:val="0"/>
        <w:kinsoku/>
        <w:wordWrap/>
        <w:overflowPunct/>
        <w:topLinePunct w:val="0"/>
        <w:autoSpaceDE/>
        <w:autoSpaceDN/>
        <w:bidi w:val="0"/>
        <w:adjustRightInd/>
        <w:snapToGrid/>
        <w:spacing w:line="560" w:lineRule="exact"/>
        <w:ind w:firstLine="640"/>
        <w:rPr>
          <w:rFonts w:hint="eastAsia" w:ascii="仿宋_GB2312" w:hAnsi="仿宋_GB2312" w:eastAsia="仿宋_GB2312" w:cs="仿宋_GB2312"/>
          <w:sz w:val="32"/>
          <w:szCs w:val="32"/>
          <w:lang w:eastAsia="zh-CN"/>
        </w:rPr>
      </w:pPr>
      <w:r>
        <w:rPr>
          <w:rStyle w:val="50"/>
          <w:rFonts w:hint="eastAsia" w:ascii="仿宋_GB2312" w:hAnsi="仿宋_GB2312" w:eastAsia="仿宋_GB2312" w:cs="仿宋_GB2312"/>
          <w:color w:val="auto"/>
        </w:rPr>
        <w:t>满意度指标方面：采购产品数量及质量达到使用人员满意度</w:t>
      </w:r>
      <w:r>
        <w:rPr>
          <w:rStyle w:val="21"/>
          <w:rFonts w:hint="eastAsia" w:ascii="仿宋_GB2312" w:hAnsi="仿宋_GB2312" w:eastAsia="仿宋_GB2312" w:cs="仿宋_GB2312"/>
          <w:b w:val="0"/>
          <w:bCs/>
          <w:spacing w:val="-4"/>
          <w:sz w:val="32"/>
          <w:szCs w:val="32"/>
          <w:lang w:eastAsia="zh-CN"/>
        </w:rPr>
        <w:t>年度指标值</w:t>
      </w:r>
      <w:r>
        <w:rPr>
          <w:rStyle w:val="21"/>
          <w:rFonts w:hint="eastAsia" w:ascii="仿宋_GB2312" w:hAnsi="仿宋_GB2312" w:eastAsia="仿宋_GB2312" w:cs="仿宋_GB2312"/>
          <w:b w:val="0"/>
          <w:bCs/>
          <w:spacing w:val="-4"/>
          <w:sz w:val="32"/>
          <w:szCs w:val="32"/>
          <w:lang w:val="en-US" w:eastAsia="zh-CN"/>
        </w:rPr>
        <w:t>≥95%，</w:t>
      </w:r>
      <w:r>
        <w:rPr>
          <w:rStyle w:val="21"/>
          <w:rFonts w:hint="eastAsia" w:ascii="仿宋_GB2312" w:hAnsi="仿宋_GB2312" w:eastAsia="仿宋_GB2312" w:cs="仿宋_GB2312"/>
          <w:b w:val="0"/>
          <w:bCs/>
          <w:spacing w:val="-4"/>
          <w:sz w:val="32"/>
          <w:szCs w:val="32"/>
          <w:lang w:eastAsia="zh-CN"/>
        </w:rPr>
        <w:t>实际完成值</w:t>
      </w:r>
      <w:r>
        <w:rPr>
          <w:rStyle w:val="21"/>
          <w:rFonts w:hint="eastAsia" w:ascii="仿宋_GB2312" w:hAnsi="仿宋_GB2312" w:eastAsia="仿宋_GB2312" w:cs="仿宋_GB2312"/>
          <w:b w:val="0"/>
          <w:bCs/>
          <w:spacing w:val="-4"/>
          <w:sz w:val="32"/>
          <w:szCs w:val="32"/>
          <w:lang w:val="en-US" w:eastAsia="zh-CN"/>
        </w:rPr>
        <w:t>95%；各业务部门对工作满意程度</w:t>
      </w:r>
      <w:r>
        <w:rPr>
          <w:rStyle w:val="21"/>
          <w:rFonts w:hint="eastAsia" w:ascii="仿宋_GB2312" w:hAnsi="仿宋_GB2312" w:eastAsia="仿宋_GB2312" w:cs="仿宋_GB2312"/>
          <w:b w:val="0"/>
          <w:bCs/>
          <w:spacing w:val="-4"/>
          <w:sz w:val="32"/>
          <w:szCs w:val="32"/>
          <w:lang w:eastAsia="zh-CN"/>
        </w:rPr>
        <w:t>年度指标值</w:t>
      </w:r>
      <w:r>
        <w:rPr>
          <w:rStyle w:val="21"/>
          <w:rFonts w:hint="eastAsia" w:ascii="仿宋_GB2312" w:hAnsi="仿宋_GB2312" w:eastAsia="仿宋_GB2312" w:cs="仿宋_GB2312"/>
          <w:b w:val="0"/>
          <w:bCs/>
          <w:spacing w:val="-4"/>
          <w:sz w:val="32"/>
          <w:szCs w:val="32"/>
          <w:lang w:val="en-US" w:eastAsia="zh-CN"/>
        </w:rPr>
        <w:t>≥95%，</w:t>
      </w:r>
      <w:r>
        <w:rPr>
          <w:rStyle w:val="21"/>
          <w:rFonts w:hint="eastAsia" w:ascii="仿宋_GB2312" w:hAnsi="仿宋_GB2312" w:eastAsia="仿宋_GB2312" w:cs="仿宋_GB2312"/>
          <w:b w:val="0"/>
          <w:bCs/>
          <w:spacing w:val="-4"/>
          <w:sz w:val="32"/>
          <w:szCs w:val="32"/>
          <w:lang w:eastAsia="zh-CN"/>
        </w:rPr>
        <w:t>实际完成值</w:t>
      </w:r>
      <w:r>
        <w:rPr>
          <w:rStyle w:val="21"/>
          <w:rFonts w:hint="eastAsia" w:ascii="仿宋_GB2312" w:hAnsi="仿宋_GB2312" w:eastAsia="仿宋_GB2312" w:cs="仿宋_GB2312"/>
          <w:b w:val="0"/>
          <w:bCs/>
          <w:spacing w:val="-4"/>
          <w:sz w:val="32"/>
          <w:szCs w:val="32"/>
          <w:lang w:val="en-US" w:eastAsia="zh-CN"/>
        </w:rPr>
        <w:t>98%</w:t>
      </w:r>
      <w:r>
        <w:rPr>
          <w:rStyle w:val="50"/>
          <w:rFonts w:hint="eastAsia" w:ascii="仿宋_GB2312" w:hAnsi="仿宋_GB2312" w:eastAsia="仿宋_GB2312" w:cs="仿宋_GB2312"/>
          <w:color w:val="auto"/>
          <w:lang w:eastAsia="zh-CN"/>
        </w:rPr>
        <w:t>，</w:t>
      </w:r>
      <w:r>
        <w:rPr>
          <w:rStyle w:val="21"/>
          <w:rFonts w:hint="eastAsia" w:ascii="仿宋_GB2312" w:hAnsi="仿宋_GB2312" w:eastAsia="仿宋_GB2312" w:cs="仿宋_GB2312"/>
          <w:b w:val="0"/>
          <w:color w:val="auto"/>
          <w:spacing w:val="-4"/>
          <w:kern w:val="2"/>
          <w:sz w:val="32"/>
          <w:szCs w:val="32"/>
          <w:lang w:val="en-US" w:eastAsia="zh-CN" w:bidi="ar-SA"/>
        </w:rPr>
        <w:t>按评价标准，指标实际得分率100%。</w:t>
      </w:r>
    </w:p>
    <w:p>
      <w:pPr>
        <w:pageBreakBefore w:val="0"/>
        <w:kinsoku/>
        <w:wordWrap/>
        <w:overflowPunct/>
        <w:topLinePunct w:val="0"/>
        <w:autoSpaceDE/>
        <w:autoSpaceDN/>
        <w:bidi w:val="0"/>
        <w:adjustRightInd/>
        <w:snapToGrid/>
        <w:spacing w:line="560" w:lineRule="exact"/>
        <w:ind w:firstLine="641"/>
        <w:rPr>
          <w:rStyle w:val="50"/>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lang w:val="en-US" w:eastAsia="zh-CN"/>
        </w:rPr>
        <w:t>1.</w:t>
      </w:r>
      <w:r>
        <w:rPr>
          <w:rStyle w:val="50"/>
          <w:rFonts w:hint="eastAsia" w:ascii="仿宋_GB2312" w:hAnsi="仿宋_GB2312" w:eastAsia="仿宋_GB2312" w:cs="仿宋_GB2312"/>
          <w:color w:val="auto"/>
        </w:rPr>
        <w:t>存在的问题</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lang w:eastAsia="zh-CN"/>
        </w:rPr>
        <w:t>成本指标中的政府采购实际完成值大于年度指标值</w:t>
      </w:r>
      <w:r>
        <w:rPr>
          <w:rStyle w:val="50"/>
          <w:rFonts w:hint="eastAsia" w:ascii="仿宋_GB2312" w:hAnsi="仿宋_GB2312" w:eastAsia="仿宋_GB2312" w:cs="仿宋_GB2312"/>
          <w:color w:val="auto"/>
        </w:rPr>
        <w:t>。</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lang w:val="en-US" w:eastAsia="zh-CN"/>
        </w:rPr>
        <w:t>2.</w:t>
      </w:r>
      <w:r>
        <w:rPr>
          <w:rStyle w:val="50"/>
          <w:rFonts w:hint="eastAsia" w:ascii="仿宋_GB2312" w:hAnsi="仿宋_GB2312" w:eastAsia="仿宋_GB2312" w:cs="仿宋_GB2312"/>
          <w:color w:val="auto"/>
        </w:rPr>
        <w:t>原因分析</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rPr>
        <w:t>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p>
    <w:p>
      <w:pPr>
        <w:pageBreakBefore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有关建议</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lang w:val="en-US" w:eastAsia="zh-CN"/>
        </w:rPr>
        <w:t>1.</w:t>
      </w:r>
      <w:r>
        <w:rPr>
          <w:rStyle w:val="50"/>
          <w:rFonts w:hint="eastAsia" w:ascii="仿宋_GB2312" w:hAnsi="仿宋_GB2312" w:eastAsia="仿宋_GB2312" w:cs="仿宋_GB2312"/>
          <w:color w:val="auto"/>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rPr>
      </w:pPr>
      <w:r>
        <w:rPr>
          <w:rStyle w:val="50"/>
          <w:rFonts w:hint="eastAsia" w:ascii="仿宋_GB2312" w:hAnsi="仿宋_GB2312" w:eastAsia="仿宋_GB2312" w:cs="仿宋_GB2312"/>
          <w:color w:val="auto"/>
          <w:lang w:val="en-US" w:eastAsia="zh-CN"/>
        </w:rPr>
        <w:t>2.</w:t>
      </w:r>
      <w:r>
        <w:rPr>
          <w:rStyle w:val="50"/>
          <w:rFonts w:hint="eastAsia" w:ascii="仿宋_GB2312" w:hAnsi="仿宋_GB2312" w:eastAsia="仿宋_GB2312" w:cs="仿宋_GB2312"/>
          <w:color w:val="auto"/>
        </w:rPr>
        <w:t>财政和项目实施单位严格实行“三专”管理，即设专户、建专帐、定专人。同时，资金拨付除坚持按项目计划、工程进度和质量分阶段验收拨款外，还坚持部门联审制，项目单位先做事、后</w:t>
      </w:r>
      <w:r>
        <w:rPr>
          <w:rStyle w:val="50"/>
          <w:rFonts w:hint="eastAsia" w:ascii="仿宋_GB2312" w:hAnsi="仿宋_GB2312" w:eastAsia="仿宋_GB2312" w:cs="仿宋_GB2312"/>
          <w:color w:val="auto"/>
          <w:lang w:eastAsia="zh-CN"/>
        </w:rPr>
        <w:t>报账</w:t>
      </w:r>
      <w:r>
        <w:rPr>
          <w:rStyle w:val="50"/>
          <w:rFonts w:hint="eastAsia" w:ascii="仿宋_GB2312" w:hAnsi="仿宋_GB2312" w:eastAsia="仿宋_GB2312" w:cs="仿宋_GB2312"/>
          <w:color w:val="auto"/>
        </w:rPr>
        <w:t>，从而确保专项资金专款专用，有效地防止了截留、挤占和挪用。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lang w:val="en-US" w:eastAsia="zh-CN"/>
        </w:rPr>
      </w:pPr>
    </w:p>
    <w:tbl>
      <w:tblPr>
        <w:tblStyle w:val="19"/>
        <w:tblW w:w="9360"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680"/>
        <w:gridCol w:w="1800"/>
      </w:tblGrid>
      <w:tr>
        <w:tblPrEx>
          <w:shd w:val="clear" w:color="auto" w:fill="auto"/>
          <w:tblCellMar>
            <w:top w:w="0" w:type="dxa"/>
            <w:left w:w="0" w:type="dxa"/>
            <w:bottom w:w="0" w:type="dxa"/>
            <w:right w:w="0" w:type="dxa"/>
          </w:tblCellMar>
        </w:tblPrEx>
        <w:trPr>
          <w:trHeight w:val="409" w:hRule="atLeast"/>
        </w:trPr>
        <w:tc>
          <w:tcPr>
            <w:tcW w:w="93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b/>
                <w:i w:val="0"/>
                <w:color w:val="000000"/>
                <w:sz w:val="32"/>
                <w:szCs w:val="32"/>
                <w:u w:val="none"/>
              </w:rPr>
            </w:pPr>
            <w:r>
              <w:rPr>
                <w:rFonts w:hint="eastAsia" w:ascii="方正小标宋_GBK" w:hAnsi="方正小标宋_GBK" w:eastAsia="方正小标宋_GBK" w:cs="方正小标宋_GBK"/>
                <w:b w:val="0"/>
                <w:bCs/>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3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8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2020年测绘地理信息收费项目</w:t>
            </w:r>
          </w:p>
        </w:tc>
      </w:tr>
      <w:tr>
        <w:tblPrEx>
          <w:shd w:val="clear" w:color="auto" w:fill="auto"/>
          <w:tblCellMar>
            <w:top w:w="0" w:type="dxa"/>
            <w:left w:w="0" w:type="dxa"/>
            <w:bottom w:w="0" w:type="dxa"/>
            <w:right w:w="0" w:type="dxa"/>
          </w:tblCellMar>
        </w:tblPrEx>
        <w:trPr>
          <w:trHeight w:val="52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塔城地区国土资源规划研究院</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pageBreakBefore w:val="0"/>
              <w:kinsoku/>
              <w:wordWrap/>
              <w:overflowPunct/>
              <w:topLinePunct w:val="0"/>
              <w:autoSpaceDE/>
              <w:autoSpaceDN/>
              <w:bidi w:val="0"/>
              <w:adjustRightInd/>
              <w:snapToGrid/>
              <w:spacing w:line="560" w:lineRule="exact"/>
              <w:jc w:val="center"/>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392"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626.6</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640.1</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633.3</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98.94%</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626.60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626.6</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619.80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401"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目标1：保障国土规划研究院在职职工及通体职工的正常生活及办公。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目标2：托里第三次全国国土调查、新建铁路新疆克拉玛依至塔城段工程建设用地土地使用权界线进行勘测定界、新疆巴尔鲁克山国家级自然保护区”勘测定界立标工作、克拉玛依石油用地的长期用地和临时用地进行土地权属勘测定界工作、政府及上级主管部门下达的工作任务等。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目标3：保质保量完成上级部门及当地政府安排的各项工作任务。</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目标1：保障国土规划研究院在职职工及通体职工的正常生活及办公。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目标2：托里第三次全国国土调查、新建铁路新疆克拉玛依至塔城段工程建设用地土地使用权界线进行勘测定界、新疆巴尔鲁克山国家级自然保护区”勘测定界立标工作、克拉玛依石油用地的长期用地和临时用地进行土地权属勘测定界工作、政府及上级主管部门下达的工作任务等。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目标3：保质保量完成上级部门及当地政府安排的各项工作任务。</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采购仪器设备数量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≥20个</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27个</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以当年实际采购价格及数量为准</w:t>
            </w: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第三次全国土地调查数据建库</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聘用人员数量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≥15人</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18人</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以当年工作需要，实际聘用人员数为准。</w:t>
            </w:r>
          </w:p>
        </w:tc>
      </w:tr>
      <w:tr>
        <w:tblPrEx>
          <w:shd w:val="clear" w:color="auto" w:fill="auto"/>
          <w:tblCellMar>
            <w:top w:w="0" w:type="dxa"/>
            <w:left w:w="0" w:type="dxa"/>
            <w:bottom w:w="0" w:type="dxa"/>
            <w:right w:w="0" w:type="dxa"/>
          </w:tblCellMar>
        </w:tblPrEx>
        <w:trPr>
          <w:trHeight w:val="7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“新疆巴尔鲁克山国家级自然保护区”勘测定界立标数量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≥250个</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298个</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按甲方实施方案要求进行埋桩、立标。</w:t>
            </w: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采购产品验收合格率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质检软件通过率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规程要求通过率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设备采购及时率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32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“新疆巴尔鲁克山国家级自然保护区”勘测定界立标工作验收</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2020年4月14日验收完成</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2020年4月1日验收完成</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聘用人员费用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政府采购经费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≤155万元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165.7万元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根据当年工作安排，政府采购资金增大</w:t>
            </w:r>
          </w:p>
        </w:tc>
      </w:tr>
      <w:tr>
        <w:tblPrEx>
          <w:shd w:val="clear" w:color="auto" w:fill="auto"/>
          <w:tblCellMar>
            <w:top w:w="0" w:type="dxa"/>
            <w:left w:w="0" w:type="dxa"/>
            <w:bottom w:w="0" w:type="dxa"/>
            <w:right w:w="0" w:type="dxa"/>
          </w:tblCellMar>
        </w:tblPrEx>
        <w:trPr>
          <w:trHeight w:val="11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劳务经费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308.9万元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w:t>
            </w:r>
            <w:bookmarkStart w:id="2" w:name="_GoBack"/>
            <w:r>
              <w:rPr>
                <w:rFonts w:hint="eastAsia" w:ascii="宋体" w:hAnsi="宋体" w:eastAsia="宋体" w:cs="宋体"/>
                <w:i w:val="0"/>
                <w:color w:val="000000"/>
                <w:kern w:val="0"/>
                <w:sz w:val="18"/>
                <w:szCs w:val="18"/>
                <w:u w:val="none"/>
                <w:lang w:val="en-US" w:eastAsia="zh-CN" w:bidi="ar"/>
              </w:rPr>
              <w:t>因传染病防治</w:t>
            </w:r>
            <w:r>
              <w:rPr>
                <w:rFonts w:hint="eastAsia" w:ascii="宋体" w:hAnsi="宋体" w:eastAsia="宋体" w:cs="宋体"/>
                <w:i w:val="0"/>
                <w:color w:val="000000"/>
                <w:kern w:val="0"/>
                <w:sz w:val="18"/>
                <w:szCs w:val="18"/>
                <w:u w:val="none"/>
                <w:lang w:val="en-US" w:eastAsia="zh-CN" w:bidi="ar"/>
              </w:rPr>
              <w:t>原因</w:t>
            </w:r>
            <w:bookmarkEnd w:id="2"/>
            <w:r>
              <w:rPr>
                <w:rFonts w:hint="eastAsia" w:ascii="宋体" w:hAnsi="宋体" w:eastAsia="宋体" w:cs="宋体"/>
                <w:i w:val="0"/>
                <w:color w:val="000000"/>
                <w:kern w:val="0"/>
                <w:sz w:val="18"/>
                <w:szCs w:val="18"/>
                <w:u w:val="none"/>
                <w:lang w:val="en-US" w:eastAsia="zh-CN" w:bidi="ar"/>
              </w:rPr>
              <w:t>，野外工作受到影响，造成劳务经费支出未达到年初预算目标。</w:t>
            </w: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创造经济效益 </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≤650万元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791万元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本年收回历年欠款，应以当年实际收入为准。</w:t>
            </w:r>
          </w:p>
        </w:tc>
      </w:tr>
      <w:tr>
        <w:tblPrEx>
          <w:shd w:val="clear" w:color="auto" w:fill="auto"/>
          <w:tblCellMar>
            <w:top w:w="0" w:type="dxa"/>
            <w:left w:w="0" w:type="dxa"/>
            <w:bottom w:w="0" w:type="dxa"/>
            <w:right w:w="0"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聘用人员就业、上岗率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完成政府采购计划</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测绘成果应用时间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部分测绘成果未达到预期目标</w:t>
            </w:r>
          </w:p>
        </w:tc>
      </w:tr>
      <w:tr>
        <w:tblPrEx>
          <w:tblCellMar>
            <w:top w:w="0" w:type="dxa"/>
            <w:left w:w="0" w:type="dxa"/>
            <w:bottom w:w="0" w:type="dxa"/>
            <w:right w:w="0"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采购产品数量及质量达到使用人员满意度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各业务部门对工作满意程度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bl>
    <w:p>
      <w:pPr>
        <w:pStyle w:val="2"/>
        <w:pageBreakBefore w:val="0"/>
        <w:kinsoku/>
        <w:wordWrap/>
        <w:overflowPunct/>
        <w:topLinePunct w:val="0"/>
        <w:autoSpaceDE/>
        <w:autoSpaceDN/>
        <w:bidi w:val="0"/>
        <w:adjustRightInd/>
        <w:snapToGrid/>
        <w:spacing w:before="0" w:after="0" w:line="560" w:lineRule="exact"/>
        <w:jc w:val="both"/>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exact"/>
        <w:rPr>
          <w:rFonts w:hint="eastAsia"/>
        </w:rPr>
      </w:pPr>
    </w:p>
    <w:p>
      <w:pPr>
        <w:pStyle w:val="2"/>
        <w:pageBreakBefore w:val="0"/>
        <w:kinsoku/>
        <w:wordWrap/>
        <w:overflowPunct/>
        <w:topLinePunct w:val="0"/>
        <w:autoSpaceDE/>
        <w:autoSpaceDN/>
        <w:bidi w:val="0"/>
        <w:adjustRightInd/>
        <w:snapToGrid/>
        <w:spacing w:before="0" w:after="0" w:line="560" w:lineRule="exact"/>
        <w:rPr>
          <w:rFonts w:hint="eastAsia"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exact"/>
        <w:jc w:val="both"/>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w:t>
            </w:r>
            <w:r>
              <w:rPr>
                <w:rFonts w:hint="eastAsia" w:ascii="宋体" w:hAnsi="宋体" w:cs="宋体"/>
                <w:color w:val="000000"/>
                <w:kern w:val="0"/>
                <w:sz w:val="22"/>
                <w:szCs w:val="22"/>
                <w:lang w:eastAsia="zh-CN"/>
              </w:rPr>
              <w:t>－</w:t>
            </w:r>
            <w:r>
              <w:rPr>
                <w:rFonts w:hint="eastAsia" w:ascii="宋体" w:hAnsi="宋体" w:eastAsia="宋体" w:cs="宋体"/>
                <w:color w:val="000000"/>
                <w:kern w:val="0"/>
                <w:sz w:val="22"/>
                <w:szCs w:val="22"/>
              </w:rPr>
              <w:t>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9.8</w:t>
            </w:r>
          </w:p>
        </w:tc>
      </w:tr>
    </w:tbl>
    <w:p>
      <w:pPr>
        <w:pStyle w:val="2"/>
        <w:pageBreakBefore w:val="0"/>
        <w:kinsoku/>
        <w:wordWrap/>
        <w:overflowPunct/>
        <w:topLinePunct w:val="0"/>
        <w:autoSpaceDE/>
        <w:autoSpaceDN/>
        <w:bidi w:val="0"/>
        <w:adjustRightInd/>
        <w:snapToGrid/>
        <w:spacing w:before="0" w:after="0" w:line="560" w:lineRule="exact"/>
        <w:rPr>
          <w:rFonts w:hint="default"/>
          <w:lang w:val="en-US" w:eastAsia="zh-CN"/>
        </w:rPr>
      </w:pPr>
    </w:p>
    <w:p>
      <w:pPr>
        <w:pageBreakBefore w:val="0"/>
        <w:kinsoku/>
        <w:wordWrap/>
        <w:overflowPunct/>
        <w:topLinePunct w:val="0"/>
        <w:autoSpaceDE/>
        <w:autoSpaceDN/>
        <w:bidi w:val="0"/>
        <w:adjustRightInd/>
        <w:snapToGrid/>
        <w:spacing w:line="560" w:lineRule="exact"/>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p>
      <w:pPr>
        <w:pStyle w:val="2"/>
        <w:pageBreakBefore w:val="0"/>
        <w:kinsoku/>
        <w:wordWrap/>
        <w:overflowPunct/>
        <w:topLinePunct w:val="0"/>
        <w:autoSpaceDE/>
        <w:autoSpaceDN/>
        <w:bidi w:val="0"/>
        <w:adjustRightInd/>
        <w:snapToGrid/>
        <w:spacing w:before="0" w:after="0" w:line="560" w:lineRule="exact"/>
        <w:jc w:val="both"/>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rPr>
          <w:rStyle w:val="21"/>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686305"/>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863863"/>
    <w:rsid w:val="01F5261B"/>
    <w:rsid w:val="03EC09CA"/>
    <w:rsid w:val="051A56F5"/>
    <w:rsid w:val="06250A08"/>
    <w:rsid w:val="066D6EAA"/>
    <w:rsid w:val="06B8437F"/>
    <w:rsid w:val="08600CE1"/>
    <w:rsid w:val="08C662D4"/>
    <w:rsid w:val="094A230C"/>
    <w:rsid w:val="09BD4D95"/>
    <w:rsid w:val="0A8E4B2D"/>
    <w:rsid w:val="0C721FB5"/>
    <w:rsid w:val="0F8D41CB"/>
    <w:rsid w:val="11105DC1"/>
    <w:rsid w:val="11C75270"/>
    <w:rsid w:val="11E87358"/>
    <w:rsid w:val="1236745F"/>
    <w:rsid w:val="12637CC3"/>
    <w:rsid w:val="12E657C5"/>
    <w:rsid w:val="15CF0C89"/>
    <w:rsid w:val="15D07106"/>
    <w:rsid w:val="167C7687"/>
    <w:rsid w:val="168B3546"/>
    <w:rsid w:val="17AE5F12"/>
    <w:rsid w:val="18D45FBC"/>
    <w:rsid w:val="18D50BE0"/>
    <w:rsid w:val="1A2374E0"/>
    <w:rsid w:val="1ACD4228"/>
    <w:rsid w:val="1AFB4DD8"/>
    <w:rsid w:val="1C317CE2"/>
    <w:rsid w:val="1DD45808"/>
    <w:rsid w:val="1DED42AC"/>
    <w:rsid w:val="1F492425"/>
    <w:rsid w:val="1FB83DF9"/>
    <w:rsid w:val="20005763"/>
    <w:rsid w:val="20FB313D"/>
    <w:rsid w:val="220B4804"/>
    <w:rsid w:val="24611E7F"/>
    <w:rsid w:val="27F33B5B"/>
    <w:rsid w:val="282475E3"/>
    <w:rsid w:val="29833BCD"/>
    <w:rsid w:val="29F5088F"/>
    <w:rsid w:val="2A3010BD"/>
    <w:rsid w:val="2A3F396C"/>
    <w:rsid w:val="2AD46686"/>
    <w:rsid w:val="2C6100C1"/>
    <w:rsid w:val="2DC40886"/>
    <w:rsid w:val="30A61153"/>
    <w:rsid w:val="30AE0810"/>
    <w:rsid w:val="30E45D42"/>
    <w:rsid w:val="30EF615B"/>
    <w:rsid w:val="315072D6"/>
    <w:rsid w:val="3264220D"/>
    <w:rsid w:val="32C06CD2"/>
    <w:rsid w:val="33AB5E02"/>
    <w:rsid w:val="343F5259"/>
    <w:rsid w:val="3963178C"/>
    <w:rsid w:val="39BB225E"/>
    <w:rsid w:val="3AFE6B45"/>
    <w:rsid w:val="3BCB3DF5"/>
    <w:rsid w:val="3CAB0743"/>
    <w:rsid w:val="3D8D0D50"/>
    <w:rsid w:val="3F862886"/>
    <w:rsid w:val="414C1167"/>
    <w:rsid w:val="41CC2676"/>
    <w:rsid w:val="42BF19E0"/>
    <w:rsid w:val="43537C5F"/>
    <w:rsid w:val="456F755E"/>
    <w:rsid w:val="45C21233"/>
    <w:rsid w:val="46B21672"/>
    <w:rsid w:val="472B473C"/>
    <w:rsid w:val="496527D9"/>
    <w:rsid w:val="499F5594"/>
    <w:rsid w:val="49F10AF3"/>
    <w:rsid w:val="4BE747DA"/>
    <w:rsid w:val="4D183033"/>
    <w:rsid w:val="4E7F18EB"/>
    <w:rsid w:val="4F0B020C"/>
    <w:rsid w:val="4F552460"/>
    <w:rsid w:val="4FCC6863"/>
    <w:rsid w:val="500A214A"/>
    <w:rsid w:val="50437BBA"/>
    <w:rsid w:val="522D604D"/>
    <w:rsid w:val="5297585E"/>
    <w:rsid w:val="52AD7D6F"/>
    <w:rsid w:val="550D23B8"/>
    <w:rsid w:val="5549519D"/>
    <w:rsid w:val="5557596B"/>
    <w:rsid w:val="57427208"/>
    <w:rsid w:val="57AD0F6D"/>
    <w:rsid w:val="580446DB"/>
    <w:rsid w:val="58A25C39"/>
    <w:rsid w:val="5B596DFC"/>
    <w:rsid w:val="5C992FA8"/>
    <w:rsid w:val="5CB146AB"/>
    <w:rsid w:val="5CC71B4C"/>
    <w:rsid w:val="5DF03945"/>
    <w:rsid w:val="60E27349"/>
    <w:rsid w:val="636368B1"/>
    <w:rsid w:val="637C2815"/>
    <w:rsid w:val="69E01642"/>
    <w:rsid w:val="6AB83275"/>
    <w:rsid w:val="6B19464A"/>
    <w:rsid w:val="6E18449A"/>
    <w:rsid w:val="7071632E"/>
    <w:rsid w:val="707562B1"/>
    <w:rsid w:val="71CF55DD"/>
    <w:rsid w:val="72B84C52"/>
    <w:rsid w:val="74C71F0C"/>
    <w:rsid w:val="765C4300"/>
    <w:rsid w:val="7A353D0B"/>
    <w:rsid w:val="7C353B45"/>
    <w:rsid w:val="7C7625D6"/>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8"/>
    <w:semiHidden/>
    <w:unhideWhenUsed/>
    <w:qFormat/>
    <w:uiPriority w:val="99"/>
    <w:rPr>
      <w:sz w:val="18"/>
      <w:szCs w:val="18"/>
    </w:rPr>
  </w:style>
  <w:style w:type="paragraph" w:styleId="15">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7"/>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6"/>
    <w:qFormat/>
    <w:uiPriority w:val="99"/>
    <w:rPr>
      <w:rFonts w:ascii="Calibri" w:hAnsi="Calibri" w:eastAsia="宋体"/>
      <w:kern w:val="2"/>
      <w:sz w:val="18"/>
      <w:szCs w:val="18"/>
    </w:rPr>
  </w:style>
  <w:style w:type="character" w:customStyle="1" w:styleId="47">
    <w:name w:val="页脚 字符"/>
    <w:basedOn w:val="20"/>
    <w:link w:val="15"/>
    <w:qFormat/>
    <w:uiPriority w:val="99"/>
    <w:rPr>
      <w:rFonts w:ascii="Calibri" w:hAnsi="Calibri" w:eastAsia="宋体"/>
      <w:kern w:val="2"/>
      <w:sz w:val="18"/>
      <w:szCs w:val="18"/>
    </w:rPr>
  </w:style>
  <w:style w:type="character" w:customStyle="1" w:styleId="48">
    <w:name w:val="批注框文本 字符"/>
    <w:basedOn w:val="20"/>
    <w:link w:val="14"/>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0</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2025-09-08T03:16:30Z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229835342_cloud</vt:lpwstr>
  </property>
  <property fmtid="{D5CDD505-2E9C-101B-9397-08002B2CF9AE}" pid="4" name="ICV">
    <vt:lpwstr>8934497930844C75950AA0F9259854BF</vt:lpwstr>
  </property>
</Properties>
</file>