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宋体" w:hAnsi="宋体" w:cs="宋体"/>
          <w:b/>
          <w:kern w:val="0"/>
          <w:sz w:val="52"/>
          <w:szCs w:val="52"/>
        </w:rPr>
      </w:pPr>
    </w:p>
    <w:p>
      <w:pPr>
        <w:pStyle w:val="2"/>
        <w:rPr>
          <w:rFonts w:ascii="宋体" w:hAnsi="宋体" w:cs="宋体"/>
          <w:b/>
          <w:kern w:val="0"/>
          <w:sz w:val="52"/>
          <w:szCs w:val="52"/>
        </w:rPr>
      </w:pPr>
    </w:p>
    <w:p>
      <w:pPr>
        <w:spacing w:line="540" w:lineRule="exact"/>
        <w:jc w:val="center"/>
        <w:rPr>
          <w:rFonts w:ascii="宋体" w:hAnsi="宋体"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克塔铁路还本付息项目支出绩效</w:t>
      </w:r>
    </w:p>
    <w:p>
      <w:pPr>
        <w:spacing w:line="540" w:lineRule="exact"/>
        <w:jc w:val="center"/>
        <w:rPr>
          <w:rFonts w:hint="eastAsia"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lang w:val="en-US" w:eastAsia="zh-CN"/>
        </w:rPr>
        <w:t>评价</w:t>
      </w:r>
      <w:r>
        <w:rPr>
          <w:rFonts w:hint="eastAsia" w:ascii="方正小标宋简体" w:hAnsi="方正小标宋简体" w:eastAsia="方正小标宋简体" w:cs="方正小标宋简体"/>
          <w:b/>
          <w:kern w:val="0"/>
          <w:sz w:val="44"/>
          <w:szCs w:val="44"/>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before="120" w:after="120" w:line="520" w:lineRule="exact"/>
        <w:ind w:right="210" w:rightChars="100" w:firstLine="720" w:firstLineChars="200"/>
        <w:rPr>
          <w:rFonts w:hint="eastAsia" w:hAnsi="宋体" w:eastAsia="仿宋_GB2312" w:cs="宋体"/>
          <w:kern w:val="0"/>
          <w:sz w:val="36"/>
          <w:szCs w:val="36"/>
        </w:rPr>
      </w:pPr>
    </w:p>
    <w:p>
      <w:pPr>
        <w:spacing w:before="120" w:after="120" w:line="520" w:lineRule="exact"/>
        <w:ind w:right="210" w:rightChars="100" w:firstLine="720" w:firstLineChars="200"/>
        <w:rPr>
          <w:rFonts w:hint="eastAsia" w:hAnsi="宋体" w:eastAsia="仿宋_GB2312" w:cs="宋体"/>
          <w:kern w:val="0"/>
          <w:sz w:val="36"/>
          <w:szCs w:val="36"/>
        </w:rPr>
      </w:pPr>
    </w:p>
    <w:p>
      <w:pPr>
        <w:spacing w:before="120" w:after="120" w:line="520" w:lineRule="exact"/>
        <w:ind w:right="210" w:rightChars="100" w:firstLine="720" w:firstLineChars="200"/>
        <w:rPr>
          <w:rFonts w:hint="eastAsia" w:hAnsi="宋体" w:eastAsia="仿宋_GB2312" w:cs="宋体"/>
          <w:kern w:val="0"/>
          <w:sz w:val="36"/>
          <w:szCs w:val="36"/>
        </w:rPr>
      </w:pPr>
    </w:p>
    <w:p>
      <w:pPr>
        <w:spacing w:before="120" w:after="120" w:line="520" w:lineRule="exact"/>
        <w:ind w:right="210" w:rightChars="100" w:firstLine="720" w:firstLineChars="200"/>
        <w:rPr>
          <w:rFonts w:hint="eastAsia" w:hAnsi="宋体" w:eastAsia="仿宋_GB2312" w:cs="宋体"/>
          <w:kern w:val="0"/>
          <w:sz w:val="36"/>
          <w:szCs w:val="36"/>
        </w:rPr>
      </w:pPr>
    </w:p>
    <w:p>
      <w:pPr>
        <w:spacing w:before="120" w:after="120" w:line="520" w:lineRule="exact"/>
        <w:ind w:right="210" w:rightChars="100" w:firstLine="720" w:firstLineChars="200"/>
        <w:rPr>
          <w:rFonts w:hint="eastAsia" w:hAnsi="宋体" w:eastAsia="仿宋_GB2312" w:cs="宋体"/>
          <w:kern w:val="0"/>
          <w:sz w:val="36"/>
          <w:szCs w:val="36"/>
        </w:rPr>
      </w:pPr>
    </w:p>
    <w:p>
      <w:pPr>
        <w:spacing w:before="120" w:after="120" w:line="520" w:lineRule="exact"/>
        <w:ind w:right="210" w:rightChars="100" w:firstLine="720" w:firstLineChars="200"/>
        <w:rPr>
          <w:rFonts w:hint="eastAsia" w:hAnsi="宋体" w:eastAsia="仿宋_GB2312" w:cs="宋体"/>
          <w:kern w:val="0"/>
          <w:sz w:val="36"/>
          <w:szCs w:val="36"/>
        </w:rPr>
      </w:pPr>
    </w:p>
    <w:p>
      <w:pPr>
        <w:spacing w:before="120" w:after="120" w:line="520" w:lineRule="exact"/>
        <w:ind w:right="210" w:rightChars="100" w:firstLine="720" w:firstLineChars="200"/>
        <w:rPr>
          <w:rFonts w:hint="eastAsia" w:hAnsi="宋体" w:eastAsia="仿宋_GB2312" w:cs="宋体"/>
          <w:kern w:val="0"/>
          <w:sz w:val="36"/>
          <w:szCs w:val="36"/>
        </w:rPr>
      </w:pPr>
    </w:p>
    <w:p>
      <w:pPr>
        <w:spacing w:before="120" w:after="120" w:line="520" w:lineRule="exact"/>
        <w:ind w:right="210" w:rightChars="100" w:firstLine="720" w:firstLineChars="200"/>
        <w:rPr>
          <w:rFonts w:hint="eastAsia" w:hAnsi="宋体" w:eastAsia="仿宋_GB2312" w:cs="宋体"/>
          <w:kern w:val="0"/>
          <w:sz w:val="36"/>
          <w:szCs w:val="36"/>
        </w:rPr>
      </w:pPr>
    </w:p>
    <w:p>
      <w:pPr>
        <w:spacing w:before="120" w:after="120" w:line="520" w:lineRule="exact"/>
        <w:ind w:right="210" w:rightChars="100"/>
        <w:rPr>
          <w:rFonts w:hint="eastAsia" w:hAnsi="宋体" w:eastAsia="仿宋_GB2312" w:cs="宋体"/>
          <w:kern w:val="0"/>
          <w:sz w:val="36"/>
          <w:szCs w:val="36"/>
        </w:rPr>
      </w:pPr>
    </w:p>
    <w:p>
      <w:pPr>
        <w:spacing w:before="120" w:after="120" w:line="520" w:lineRule="exact"/>
        <w:ind w:right="210" w:rightChars="100" w:firstLine="2160" w:firstLineChars="600"/>
        <w:jc w:val="both"/>
        <w:rPr>
          <w:rFonts w:hint="eastAsia" w:ascii="仿宋_GB2312" w:hAnsi="仿宋_GB2312" w:eastAsia="仿宋_GB2312" w:cs="仿宋_GB2312"/>
          <w:kern w:val="0"/>
          <w:sz w:val="36"/>
          <w:szCs w:val="36"/>
          <w:lang w:eastAsia="zh-CN"/>
        </w:rPr>
      </w:pPr>
      <w:r>
        <w:rPr>
          <w:rFonts w:hint="eastAsia" w:ascii="仿宋_GB2312" w:hAnsi="仿宋_GB2312" w:eastAsia="仿宋_GB2312" w:cs="仿宋_GB2312"/>
          <w:kern w:val="0"/>
          <w:sz w:val="36"/>
          <w:szCs w:val="36"/>
        </w:rPr>
        <w:t>项目名称：克塔铁</w:t>
      </w:r>
      <w:r>
        <w:rPr>
          <w:rFonts w:hint="eastAsia" w:ascii="仿宋_GB2312" w:hAnsi="仿宋_GB2312" w:eastAsia="仿宋_GB2312" w:cs="仿宋_GB2312"/>
          <w:kern w:val="0"/>
          <w:sz w:val="36"/>
          <w:szCs w:val="36"/>
          <w:lang w:val="en-US" w:eastAsia="zh-CN"/>
        </w:rPr>
        <w:t>路</w:t>
      </w:r>
      <w:r>
        <w:rPr>
          <w:rFonts w:hint="eastAsia" w:ascii="仿宋_GB2312" w:hAnsi="仿宋_GB2312" w:eastAsia="仿宋_GB2312" w:cs="仿宋_GB2312"/>
          <w:kern w:val="0"/>
          <w:sz w:val="36"/>
          <w:szCs w:val="36"/>
        </w:rPr>
        <w:t>还本付息</w:t>
      </w:r>
      <w:r>
        <w:rPr>
          <w:rFonts w:hint="eastAsia" w:ascii="仿宋_GB2312" w:hAnsi="仿宋_GB2312" w:eastAsia="仿宋_GB2312" w:cs="仿宋_GB2312"/>
          <w:kern w:val="0"/>
          <w:sz w:val="36"/>
          <w:szCs w:val="36"/>
          <w:lang w:val="en-US" w:eastAsia="zh-CN"/>
        </w:rPr>
        <w:t>项目</w:t>
      </w:r>
    </w:p>
    <w:p>
      <w:pPr>
        <w:spacing w:before="120" w:after="120" w:line="520" w:lineRule="exact"/>
        <w:ind w:right="210" w:rightChars="100" w:firstLine="720" w:firstLineChars="200"/>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2"/>
          <w:szCs w:val="32"/>
        </w:rPr>
        <w:t>塔城地区发展和改革委员会</w:t>
      </w:r>
    </w:p>
    <w:p>
      <w:pPr>
        <w:spacing w:before="120" w:after="120" w:line="520" w:lineRule="exact"/>
        <w:ind w:right="210" w:rightChars="100" w:firstLine="2160" w:firstLineChars="600"/>
        <w:jc w:val="both"/>
        <w:rPr>
          <w:rFonts w:hint="eastAsia" w:ascii="仿宋_GB2312" w:hAnsi="仿宋_GB2312" w:eastAsia="仿宋_GB2312" w:cs="仿宋_GB2312"/>
          <w:kern w:val="0"/>
          <w:sz w:val="36"/>
          <w:szCs w:val="36"/>
          <w:highlight w:val="none"/>
        </w:rPr>
      </w:pPr>
      <w:r>
        <w:rPr>
          <w:rFonts w:hint="eastAsia" w:ascii="仿宋_GB2312" w:hAnsi="仿宋_GB2312" w:eastAsia="仿宋_GB2312" w:cs="仿宋_GB2312"/>
          <w:kern w:val="0"/>
          <w:sz w:val="36"/>
          <w:szCs w:val="36"/>
          <w:highlight w:val="none"/>
        </w:rPr>
        <w:t>主管部门（公章）：塔城地区行署</w:t>
      </w:r>
    </w:p>
    <w:p>
      <w:pPr>
        <w:spacing w:before="120" w:after="120" w:line="520" w:lineRule="exact"/>
        <w:ind w:right="210" w:rightChars="100" w:firstLine="2160" w:firstLineChars="600"/>
        <w:jc w:val="both"/>
        <w:rPr>
          <w:rFonts w:hint="eastAsia" w:ascii="仿宋_GB2312" w:hAnsi="仿宋_GB2312" w:eastAsia="仿宋_GB2312" w:cs="仿宋_GB2312"/>
          <w:kern w:val="0"/>
          <w:sz w:val="36"/>
          <w:szCs w:val="36"/>
          <w:highlight w:val="none"/>
          <w:lang w:val="en-US" w:eastAsia="zh-CN"/>
        </w:rPr>
      </w:pPr>
      <w:r>
        <w:rPr>
          <w:rFonts w:hint="eastAsia" w:ascii="仿宋_GB2312" w:hAnsi="仿宋_GB2312" w:eastAsia="仿宋_GB2312" w:cs="仿宋_GB2312"/>
          <w:kern w:val="0"/>
          <w:sz w:val="36"/>
          <w:szCs w:val="36"/>
          <w:highlight w:val="none"/>
        </w:rPr>
        <w:t>项目负责人（签章）：</w:t>
      </w:r>
      <w:r>
        <w:rPr>
          <w:rFonts w:hint="eastAsia" w:ascii="仿宋_GB2312" w:hAnsi="仿宋_GB2312" w:eastAsia="仿宋_GB2312" w:cs="仿宋_GB2312"/>
          <w:kern w:val="0"/>
          <w:sz w:val="36"/>
          <w:szCs w:val="36"/>
          <w:highlight w:val="none"/>
          <w:lang w:val="en-US" w:eastAsia="zh-CN"/>
        </w:rPr>
        <w:t>马林</w:t>
      </w:r>
    </w:p>
    <w:p>
      <w:pPr>
        <w:spacing w:before="120" w:after="120" w:line="520" w:lineRule="exact"/>
        <w:ind w:right="210" w:rightChars="100" w:firstLine="2160" w:firstLineChars="6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w:t>
      </w:r>
      <w:r>
        <w:rPr>
          <w:rFonts w:hint="eastAsia" w:ascii="仿宋_GB2312" w:hAnsi="仿宋_GB2312" w:eastAsia="仿宋_GB2312" w:cs="仿宋_GB2312"/>
          <w:kern w:val="0"/>
          <w:sz w:val="36"/>
          <w:szCs w:val="36"/>
          <w:lang w:val="en-US" w:eastAsia="zh-CN"/>
        </w:rPr>
        <w:t>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3</w:t>
      </w:r>
      <w:r>
        <w:rPr>
          <w:rFonts w:hint="eastAsia" w:ascii="仿宋_GB2312" w:hAnsi="仿宋_GB2312" w:eastAsia="仿宋_GB2312" w:cs="仿宋_GB2312"/>
          <w:kern w:val="0"/>
          <w:sz w:val="36"/>
          <w:szCs w:val="36"/>
        </w:rPr>
        <w:t>月 31日</w:t>
      </w:r>
    </w:p>
    <w:p>
      <w:pPr>
        <w:jc w:val="center"/>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br w:type="page"/>
      </w:r>
    </w:p>
    <w:p>
      <w:pPr>
        <w:keepNext w:val="0"/>
        <w:keepLines w:val="0"/>
        <w:pageBreakBefore w:val="0"/>
        <w:kinsoku/>
        <w:wordWrap/>
        <w:overflowPunct/>
        <w:topLinePunct w:val="0"/>
        <w:autoSpaceDE/>
        <w:autoSpaceDN/>
        <w:bidi w:val="0"/>
        <w:adjustRightInd/>
        <w:snapToGrid/>
        <w:spacing w:line="560" w:lineRule="exact"/>
        <w:ind w:left="640"/>
        <w:textAlignment w:val="auto"/>
        <w:rPr>
          <w:rStyle w:val="13"/>
          <w:rFonts w:hint="eastAsia" w:ascii="黑体" w:hAnsi="黑体" w:eastAsia="黑体" w:cs="黑体"/>
          <w:b/>
          <w:bCs/>
          <w:spacing w:val="-4"/>
          <w:sz w:val="32"/>
          <w:szCs w:val="32"/>
        </w:rPr>
      </w:pPr>
      <w:r>
        <w:rPr>
          <w:rStyle w:val="13"/>
          <w:rFonts w:hint="eastAsia" w:ascii="黑体" w:hAnsi="黑体" w:eastAsia="黑体" w:cs="黑体"/>
          <w:b/>
          <w:bCs/>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14" w:firstLineChars="196"/>
        <w:textAlignment w:val="auto"/>
        <w:rPr>
          <w:rFonts w:hint="eastAsia" w:ascii="楷体" w:hAnsi="楷体" w:eastAsia="楷体" w:cs="楷体"/>
          <w:b/>
          <w:bCs/>
          <w:sz w:val="32"/>
          <w:szCs w:val="32"/>
        </w:rPr>
      </w:pPr>
      <w:r>
        <w:rPr>
          <w:rStyle w:val="13"/>
          <w:rFonts w:hint="eastAsia" w:ascii="楷体" w:hAnsi="楷体" w:eastAsia="楷体" w:cs="楷体"/>
          <w:spacing w:val="-4"/>
          <w:sz w:val="32"/>
          <w:szCs w:val="32"/>
        </w:rPr>
        <w:t>（一</w:t>
      </w:r>
      <w:r>
        <w:rPr>
          <w:rFonts w:hint="eastAsia" w:ascii="楷体" w:hAnsi="楷体" w:eastAsia="楷体" w:cs="楷体"/>
          <w:b/>
          <w:bCs/>
          <w:sz w:val="32"/>
          <w:szCs w:val="32"/>
        </w:rPr>
        <w:t>）项目背景</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bCs/>
          <w:sz w:val="32"/>
          <w:szCs w:val="32"/>
        </w:rPr>
      </w:pPr>
      <w:r>
        <w:rPr>
          <w:rFonts w:ascii="Times New Roman" w:hAnsi="Times New Roman" w:eastAsia="仿宋_GB2312"/>
          <w:bCs/>
          <w:sz w:val="32"/>
          <w:szCs w:val="32"/>
        </w:rPr>
        <w:t>2011</w:t>
      </w:r>
      <w:r>
        <w:rPr>
          <w:rFonts w:hint="eastAsia" w:ascii="Times New Roman" w:hAnsi="Times New Roman" w:eastAsia="仿宋_GB2312"/>
          <w:bCs/>
          <w:sz w:val="32"/>
          <w:szCs w:val="32"/>
        </w:rPr>
        <w:t>年</w:t>
      </w:r>
      <w:r>
        <w:rPr>
          <w:rFonts w:ascii="Times New Roman" w:hAnsi="Times New Roman" w:eastAsia="仿宋_GB2312"/>
          <w:bCs/>
          <w:sz w:val="32"/>
          <w:szCs w:val="32"/>
        </w:rPr>
        <w:t>9</w:t>
      </w:r>
      <w:r>
        <w:rPr>
          <w:rFonts w:hint="eastAsia" w:ascii="Times New Roman" w:hAnsi="Times New Roman" w:eastAsia="仿宋_GB2312"/>
          <w:bCs/>
          <w:sz w:val="32"/>
          <w:szCs w:val="32"/>
        </w:rPr>
        <w:t>月，塔城地委行署分析国内外经济形势、国家铁路建设政策和塔城地区经济社会发展实际需要，与相关地市和企业达成共识，决定不等不靠，以优势资源开发为基础，以煤炭运输为重点，按“政府推动、企业为主、市场运作、实现双赢”思路，采取政府与企业合资方式建设克塔铁路。并得到了自治区党委、政府的充分肯定，自治区党委书记张春贤同志要求“能多快，就多快”，早日启动项目建设，并确定自治区党委一名领导具体协调推进这项工作。</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bCs/>
          <w:sz w:val="32"/>
          <w:szCs w:val="32"/>
        </w:rPr>
        <w:t>2011年10月，塔城地区全面启动</w:t>
      </w:r>
      <w:r>
        <w:rPr>
          <w:rFonts w:hint="eastAsia" w:ascii="Times New Roman" w:hAnsi="Times New Roman" w:eastAsia="仿宋_GB2312"/>
          <w:sz w:val="32"/>
          <w:szCs w:val="32"/>
        </w:rPr>
        <w:t>克塔铁路前期工作，委托新疆铁道勘察设计院开展建设方案研究和预可行性研究工作，同年11月完成建设方案研究报告。</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bCs/>
          <w:sz w:val="32"/>
          <w:szCs w:val="32"/>
        </w:rPr>
        <w:t>2012</w:t>
      </w:r>
      <w:r>
        <w:rPr>
          <w:rFonts w:hint="eastAsia" w:ascii="Times New Roman" w:hAnsi="Times New Roman" w:eastAsia="仿宋_GB2312"/>
          <w:bCs/>
          <w:sz w:val="32"/>
          <w:szCs w:val="32"/>
        </w:rPr>
        <w:t>年6月，《新建铁路克拉玛依至塔城线预可行性研究报告》通过乌鲁木齐铁路局审查。</w:t>
      </w:r>
      <w:r>
        <w:rPr>
          <w:rFonts w:hint="eastAsia" w:ascii="Times New Roman" w:hAnsi="Times New Roman" w:eastAsia="仿宋_GB2312"/>
          <w:sz w:val="32"/>
          <w:szCs w:val="32"/>
        </w:rPr>
        <w:t>预可研阶段推荐铁路设计等级为国铁</w:t>
      </w:r>
      <w:r>
        <w:rPr>
          <w:rFonts w:ascii="Times New Roman" w:hAnsi="Times New Roman" w:eastAsia="仿宋_GB2312"/>
          <w:sz w:val="32"/>
          <w:szCs w:val="32"/>
        </w:rPr>
        <w:t>II</w:t>
      </w:r>
      <w:r>
        <w:rPr>
          <w:rFonts w:hint="eastAsia" w:ascii="Times New Roman" w:hAnsi="Times New Roman" w:eastAsia="仿宋_GB2312"/>
          <w:sz w:val="32"/>
          <w:szCs w:val="32"/>
        </w:rPr>
        <w:t>级，预留电气化发展条件，正线数目为单线，正线长度305.64公里，总投资56.04亿元，预测近期运量1042万吨，远期运量1545万吨，建设工期</w:t>
      </w:r>
      <w:r>
        <w:rPr>
          <w:rFonts w:ascii="Times New Roman" w:hAnsi="Times New Roman" w:eastAsia="仿宋_GB2312"/>
          <w:sz w:val="32"/>
          <w:szCs w:val="32"/>
        </w:rPr>
        <w:t>2.5</w:t>
      </w:r>
      <w:r>
        <w:rPr>
          <w:rFonts w:hint="eastAsia" w:ascii="Times New Roman" w:hAnsi="Times New Roman" w:eastAsia="仿宋_GB2312"/>
          <w:sz w:val="32"/>
          <w:szCs w:val="32"/>
        </w:rPr>
        <w:t>年。项目投资税后财务内部收益率为 6.25%，投资回收期 17.6 年，贷款偿还期为 17.3 年。</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bCs/>
          <w:sz w:val="32"/>
          <w:szCs w:val="32"/>
        </w:rPr>
      </w:pPr>
      <w:r>
        <w:rPr>
          <w:rFonts w:ascii="Times New Roman" w:hAnsi="Times New Roman" w:eastAsia="仿宋_GB2312"/>
          <w:bCs/>
          <w:sz w:val="32"/>
          <w:szCs w:val="32"/>
        </w:rPr>
        <w:t>2013年2月，塔城地区将克塔合资铁路列为“七大战略性工程”之首全力推进</w:t>
      </w:r>
      <w:r>
        <w:rPr>
          <w:rFonts w:hint="eastAsia" w:ascii="Times New Roman" w:hAnsi="Times New Roman" w:eastAsia="仿宋_GB2312"/>
          <w:bCs/>
          <w:sz w:val="32"/>
          <w:szCs w:val="32"/>
        </w:rPr>
        <w:t>，</w:t>
      </w:r>
      <w:r>
        <w:rPr>
          <w:rFonts w:ascii="Times New Roman" w:hAnsi="Times New Roman" w:eastAsia="仿宋_GB2312"/>
          <w:sz w:val="32"/>
          <w:szCs w:val="32"/>
        </w:rPr>
        <w:t>按照“分段审批，压茬开工，完善公司，多方筹资”的原则，采取整线规划、分期实施的工作措施</w:t>
      </w:r>
      <w:r>
        <w:rPr>
          <w:rFonts w:hint="eastAsia" w:ascii="Times New Roman" w:hAnsi="Times New Roman" w:eastAsia="仿宋_GB2312"/>
          <w:sz w:val="32"/>
          <w:szCs w:val="32"/>
        </w:rPr>
        <w:t>，先期推进克塔铁路一期工程（克拉玛依至铁厂沟镇线铁路）。</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bCs/>
          <w:sz w:val="32"/>
          <w:szCs w:val="32"/>
        </w:rPr>
        <w:t>2013年3月，</w:t>
      </w:r>
      <w:r>
        <w:rPr>
          <w:rFonts w:hint="eastAsia" w:ascii="Times New Roman" w:hAnsi="Times New Roman" w:eastAsia="仿宋_GB2312"/>
          <w:sz w:val="32"/>
          <w:szCs w:val="32"/>
        </w:rPr>
        <w:t>正式委托新疆铁道勘察设计院开展可行性研究报告编制工作。5月17日，已取得了自治区发改委同意开展前期工作的“路条”。</w:t>
      </w:r>
      <w:r>
        <w:rPr>
          <w:rFonts w:hint="eastAsia" w:eastAsia="仿宋_GB2312"/>
          <w:sz w:val="32"/>
          <w:szCs w:val="32"/>
        </w:rPr>
        <w:t>7月25日，新疆铁道勘察设计院已编制完成《</w:t>
      </w:r>
      <w:r>
        <w:rPr>
          <w:rFonts w:hint="eastAsia" w:ascii="Times New Roman" w:hAnsi="Times New Roman" w:eastAsia="仿宋_GB2312"/>
          <w:sz w:val="32"/>
          <w:szCs w:val="32"/>
        </w:rPr>
        <w:t>克拉玛依至铁厂沟镇线项目可研》。</w:t>
      </w:r>
      <w:r>
        <w:rPr>
          <w:rFonts w:ascii="Times New Roman" w:hAnsi="Times New Roman" w:eastAsia="仿宋_GB2312"/>
          <w:sz w:val="32"/>
          <w:szCs w:val="32"/>
        </w:rPr>
        <w:t>2014年3月11日，</w:t>
      </w:r>
      <w:r>
        <w:rPr>
          <w:rFonts w:ascii="Times New Roman" w:hAnsi="Times New Roman" w:eastAsia="仿宋_GB2312"/>
          <w:bCs/>
          <w:sz w:val="32"/>
          <w:szCs w:val="32"/>
        </w:rPr>
        <w:t>克</w:t>
      </w:r>
      <w:r>
        <w:rPr>
          <w:rFonts w:hint="eastAsia" w:ascii="Times New Roman" w:hAnsi="Times New Roman" w:eastAsia="仿宋_GB2312"/>
          <w:bCs/>
          <w:sz w:val="32"/>
          <w:szCs w:val="32"/>
        </w:rPr>
        <w:t>塔铁路一期工程克</w:t>
      </w:r>
      <w:r>
        <w:rPr>
          <w:rFonts w:ascii="Times New Roman" w:hAnsi="Times New Roman" w:eastAsia="仿宋_GB2312"/>
          <w:bCs/>
          <w:sz w:val="32"/>
          <w:szCs w:val="32"/>
        </w:rPr>
        <w:t>拉玛依至铁厂沟镇项目获得</w:t>
      </w:r>
      <w:r>
        <w:rPr>
          <w:rFonts w:hint="eastAsia" w:eastAsia="仿宋_GB2312"/>
          <w:bCs/>
          <w:sz w:val="32"/>
          <w:szCs w:val="32"/>
          <w:lang w:eastAsia="zh-CN"/>
        </w:rPr>
        <w:t>新疆维吾尔自治区</w:t>
      </w:r>
      <w:r>
        <w:rPr>
          <w:rFonts w:ascii="Times New Roman" w:hAnsi="Times New Roman" w:eastAsia="仿宋_GB2312"/>
          <w:bCs/>
          <w:sz w:val="32"/>
          <w:szCs w:val="32"/>
        </w:rPr>
        <w:t>发改委核准</w:t>
      </w:r>
      <w:r>
        <w:rPr>
          <w:rFonts w:hint="eastAsia" w:ascii="Times New Roman" w:hAnsi="Times New Roman" w:eastAsia="仿宋_GB2312"/>
          <w:bCs/>
          <w:sz w:val="32"/>
          <w:szCs w:val="32"/>
        </w:rPr>
        <w:t>。4月11日，地区举行开工奠基仪式，克塔铁路一期工程加快建设。</w:t>
      </w:r>
    </w:p>
    <w:p>
      <w:pPr>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项目实施的历史概况</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Ansi="华文仿宋" w:eastAsia="仿宋_GB2312"/>
          <w:sz w:val="32"/>
          <w:szCs w:val="32"/>
        </w:rPr>
      </w:pPr>
      <w:r>
        <w:rPr>
          <w:rFonts w:hint="eastAsia" w:ascii="仿宋_GB2312" w:hAnsi="华文仿宋" w:eastAsia="仿宋_GB2312"/>
          <w:sz w:val="32"/>
          <w:szCs w:val="32"/>
        </w:rPr>
        <w:t>克塔铁路从克拉玛依市境内的奎北铁路百口泉站接轨，沿线经过托里县铁厂沟镇、额敏县、终点至塔城市。沿途设有百口泉站（接轨站）、达尔布特站（会让站）、胡桐林站（会让站站）、铁厂沟站、霍吉尔特站（会让站）、额敏县站、塔城市站共计7个车站，线路总长272.79公里，</w:t>
      </w:r>
      <w:r>
        <w:rPr>
          <w:rFonts w:hint="eastAsia" w:ascii="仿宋_GB2312" w:hAnsi="华文仿宋" w:eastAsia="仿宋_GB2312"/>
          <w:bCs/>
          <w:kern w:val="36"/>
          <w:sz w:val="32"/>
          <w:szCs w:val="32"/>
        </w:rPr>
        <w:t>概算</w:t>
      </w:r>
      <w:r>
        <w:rPr>
          <w:rFonts w:hint="eastAsia" w:ascii="仿宋_GB2312" w:hAnsi="华文仿宋" w:eastAsia="仿宋_GB2312"/>
          <w:sz w:val="32"/>
          <w:szCs w:val="32"/>
        </w:rPr>
        <w:t>总投资46.87亿元。克塔铁路建设分两期建设，</w:t>
      </w:r>
      <w:r>
        <w:rPr>
          <w:rFonts w:hint="eastAsia" w:ascii="仿宋_GB2312" w:hAnsi="华文仿宋" w:eastAsia="仿宋_GB2312"/>
          <w:bCs/>
          <w:kern w:val="36"/>
          <w:sz w:val="32"/>
          <w:szCs w:val="32"/>
        </w:rPr>
        <w:t>其中：克拉玛依至铁厂沟段（一期工程）线路长99.67公里、投资11.15亿元，由塔城地方政府出资建设；铁厂沟镇至塔城段（二期工程）线路总长</w:t>
      </w:r>
      <w:r>
        <w:rPr>
          <w:rFonts w:hint="eastAsia" w:ascii="仿宋_GB2312" w:hAnsi="华文仿宋" w:eastAsia="仿宋_GB2312"/>
          <w:sz w:val="32"/>
          <w:szCs w:val="32"/>
        </w:rPr>
        <w:t>173.12公里，投资35.72亿元，塔城地区承担30%的建设资金(含征地拆迁资金),项目由中国铁路总公司负责建设，塔城地区负责征地拆迁工作。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为解决建设资金问题，</w:t>
      </w:r>
      <w:r>
        <w:rPr>
          <w:rFonts w:hint="eastAsia" w:ascii="仿宋_GB2312" w:eastAsia="仿宋_GB2312" w:cs="仿宋_GB2312"/>
          <w:sz w:val="32"/>
          <w:szCs w:val="32"/>
        </w:rPr>
        <w:t>鉴于新疆克塔铁路有限责任公司不具备借贷能力，</w:t>
      </w:r>
      <w:r>
        <w:rPr>
          <w:rFonts w:hint="eastAsia" w:ascii="仿宋_GB2312" w:eastAsia="仿宋_GB2312"/>
          <w:sz w:val="32"/>
          <w:szCs w:val="32"/>
        </w:rPr>
        <w:t>地区决定由塔城地区兴塔能源投资开发建设有限公司承接国开行建设基金投资，并以借款形式支持克塔铁路一、二期项目，累计金额</w:t>
      </w:r>
      <w:r>
        <w:rPr>
          <w:rFonts w:ascii="仿宋_GB2312" w:eastAsia="仿宋_GB2312"/>
          <w:sz w:val="32"/>
          <w:szCs w:val="32"/>
        </w:rPr>
        <w:t>11.9</w:t>
      </w:r>
      <w:r>
        <w:rPr>
          <w:rFonts w:hint="eastAsia" w:ascii="仿宋_GB2312" w:eastAsia="仿宋_GB2312"/>
          <w:sz w:val="32"/>
          <w:szCs w:val="32"/>
        </w:rPr>
        <w:t>亿元。极大缓解了克塔铁路建设资金方面的压力，推动了铁路建设顺利进行。</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华文仿宋" w:eastAsia="仿宋_GB2312"/>
          <w:sz w:val="32"/>
          <w:szCs w:val="32"/>
        </w:rPr>
      </w:pPr>
      <w:r>
        <w:rPr>
          <w:rFonts w:hint="eastAsia" w:ascii="仿宋_GB2312" w:hAnsi="华文仿宋" w:eastAsia="仿宋_GB2312"/>
          <w:sz w:val="32"/>
          <w:szCs w:val="32"/>
        </w:rPr>
        <w:t>此次财政安排提前归还国开行建设</w:t>
      </w:r>
      <w:r>
        <w:rPr>
          <w:rFonts w:hint="eastAsia" w:ascii="仿宋_GB2312" w:hAnsi="华文仿宋" w:eastAsia="仿宋_GB2312"/>
          <w:sz w:val="32"/>
          <w:szCs w:val="32"/>
          <w:lang w:val="en-US" w:eastAsia="zh-CN"/>
        </w:rPr>
        <w:t>还本付息</w:t>
      </w:r>
      <w:r>
        <w:rPr>
          <w:rFonts w:hint="eastAsia" w:ascii="仿宋_GB2312" w:hAnsi="华文仿宋" w:eastAsia="仿宋_GB2312"/>
          <w:sz w:val="32"/>
          <w:szCs w:val="32"/>
        </w:rPr>
        <w:t>资金</w:t>
      </w:r>
      <w:r>
        <w:rPr>
          <w:rFonts w:hint="eastAsia" w:ascii="仿宋_GB2312" w:hAnsi="宋体" w:eastAsia="仿宋_GB2312" w:cs="宋体"/>
          <w:bCs/>
          <w:kern w:val="0"/>
          <w:sz w:val="32"/>
          <w:szCs w:val="32"/>
          <w:lang w:val="en-US" w:eastAsia="zh-CN"/>
        </w:rPr>
        <w:t>3929.88</w:t>
      </w:r>
      <w:r>
        <w:rPr>
          <w:rFonts w:hint="eastAsia" w:ascii="仿宋_GB2312" w:hAnsi="宋体" w:eastAsia="仿宋_GB2312" w:cs="宋体"/>
          <w:bCs/>
          <w:kern w:val="0"/>
          <w:sz w:val="32"/>
          <w:szCs w:val="32"/>
        </w:rPr>
        <w:t>元，</w:t>
      </w:r>
      <w:r>
        <w:rPr>
          <w:rFonts w:hint="eastAsia" w:ascii="仿宋_GB2312" w:hAnsi="华文仿宋" w:eastAsia="仿宋_GB2312"/>
          <w:sz w:val="32"/>
          <w:szCs w:val="32"/>
        </w:rPr>
        <w:t>用于塔城地区建设克塔铁路使用国开行专项建设基金的应归还本息及税费。</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塔城地区中长期偿债规划与塔城地区兴塔能源投资开发建设有限公司（以下简称兴塔能源公司）签订的《克塔铁路工程项目用款协议》，克塔铁路公司2020年12月14日已将贷款本息和税金3929.988万元归还兴塔能源公司。</w:t>
      </w:r>
    </w:p>
    <w:p>
      <w:pPr>
        <w:pageBreakBefore w:val="0"/>
        <w:numPr>
          <w:ilvl w:val="0"/>
          <w:numId w:val="2"/>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i w:val="0"/>
          <w:iCs w:val="0"/>
          <w:kern w:val="2"/>
          <w:highlight w:val="none"/>
        </w:rPr>
      </w:pPr>
      <w:r>
        <w:rPr>
          <w:rFonts w:hint="eastAsia" w:ascii="仿宋_GB2312" w:hAnsi="仿宋_GB2312" w:eastAsia="仿宋_GB2312" w:cs="仿宋_GB2312"/>
          <w:b w:val="0"/>
          <w:bCs w:val="0"/>
          <w:i w:val="0"/>
          <w:iCs w:val="0"/>
          <w:kern w:val="2"/>
          <w:highlight w:val="none"/>
        </w:rPr>
        <w:t>项目主要内容：克塔铁路从克拉玛依市境内的奎北铁路百口泉站接轨，沿线经过托里县铁厂沟镇、额敏县、终点至塔城市。沿途设有百口泉站（接轨站）、达尔布特站（会让站）、胡桐林站（会让站站）、铁厂沟站、霍吉尔特站（会让站）、额敏县站、塔城市站共计7个车站，线路总长272.79公里，概算总投资46.87亿元。</w:t>
      </w:r>
    </w:p>
    <w:p>
      <w:pPr>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Style w:val="2"/>
        <w:pageBreakBefore w:val="0"/>
        <w:kinsoku/>
        <w:wordWrap/>
        <w:overflowPunct/>
        <w:topLinePunct w:val="0"/>
        <w:autoSpaceDE/>
        <w:autoSpaceDN/>
        <w:bidi w:val="0"/>
        <w:adjustRightInd/>
        <w:snapToGrid/>
        <w:spacing w:before="0" w:after="0" w:line="560" w:lineRule="exact"/>
        <w:ind w:firstLine="64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本项目总投资3929.88万元，其中：财政本级资金3929.88万元。项目实际支出3929.88万元，支出率为100%。</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项目总投资</w:t>
      </w:r>
      <w:r>
        <w:rPr>
          <w:rFonts w:hint="eastAsia" w:ascii="仿宋_GB2312" w:hAnsi="仿宋_GB2312" w:eastAsia="仿宋_GB2312" w:cs="仿宋_GB2312"/>
          <w:sz w:val="32"/>
          <w:szCs w:val="32"/>
          <w:highlight w:val="none"/>
          <w:lang w:val="en-US" w:eastAsia="zh-CN"/>
        </w:rPr>
        <w:t>3929.88</w:t>
      </w:r>
      <w:r>
        <w:rPr>
          <w:rFonts w:hint="eastAsia" w:ascii="仿宋_GB2312" w:hAnsi="仿宋_GB2312" w:eastAsia="仿宋_GB2312" w:cs="仿宋_GB2312"/>
          <w:sz w:val="32"/>
          <w:szCs w:val="32"/>
          <w:highlight w:val="none"/>
        </w:rPr>
        <w:t>万元，按照《</w:t>
      </w:r>
      <w:r>
        <w:rPr>
          <w:rFonts w:hint="eastAsia" w:ascii="仿宋_GB2312" w:hAnsi="仿宋_GB2312" w:eastAsia="仿宋_GB2312" w:cs="仿宋_GB2312"/>
          <w:sz w:val="32"/>
          <w:szCs w:val="32"/>
          <w:highlight w:val="none"/>
          <w:lang w:val="en-US" w:eastAsia="zh-CN"/>
        </w:rPr>
        <w:t>克塔铁路专项</w:t>
      </w:r>
      <w:r>
        <w:rPr>
          <w:rFonts w:hint="eastAsia" w:ascii="仿宋_GB2312" w:hAnsi="仿宋_GB2312" w:eastAsia="仿宋_GB2312" w:cs="仿宋_GB2312"/>
          <w:sz w:val="32"/>
          <w:szCs w:val="32"/>
          <w:highlight w:val="none"/>
        </w:rPr>
        <w:t>资金管理办法》及单位财务制度等相关规定，资金支出符合</w:t>
      </w:r>
      <w:r>
        <w:rPr>
          <w:rFonts w:hint="eastAsia" w:ascii="仿宋_GB2312" w:hAnsi="仿宋_GB2312" w:eastAsia="仿宋_GB2312" w:cs="仿宋_GB2312"/>
          <w:sz w:val="32"/>
          <w:szCs w:val="32"/>
          <w:highlight w:val="none"/>
          <w:lang w:val="en-US" w:eastAsia="zh-CN"/>
        </w:rPr>
        <w:t>克塔铁路</w:t>
      </w:r>
      <w:r>
        <w:rPr>
          <w:rFonts w:hint="eastAsia" w:ascii="仿宋_GB2312" w:hAnsi="仿宋_GB2312" w:eastAsia="仿宋_GB2312" w:cs="仿宋_GB2312"/>
          <w:sz w:val="32"/>
          <w:szCs w:val="32"/>
          <w:highlight w:val="none"/>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highlight w:val="none"/>
          <w:lang w:val="en-US" w:eastAsia="zh-CN"/>
        </w:rPr>
        <w:t>专项</w:t>
      </w:r>
      <w:r>
        <w:rPr>
          <w:rFonts w:hint="eastAsia" w:ascii="仿宋_GB2312" w:hAnsi="仿宋_GB2312" w:eastAsia="仿宋_GB2312" w:cs="仿宋_GB2312"/>
          <w:sz w:val="32"/>
          <w:szCs w:val="32"/>
          <w:highlight w:val="none"/>
        </w:rPr>
        <w:t>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（2）预算资金来源及使用情况</w:t>
      </w:r>
      <w:bookmarkStart w:id="0" w:name="page10"/>
      <w:bookmarkEnd w:id="0"/>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highlight w:val="none"/>
        </w:rPr>
      </w:pPr>
      <w:r>
        <w:rPr>
          <w:rFonts w:hint="eastAsia" w:ascii="仿宋_GB2312" w:hAnsi="仿宋_GB2312" w:eastAsia="仿宋_GB2312" w:cs="仿宋_GB2312"/>
          <w:b w:val="0"/>
          <w:bCs w:val="0"/>
          <w:kern w:val="2"/>
          <w:highlight w:val="none"/>
        </w:rPr>
        <w:t>项目预算资金来源于</w:t>
      </w:r>
      <w:r>
        <w:rPr>
          <w:rFonts w:hint="eastAsia" w:ascii="仿宋_GB2312" w:hAnsi="仿宋_GB2312" w:eastAsia="仿宋_GB2312" w:cs="仿宋_GB2312"/>
          <w:b w:val="0"/>
          <w:bCs w:val="0"/>
          <w:kern w:val="2"/>
          <w:highlight w:val="none"/>
          <w:lang w:eastAsia="zh-CN"/>
        </w:rPr>
        <w:t>本级财政</w:t>
      </w:r>
      <w:r>
        <w:rPr>
          <w:rFonts w:hint="eastAsia" w:ascii="仿宋_GB2312" w:hAnsi="仿宋_GB2312" w:eastAsia="仿宋_GB2312" w:cs="仿宋_GB2312"/>
          <w:b w:val="0"/>
          <w:bCs w:val="0"/>
          <w:kern w:val="2"/>
          <w:highlight w:val="none"/>
        </w:rPr>
        <w:t>资金，项目资金到位</w:t>
      </w:r>
      <w:r>
        <w:rPr>
          <w:rFonts w:hint="eastAsia" w:ascii="仿宋_GB2312" w:hAnsi="仿宋_GB2312" w:eastAsia="仿宋_GB2312" w:cs="仿宋_GB2312"/>
          <w:b w:val="0"/>
          <w:bCs w:val="0"/>
          <w:kern w:val="2"/>
          <w:highlight w:val="none"/>
          <w:lang w:val="en-US" w:eastAsia="zh-CN"/>
        </w:rPr>
        <w:t>3929.88</w:t>
      </w:r>
      <w:r>
        <w:rPr>
          <w:rFonts w:hint="eastAsia" w:ascii="仿宋_GB2312" w:hAnsi="仿宋_GB2312" w:eastAsia="仿宋_GB2312" w:cs="仿宋_GB2312"/>
          <w:b w:val="0"/>
          <w:bCs w:val="0"/>
          <w:kern w:val="2"/>
          <w:highlight w:val="none"/>
        </w:rPr>
        <w:t>万元，用于支付项目实施进程中的各项费用。</w:t>
      </w:r>
    </w:p>
    <w:p>
      <w:pPr>
        <w:pageBreakBefore w:val="0"/>
        <w:kinsoku/>
        <w:wordWrap/>
        <w:overflowPunct/>
        <w:topLinePunct w:val="0"/>
        <w:autoSpaceDE/>
        <w:autoSpaceDN/>
        <w:bidi w:val="0"/>
        <w:adjustRightInd/>
        <w:snapToGrid/>
        <w:spacing w:line="560" w:lineRule="exact"/>
        <w:ind w:firstLine="641"/>
        <w:textAlignment w:val="auto"/>
        <w:rPr>
          <w:rFonts w:hint="eastAsia" w:ascii="楷体" w:hAnsi="楷体" w:eastAsia="楷体" w:cs="楷体"/>
          <w:b/>
          <w:bCs/>
          <w:sz w:val="32"/>
          <w:szCs w:val="32"/>
        </w:rPr>
      </w:pPr>
      <w:r>
        <w:rPr>
          <w:rFonts w:hint="eastAsia" w:ascii="楷体" w:hAnsi="楷体" w:eastAsia="楷体" w:cs="楷体"/>
          <w:b/>
          <w:bCs/>
          <w:sz w:val="32"/>
          <w:szCs w:val="32"/>
        </w:rPr>
        <w:t>（二）项目绩效目标</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lang w:val="en-US" w:eastAsia="zh-CN"/>
        </w:rPr>
        <w:t xml:space="preserve">  </w:t>
      </w:r>
      <w:r>
        <w:rPr>
          <w:rFonts w:hint="eastAsia" w:ascii="仿宋_GB2312" w:hAnsi="仿宋_GB2312" w:eastAsia="仿宋_GB2312" w:cs="仿宋_GB2312"/>
          <w:sz w:val="32"/>
          <w:szCs w:val="32"/>
          <w:lang w:val="en-US" w:eastAsia="zh-CN"/>
        </w:rPr>
        <w:t xml:space="preserve">   按阶段执行克塔铁路建设偿还国开行建设利息费用。</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b/>
          <w:bCs/>
          <w:sz w:val="32"/>
          <w:szCs w:val="32"/>
        </w:rPr>
        <w:t>、阶段性目标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highlight w:val="none"/>
          <w:lang w:val="en-US" w:eastAsia="zh-CN"/>
        </w:rPr>
        <w:t>克塔铁路建设偿还国开行利息还本付息</w:t>
      </w:r>
      <w:r>
        <w:rPr>
          <w:rFonts w:hint="eastAsia" w:ascii="仿宋_GB2312" w:hAnsi="仿宋_GB2312" w:eastAsia="仿宋_GB2312" w:cs="仿宋_GB2312"/>
          <w:sz w:val="32"/>
          <w:szCs w:val="32"/>
          <w:highlight w:val="none"/>
        </w:rPr>
        <w:t>方案》，通过制定项目实施方案，经项目负责人审核通过后，有序开展后续工程。</w:t>
      </w:r>
    </w:p>
    <w:p>
      <w:pPr>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（2）组织实施：资金一到位，立即根据项目要求实施项目。项目责任人按照《</w:t>
      </w:r>
      <w:r>
        <w:rPr>
          <w:rFonts w:hint="eastAsia" w:ascii="仿宋_GB2312" w:hAnsi="仿宋_GB2312" w:eastAsia="仿宋_GB2312" w:cs="仿宋_GB2312"/>
          <w:sz w:val="32"/>
          <w:szCs w:val="32"/>
          <w:highlight w:val="none"/>
          <w:lang w:val="en-US" w:eastAsia="zh-CN"/>
        </w:rPr>
        <w:t>克塔铁路建设偿还国开行利息还本付息</w:t>
      </w:r>
      <w:r>
        <w:rPr>
          <w:rFonts w:hint="eastAsia" w:ascii="仿宋_GB2312" w:hAnsi="仿宋_GB2312" w:eastAsia="仿宋_GB2312" w:cs="仿宋_GB2312"/>
          <w:sz w:val="32"/>
          <w:szCs w:val="32"/>
          <w:highlight w:val="none"/>
        </w:rPr>
        <w:t>方案》要求逐一进行项目部署</w:t>
      </w:r>
      <w:r>
        <w:rPr>
          <w:rFonts w:hint="eastAsia" w:ascii="仿宋_GB2312" w:hAnsi="仿宋_GB2312" w:eastAsia="仿宋_GB2312" w:cs="仿宋_GB2312"/>
          <w:sz w:val="32"/>
          <w:szCs w:val="32"/>
        </w:rPr>
        <w:t>安排，提高项目质量及效率性。</w:t>
      </w:r>
    </w:p>
    <w:p>
      <w:pPr>
        <w:pageBreakBefore w:val="0"/>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二、绩效评价工作开展情况</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3"/>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2、绩效评价的对象</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克塔铁路还本付息项目。</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lang w:val="en-US" w:eastAsia="zh-CN"/>
        </w:rPr>
        <w:t>3、</w:t>
      </w:r>
      <w:r>
        <w:rPr>
          <w:rFonts w:hint="eastAsia" w:ascii="仿宋_GB2312" w:hAnsi="仿宋_GB2312" w:eastAsia="仿宋_GB2312" w:cs="仿宋_GB2312"/>
          <w:b/>
          <w:bCs/>
          <w:highlight w:val="none"/>
        </w:rPr>
        <w:t>绩效评价的范围</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从</w:t>
      </w:r>
      <w:r>
        <w:rPr>
          <w:rFonts w:hint="eastAsia" w:ascii="仿宋_GB2312" w:hAnsi="仿宋_GB2312" w:eastAsia="仿宋_GB2312" w:cs="仿宋_GB2312"/>
          <w:b w:val="0"/>
          <w:bCs w:val="0"/>
          <w:color w:val="auto"/>
          <w:kern w:val="2"/>
          <w:sz w:val="32"/>
          <w:szCs w:val="32"/>
          <w:lang w:val="en-US" w:eastAsia="zh-CN" w:bidi="ar-SA"/>
        </w:rPr>
        <w:t>克塔铁路还本付息项目</w:t>
      </w:r>
      <w:r>
        <w:rPr>
          <w:rFonts w:hint="default" w:ascii="仿宋_GB2312" w:hAnsi="仿宋_GB2312" w:eastAsia="仿宋_GB2312" w:cs="仿宋_GB2312"/>
          <w:color w:val="auto"/>
          <w:sz w:val="32"/>
          <w:szCs w:val="32"/>
          <w:highlight w:val="none"/>
          <w:lang w:val="en-US" w:eastAsia="zh-CN"/>
        </w:rPr>
        <w:t>的决策、过程、产出、效益等方面进行评价。</w:t>
      </w:r>
    </w:p>
    <w:p>
      <w:pPr>
        <w:pageBreakBefore w:val="0"/>
        <w:kinsoku/>
        <w:wordWrap/>
        <w:overflowPunct/>
        <w:topLinePunct w:val="0"/>
        <w:autoSpaceDE/>
        <w:autoSpaceDN/>
        <w:bidi w:val="0"/>
        <w:adjustRightInd/>
        <w:snapToGrid/>
        <w:spacing w:line="560" w:lineRule="exact"/>
        <w:ind w:firstLine="641"/>
        <w:textAlignment w:val="auto"/>
        <w:rPr>
          <w:rFonts w:ascii="仿宋_GB2312"/>
          <w:highlight w:val="yellow"/>
        </w:rPr>
      </w:pPr>
      <w:r>
        <w:rPr>
          <w:rFonts w:hint="eastAsia" w:ascii="楷体_GB2312" w:hAnsi="楷体_GB2312" w:eastAsia="楷体_GB2312" w:cs="楷体_GB2312"/>
          <w:b/>
          <w:bCs/>
          <w:sz w:val="32"/>
          <w:szCs w:val="32"/>
        </w:rPr>
        <w:t>（二）绩效评价原则、评价指标体系（详情见表1）、评价方法</w:t>
      </w:r>
      <w:r>
        <w:rPr>
          <w:rFonts w:hint="eastAsia" w:ascii="楷体_GB2312" w:hAnsi="楷体_GB2312" w:eastAsia="楷体_GB2312" w:cs="楷体_GB2312"/>
          <w:b/>
          <w:bCs/>
          <w:sz w:val="32"/>
          <w:szCs w:val="32"/>
          <w:highlight w:val="none"/>
        </w:rPr>
        <w:t>、评价标准。</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（1）科学公正。绩效评价应当运用科学合理的方法，按照规范的程序，对项目绩效进行客观、公正的反映。</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（2）统筹兼顾。单位自评、部门评价和财政评价应职责明确，各有侧重，相互衔接。单位自评应由项目单位自主实施，即“谁支出、谁自评”。部门评价和财政评价应在单位自评的基础上开展。</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exac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w:t>
      </w:r>
      <w:r>
        <w:rPr>
          <w:rFonts w:hint="eastAsia" w:ascii="仿宋_GB2312" w:hAnsi="仿宋_GB2312" w:eastAsia="仿宋_GB2312" w:cs="仿宋_GB2312"/>
          <w:color w:val="000000"/>
          <w:spacing w:val="17"/>
          <w:sz w:val="32"/>
          <w:szCs w:val="32"/>
          <w:highlight w:val="none"/>
          <w:lang w:val="en-US" w:eastAsia="zh-CN"/>
        </w:rPr>
        <w:t>决策</w:t>
      </w:r>
      <w:r>
        <w:rPr>
          <w:rFonts w:hint="eastAsia" w:ascii="仿宋_GB2312" w:hAnsi="仿宋_GB2312" w:eastAsia="仿宋_GB2312" w:cs="仿宋_GB2312"/>
          <w:color w:val="000000"/>
          <w:spacing w:val="17"/>
          <w:sz w:val="32"/>
          <w:szCs w:val="32"/>
          <w:highlight w:val="none"/>
        </w:rPr>
        <w:t>指标、项目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指标</w:t>
      </w:r>
      <w:r>
        <w:rPr>
          <w:rFonts w:hint="eastAsia" w:ascii="仿宋_GB2312" w:hAnsi="仿宋_GB2312" w:eastAsia="仿宋_GB2312" w:cs="仿宋_GB2312"/>
          <w:color w:val="000000"/>
          <w:spacing w:val="17"/>
          <w:sz w:val="32"/>
          <w:szCs w:val="32"/>
          <w:highlight w:val="none"/>
          <w:lang w:eastAsia="zh-CN"/>
        </w:rPr>
        <w:t>、</w:t>
      </w:r>
      <w:r>
        <w:rPr>
          <w:rFonts w:hint="eastAsia" w:ascii="仿宋_GB2312" w:hAnsi="仿宋_GB2312" w:eastAsia="仿宋_GB2312" w:cs="仿宋_GB2312"/>
          <w:color w:val="000000"/>
          <w:spacing w:val="17"/>
          <w:sz w:val="32"/>
          <w:szCs w:val="32"/>
          <w:highlight w:val="none"/>
        </w:rPr>
        <w:t>项目产出指标、项目效益指标四个维度</w:t>
      </w:r>
      <w:r>
        <w:rPr>
          <w:rFonts w:hint="eastAsia" w:ascii="仿宋_GB2312" w:hAnsi="仿宋_GB2312" w:eastAsia="仿宋_GB2312" w:cs="仿宋_GB2312"/>
          <w:color w:val="000000"/>
          <w:spacing w:val="17"/>
          <w:sz w:val="32"/>
          <w:szCs w:val="32"/>
        </w:rPr>
        <w:t>，最终形成一个由多个相互联系的指标组成的多层次指标体系。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（2）确定权重</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确定各个指标相对于项目总体绩效的权重分值。在绩效评价指标体系中，项</w:t>
      </w:r>
      <w:r>
        <w:rPr>
          <w:rFonts w:hint="eastAsia" w:ascii="仿宋_GB2312" w:hAnsi="仿宋_GB2312" w:eastAsia="仿宋_GB2312" w:cs="仿宋_GB2312"/>
          <w:color w:val="000000"/>
          <w:spacing w:val="17"/>
          <w:sz w:val="32"/>
          <w:szCs w:val="32"/>
          <w:highlight w:val="none"/>
          <w:lang w:val="en-US" w:eastAsia="zh-CN"/>
        </w:rPr>
        <w:t>目决策</w:t>
      </w:r>
      <w:r>
        <w:rPr>
          <w:rFonts w:hint="eastAsia" w:ascii="仿宋_GB2312" w:hAnsi="仿宋_GB2312" w:eastAsia="仿宋_GB2312" w:cs="仿宋_GB2312"/>
          <w:color w:val="000000"/>
          <w:spacing w:val="17"/>
          <w:sz w:val="32"/>
          <w:szCs w:val="32"/>
          <w:highlight w:val="none"/>
        </w:rPr>
        <w:t>权重</w:t>
      </w:r>
      <w:r>
        <w:rPr>
          <w:rFonts w:hint="eastAsia" w:ascii="仿宋_GB2312" w:hAnsi="仿宋_GB2312" w:eastAsia="仿宋_GB2312" w:cs="仿宋_GB2312"/>
          <w:color w:val="000000"/>
          <w:spacing w:val="17"/>
          <w:sz w:val="32"/>
          <w:szCs w:val="32"/>
          <w:highlight w:val="none"/>
          <w:lang w:val="en-US" w:eastAsia="zh-CN"/>
        </w:rPr>
        <w:t>占5%</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权重占</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项目产出权重值占</w:t>
      </w:r>
      <w:r>
        <w:rPr>
          <w:rFonts w:hint="eastAsia" w:ascii="仿宋_GB2312" w:hAnsi="仿宋_GB2312" w:eastAsia="仿宋_GB2312" w:cs="仿宋_GB2312"/>
          <w:color w:val="000000"/>
          <w:spacing w:val="17"/>
          <w:sz w:val="32"/>
          <w:szCs w:val="32"/>
          <w:highlight w:val="none"/>
          <w:lang w:val="en-US" w:eastAsia="zh-CN"/>
        </w:rPr>
        <w:t>50%</w:t>
      </w:r>
      <w:r>
        <w:rPr>
          <w:rFonts w:hint="eastAsia" w:ascii="仿宋_GB2312" w:hAnsi="仿宋_GB2312" w:eastAsia="仿宋_GB2312" w:cs="仿宋_GB2312"/>
          <w:color w:val="000000"/>
          <w:spacing w:val="17"/>
          <w:sz w:val="32"/>
          <w:szCs w:val="32"/>
          <w:highlight w:val="none"/>
        </w:rPr>
        <w:t>，项目效益权重值占</w:t>
      </w:r>
      <w:r>
        <w:rPr>
          <w:rFonts w:hint="eastAsia" w:ascii="仿宋_GB2312" w:hAnsi="仿宋_GB2312" w:eastAsia="仿宋_GB2312" w:cs="仿宋_GB2312"/>
          <w:color w:val="000000"/>
          <w:spacing w:val="17"/>
          <w:sz w:val="32"/>
          <w:szCs w:val="32"/>
          <w:highlight w:val="none"/>
          <w:lang w:val="en-US" w:eastAsia="zh-CN"/>
        </w:rPr>
        <w:t>40%</w:t>
      </w:r>
      <w:r>
        <w:rPr>
          <w:rFonts w:hint="eastAsia" w:ascii="仿宋_GB2312" w:hAnsi="仿宋_GB2312" w:eastAsia="仿宋_GB2312" w:cs="仿宋_GB2312"/>
          <w:color w:val="000000"/>
          <w:spacing w:val="17"/>
          <w:sz w:val="32"/>
          <w:szCs w:val="32"/>
          <w:highlight w:val="none"/>
        </w:rPr>
        <w:t>。</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highlight w:val="none"/>
        </w:rPr>
        <w:t>（3</w:t>
      </w:r>
      <w:r>
        <w:rPr>
          <w:rFonts w:hint="eastAsia" w:ascii="仿宋_GB2312" w:hAnsi="仿宋_GB2312" w:eastAsia="仿宋_GB2312" w:cs="仿宋_GB2312"/>
          <w:color w:val="000000"/>
          <w:spacing w:val="17"/>
          <w:sz w:val="32"/>
          <w:szCs w:val="32"/>
        </w:rPr>
        <w:t>）确定指标标准值</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eastAsia="zh-CN"/>
        </w:rPr>
      </w:pPr>
      <w:r>
        <w:rPr>
          <w:rFonts w:hint="eastAsia" w:ascii="仿宋_GB2312" w:hAnsi="仿宋_GB2312" w:eastAsia="仿宋_GB2312" w:cs="仿宋_GB2312"/>
          <w:color w:val="000000"/>
          <w:spacing w:val="17"/>
          <w:sz w:val="32"/>
          <w:szCs w:val="32"/>
        </w:rPr>
        <w:t>具体评价指标体系详情见</w:t>
      </w:r>
      <w:r>
        <w:rPr>
          <w:rFonts w:hint="eastAsia" w:ascii="仿宋_GB2312" w:hAnsi="仿宋_GB2312" w:eastAsia="仿宋_GB2312" w:cs="仿宋_GB2312"/>
          <w:color w:val="000000"/>
          <w:spacing w:val="17"/>
          <w:sz w:val="32"/>
          <w:szCs w:val="32"/>
          <w:lang w:val="en-US" w:eastAsia="zh-CN"/>
        </w:rPr>
        <w:t>附件</w:t>
      </w:r>
      <w:r>
        <w:rPr>
          <w:rFonts w:hint="eastAsia" w:ascii="仿宋_GB2312" w:hAnsi="仿宋_GB2312" w:eastAsia="仿宋_GB2312" w:cs="仿宋_GB2312"/>
          <w:color w:val="000000"/>
          <w:spacing w:val="17"/>
          <w:sz w:val="32"/>
          <w:szCs w:val="32"/>
        </w:rPr>
        <w:t>1</w:t>
      </w:r>
      <w:r>
        <w:rPr>
          <w:rFonts w:hint="eastAsia" w:ascii="仿宋_GB2312" w:hAnsi="仿宋_GB2312" w:eastAsia="仿宋_GB2312" w:cs="仿宋_GB2312"/>
          <w:color w:val="000000"/>
          <w:spacing w:val="17"/>
          <w:sz w:val="32"/>
          <w:szCs w:val="32"/>
          <w:lang w:eastAsia="zh-CN"/>
        </w:rPr>
        <w:t>。</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w:t>
      </w:r>
      <w:r>
        <w:rPr>
          <w:rFonts w:hint="eastAsia" w:ascii="仿宋_GB2312" w:hAnsi="仿宋_GB2312" w:eastAsia="仿宋_GB2312" w:cs="仿宋_GB2312"/>
          <w:b/>
          <w:bCs/>
        </w:rPr>
        <w:t>、绩效评价</w:t>
      </w:r>
      <w:r>
        <w:rPr>
          <w:rFonts w:hint="eastAsia" w:ascii="仿宋_GB2312" w:hAnsi="仿宋_GB2312" w:eastAsia="仿宋_GB2312" w:cs="仿宋_GB2312"/>
          <w:b/>
          <w:bCs/>
          <w:lang w:val="en-US" w:eastAsia="zh-CN"/>
        </w:rPr>
        <w:t>标准</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本次评价主要采用了计划标准和行业标准。</w:t>
      </w:r>
    </w:p>
    <w:p>
      <w:pPr>
        <w:pageBreakBefore w:val="0"/>
        <w:kinsoku/>
        <w:wordWrap/>
        <w:overflowPunct/>
        <w:topLinePunct w:val="0"/>
        <w:autoSpaceDE/>
        <w:autoSpaceDN/>
        <w:bidi w:val="0"/>
        <w:adjustRightInd/>
        <w:snapToGrid/>
        <w:spacing w:line="560" w:lineRule="exact"/>
        <w:ind w:left="0" w:firstLine="711" w:firstLineChars="200"/>
        <w:textAlignment w:val="auto"/>
        <w:rPr>
          <w:rFonts w:hint="eastAsia" w:ascii="楷体" w:hAnsi="楷体" w:eastAsia="楷体" w:cs="楷体"/>
          <w:b w:val="0"/>
          <w:bCs w:val="0"/>
          <w:color w:val="000000"/>
          <w:spacing w:val="17"/>
          <w:kern w:val="2"/>
          <w:sz w:val="32"/>
          <w:szCs w:val="32"/>
          <w:highlight w:val="none"/>
          <w:lang w:val="en-US" w:eastAsia="zh-CN" w:bidi="ar-SA"/>
        </w:rPr>
      </w:pPr>
      <w:r>
        <w:rPr>
          <w:rFonts w:hint="eastAsia" w:ascii="楷体" w:hAnsi="楷体" w:eastAsia="楷体" w:cs="楷体"/>
          <w:b/>
          <w:bCs/>
          <w:color w:val="000000"/>
          <w:spacing w:val="17"/>
          <w:kern w:val="2"/>
          <w:sz w:val="32"/>
          <w:szCs w:val="32"/>
          <w:highlight w:val="none"/>
          <w:lang w:val="en-US" w:eastAsia="zh-CN" w:bidi="ar-SA"/>
        </w:rPr>
        <w:t>（三）绩效评价工作过程</w:t>
      </w:r>
      <w:r>
        <w:rPr>
          <w:rFonts w:hint="eastAsia" w:ascii="楷体" w:hAnsi="楷体" w:eastAsia="楷体" w:cs="楷体"/>
          <w:b w:val="0"/>
          <w:bCs w:val="0"/>
          <w:color w:val="000000"/>
          <w:spacing w:val="17"/>
          <w:kern w:val="2"/>
          <w:sz w:val="32"/>
          <w:szCs w:val="32"/>
          <w:highlight w:val="none"/>
          <w:lang w:val="en-US" w:eastAsia="zh-CN" w:bidi="ar-SA"/>
        </w:rPr>
        <w:t>。</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4"/>
        </w:numPr>
        <w:kinsoku/>
        <w:wordWrap/>
        <w:overflowPunct/>
        <w:topLinePunct w:val="0"/>
        <w:autoSpaceDE/>
        <w:autoSpaceDN/>
        <w:bidi w:val="0"/>
        <w:adjustRightInd/>
        <w:snapToGrid/>
        <w:spacing w:line="560" w:lineRule="exact"/>
        <w:ind w:firstLine="641"/>
        <w:textAlignment w:val="auto"/>
        <w:rPr>
          <w:rFonts w:ascii="黑体" w:hAnsi="黑体" w:eastAsia="黑体" w:cs="黑体"/>
          <w:b/>
          <w:bCs/>
          <w:sz w:val="32"/>
          <w:szCs w:val="32"/>
        </w:rPr>
      </w:pPr>
      <w:r>
        <w:rPr>
          <w:rFonts w:hint="eastAsia" w:ascii="黑体" w:hAnsi="黑体" w:eastAsia="黑体" w:cs="黑体"/>
          <w:b/>
          <w:bCs/>
          <w:sz w:val="32"/>
          <w:szCs w:val="32"/>
        </w:rPr>
        <w:t>综合评价情况及评价结论（附相关评分表）</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对克塔铁路还本付息项目进行客观评价，最终评分结果：总得分为98分，属于“优”。其中，项目决策类指标权重为5分，得分为 5分，得分率为 100%。项目过程类指标权重为5分，得分为5 分，得分率为 100%。项目产出类指标权重为50分，得分为50分，得分率为 100%。项目效益类指标权重为40分，得分为38分，得分率为 95%。</w:t>
      </w:r>
    </w:p>
    <w:p>
      <w:pPr>
        <w:pStyle w:val="2"/>
        <w:pageBreakBefore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tbl>
      <w:tblPr>
        <w:tblStyle w:val="11"/>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28"/>
        <w:gridCol w:w="840"/>
        <w:gridCol w:w="840"/>
        <w:gridCol w:w="816"/>
        <w:gridCol w:w="1116"/>
        <w:gridCol w:w="1536"/>
        <w:gridCol w:w="1803"/>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828" w:type="dxa"/>
            <w:shd w:val="clear" w:color="auto" w:fill="BFBFB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84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84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816"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1116"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536"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1803"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2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84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highlight w:val="none"/>
              </w:rPr>
            </w:pPr>
            <w:r>
              <w:rPr>
                <w:rFonts w:hint="eastAsia" w:ascii="宋体" w:hAnsi="宋体" w:cs="宋体"/>
                <w:kern w:val="0"/>
                <w:sz w:val="18"/>
                <w:szCs w:val="18"/>
                <w:highlight w:val="none"/>
              </w:rPr>
              <w:t>5分</w:t>
            </w:r>
          </w:p>
        </w:tc>
        <w:tc>
          <w:tcPr>
            <w:tcW w:w="84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8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11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53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项目立项符合法律法规、相关政策、发展规划以 及部门职责，用以反映和考 核项目立项依据情况。</w:t>
            </w:r>
          </w:p>
        </w:tc>
        <w:tc>
          <w:tcPr>
            <w:tcW w:w="180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《自治区发展改革委关于新建铁路克拉玛依至铁厂沟镇线项目核准的批复》</w:t>
            </w:r>
            <w:bookmarkStart w:id="2" w:name="_GoBack"/>
            <w:bookmarkEnd w:id="2"/>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28"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4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highlight w:val="none"/>
              </w:rPr>
            </w:pPr>
          </w:p>
        </w:tc>
        <w:tc>
          <w:tcPr>
            <w:tcW w:w="84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11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53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项目申请、设立过程符合相关要求</w:t>
            </w:r>
          </w:p>
        </w:tc>
        <w:tc>
          <w:tcPr>
            <w:tcW w:w="180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项目按照规定的程序申请设立；财政下达文件，拨付资金</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28"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4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highlight w:val="none"/>
              </w:rPr>
            </w:pPr>
          </w:p>
        </w:tc>
        <w:tc>
          <w:tcPr>
            <w:tcW w:w="84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8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11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53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项目所设定的绩效目标依据充分，符合客观实际</w:t>
            </w:r>
          </w:p>
        </w:tc>
        <w:tc>
          <w:tcPr>
            <w:tcW w:w="180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项目预期产出效益和效果符合正常的业绩水平；</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2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4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highlight w:val="none"/>
              </w:rPr>
            </w:pPr>
          </w:p>
        </w:tc>
        <w:tc>
          <w:tcPr>
            <w:tcW w:w="84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11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53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依据绩效目标设定的绩效 指标清晰、细化、可衡量等</w:t>
            </w:r>
          </w:p>
        </w:tc>
        <w:tc>
          <w:tcPr>
            <w:tcW w:w="180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我单位项目绩效目标细化分解为具体的绩效指标；支出金额3929.88万元；</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28"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4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highlight w:val="none"/>
              </w:rPr>
            </w:pPr>
          </w:p>
        </w:tc>
        <w:tc>
          <w:tcPr>
            <w:tcW w:w="84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8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11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53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实际到位资金与预算资金 的比率，用以反映和考核资 金落实情况对项目实施的 总体保障程度。</w:t>
            </w:r>
          </w:p>
        </w:tc>
        <w:tc>
          <w:tcPr>
            <w:tcW w:w="180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科学</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2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4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highlight w:val="none"/>
              </w:rPr>
            </w:pPr>
          </w:p>
        </w:tc>
        <w:tc>
          <w:tcPr>
            <w:tcW w:w="84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11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53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按照项目所需资金合理分配</w:t>
            </w:r>
          </w:p>
        </w:tc>
        <w:tc>
          <w:tcPr>
            <w:tcW w:w="180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合理</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28"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过程</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84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highlight w:val="none"/>
              </w:rPr>
            </w:pPr>
            <w:r>
              <w:rPr>
                <w:rFonts w:hint="eastAsia" w:ascii="宋体" w:hAnsi="宋体" w:cs="宋体"/>
                <w:kern w:val="0"/>
                <w:sz w:val="18"/>
                <w:szCs w:val="18"/>
                <w:highlight w:val="none"/>
              </w:rPr>
              <w:t>5分</w:t>
            </w:r>
          </w:p>
        </w:tc>
        <w:tc>
          <w:tcPr>
            <w:tcW w:w="84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8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11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53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实际到位资金与预算资金 的比率，用以反映和考核资 金落实情况对项目实施的 总体保障程度。</w:t>
            </w:r>
          </w:p>
        </w:tc>
        <w:tc>
          <w:tcPr>
            <w:tcW w:w="180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28"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4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highlight w:val="none"/>
              </w:rPr>
            </w:pPr>
          </w:p>
        </w:tc>
        <w:tc>
          <w:tcPr>
            <w:tcW w:w="84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1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53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项目预算资金是否按照计 划执行，用以反映或考核项 目预算执行情况。</w:t>
            </w:r>
          </w:p>
        </w:tc>
        <w:tc>
          <w:tcPr>
            <w:tcW w:w="180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预算执行率=100%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28"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4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highlight w:val="none"/>
              </w:rPr>
            </w:pPr>
          </w:p>
        </w:tc>
        <w:tc>
          <w:tcPr>
            <w:tcW w:w="84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8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11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53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项目资金使用是否符合相 关的财务管理制度规定，用 以反映和考核项目资金的 规范运行情况。</w:t>
            </w:r>
          </w:p>
        </w:tc>
        <w:tc>
          <w:tcPr>
            <w:tcW w:w="180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rPr>
              <w:t>符合国家财经法规和财务管理制度以及有关专项资金管理办法的规定；</w:t>
            </w:r>
            <w:r>
              <w:rPr>
                <w:rFonts w:hint="eastAsia" w:ascii="宋体" w:hAnsi="宋体" w:cs="宋体"/>
                <w:color w:val="000000"/>
                <w:kern w:val="0"/>
                <w:sz w:val="18"/>
                <w:szCs w:val="18"/>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28"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4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highlight w:val="none"/>
              </w:rPr>
            </w:pPr>
          </w:p>
        </w:tc>
        <w:tc>
          <w:tcPr>
            <w:tcW w:w="84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8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11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53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项目实施单位的财务和业 务管理制度是否健全，用以 反映和考核财务和业务管 理制度对项目顺利实施的 保障情况。</w:t>
            </w:r>
          </w:p>
        </w:tc>
        <w:tc>
          <w:tcPr>
            <w:tcW w:w="180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己制定相应的财务和业务管理制度；</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2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4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highlight w:val="none"/>
              </w:rPr>
            </w:pPr>
          </w:p>
        </w:tc>
        <w:tc>
          <w:tcPr>
            <w:tcW w:w="84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11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53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项目实施是否符合相关管 理规定，用以反映和考核相 关管理制度的有效执行情 况。</w:t>
            </w:r>
          </w:p>
        </w:tc>
        <w:tc>
          <w:tcPr>
            <w:tcW w:w="180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项目调整及支出调整手续完备；符合相关法律法规和相关管理规定；</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2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w:t>
            </w:r>
          </w:p>
        </w:tc>
        <w:tc>
          <w:tcPr>
            <w:tcW w:w="84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highlight w:val="none"/>
              </w:rPr>
            </w:pPr>
            <w:r>
              <w:rPr>
                <w:rFonts w:hint="eastAsia" w:ascii="宋体" w:hAnsi="宋体" w:cs="宋体"/>
                <w:kern w:val="0"/>
                <w:sz w:val="18"/>
                <w:szCs w:val="18"/>
                <w:highlight w:val="none"/>
              </w:rPr>
              <w:t>50分</w:t>
            </w:r>
          </w:p>
        </w:tc>
        <w:tc>
          <w:tcPr>
            <w:tcW w:w="84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8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11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53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项目实施的实际产出数与 计划产出数的比率，用以反 映和考核项目产出数量目 标的实现程度。</w:t>
            </w:r>
          </w:p>
        </w:tc>
        <w:tc>
          <w:tcPr>
            <w:tcW w:w="180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rPr>
              <w:t>实际完成率=100%实际产出数：线路总长272.79公里，铁路等级国铁Ⅲ级，偿还债务及时率100%，本息及税金3929.88万元。出数：线路总长272.79公里，铁路等级国铁Ⅲ级</w:t>
            </w:r>
            <w:r>
              <w:rPr>
                <w:rFonts w:hint="eastAsia" w:ascii="宋体" w:hAnsi="宋体" w:cs="宋体"/>
                <w:color w:val="000000"/>
                <w:kern w:val="0"/>
                <w:sz w:val="18"/>
                <w:szCs w:val="18"/>
                <w:lang w:eastAsia="zh-CN"/>
              </w:rPr>
              <w:t>。</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2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4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highlight w:val="none"/>
              </w:rPr>
            </w:pPr>
          </w:p>
        </w:tc>
        <w:tc>
          <w:tcPr>
            <w:tcW w:w="84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8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11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53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项目完成的质量达标产出 数与实际产出数的比率，用 以反映和考核项目产出质 量目标的实现程度。</w:t>
            </w:r>
          </w:p>
        </w:tc>
        <w:tc>
          <w:tcPr>
            <w:tcW w:w="180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质量达标产出数：铁路等级国铁Ⅲ级。质量达标率=100%o</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28"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4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highlight w:val="none"/>
              </w:rPr>
            </w:pPr>
          </w:p>
        </w:tc>
        <w:tc>
          <w:tcPr>
            <w:tcW w:w="840" w:type="dxa"/>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8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11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53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项目实际完成时间与计划 完成时间的比较，用以反映 和考核项目产出时效目标 的实现程度。</w:t>
            </w:r>
          </w:p>
        </w:tc>
        <w:tc>
          <w:tcPr>
            <w:tcW w:w="180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偿还债务及时率100%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2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4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highlight w:val="none"/>
              </w:rPr>
            </w:pPr>
          </w:p>
        </w:tc>
        <w:tc>
          <w:tcPr>
            <w:tcW w:w="84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8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11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53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反映成本实施情况</w:t>
            </w:r>
          </w:p>
        </w:tc>
        <w:tc>
          <w:tcPr>
            <w:tcW w:w="180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严格控制成本</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2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效益　</w:t>
            </w:r>
          </w:p>
        </w:tc>
        <w:tc>
          <w:tcPr>
            <w:tcW w:w="84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40分</w:t>
            </w:r>
          </w:p>
        </w:tc>
        <w:tc>
          <w:tcPr>
            <w:tcW w:w="84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8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实施效益</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（社会效益、经济效益、可持续效益）</w:t>
            </w:r>
          </w:p>
        </w:tc>
        <w:tc>
          <w:tcPr>
            <w:tcW w:w="11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153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项目实施所产生的效益。</w:t>
            </w:r>
          </w:p>
        </w:tc>
        <w:tc>
          <w:tcPr>
            <w:tcW w:w="180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经济效益：规划运输能力（客）3对/日当年新增运输能力＞2万吨社会效益：辐射周边县市5个可持续影响：铁路使用年限60年；</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95%</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2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4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4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11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53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社会公众或服务对象对项 目实施效果的满意程度。</w:t>
            </w:r>
          </w:p>
        </w:tc>
        <w:tc>
          <w:tcPr>
            <w:tcW w:w="180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公众满意度：100%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bl>
    <w:p>
      <w:pPr>
        <w:pageBreakBefore w:val="0"/>
        <w:kinsoku/>
        <w:wordWrap/>
        <w:overflowPunct/>
        <w:topLinePunct w:val="0"/>
        <w:autoSpaceDE/>
        <w:autoSpaceDN/>
        <w:bidi w:val="0"/>
        <w:adjustRightInd/>
        <w:snapToGrid/>
        <w:spacing w:line="560" w:lineRule="exact"/>
        <w:textAlignment w:val="auto"/>
        <w:rPr>
          <w:rFonts w:hint="default"/>
          <w:lang w:val="en-US" w:eastAsia="zh-CN"/>
        </w:rPr>
      </w:pPr>
    </w:p>
    <w:p>
      <w:pPr>
        <w:pageBreakBefore w:val="0"/>
        <w:kinsoku/>
        <w:wordWrap/>
        <w:overflowPunct/>
        <w:topLinePunct w:val="0"/>
        <w:autoSpaceDE/>
        <w:autoSpaceDN/>
        <w:bidi w:val="0"/>
        <w:adjustRightInd/>
        <w:snapToGrid/>
        <w:spacing w:line="560" w:lineRule="exact"/>
        <w:ind w:firstLine="321" w:firstLineChars="100"/>
        <w:textAlignment w:val="auto"/>
        <w:rPr>
          <w:rFonts w:ascii="黑体" w:hAnsi="黑体" w:eastAsia="黑体"/>
          <w:b/>
          <w:bCs/>
          <w:sz w:val="32"/>
          <w:szCs w:val="32"/>
        </w:rPr>
      </w:pPr>
      <w:r>
        <w:rPr>
          <w:rFonts w:hint="eastAsia" w:ascii="黑体" w:hAnsi="黑体" w:eastAsia="黑体"/>
          <w:b/>
          <w:bCs/>
          <w:sz w:val="32"/>
          <w:szCs w:val="32"/>
        </w:rPr>
        <w:t>四、绩效评价指标分析</w:t>
      </w:r>
    </w:p>
    <w:p>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zh-TW" w:eastAsia="zh-CN"/>
        </w:rPr>
      </w:pPr>
      <w:r>
        <w:rPr>
          <w:rFonts w:hint="eastAsia" w:ascii="仿宋_GB2312" w:hAnsi="仿宋_GB2312" w:eastAsia="仿宋_GB2312" w:cs="仿宋_GB2312"/>
          <w:color w:val="000000"/>
          <w:spacing w:val="17"/>
          <w:sz w:val="32"/>
          <w:szCs w:val="32"/>
          <w:lang w:val="zh-TW" w:eastAsia="zh-CN"/>
        </w:rPr>
        <w:t>我单位根据下达相关文件支出项目资金；</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项目立项与我单位部门职责范围相符，属于部门履职所需；</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项目属于公共财政支持范围，符合中央、地方事权支出责任划分原则：项目按照规定的程序申请设立；财政下达文件，拨付资金，我单位规范项目资金管理，按照规定支付项目资金，与预算确定的项目投资额或资金量相匹配，预算项目资金3929.88万元，支出3929.88万元。支付明细：</w:t>
      </w:r>
      <w:r>
        <w:rPr>
          <w:rFonts w:hint="default" w:ascii="仿宋_GB2312" w:hAnsi="仿宋_GB2312" w:eastAsia="仿宋_GB2312" w:cs="仿宋_GB2312"/>
          <w:color w:val="000000"/>
          <w:spacing w:val="17"/>
          <w:sz w:val="32"/>
          <w:szCs w:val="32"/>
          <w:lang w:val="zh-TW" w:eastAsia="zh-TW"/>
        </w:rPr>
        <w:t>1、</w:t>
      </w:r>
      <w:r>
        <w:rPr>
          <w:rFonts w:hint="default" w:ascii="仿宋_GB2312" w:hAnsi="仿宋_GB2312" w:eastAsia="仿宋_GB2312" w:cs="仿宋_GB2312"/>
          <w:color w:val="000000"/>
          <w:spacing w:val="17"/>
          <w:sz w:val="32"/>
          <w:szCs w:val="32"/>
          <w:lang w:val="en-US" w:eastAsia="zh-CN"/>
        </w:rPr>
        <w:t>房屋建筑物构建本息及税金3929.88万元。</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决策项目分值:5分，实际得分5分。</w:t>
      </w:r>
    </w:p>
    <w:p>
      <w:pPr>
        <w:pStyle w:val="2"/>
        <w:pageBreakBefore w:val="0"/>
        <w:numPr>
          <w:ilvl w:val="0"/>
          <w:numId w:val="0"/>
        </w:numPr>
        <w:kinsoku/>
        <w:wordWrap/>
        <w:overflowPunct/>
        <w:topLinePunct w:val="0"/>
        <w:autoSpaceDE/>
        <w:autoSpaceDN/>
        <w:bidi w:val="0"/>
        <w:adjustRightInd/>
        <w:snapToGrid/>
        <w:spacing w:before="0" w:after="0" w:line="560" w:lineRule="exact"/>
        <w:ind w:firstLine="643" w:firstLineChars="200"/>
        <w:jc w:val="both"/>
        <w:textAlignment w:val="auto"/>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3" w:firstLineChars="200"/>
        <w:jc w:val="left"/>
        <w:textAlignment w:val="auto"/>
        <w:rPr>
          <w:rFonts w:hint="eastAsia" w:ascii="仿宋_GB2312" w:hAnsi="华文仿宋" w:eastAsia="仿宋_GB2312" w:cs="Times New Roman"/>
          <w:b/>
          <w:bCs/>
          <w:kern w:val="2"/>
          <w:sz w:val="32"/>
          <w:szCs w:val="32"/>
          <w:lang w:val="en-US" w:eastAsia="zh-CN" w:bidi="ar-SA"/>
        </w:rPr>
      </w:pPr>
      <w:r>
        <w:rPr>
          <w:rFonts w:hint="eastAsia" w:ascii="仿宋_GB2312" w:hAnsi="华文仿宋" w:eastAsia="仿宋_GB2312" w:cs="Times New Roman"/>
          <w:b/>
          <w:bCs/>
          <w:kern w:val="2"/>
          <w:sz w:val="32"/>
          <w:szCs w:val="32"/>
          <w:lang w:val="en-US" w:eastAsia="zh-CN" w:bidi="ar-SA"/>
        </w:rPr>
        <w:t>1.项目管理情况</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textAlignment w:val="auto"/>
        <w:rPr>
          <w:rFonts w:hint="eastAsia" w:ascii="仿宋_GB2312" w:hAnsi="华文仿宋" w:eastAsia="仿宋_GB2312" w:cs="Times New Roman"/>
          <w:kern w:val="2"/>
          <w:sz w:val="32"/>
          <w:szCs w:val="32"/>
          <w:lang w:val="en-US" w:eastAsia="zh-CN" w:bidi="ar-SA"/>
        </w:rPr>
      </w:pPr>
      <w:r>
        <w:rPr>
          <w:rFonts w:hint="eastAsia" w:ascii="仿宋_GB2312" w:hAnsi="华文仿宋" w:eastAsia="仿宋_GB2312" w:cs="Times New Roman"/>
          <w:kern w:val="2"/>
          <w:sz w:val="32"/>
          <w:szCs w:val="32"/>
          <w:lang w:val="en-US" w:eastAsia="zh-CN" w:bidi="ar-SA"/>
        </w:rPr>
        <w:t>（1）资金到位率：</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textAlignment w:val="auto"/>
        <w:rPr>
          <w:rFonts w:hint="eastAsia" w:ascii="仿宋_GB2312" w:hAnsi="华文仿宋" w:eastAsia="仿宋_GB2312" w:cs="Times New Roman"/>
          <w:kern w:val="2"/>
          <w:sz w:val="32"/>
          <w:szCs w:val="32"/>
          <w:lang w:val="en-US" w:eastAsia="zh-CN" w:bidi="ar-SA"/>
        </w:rPr>
      </w:pPr>
      <w:r>
        <w:rPr>
          <w:rFonts w:hint="eastAsia" w:ascii="仿宋_GB2312" w:hAnsi="华文仿宋" w:eastAsia="仿宋_GB2312" w:cs="Times New Roman"/>
          <w:kern w:val="2"/>
          <w:sz w:val="32"/>
          <w:szCs w:val="32"/>
          <w:lang w:val="en-US" w:eastAsia="zh-CN" w:bidi="ar-SA"/>
        </w:rPr>
        <w:t>项目资金采取发改委、财政局联合监管的办法。档案管理完整规范，数据全部实行信息化处理。资金到位率=100%</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textAlignment w:val="auto"/>
        <w:rPr>
          <w:rFonts w:hint="eastAsia" w:ascii="仿宋_GB2312" w:hAnsi="华文仿宋" w:eastAsia="仿宋_GB2312" w:cs="Times New Roman"/>
          <w:kern w:val="2"/>
          <w:sz w:val="32"/>
          <w:szCs w:val="32"/>
          <w:lang w:val="en-US" w:eastAsia="zh-CN" w:bidi="ar-SA"/>
        </w:rPr>
      </w:pPr>
      <w:r>
        <w:rPr>
          <w:rFonts w:hint="eastAsia" w:ascii="仿宋_GB2312" w:hAnsi="华文仿宋" w:eastAsia="仿宋_GB2312" w:cs="Times New Roman"/>
          <w:kern w:val="2"/>
          <w:sz w:val="32"/>
          <w:szCs w:val="32"/>
          <w:lang w:val="en-US" w:eastAsia="zh-CN" w:bidi="ar-SA"/>
        </w:rPr>
        <w:t>预算资金：3929.88万元，实际到位资金：3929.88万元。</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textAlignment w:val="auto"/>
        <w:rPr>
          <w:rFonts w:hint="eastAsia" w:ascii="仿宋_GB2312" w:hAnsi="华文仿宋" w:eastAsia="仿宋_GB2312" w:cs="Times New Roman"/>
          <w:kern w:val="2"/>
          <w:sz w:val="32"/>
          <w:szCs w:val="32"/>
          <w:lang w:val="en-US" w:eastAsia="zh-CN" w:bidi="ar-SA"/>
        </w:rPr>
      </w:pPr>
      <w:r>
        <w:rPr>
          <w:rFonts w:hint="eastAsia" w:ascii="仿宋_GB2312" w:hAnsi="华文仿宋" w:eastAsia="仿宋_GB2312" w:cs="Times New Roman"/>
          <w:kern w:val="2"/>
          <w:sz w:val="32"/>
          <w:szCs w:val="32"/>
          <w:lang w:val="en-US" w:eastAsia="zh-CN" w:bidi="ar-SA"/>
        </w:rPr>
        <w:t>（2）资金执行率：资金执行率=100%</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实际到位</w:t>
      </w:r>
      <w:r>
        <w:rPr>
          <w:rFonts w:hint="eastAsia" w:ascii="仿宋_GB2312" w:hAnsi="仿宋_GB2312" w:eastAsia="仿宋_GB2312" w:cs="仿宋_GB2312"/>
          <w:color w:val="000000"/>
          <w:spacing w:val="17"/>
          <w:sz w:val="32"/>
          <w:szCs w:val="32"/>
          <w:lang w:val="zh-TW" w:eastAsia="zh-CN"/>
        </w:rPr>
        <w:t>资金：</w:t>
      </w:r>
      <w:r>
        <w:rPr>
          <w:rFonts w:hint="eastAsia" w:ascii="仿宋_GB2312" w:hAnsi="仿宋_GB2312" w:eastAsia="仿宋_GB2312" w:cs="仿宋_GB2312"/>
          <w:color w:val="000000"/>
          <w:spacing w:val="17"/>
          <w:sz w:val="32"/>
          <w:szCs w:val="32"/>
          <w:lang w:val="en-US" w:eastAsia="zh-CN"/>
        </w:rPr>
        <w:t>3929.88</w:t>
      </w:r>
      <w:r>
        <w:rPr>
          <w:rFonts w:hint="eastAsia" w:ascii="仿宋_GB2312" w:hAnsi="仿宋_GB2312" w:eastAsia="仿宋_GB2312" w:cs="仿宋_GB2312"/>
          <w:color w:val="000000"/>
          <w:spacing w:val="17"/>
          <w:sz w:val="32"/>
          <w:szCs w:val="32"/>
          <w:lang w:val="zh-TW" w:eastAsia="zh-CN"/>
        </w:rPr>
        <w:t>万元。</w:t>
      </w:r>
      <w:r>
        <w:rPr>
          <w:rFonts w:hint="eastAsia" w:ascii="仿宋_GB2312" w:hAnsi="仿宋_GB2312" w:eastAsia="仿宋_GB2312" w:cs="仿宋_GB2312"/>
          <w:color w:val="000000"/>
          <w:spacing w:val="17"/>
          <w:sz w:val="32"/>
          <w:szCs w:val="32"/>
          <w:lang w:val="en-US" w:eastAsia="zh-CN"/>
        </w:rPr>
        <w:t xml:space="preserve"> 执行</w:t>
      </w:r>
      <w:r>
        <w:rPr>
          <w:rFonts w:hint="eastAsia" w:ascii="仿宋_GB2312" w:hAnsi="仿宋_GB2312" w:eastAsia="仿宋_GB2312" w:cs="仿宋_GB2312"/>
          <w:color w:val="000000"/>
          <w:spacing w:val="17"/>
          <w:sz w:val="32"/>
          <w:szCs w:val="32"/>
          <w:lang w:val="zh-TW" w:eastAsia="zh-CN"/>
        </w:rPr>
        <w:t>资金：</w:t>
      </w:r>
      <w:r>
        <w:rPr>
          <w:rFonts w:hint="eastAsia" w:ascii="仿宋_GB2312" w:hAnsi="仿宋_GB2312" w:eastAsia="仿宋_GB2312" w:cs="仿宋_GB2312"/>
          <w:color w:val="000000"/>
          <w:spacing w:val="17"/>
          <w:sz w:val="32"/>
          <w:szCs w:val="32"/>
          <w:lang w:val="en-US" w:eastAsia="zh-CN"/>
        </w:rPr>
        <w:t>3929.88</w:t>
      </w:r>
      <w:r>
        <w:rPr>
          <w:rFonts w:hint="eastAsia" w:ascii="仿宋_GB2312" w:hAnsi="仿宋_GB2312" w:eastAsia="仿宋_GB2312" w:cs="仿宋_GB2312"/>
          <w:color w:val="000000"/>
          <w:spacing w:val="17"/>
          <w:sz w:val="32"/>
          <w:szCs w:val="32"/>
          <w:lang w:val="zh-TW" w:eastAsia="zh-CN"/>
        </w:rPr>
        <w:t>万元。</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（3）资金管理情况：</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符合国家财经法规和财务管理制度以及有关专项资金管理办法的规定；资金的拨付有完整的审批程序和手续；符合项目预算批复或合同规定的用途；我单位不存在截留、挤占、挪用、虚列支出等情况。</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组织实施情况：己制定相应的财务和业务管理制度；财务和业务管理制度合法、合规、完整。符合相关法律法规和相关管理规定；项目调整及支出调整手续完备；</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项目过程分值:5分，我单位经过自评得分：5分</w:t>
      </w:r>
    </w:p>
    <w:p>
      <w:pPr>
        <w:pStyle w:val="10"/>
        <w:pageBreakBefore w:val="0"/>
        <w:numPr>
          <w:ilvl w:val="0"/>
          <w:numId w:val="0"/>
        </w:numPr>
        <w:kinsoku/>
        <w:wordWrap/>
        <w:overflowPunct/>
        <w:topLinePunct w:val="0"/>
        <w:autoSpaceDE/>
        <w:autoSpaceDN/>
        <w:bidi w:val="0"/>
        <w:adjustRightInd/>
        <w:snapToGrid/>
        <w:spacing w:after="0" w:line="560" w:lineRule="exac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项目产出</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textAlignment w:val="auto"/>
        <w:rPr>
          <w:rFonts w:hint="eastAsia" w:ascii="仿宋_GB2312" w:hAnsi="华文仿宋" w:eastAsia="仿宋_GB2312" w:cs="Times New Roman"/>
          <w:kern w:val="2"/>
          <w:sz w:val="32"/>
          <w:szCs w:val="32"/>
          <w:lang w:val="en-US" w:eastAsia="zh-CN" w:bidi="ar-SA"/>
        </w:rPr>
      </w:pPr>
      <w:r>
        <w:rPr>
          <w:rFonts w:hint="eastAsia" w:ascii="仿宋_GB2312" w:hAnsi="华文仿宋" w:eastAsia="仿宋_GB2312" w:cs="Times New Roman"/>
          <w:kern w:val="2"/>
          <w:sz w:val="32"/>
          <w:szCs w:val="32"/>
          <w:lang w:val="en-US" w:eastAsia="zh-CN" w:bidi="ar-SA"/>
        </w:rPr>
        <w:t>项目的实施进度。已全部实施完毕，项目完成质量。已全部验收合格。</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textAlignment w:val="auto"/>
        <w:rPr>
          <w:rFonts w:hint="default" w:ascii="仿宋_GB2312" w:hAnsi="华文仿宋" w:eastAsia="仿宋_GB2312" w:cs="Times New Roman"/>
          <w:kern w:val="2"/>
          <w:sz w:val="32"/>
          <w:szCs w:val="32"/>
          <w:lang w:val="en-US" w:eastAsia="zh-CN" w:bidi="ar-SA"/>
        </w:rPr>
      </w:pPr>
      <w:r>
        <w:rPr>
          <w:rFonts w:hint="eastAsia" w:ascii="仿宋_GB2312" w:hAnsi="华文仿宋" w:eastAsia="仿宋_GB2312" w:cs="Times New Roman"/>
          <w:kern w:val="2"/>
          <w:sz w:val="32"/>
          <w:szCs w:val="32"/>
          <w:lang w:val="en-US" w:eastAsia="zh-CN" w:bidi="ar-SA"/>
        </w:rPr>
        <w:t>（1）数量指标：年度目标值：线路总长272.79公里，车站数量7个；指标完成值：线路总长272.79公里，指标完成率100%；</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textAlignment w:val="auto"/>
        <w:rPr>
          <w:rFonts w:hint="eastAsia" w:ascii="仿宋_GB2312" w:hAnsi="华文仿宋" w:eastAsia="仿宋_GB2312" w:cs="Times New Roman"/>
          <w:kern w:val="2"/>
          <w:sz w:val="32"/>
          <w:szCs w:val="32"/>
          <w:lang w:val="en-US" w:eastAsia="zh-CN" w:bidi="ar-SA"/>
        </w:rPr>
      </w:pPr>
      <w:r>
        <w:rPr>
          <w:rFonts w:hint="eastAsia" w:ascii="仿宋_GB2312" w:hAnsi="华文仿宋" w:eastAsia="仿宋_GB2312" w:cs="Times New Roman"/>
          <w:kern w:val="2"/>
          <w:sz w:val="32"/>
          <w:szCs w:val="32"/>
          <w:lang w:val="en-US" w:eastAsia="zh-CN" w:bidi="ar-SA"/>
        </w:rPr>
        <w:t>（2）质量指标：年度目标值铁路等级=3国铁级、设计行车速度=120公里/小时，实际完成值铁路等级=3国铁级、设计行车速度=120公里/小时，完成率100%。</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textAlignment w:val="auto"/>
        <w:rPr>
          <w:rFonts w:hint="default" w:ascii="仿宋_GB2312" w:hAnsi="华文仿宋" w:eastAsia="仿宋_GB2312" w:cs="Times New Roman"/>
          <w:kern w:val="2"/>
          <w:sz w:val="32"/>
          <w:szCs w:val="32"/>
          <w:lang w:val="en-US" w:eastAsia="zh-CN" w:bidi="ar-SA"/>
        </w:rPr>
      </w:pPr>
      <w:r>
        <w:rPr>
          <w:rFonts w:hint="eastAsia" w:ascii="仿宋_GB2312" w:hAnsi="华文仿宋" w:eastAsia="仿宋_GB2312" w:cs="Times New Roman"/>
          <w:kern w:val="2"/>
          <w:sz w:val="32"/>
          <w:szCs w:val="32"/>
          <w:lang w:val="en-US" w:eastAsia="zh-CN" w:bidi="ar-SA"/>
        </w:rPr>
        <w:t>（3）时效指标：利息按时支付率，预期指标值100%，指标完成值100%，指标完成率100%；</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textAlignment w:val="auto"/>
        <w:rPr>
          <w:rFonts w:hint="eastAsia" w:ascii="仿宋_GB2312" w:hAnsi="华文仿宋" w:eastAsia="仿宋_GB2312" w:cs="Times New Roman"/>
          <w:kern w:val="2"/>
          <w:sz w:val="32"/>
          <w:szCs w:val="32"/>
          <w:lang w:val="en-US" w:eastAsia="zh-CN" w:bidi="ar-SA"/>
        </w:rPr>
      </w:pPr>
      <w:r>
        <w:rPr>
          <w:rFonts w:hint="eastAsia" w:ascii="仿宋_GB2312" w:hAnsi="华文仿宋" w:eastAsia="仿宋_GB2312" w:cs="Times New Roman"/>
          <w:kern w:val="2"/>
          <w:sz w:val="32"/>
          <w:szCs w:val="32"/>
          <w:lang w:val="en-US" w:eastAsia="zh-CN" w:bidi="ar-SA"/>
        </w:rPr>
        <w:t>（4）成本指标：专项建设基金贷款利息，预期指标值3929.88万元，指标完成值3929.88万元，指标完成率100%；</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textAlignment w:val="auto"/>
        <w:rPr>
          <w:rFonts w:hint="eastAsia" w:ascii="仿宋_GB2312" w:hAnsi="华文仿宋" w:eastAsia="仿宋_GB2312" w:cs="Times New Roman"/>
          <w:kern w:val="2"/>
          <w:sz w:val="32"/>
          <w:szCs w:val="32"/>
          <w:lang w:val="en-US" w:eastAsia="zh-CN" w:bidi="ar-SA"/>
        </w:rPr>
      </w:pPr>
      <w:r>
        <w:rPr>
          <w:rFonts w:hint="eastAsia" w:ascii="仿宋_GB2312" w:hAnsi="华文仿宋" w:eastAsia="仿宋_GB2312" w:cs="Times New Roman"/>
          <w:kern w:val="2"/>
          <w:sz w:val="32"/>
          <w:szCs w:val="32"/>
          <w:lang w:val="en-US" w:eastAsia="zh-CN" w:bidi="ar-SA"/>
        </w:rPr>
        <w:t>项目产出分值:50分，我单位经过自评得分：50分</w:t>
      </w:r>
    </w:p>
    <w:p>
      <w:pPr>
        <w:pStyle w:val="10"/>
        <w:pageBreakBefore w:val="0"/>
        <w:numPr>
          <w:ilvl w:val="0"/>
          <w:numId w:val="0"/>
        </w:numPr>
        <w:kinsoku/>
        <w:wordWrap/>
        <w:overflowPunct/>
        <w:topLinePunct w:val="0"/>
        <w:autoSpaceDE/>
        <w:autoSpaceDN/>
        <w:bidi w:val="0"/>
        <w:adjustRightInd/>
        <w:snapToGrid/>
        <w:spacing w:after="0"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lang w:eastAsia="zh-CN"/>
        </w:rPr>
        <w:t>）效益情况</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textAlignment w:val="auto"/>
        <w:rPr>
          <w:rFonts w:hint="default" w:ascii="仿宋_GB2312" w:hAnsi="华文仿宋" w:eastAsia="仿宋_GB2312" w:cs="Times New Roman"/>
          <w:kern w:val="2"/>
          <w:sz w:val="32"/>
          <w:szCs w:val="32"/>
          <w:lang w:val="en-US" w:eastAsia="zh-CN" w:bidi="ar-SA"/>
        </w:rPr>
      </w:pPr>
      <w:r>
        <w:rPr>
          <w:rFonts w:hint="eastAsia" w:ascii="仿宋_GB2312" w:hAnsi="华文仿宋" w:eastAsia="仿宋_GB2312" w:cs="Times New Roman"/>
          <w:kern w:val="2"/>
          <w:sz w:val="32"/>
          <w:szCs w:val="32"/>
          <w:lang w:val="en-US" w:eastAsia="zh-CN" w:bidi="ar-SA"/>
        </w:rPr>
        <w:t>经济效益指标方面：预期指标值规划运输能力客运=5对/日，实际完成值3对/日，完成率80%；</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textAlignment w:val="auto"/>
        <w:rPr>
          <w:rFonts w:hint="default" w:ascii="仿宋_GB2312" w:hAnsi="华文仿宋" w:eastAsia="仿宋_GB2312" w:cs="Times New Roman"/>
          <w:kern w:val="2"/>
          <w:sz w:val="32"/>
          <w:szCs w:val="32"/>
          <w:lang w:val="en-US" w:eastAsia="zh-CN" w:bidi="ar-SA"/>
        </w:rPr>
      </w:pPr>
      <w:r>
        <w:rPr>
          <w:rFonts w:hint="eastAsia" w:ascii="仿宋_GB2312" w:hAnsi="华文仿宋" w:eastAsia="仿宋_GB2312" w:cs="Times New Roman"/>
          <w:kern w:val="2"/>
          <w:sz w:val="32"/>
          <w:szCs w:val="32"/>
          <w:lang w:val="en-US" w:eastAsia="zh-CN" w:bidi="ar-SA"/>
        </w:rPr>
        <w:t>社会效益指标方面：当年新增运输能力（货）=2000万吨/年，实际完成值2500万吨/年，完成率100%；</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textAlignment w:val="auto"/>
        <w:rPr>
          <w:rFonts w:hint="default" w:ascii="仿宋_GB2312" w:hAnsi="华文仿宋" w:eastAsia="仿宋_GB2312" w:cs="Times New Roman"/>
          <w:kern w:val="2"/>
          <w:sz w:val="32"/>
          <w:szCs w:val="32"/>
          <w:lang w:val="en-US" w:eastAsia="zh-CN" w:bidi="ar-SA"/>
        </w:rPr>
      </w:pPr>
      <w:r>
        <w:rPr>
          <w:rFonts w:hint="eastAsia" w:ascii="仿宋_GB2312" w:hAnsi="华文仿宋" w:eastAsia="仿宋_GB2312" w:cs="Times New Roman"/>
          <w:kern w:val="2"/>
          <w:sz w:val="32"/>
          <w:szCs w:val="32"/>
          <w:lang w:val="en-US" w:eastAsia="zh-CN" w:bidi="ar-SA"/>
        </w:rPr>
        <w:t>可持续影响指标方面：预期指标值研究年度15年，实际完成值15年，指标完成率100%</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textAlignment w:val="auto"/>
        <w:rPr>
          <w:rFonts w:hint="eastAsia" w:ascii="仿宋_GB2312" w:hAnsi="华文仿宋" w:eastAsia="仿宋_GB2312" w:cs="Times New Roman"/>
          <w:kern w:val="2"/>
          <w:sz w:val="32"/>
          <w:szCs w:val="32"/>
          <w:lang w:val="en-US" w:eastAsia="zh-CN" w:bidi="ar-SA"/>
        </w:rPr>
      </w:pPr>
      <w:r>
        <w:rPr>
          <w:rFonts w:hint="eastAsia" w:ascii="仿宋_GB2312" w:hAnsi="华文仿宋" w:eastAsia="仿宋_GB2312" w:cs="Times New Roman"/>
          <w:kern w:val="2"/>
          <w:sz w:val="32"/>
          <w:szCs w:val="32"/>
          <w:lang w:val="en-US" w:eastAsia="zh-CN" w:bidi="ar-SA"/>
        </w:rPr>
        <w:t>满意度指标方面：预期指标值安全感指数100%，指标完成值100%,指标完成率100%。</w:t>
      </w:r>
    </w:p>
    <w:p>
      <w:pPr>
        <w:pageBreakBefore w:val="0"/>
        <w:kinsoku/>
        <w:wordWrap/>
        <w:overflowPunct/>
        <w:topLinePunct w:val="0"/>
        <w:autoSpaceDE/>
        <w:autoSpaceDN/>
        <w:bidi w:val="0"/>
        <w:adjustRightInd/>
        <w:snapToGrid/>
        <w:spacing w:line="560" w:lineRule="exact"/>
        <w:ind w:firstLine="641"/>
        <w:textAlignment w:val="auto"/>
        <w:rPr>
          <w:rStyle w:val="25"/>
          <w:b/>
          <w:bCs/>
          <w:color w:val="auto"/>
        </w:rPr>
      </w:pPr>
      <w:r>
        <w:rPr>
          <w:rFonts w:hint="eastAsia" w:ascii="黑体" w:hAnsi="黑体" w:eastAsia="黑体"/>
          <w:b/>
          <w:bCs/>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textAlignment w:val="auto"/>
        <w:rPr>
          <w:rFonts w:hint="eastAsia" w:ascii="仿宋_GB2312" w:hAnsi="华文仿宋" w:eastAsia="仿宋_GB2312" w:cs="Times New Roman"/>
          <w:kern w:val="2"/>
          <w:sz w:val="32"/>
          <w:szCs w:val="32"/>
          <w:lang w:val="en-US" w:eastAsia="zh-CN" w:bidi="ar-SA"/>
        </w:rPr>
      </w:pPr>
      <w:r>
        <w:rPr>
          <w:rFonts w:hint="eastAsia" w:ascii="仿宋_GB2312" w:hAnsi="华文仿宋" w:eastAsia="仿宋_GB2312" w:cs="Times New Roman"/>
          <w:kern w:val="2"/>
          <w:sz w:val="32"/>
          <w:szCs w:val="32"/>
          <w:lang w:val="en-US" w:eastAsia="zh-CN" w:bidi="ar-SA"/>
        </w:rPr>
        <w:t>1、加强项目实施管理。采取开展调研、中期评估等有效管理措施，促进各项目顺利实施。</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textAlignment w:val="auto"/>
        <w:rPr>
          <w:rFonts w:hint="eastAsia" w:ascii="仿宋_GB2312" w:hAnsi="华文仿宋" w:eastAsia="仿宋_GB2312" w:cs="Times New Roman"/>
          <w:kern w:val="2"/>
          <w:sz w:val="32"/>
          <w:szCs w:val="32"/>
          <w:lang w:val="en-US" w:eastAsia="zh-CN" w:bidi="ar-SA"/>
        </w:rPr>
      </w:pPr>
      <w:r>
        <w:rPr>
          <w:rFonts w:hint="eastAsia" w:ascii="仿宋_GB2312" w:hAnsi="华文仿宋" w:eastAsia="仿宋_GB2312" w:cs="Times New Roman"/>
          <w:kern w:val="2"/>
          <w:sz w:val="32"/>
          <w:szCs w:val="32"/>
          <w:lang w:val="en-US" w:eastAsia="zh-CN" w:bidi="ar-SA"/>
        </w:rPr>
        <w:t>2、加强项目资金管理。做到手续完备、专账管理、专人负责、专户存储、账目清楚。</w:t>
      </w:r>
    </w:p>
    <w:p>
      <w:pPr>
        <w:pStyle w:val="24"/>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textAlignment w:val="auto"/>
        <w:rPr>
          <w:rFonts w:hint="eastAsia" w:ascii="仿宋_GB2312" w:hAnsi="华文仿宋" w:eastAsia="仿宋_GB2312" w:cs="Times New Roman"/>
          <w:kern w:val="2"/>
          <w:sz w:val="32"/>
          <w:szCs w:val="32"/>
          <w:lang w:val="en-US" w:eastAsia="zh-CN" w:bidi="ar-SA"/>
        </w:rPr>
      </w:pPr>
      <w:r>
        <w:rPr>
          <w:rFonts w:hint="eastAsia" w:ascii="仿宋_GB2312" w:hAnsi="华文仿宋" w:eastAsia="仿宋_GB2312" w:cs="Times New Roman"/>
          <w:kern w:val="2"/>
          <w:sz w:val="32"/>
          <w:szCs w:val="32"/>
          <w:lang w:val="en-US" w:eastAsia="zh-CN" w:bidi="ar-SA"/>
        </w:rPr>
        <w:t>工作过程中，我们严格规范财务和稽查考核制度，严格审批程序。本项目资金审批严格依据相关制度执行。通过严格规范的工作程序，确保资金专款专用。</w:t>
      </w:r>
    </w:p>
    <w:p>
      <w:pPr>
        <w:keepNext/>
        <w:keepLines/>
        <w:pageBreakBefore w:val="0"/>
        <w:numPr>
          <w:ilvl w:val="0"/>
          <w:numId w:val="5"/>
        </w:numPr>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4"/>
        <w:keepNext w:val="0"/>
        <w:keepLines w:val="0"/>
        <w:pageBreakBefore w:val="0"/>
        <w:widowControl w:val="0"/>
        <w:kinsoku/>
        <w:wordWrap/>
        <w:overflowPunct/>
        <w:topLinePunct w:val="0"/>
        <w:autoSpaceDE/>
        <w:autoSpaceDN/>
        <w:bidi w:val="0"/>
        <w:adjustRightInd/>
        <w:snapToGrid/>
        <w:spacing w:line="560" w:lineRule="exact"/>
        <w:ind w:left="210" w:leftChars="100" w:right="210" w:rightChars="100" w:firstLine="643" w:firstLineChars="200"/>
        <w:jc w:val="left"/>
        <w:textAlignment w:val="auto"/>
        <w:rPr>
          <w:rFonts w:hint="eastAsia" w:ascii="仿宋_GB2312" w:hAnsi="华文仿宋" w:eastAsia="仿宋_GB2312" w:cs="Times New Roman"/>
          <w:b/>
          <w:bCs/>
          <w:kern w:val="2"/>
          <w:sz w:val="32"/>
          <w:szCs w:val="32"/>
          <w:highlight w:val="none"/>
          <w:lang w:val="en-US" w:eastAsia="zh-CN" w:bidi="ar-SA"/>
        </w:rPr>
      </w:pPr>
      <w:r>
        <w:rPr>
          <w:rFonts w:hint="eastAsia" w:ascii="仿宋_GB2312" w:hAnsi="华文仿宋" w:eastAsia="仿宋_GB2312" w:cs="Times New Roman"/>
          <w:b/>
          <w:bCs/>
          <w:kern w:val="2"/>
          <w:sz w:val="32"/>
          <w:szCs w:val="32"/>
          <w:highlight w:val="none"/>
          <w:lang w:val="en-US" w:eastAsia="zh-CN" w:bidi="ar-SA"/>
        </w:rPr>
        <w:t>1、存在的问题</w:t>
      </w:r>
    </w:p>
    <w:p>
      <w:pPr>
        <w:pageBreakBefore w:val="0"/>
        <w:kinsoku/>
        <w:wordWrap/>
        <w:overflowPunct/>
        <w:topLinePunct w:val="0"/>
        <w:autoSpaceDE/>
        <w:autoSpaceDN/>
        <w:bidi w:val="0"/>
        <w:adjustRightInd/>
        <w:snapToGrid/>
        <w:spacing w:line="560" w:lineRule="exact"/>
        <w:ind w:firstLine="640" w:firstLineChars="200"/>
        <w:textAlignment w:val="auto"/>
        <w:rPr>
          <w:highlight w:val="none"/>
        </w:rPr>
      </w:pPr>
      <w:r>
        <w:rPr>
          <w:rFonts w:hint="eastAsia" w:ascii="仿宋_GB2312" w:hAnsi="仿宋_GB2312" w:eastAsia="仿宋_GB2312" w:cs="仿宋_GB2312"/>
          <w:sz w:val="32"/>
          <w:szCs w:val="32"/>
          <w:highlight w:val="none"/>
        </w:rPr>
        <w:t>存在的问题是在实际实施绩效监控和绩效评价时较为困难，绩效目标的设置应符合量化、细化的要求。</w:t>
      </w:r>
    </w:p>
    <w:p>
      <w:pPr>
        <w:pStyle w:val="24"/>
        <w:keepNext w:val="0"/>
        <w:keepLines w:val="0"/>
        <w:pageBreakBefore w:val="0"/>
        <w:widowControl w:val="0"/>
        <w:kinsoku/>
        <w:wordWrap/>
        <w:overflowPunct/>
        <w:topLinePunct w:val="0"/>
        <w:autoSpaceDE/>
        <w:autoSpaceDN/>
        <w:bidi w:val="0"/>
        <w:adjustRightInd/>
        <w:snapToGrid/>
        <w:spacing w:line="560" w:lineRule="exact"/>
        <w:ind w:left="210" w:leftChars="100" w:right="210" w:rightChars="100" w:firstLine="643" w:firstLineChars="200"/>
        <w:jc w:val="left"/>
        <w:textAlignment w:val="auto"/>
        <w:rPr>
          <w:rFonts w:hint="eastAsia" w:ascii="仿宋_GB2312" w:hAnsi="华文仿宋" w:eastAsia="仿宋_GB2312" w:cs="Times New Roman"/>
          <w:b/>
          <w:bCs/>
          <w:kern w:val="2"/>
          <w:sz w:val="32"/>
          <w:szCs w:val="32"/>
          <w:highlight w:val="none"/>
          <w:lang w:val="en-US" w:eastAsia="zh-CN" w:bidi="ar-SA"/>
        </w:rPr>
      </w:pPr>
      <w:r>
        <w:rPr>
          <w:rFonts w:hint="eastAsia" w:ascii="仿宋_GB2312" w:hAnsi="华文仿宋" w:eastAsia="仿宋_GB2312" w:cs="Times New Roman"/>
          <w:b/>
          <w:bCs/>
          <w:kern w:val="2"/>
          <w:sz w:val="32"/>
          <w:szCs w:val="32"/>
          <w:highlight w:val="none"/>
          <w:lang w:val="en-US" w:eastAsia="zh-CN" w:bidi="ar-SA"/>
        </w:rPr>
        <w:t>2、原因分析</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项目前期工作不全面，没有深入细致科学规划地做好各项前期工作，项目实施前期已根据项目建设内容设置绩效目标，但项目绩效目标级绩效指标设置过于笼统，不够细化。</w:t>
      </w:r>
    </w:p>
    <w:p>
      <w:pPr>
        <w:pageBreakBefore w:val="0"/>
        <w:numPr>
          <w:ilvl w:val="0"/>
          <w:numId w:val="6"/>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有关建议</w:t>
      </w:r>
    </w:p>
    <w:p>
      <w:pPr>
        <w:pageBreakBefore w:val="0"/>
        <w:numPr>
          <w:ilvl w:val="0"/>
          <w:numId w:val="7"/>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7"/>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w:t>
      </w:r>
      <w:r>
        <w:rPr>
          <w:rFonts w:hint="eastAsia" w:ascii="仿宋_GB2312" w:hAnsi="仿宋_GB2312" w:eastAsia="仿宋_GB2312" w:cs="仿宋_GB2312"/>
          <w:sz w:val="32"/>
          <w:szCs w:val="32"/>
          <w:lang w:val="en-US" w:eastAsia="zh-CN"/>
        </w:rPr>
        <w:t>账</w:t>
      </w:r>
      <w:r>
        <w:rPr>
          <w:rFonts w:hint="eastAsia" w:ascii="仿宋_GB2312" w:hAnsi="仿宋_GB2312" w:eastAsia="仿宋_GB2312" w:cs="仿宋_GB2312"/>
          <w:sz w:val="32"/>
          <w:szCs w:val="32"/>
        </w:rPr>
        <w:t>、定专人。同时，资金拨付除坚持按项目计划、工程进度和质量分阶段验收拨款外，还坚持部门联审制，项目单位先做事、后报</w:t>
      </w:r>
      <w:r>
        <w:rPr>
          <w:rFonts w:hint="eastAsia" w:ascii="仿宋_GB2312" w:hAnsi="仿宋_GB2312" w:eastAsia="仿宋_GB2312" w:cs="仿宋_GB2312"/>
          <w:sz w:val="32"/>
          <w:szCs w:val="32"/>
          <w:lang w:val="en-US" w:eastAsia="zh-CN"/>
        </w:rPr>
        <w:t>账</w:t>
      </w:r>
      <w:r>
        <w:rPr>
          <w:rFonts w:hint="eastAsia" w:ascii="仿宋_GB2312" w:hAnsi="仿宋_GB2312" w:eastAsia="仿宋_GB2312" w:cs="仿宋_GB2312"/>
          <w:sz w:val="32"/>
          <w:szCs w:val="32"/>
        </w:rPr>
        <w:t>，从而确保专项资金专款专用，有效地防止了截留、挤占和挪用。</w:t>
      </w:r>
    </w:p>
    <w:p>
      <w:pPr>
        <w:pageBreakBefore w:val="0"/>
        <w:numPr>
          <w:ilvl w:val="0"/>
          <w:numId w:val="6"/>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其他需要说</w:t>
      </w:r>
      <w:bookmarkStart w:id="1" w:name="page8"/>
      <w:bookmarkEnd w:id="1"/>
      <w:r>
        <w:rPr>
          <w:rFonts w:hint="eastAsia" w:ascii="黑体" w:hAnsi="黑体" w:eastAsia="黑体"/>
          <w:b/>
          <w:bCs/>
          <w:sz w:val="32"/>
          <w:szCs w:val="32"/>
        </w:rPr>
        <w:t>明的问题</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pageBreakBefore w:val="0"/>
        <w:kinsoku/>
        <w:wordWrap/>
        <w:overflowPunct/>
        <w:topLinePunct w:val="0"/>
        <w:autoSpaceDE/>
        <w:autoSpaceDN/>
        <w:bidi w:val="0"/>
        <w:adjustRightInd/>
        <w:snapToGrid/>
        <w:spacing w:line="560" w:lineRule="exact"/>
        <w:textAlignment w:val="auto"/>
        <w:rPr>
          <w:rFonts w:hint="default"/>
          <w:lang w:val="en-US" w:eastAsia="zh-CN"/>
        </w:rPr>
        <w:sectPr>
          <w:footerReference r:id="rId3" w:type="default"/>
          <w:pgSz w:w="11906" w:h="16838"/>
          <w:pgMar w:top="1440" w:right="1366" w:bottom="1440" w:left="108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textAlignment w:val="auto"/>
        <w:rPr>
          <w:rFonts w:hint="eastAsia" w:ascii="仿宋_GB2312"/>
          <w:bCs/>
          <w:sz w:val="32"/>
          <w:szCs w:val="32"/>
          <w:lang w:val="en-US" w:eastAsia="zh-CN"/>
        </w:rPr>
      </w:pPr>
      <w:r>
        <w:rPr>
          <w:rFonts w:hint="eastAsia" w:ascii="仿宋_GB2312"/>
          <w:bCs/>
          <w:sz w:val="32"/>
          <w:szCs w:val="32"/>
          <w:lang w:val="en-US" w:eastAsia="zh-CN"/>
        </w:rPr>
        <w:t>附件1</w:t>
      </w:r>
    </w:p>
    <w:tbl>
      <w:tblPr>
        <w:tblStyle w:val="11"/>
        <w:tblW w:w="5152"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46"/>
        <w:gridCol w:w="874"/>
        <w:gridCol w:w="1344"/>
        <w:gridCol w:w="2314"/>
        <w:gridCol w:w="7294"/>
        <w:gridCol w:w="1102"/>
        <w:gridCol w:w="73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299"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7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2496"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37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25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24"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99"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7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2496"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37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25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24"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99"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7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2496"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37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25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24"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99"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79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2496"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37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25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8" w:hRule="atLeast"/>
          <w:jc w:val="center"/>
        </w:trPr>
        <w:tc>
          <w:tcPr>
            <w:tcW w:w="324"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299"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79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2496"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37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25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324"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99"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7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2496"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37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25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4"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99"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7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2496"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37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25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4" w:type="pct"/>
            <w:vMerge w:val="restart"/>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299"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79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2496"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37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25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4"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99"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7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2496"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37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25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2" w:hRule="atLeast"/>
          <w:jc w:val="center"/>
        </w:trPr>
        <w:tc>
          <w:tcPr>
            <w:tcW w:w="324"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299"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79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2496"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37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25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4"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99"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79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2496"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37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25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4"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99"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79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2496"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37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25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299"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79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2496"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37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25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4"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299"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79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2496"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37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25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4"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99" w:type="pct"/>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79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2496"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37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25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4"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99"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79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2496"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37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25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4"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299"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7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2496"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37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25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4"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99"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46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79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2496"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37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25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bl>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sectPr>
          <w:pgSz w:w="16838" w:h="11906" w:orient="landscape"/>
          <w:pgMar w:top="1080" w:right="1440" w:bottom="1366" w:left="1440" w:header="851" w:footer="992" w:gutter="0"/>
          <w:cols w:space="425" w:num="1"/>
          <w:docGrid w:type="lines" w:linePitch="312" w:charSpace="0"/>
        </w:sectPr>
      </w:pPr>
    </w:p>
    <w:tbl>
      <w:tblPr>
        <w:tblStyle w:val="11"/>
        <w:tblW w:w="5152" w:type="pct"/>
        <w:tblInd w:w="96" w:type="dxa"/>
        <w:shd w:val="clear" w:color="auto" w:fill="auto"/>
        <w:tblLayout w:type="autofit"/>
        <w:tblCellMar>
          <w:top w:w="0" w:type="dxa"/>
          <w:left w:w="108" w:type="dxa"/>
          <w:bottom w:w="0" w:type="dxa"/>
          <w:right w:w="108" w:type="dxa"/>
        </w:tblCellMar>
      </w:tblPr>
      <w:tblGrid>
        <w:gridCol w:w="750"/>
        <w:gridCol w:w="752"/>
        <w:gridCol w:w="766"/>
        <w:gridCol w:w="766"/>
        <w:gridCol w:w="846"/>
        <w:gridCol w:w="763"/>
        <w:gridCol w:w="2210"/>
        <w:gridCol w:w="1349"/>
        <w:gridCol w:w="433"/>
        <w:gridCol w:w="1335"/>
      </w:tblGrid>
      <w:tr>
        <w:tblPrEx>
          <w:shd w:val="clear" w:color="auto" w:fill="auto"/>
          <w:tblCellMar>
            <w:top w:w="0" w:type="dxa"/>
            <w:left w:w="108" w:type="dxa"/>
            <w:bottom w:w="0" w:type="dxa"/>
            <w:right w:w="108" w:type="dxa"/>
          </w:tblCellMar>
        </w:tblPrEx>
        <w:trPr>
          <w:trHeight w:val="408" w:hRule="atLeast"/>
        </w:trPr>
        <w:tc>
          <w:tcPr>
            <w:tcW w:w="9970"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tblPrEx>
          <w:shd w:val="clear" w:color="auto" w:fill="auto"/>
          <w:tblCellMar>
            <w:top w:w="0" w:type="dxa"/>
            <w:left w:w="108" w:type="dxa"/>
            <w:bottom w:w="0" w:type="dxa"/>
            <w:right w:w="108" w:type="dxa"/>
          </w:tblCellMar>
        </w:tblPrEx>
        <w:trPr>
          <w:trHeight w:val="438" w:hRule="atLeast"/>
        </w:trPr>
        <w:tc>
          <w:tcPr>
            <w:tcW w:w="9970"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108" w:type="dxa"/>
            <w:bottom w:w="0" w:type="dxa"/>
            <w:right w:w="108" w:type="dxa"/>
          </w:tblCellMar>
        </w:tblPrEx>
        <w:trPr>
          <w:trHeight w:val="318" w:hRule="atLeast"/>
        </w:trPr>
        <w:tc>
          <w:tcPr>
            <w:tcW w:w="99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18" w:hRule="atLeast"/>
        </w:trPr>
        <w:tc>
          <w:tcPr>
            <w:tcW w:w="15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43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克塔铁路还本付息项目</w:t>
            </w:r>
          </w:p>
        </w:tc>
      </w:tr>
      <w:tr>
        <w:tblPrEx>
          <w:shd w:val="clear" w:color="auto" w:fill="auto"/>
          <w:tblCellMar>
            <w:top w:w="0" w:type="dxa"/>
            <w:left w:w="108" w:type="dxa"/>
            <w:bottom w:w="0" w:type="dxa"/>
            <w:right w:w="108" w:type="dxa"/>
          </w:tblCellMar>
        </w:tblPrEx>
        <w:trPr>
          <w:trHeight w:val="318" w:hRule="atLeast"/>
        </w:trPr>
        <w:tc>
          <w:tcPr>
            <w:tcW w:w="15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27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塔城地区发展和改革委员会</w:t>
            </w:r>
          </w:p>
        </w:tc>
      </w:tr>
      <w:tr>
        <w:tblPrEx>
          <w:shd w:val="clear" w:color="auto" w:fill="auto"/>
          <w:tblCellMar>
            <w:top w:w="0" w:type="dxa"/>
            <w:left w:w="108" w:type="dxa"/>
            <w:bottom w:w="0" w:type="dxa"/>
            <w:right w:w="108" w:type="dxa"/>
          </w:tblCellMar>
        </w:tblPrEx>
        <w:trPr>
          <w:trHeight w:val="318" w:hRule="atLeast"/>
        </w:trPr>
        <w:tc>
          <w:tcPr>
            <w:tcW w:w="15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iCs w:val="0"/>
                <w:color w:val="000000"/>
                <w:sz w:val="18"/>
                <w:szCs w:val="18"/>
                <w:u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bottom"/>
          </w:tc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2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108" w:type="dxa"/>
            <w:bottom w:w="0" w:type="dxa"/>
            <w:right w:w="108" w:type="dxa"/>
          </w:tblCellMar>
        </w:tblPrEx>
        <w:trPr>
          <w:trHeight w:val="318" w:hRule="atLeast"/>
        </w:trPr>
        <w:tc>
          <w:tcPr>
            <w:tcW w:w="15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3929.88</w:t>
            </w:r>
          </w:p>
        </w:tc>
        <w:tc>
          <w:tcPr>
            <w:tcW w:w="2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3929.88</w:t>
            </w:r>
          </w:p>
        </w:tc>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3929.88</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108" w:type="dxa"/>
            <w:bottom w:w="0" w:type="dxa"/>
            <w:right w:w="108" w:type="dxa"/>
          </w:tblCellMar>
        </w:tblPrEx>
        <w:trPr>
          <w:trHeight w:val="318" w:hRule="atLeast"/>
        </w:trPr>
        <w:tc>
          <w:tcPr>
            <w:tcW w:w="15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3929.88</w:t>
            </w:r>
          </w:p>
        </w:tc>
        <w:tc>
          <w:tcPr>
            <w:tcW w:w="2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3929.88</w:t>
            </w:r>
          </w:p>
        </w:tc>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3929.88</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318" w:hRule="atLeast"/>
        </w:trPr>
        <w:tc>
          <w:tcPr>
            <w:tcW w:w="15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2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318" w:hRule="atLeast"/>
        </w:trPr>
        <w:tc>
          <w:tcPr>
            <w:tcW w:w="15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47"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604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1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318"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4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根据塔城地区中长期偿债规划偿还国开行专项建设基金及利息、税金39298808.56元。</w:t>
            </w:r>
          </w:p>
        </w:tc>
        <w:tc>
          <w:tcPr>
            <w:tcW w:w="31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根据塔城地区中长期偿债规划偿还国开行专项建设基金及利息、税金39298808.56元。</w:t>
            </w:r>
          </w:p>
        </w:tc>
      </w:tr>
      <w:tr>
        <w:tblPrEx>
          <w:shd w:val="clear" w:color="auto" w:fill="auto"/>
          <w:tblCellMar>
            <w:top w:w="0" w:type="dxa"/>
            <w:left w:w="108" w:type="dxa"/>
            <w:bottom w:w="0" w:type="dxa"/>
            <w:right w:w="108" w:type="dxa"/>
          </w:tblCellMar>
        </w:tblPrEx>
        <w:trPr>
          <w:trHeight w:val="288"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2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462"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线路总长</w:t>
            </w:r>
          </w:p>
        </w:tc>
        <w:tc>
          <w:tcPr>
            <w:tcW w:w="2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=272.79公里</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272.79公里</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318"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铁路等级</w:t>
            </w:r>
          </w:p>
        </w:tc>
        <w:tc>
          <w:tcPr>
            <w:tcW w:w="2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=3级</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3级</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462"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设计行车速度</w:t>
            </w:r>
          </w:p>
        </w:tc>
        <w:tc>
          <w:tcPr>
            <w:tcW w:w="2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=120公里/小时</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120公里/小时</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318"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完成质量</w:t>
            </w:r>
          </w:p>
        </w:tc>
        <w:tc>
          <w:tcPr>
            <w:tcW w:w="2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462"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完成时间</w:t>
            </w:r>
          </w:p>
        </w:tc>
        <w:tc>
          <w:tcPr>
            <w:tcW w:w="2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≤12月</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12月</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462"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专项建设基金贷款利息、税金</w:t>
            </w:r>
          </w:p>
        </w:tc>
        <w:tc>
          <w:tcPr>
            <w:tcW w:w="2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≤39298808.56元</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39298808.56元</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462"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规划运输能力客运</w:t>
            </w:r>
          </w:p>
        </w:tc>
        <w:tc>
          <w:tcPr>
            <w:tcW w:w="2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=5对/日</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3对/日</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计划5对，实际运行时，货运量达不到</w:t>
            </w:r>
          </w:p>
        </w:tc>
      </w:tr>
      <w:tr>
        <w:tblPrEx>
          <w:shd w:val="clear" w:color="auto" w:fill="auto"/>
          <w:tblCellMar>
            <w:top w:w="0" w:type="dxa"/>
            <w:left w:w="108" w:type="dxa"/>
            <w:bottom w:w="0" w:type="dxa"/>
            <w:right w:w="108" w:type="dxa"/>
          </w:tblCellMar>
        </w:tblPrEx>
        <w:trPr>
          <w:trHeight w:val="462"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货运</w:t>
            </w:r>
          </w:p>
        </w:tc>
        <w:tc>
          <w:tcPr>
            <w:tcW w:w="2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=2000万吨/年</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2500万吨/年</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预计货运2000万吨，实际火车开通，货运能力提高</w:t>
            </w:r>
          </w:p>
        </w:tc>
      </w:tr>
      <w:tr>
        <w:tblPrEx>
          <w:tblCellMar>
            <w:top w:w="0" w:type="dxa"/>
            <w:left w:w="108" w:type="dxa"/>
            <w:bottom w:w="0" w:type="dxa"/>
            <w:right w:w="108" w:type="dxa"/>
          </w:tblCellMar>
        </w:tblPrEx>
        <w:trPr>
          <w:trHeight w:val="462"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公众安全感指数</w:t>
            </w:r>
          </w:p>
        </w:tc>
        <w:tc>
          <w:tcPr>
            <w:tcW w:w="2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bl>
    <w:p>
      <w:pPr>
        <w:pStyle w:val="15"/>
        <w:keepNext w:val="0"/>
        <w:keepLines w:val="0"/>
        <w:pageBreakBefore w:val="0"/>
        <w:kinsoku/>
        <w:wordWrap/>
        <w:overflowPunct/>
        <w:topLinePunct w:val="0"/>
        <w:autoSpaceDE/>
        <w:autoSpaceDN/>
        <w:bidi w:val="0"/>
        <w:spacing w:line="520" w:lineRule="exact"/>
        <w:ind w:firstLine="640" w:firstLineChars="200"/>
        <w:rPr>
          <w:rFonts w:hint="eastAsia" w:ascii="仿宋_GB2312" w:hAnsi="华文仿宋" w:eastAsia="仿宋_GB2312" w:cs="Times New Roman"/>
          <w:kern w:val="2"/>
          <w:sz w:val="32"/>
          <w:szCs w:val="32"/>
          <w:lang w:val="en-US" w:eastAsia="zh-CN" w:bidi="ar-SA"/>
        </w:rPr>
      </w:pPr>
    </w:p>
    <w:p>
      <w:pPr>
        <w:pStyle w:val="15"/>
        <w:keepNext w:val="0"/>
        <w:keepLines w:val="0"/>
        <w:pageBreakBefore w:val="0"/>
        <w:kinsoku/>
        <w:wordWrap/>
        <w:overflowPunct/>
        <w:topLinePunct w:val="0"/>
        <w:autoSpaceDE/>
        <w:autoSpaceDN/>
        <w:bidi w:val="0"/>
        <w:spacing w:line="520" w:lineRule="exact"/>
        <w:rPr>
          <w:rFonts w:hint="default" w:ascii="仿宋_GB2312" w:hAnsi="华文仿宋" w:eastAsia="仿宋_GB2312" w:cs="Times New Roman"/>
          <w:kern w:val="2"/>
          <w:sz w:val="32"/>
          <w:szCs w:val="32"/>
          <w:lang w:val="en-US" w:eastAsia="zh-CN" w:bidi="ar-SA"/>
        </w:rPr>
      </w:pPr>
    </w:p>
    <w:sectPr>
      <w:pgSz w:w="11906" w:h="16838"/>
      <w:pgMar w:top="1440" w:right="1366"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84075"/>
      <w:docPartObj>
        <w:docPartGallery w:val="autotext"/>
      </w:docPartObj>
    </w:sdtPr>
    <w:sdtContent>
      <w:p>
        <w:pPr>
          <w:pStyle w:val="7"/>
          <w:jc w:val="center"/>
        </w:pPr>
        <w:r>
          <w:fldChar w:fldCharType="begin"/>
        </w:r>
        <w:r>
          <w:instrText xml:space="preserve"> PAGE   \* MERGEFORMAT </w:instrText>
        </w:r>
        <w:r>
          <w:fldChar w:fldCharType="separate"/>
        </w:r>
        <w:r>
          <w:rPr>
            <w:lang w:val="zh-CN"/>
          </w:rPr>
          <w:t>13</w:t>
        </w:r>
        <w:r>
          <w:rPr>
            <w:lang w:val="zh-CN"/>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70FBC99"/>
    <w:multiLevelType w:val="singleLevel"/>
    <w:tmpl w:val="D70FBC99"/>
    <w:lvl w:ilvl="0" w:tentative="0">
      <w:start w:val="2"/>
      <w:numFmt w:val="decimal"/>
      <w:suff w:val="nothing"/>
      <w:lvlText w:val="（%1）"/>
      <w:lvlJc w:val="left"/>
    </w:lvl>
  </w:abstractNum>
  <w:abstractNum w:abstractNumId="2">
    <w:nsid w:val="DEF60FE1"/>
    <w:multiLevelType w:val="singleLevel"/>
    <w:tmpl w:val="DEF60FE1"/>
    <w:lvl w:ilvl="0" w:tentative="0">
      <w:start w:val="1"/>
      <w:numFmt w:val="decimal"/>
      <w:suff w:val="nothing"/>
      <w:lvlText w:val="（%1）"/>
      <w:lvlJc w:val="left"/>
    </w:lvl>
  </w:abstractNum>
  <w:abstractNum w:abstractNumId="3">
    <w:nsid w:val="EE5C6BF8"/>
    <w:multiLevelType w:val="singleLevel"/>
    <w:tmpl w:val="EE5C6BF8"/>
    <w:lvl w:ilvl="0" w:tentative="0">
      <w:start w:val="2"/>
      <w:numFmt w:val="decimal"/>
      <w:suff w:val="nothing"/>
      <w:lvlText w:val="%1、"/>
      <w:lvlJc w:val="left"/>
    </w:lvl>
  </w:abstractNum>
  <w:abstractNum w:abstractNumId="4">
    <w:nsid w:val="FF4BB6DE"/>
    <w:multiLevelType w:val="singleLevel"/>
    <w:tmpl w:val="FF4BB6DE"/>
    <w:lvl w:ilvl="0" w:tentative="0">
      <w:start w:val="1"/>
      <w:numFmt w:val="decimal"/>
      <w:suff w:val="nothing"/>
      <w:lvlText w:val="%1、"/>
      <w:lvlJc w:val="left"/>
    </w:lvl>
  </w:abstractNum>
  <w:abstractNum w:abstractNumId="5">
    <w:nsid w:val="FF9379A8"/>
    <w:multiLevelType w:val="singleLevel"/>
    <w:tmpl w:val="FF9379A8"/>
    <w:lvl w:ilvl="0" w:tentative="0">
      <w:start w:val="2"/>
      <w:numFmt w:val="chineseCounting"/>
      <w:suff w:val="nothing"/>
      <w:lvlText w:val="（%1）"/>
      <w:lvlJc w:val="left"/>
      <w:rPr>
        <w:rFonts w:hint="eastAsia"/>
      </w:rPr>
    </w:lvl>
  </w:abstractNum>
  <w:abstractNum w:abstractNumId="6">
    <w:nsid w:val="116B29BF"/>
    <w:multiLevelType w:val="singleLevel"/>
    <w:tmpl w:val="116B29BF"/>
    <w:lvl w:ilvl="0" w:tentative="0">
      <w:start w:val="3"/>
      <w:numFmt w:val="chineseCounting"/>
      <w:suff w:val="nothing"/>
      <w:lvlText w:val="%1、"/>
      <w:lvlJc w:val="left"/>
      <w:rPr>
        <w:rFonts w:hint="eastAsia"/>
      </w:rPr>
    </w:lvl>
  </w:abstractNum>
  <w:num w:numId="1">
    <w:abstractNumId w:val="1"/>
  </w:num>
  <w:num w:numId="2">
    <w:abstractNumId w:val="3"/>
  </w:num>
  <w:num w:numId="3">
    <w:abstractNumId w:val="2"/>
  </w:num>
  <w:num w:numId="4">
    <w:abstractNumId w:val="6"/>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116FF"/>
    <w:rsid w:val="00036222"/>
    <w:rsid w:val="000401A3"/>
    <w:rsid w:val="000805E0"/>
    <w:rsid w:val="000A28F6"/>
    <w:rsid w:val="000A5800"/>
    <w:rsid w:val="000B0F48"/>
    <w:rsid w:val="000D53BA"/>
    <w:rsid w:val="000E1E27"/>
    <w:rsid w:val="000E6119"/>
    <w:rsid w:val="00167C93"/>
    <w:rsid w:val="00175B88"/>
    <w:rsid w:val="001D54BF"/>
    <w:rsid w:val="001E5EC9"/>
    <w:rsid w:val="0020181D"/>
    <w:rsid w:val="00226B27"/>
    <w:rsid w:val="00274336"/>
    <w:rsid w:val="00353978"/>
    <w:rsid w:val="00385ABF"/>
    <w:rsid w:val="003C2471"/>
    <w:rsid w:val="003C67FD"/>
    <w:rsid w:val="003F13D0"/>
    <w:rsid w:val="00404C05"/>
    <w:rsid w:val="00406F67"/>
    <w:rsid w:val="004208A8"/>
    <w:rsid w:val="004362EE"/>
    <w:rsid w:val="00492D44"/>
    <w:rsid w:val="00493CEC"/>
    <w:rsid w:val="004B5D7D"/>
    <w:rsid w:val="00510D6B"/>
    <w:rsid w:val="00525EF7"/>
    <w:rsid w:val="00635B86"/>
    <w:rsid w:val="006B574D"/>
    <w:rsid w:val="00701C35"/>
    <w:rsid w:val="00744D75"/>
    <w:rsid w:val="007670CC"/>
    <w:rsid w:val="0078198C"/>
    <w:rsid w:val="007A6ADF"/>
    <w:rsid w:val="007C4356"/>
    <w:rsid w:val="007E648B"/>
    <w:rsid w:val="00800195"/>
    <w:rsid w:val="00896862"/>
    <w:rsid w:val="008A10E2"/>
    <w:rsid w:val="008A301A"/>
    <w:rsid w:val="008B7DD2"/>
    <w:rsid w:val="008C6957"/>
    <w:rsid w:val="0090017D"/>
    <w:rsid w:val="00920F8E"/>
    <w:rsid w:val="00944E4B"/>
    <w:rsid w:val="009849E1"/>
    <w:rsid w:val="009D5815"/>
    <w:rsid w:val="00A116FF"/>
    <w:rsid w:val="00A40E83"/>
    <w:rsid w:val="00AC3D1E"/>
    <w:rsid w:val="00AD779B"/>
    <w:rsid w:val="00B0413F"/>
    <w:rsid w:val="00B3223F"/>
    <w:rsid w:val="00B51632"/>
    <w:rsid w:val="00B85A4B"/>
    <w:rsid w:val="00BB63DA"/>
    <w:rsid w:val="00BC21E2"/>
    <w:rsid w:val="00BD58B6"/>
    <w:rsid w:val="00BF1152"/>
    <w:rsid w:val="00C37FEA"/>
    <w:rsid w:val="00C7675F"/>
    <w:rsid w:val="00CD529B"/>
    <w:rsid w:val="00D84DF8"/>
    <w:rsid w:val="00DD283D"/>
    <w:rsid w:val="00DE30AA"/>
    <w:rsid w:val="00E23987"/>
    <w:rsid w:val="00EB3304"/>
    <w:rsid w:val="00EC3328"/>
    <w:rsid w:val="00EC5AE6"/>
    <w:rsid w:val="00EF648C"/>
    <w:rsid w:val="00F00A05"/>
    <w:rsid w:val="00F2578D"/>
    <w:rsid w:val="00F560C3"/>
    <w:rsid w:val="00F67845"/>
    <w:rsid w:val="00FB4BB2"/>
    <w:rsid w:val="00FE58AD"/>
    <w:rsid w:val="00FF4992"/>
    <w:rsid w:val="04E940FB"/>
    <w:rsid w:val="06413B44"/>
    <w:rsid w:val="074010AE"/>
    <w:rsid w:val="07823DDD"/>
    <w:rsid w:val="09877BE8"/>
    <w:rsid w:val="0A6344AD"/>
    <w:rsid w:val="0AB40475"/>
    <w:rsid w:val="0B3C7917"/>
    <w:rsid w:val="0B4C4341"/>
    <w:rsid w:val="0DC47710"/>
    <w:rsid w:val="0F323ADC"/>
    <w:rsid w:val="108E09B6"/>
    <w:rsid w:val="114027EB"/>
    <w:rsid w:val="1173104B"/>
    <w:rsid w:val="15B331F4"/>
    <w:rsid w:val="1D7C5233"/>
    <w:rsid w:val="1F4D40D0"/>
    <w:rsid w:val="201A646D"/>
    <w:rsid w:val="206C3E92"/>
    <w:rsid w:val="22DB6AAE"/>
    <w:rsid w:val="24AD35A8"/>
    <w:rsid w:val="29616BDB"/>
    <w:rsid w:val="297E2FD5"/>
    <w:rsid w:val="2B6E268C"/>
    <w:rsid w:val="2F9E7B14"/>
    <w:rsid w:val="31C07AA1"/>
    <w:rsid w:val="33FE29CB"/>
    <w:rsid w:val="3A641F9F"/>
    <w:rsid w:val="3D580507"/>
    <w:rsid w:val="3E4A32F9"/>
    <w:rsid w:val="3E9917EE"/>
    <w:rsid w:val="436E1479"/>
    <w:rsid w:val="464E5818"/>
    <w:rsid w:val="476F2BA2"/>
    <w:rsid w:val="4D2142A2"/>
    <w:rsid w:val="555742FA"/>
    <w:rsid w:val="56651D7C"/>
    <w:rsid w:val="56E87EAF"/>
    <w:rsid w:val="57774723"/>
    <w:rsid w:val="5E8E3355"/>
    <w:rsid w:val="5ED52AB5"/>
    <w:rsid w:val="61DB7A4F"/>
    <w:rsid w:val="63D96BCA"/>
    <w:rsid w:val="65D40690"/>
    <w:rsid w:val="66380803"/>
    <w:rsid w:val="665C266D"/>
    <w:rsid w:val="67840828"/>
    <w:rsid w:val="6E8D5307"/>
    <w:rsid w:val="70242C91"/>
    <w:rsid w:val="702A6262"/>
    <w:rsid w:val="711A2371"/>
    <w:rsid w:val="71EE6358"/>
    <w:rsid w:val="79B703F9"/>
    <w:rsid w:val="7A2A32C9"/>
    <w:rsid w:val="7A6B135E"/>
    <w:rsid w:val="7ADE7C38"/>
    <w:rsid w:val="7C3751EA"/>
    <w:rsid w:val="7C8A75D3"/>
    <w:rsid w:val="7CC6506C"/>
    <w:rsid w:val="7E6437AA"/>
    <w:rsid w:val="7EA20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20"/>
    <w:qFormat/>
    <w:uiPriority w:val="9"/>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annotation text"/>
    <w:basedOn w:val="1"/>
    <w:semiHidden/>
    <w:unhideWhenUsed/>
    <w:qFormat/>
    <w:uiPriority w:val="99"/>
    <w:pPr>
      <w:jc w:val="left"/>
    </w:pPr>
  </w:style>
  <w:style w:type="paragraph" w:styleId="6">
    <w:name w:val="Body Text"/>
    <w:basedOn w:val="1"/>
    <w:qFormat/>
    <w:uiPriority w:val="0"/>
    <w:pPr>
      <w:spacing w:after="12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0">
    <w:name w:val="Body Text First Indent"/>
    <w:basedOn w:val="6"/>
    <w:qFormat/>
    <w:uiPriority w:val="0"/>
    <w:pPr>
      <w:spacing w:after="0"/>
      <w:ind w:firstLine="200" w:firstLineChars="200"/>
    </w:pPr>
  </w:style>
  <w:style w:type="character" w:styleId="13">
    <w:name w:val="Strong"/>
    <w:basedOn w:val="12"/>
    <w:qFormat/>
    <w:uiPriority w:val="0"/>
    <w:rPr>
      <w:b/>
      <w:bCs/>
    </w:rPr>
  </w:style>
  <w:style w:type="character" w:styleId="14">
    <w:name w:val="Hyperlink"/>
    <w:basedOn w:val="12"/>
    <w:semiHidden/>
    <w:unhideWhenUsed/>
    <w:qFormat/>
    <w:uiPriority w:val="99"/>
    <w:rPr>
      <w:color w:val="0000FF"/>
      <w:u w:val="single"/>
    </w:rPr>
  </w:style>
  <w:style w:type="paragraph" w:styleId="15">
    <w:name w:val="No Spacing"/>
    <w:basedOn w:val="1"/>
    <w:qFormat/>
    <w:uiPriority w:val="1"/>
    <w:pPr>
      <w:widowControl/>
      <w:jc w:val="left"/>
    </w:pPr>
    <w:rPr>
      <w:rFonts w:ascii="Calibri" w:hAnsi="Calibri"/>
      <w:kern w:val="0"/>
      <w:sz w:val="24"/>
      <w:szCs w:val="32"/>
      <w:lang w:eastAsia="en-US" w:bidi="en-US"/>
    </w:rPr>
  </w:style>
  <w:style w:type="character" w:customStyle="1" w:styleId="16">
    <w:name w:val="Font Style13"/>
    <w:basedOn w:val="12"/>
    <w:qFormat/>
    <w:uiPriority w:val="99"/>
    <w:rPr>
      <w:rFonts w:ascii="宋体" w:eastAsia="宋体" w:cs="宋体"/>
      <w:sz w:val="30"/>
      <w:szCs w:val="30"/>
    </w:rPr>
  </w:style>
  <w:style w:type="paragraph" w:styleId="17">
    <w:name w:val="List Paragraph"/>
    <w:basedOn w:val="1"/>
    <w:qFormat/>
    <w:uiPriority w:val="34"/>
    <w:pPr>
      <w:ind w:firstLine="420" w:firstLineChars="200"/>
    </w:pPr>
  </w:style>
  <w:style w:type="character" w:customStyle="1" w:styleId="18">
    <w:name w:val="页眉 Char"/>
    <w:basedOn w:val="12"/>
    <w:link w:val="8"/>
    <w:semiHidden/>
    <w:qFormat/>
    <w:uiPriority w:val="99"/>
    <w:rPr>
      <w:rFonts w:ascii="Times New Roman" w:hAnsi="Times New Roman" w:eastAsia="宋体" w:cs="Times New Roman"/>
      <w:sz w:val="18"/>
      <w:szCs w:val="18"/>
    </w:rPr>
  </w:style>
  <w:style w:type="character" w:customStyle="1" w:styleId="19">
    <w:name w:val="页脚 Char"/>
    <w:basedOn w:val="12"/>
    <w:link w:val="7"/>
    <w:qFormat/>
    <w:uiPriority w:val="99"/>
    <w:rPr>
      <w:rFonts w:ascii="Times New Roman" w:hAnsi="Times New Roman" w:eastAsia="宋体" w:cs="Times New Roman"/>
      <w:sz w:val="18"/>
      <w:szCs w:val="18"/>
    </w:rPr>
  </w:style>
  <w:style w:type="character" w:customStyle="1" w:styleId="20">
    <w:name w:val="标题 2 Char"/>
    <w:basedOn w:val="12"/>
    <w:link w:val="3"/>
    <w:qFormat/>
    <w:uiPriority w:val="9"/>
    <w:rPr>
      <w:rFonts w:ascii="宋体" w:hAnsi="宋体" w:eastAsia="宋体" w:cs="宋体"/>
      <w:b/>
      <w:bCs/>
      <w:kern w:val="0"/>
      <w:sz w:val="36"/>
      <w:szCs w:val="36"/>
    </w:rPr>
  </w:style>
  <w:style w:type="paragraph" w:customStyle="1" w:styleId="21">
    <w:name w:val="Heading #3|1"/>
    <w:qFormat/>
    <w:uiPriority w:val="0"/>
    <w:pPr>
      <w:widowControl w:val="0"/>
      <w:spacing w:before="940" w:after="520"/>
      <w:jc w:val="center"/>
      <w:outlineLvl w:val="2"/>
    </w:pPr>
    <w:rPr>
      <w:rFonts w:ascii="宋体" w:hAnsi="宋体" w:eastAsia="宋体" w:cs="宋体"/>
      <w:kern w:val="2"/>
      <w:sz w:val="32"/>
      <w:szCs w:val="32"/>
      <w:lang w:val="zh-TW" w:eastAsia="zh-TW" w:bidi="zh-TW"/>
    </w:rPr>
  </w:style>
  <w:style w:type="character" w:customStyle="1" w:styleId="22">
    <w:name w:val="font31"/>
    <w:qFormat/>
    <w:uiPriority w:val="0"/>
    <w:rPr>
      <w:rFonts w:hint="eastAsia" w:ascii="宋体" w:hAnsi="宋体" w:eastAsia="宋体" w:cs="宋体"/>
      <w:b/>
      <w:color w:val="000000"/>
      <w:sz w:val="20"/>
      <w:szCs w:val="20"/>
      <w:u w:val="none"/>
    </w:rPr>
  </w:style>
  <w:style w:type="paragraph" w:customStyle="1" w:styleId="23">
    <w:name w:val="Header or footer|2"/>
    <w:qFormat/>
    <w:uiPriority w:val="0"/>
    <w:pPr>
      <w:widowControl w:val="0"/>
      <w:jc w:val="both"/>
    </w:pPr>
    <w:rPr>
      <w:rFonts w:ascii="Calibri" w:hAnsi="Calibri" w:eastAsia="宋体" w:cs="Times New Roman"/>
      <w:kern w:val="2"/>
      <w:sz w:val="20"/>
      <w:szCs w:val="20"/>
      <w:lang w:val="zh-TW" w:eastAsia="zh-TW" w:bidi="zh-TW"/>
    </w:rPr>
  </w:style>
  <w:style w:type="paragraph" w:customStyle="1" w:styleId="24">
    <w:name w:val="Other|1"/>
    <w:basedOn w:val="1"/>
    <w:qFormat/>
    <w:uiPriority w:val="0"/>
    <w:pPr>
      <w:spacing w:line="437" w:lineRule="auto"/>
      <w:ind w:firstLine="400"/>
    </w:pPr>
    <w:rPr>
      <w:rFonts w:ascii="宋体" w:hAnsi="宋体" w:cs="宋体"/>
      <w:sz w:val="19"/>
      <w:szCs w:val="19"/>
      <w:lang w:val="zh-TW" w:eastAsia="zh-TW" w:bidi="zh-TW"/>
    </w:rPr>
  </w:style>
  <w:style w:type="character" w:customStyle="1" w:styleId="25">
    <w:name w:val="fontstyle01"/>
    <w:qFormat/>
    <w:uiPriority w:val="0"/>
    <w:rPr>
      <w:rFonts w:ascii="仿宋_GB2312" w:hAnsi="仿宋_GB2312" w:eastAsia="仿宋_GB2312" w:cs="仿宋_GB2312"/>
      <w:color w:val="000000"/>
      <w:sz w:val="32"/>
      <w:szCs w:val="32"/>
    </w:rPr>
  </w:style>
  <w:style w:type="character" w:customStyle="1" w:styleId="26">
    <w:name w:val="font11"/>
    <w:basedOn w:val="12"/>
    <w:qFormat/>
    <w:uiPriority w:val="0"/>
    <w:rPr>
      <w:rFonts w:hint="eastAsia" w:ascii="宋体" w:hAnsi="宋体" w:eastAsia="宋体" w:cs="宋体"/>
      <w:color w:val="000000"/>
      <w:sz w:val="18"/>
      <w:szCs w:val="18"/>
      <w:u w:val="none"/>
    </w:rPr>
  </w:style>
  <w:style w:type="character" w:customStyle="1" w:styleId="27">
    <w:name w:val="font41"/>
    <w:basedOn w:val="12"/>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6974</Words>
  <Characters>7448</Characters>
  <Lines>44</Lines>
  <Paragraphs>12</Paragraphs>
  <TotalTime>5</TotalTime>
  <ScaleCrop>false</ScaleCrop>
  <LinksUpToDate>false</LinksUpToDate>
  <CharactersWithSpaces>7520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2020-04-08T11:26:00Z</dcterms:created>
  <dc:creator>Users</dc:creator>
  <cp:lastModifiedBy>Administrator</cp:lastModifiedBy>
  <dcterms:modified xsi:type="dcterms:W3CDTF">2025-09-05T11:23:03Z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C82A28583C8044CF9020B81A495A4319</vt:lpwstr>
  </property>
  <property fmtid="{D5CDD505-2E9C-101B-9397-08002B2CF9AE}" pid="4" name="KSOTemplateDocerSaveRecord">
    <vt:lpwstr>eyJoZGlkIjoiN2VjMGM4YTNmZTY1NDFjMWFjNmVmZmU0NDA2ZTk0ZmMiLCJ1c2VySWQiOiI4NjI1NDMxNDkifQ==</vt:lpwstr>
  </property>
</Properties>
</file>