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打击非法行医资金项目支出绩效评价</w:t>
      </w: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项目名称：打击非法行医卫生监督检查</w:t>
      </w:r>
    </w:p>
    <w:p>
      <w:pPr>
        <w:spacing w:line="700" w:lineRule="exact"/>
        <w:ind w:left="718" w:leftChars="342" w:firstLine="0" w:firstLineChars="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实施单位（公章）：塔城地区卫生计生综合监督执法局</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主管部门（公章）：塔城地区卫生健康委员会</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项目负责人（签章）：王涛</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填报时间：2021年3月31日</w:t>
      </w:r>
    </w:p>
    <w:p>
      <w:pPr>
        <w:spacing w:line="540" w:lineRule="exact"/>
        <w:jc w:val="center"/>
        <w:rPr>
          <w:rFonts w:hint="eastAsia" w:ascii="仿宋_GB2312" w:hAnsi="仿宋_GB2312" w:eastAsia="仿宋_GB2312" w:cs="仿宋_GB2312"/>
          <w:kern w:val="0"/>
          <w:sz w:val="36"/>
          <w:szCs w:val="36"/>
        </w:rPr>
      </w:pPr>
    </w:p>
    <w:p>
      <w:pPr>
        <w:spacing w:line="540" w:lineRule="exact"/>
        <w:rPr>
          <w:rStyle w:val="23"/>
          <w:rFonts w:ascii="黑体" w:hAnsi="黑体" w:eastAsia="黑体"/>
          <w:b w:val="0"/>
          <w:spacing w:val="-4"/>
          <w:sz w:val="32"/>
          <w:szCs w:val="32"/>
        </w:rPr>
      </w:pPr>
    </w:p>
    <w:p>
      <w:pPr>
        <w:spacing w:line="600" w:lineRule="exact"/>
        <w:rPr>
          <w:rFonts w:hint="eastAsia" w:ascii="黑体" w:hAnsi="黑体" w:eastAsia="黑体" w:cs="黑体"/>
          <w:bCs/>
          <w:sz w:val="32"/>
          <w:szCs w:val="32"/>
        </w:rPr>
      </w:pPr>
    </w:p>
    <w:p>
      <w:pPr>
        <w:pageBreakBefore w:val="0"/>
        <w:kinsoku/>
        <w:wordWrap/>
        <w:overflowPunct/>
        <w:topLinePunct w:val="0"/>
        <w:autoSpaceDE/>
        <w:autoSpaceDN/>
        <w:bidi w:val="0"/>
        <w:adjustRightInd/>
        <w:snapToGrid/>
        <w:spacing w:line="560" w:lineRule="atLeast"/>
        <w:textAlignment w:val="auto"/>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pPr>
        <w:pageBreakBefore w:val="0"/>
        <w:kinsoku/>
        <w:wordWrap/>
        <w:overflowPunct/>
        <w:topLinePunct w:val="0"/>
        <w:autoSpaceDE/>
        <w:autoSpaceDN/>
        <w:bidi w:val="0"/>
        <w:adjustRightInd/>
        <w:snapToGrid/>
        <w:spacing w:line="560" w:lineRule="atLeast"/>
        <w:ind w:firstLine="640" w:firstLineChars="200"/>
        <w:textAlignment w:val="auto"/>
      </w:pPr>
      <w:r>
        <w:rPr>
          <w:rFonts w:hint="eastAsia" w:ascii="仿宋_GB2312" w:hAnsi="仿宋_GB2312" w:eastAsia="仿宋_GB2312" w:cs="仿宋_GB2312"/>
          <w:sz w:val="32"/>
          <w:szCs w:val="32"/>
        </w:rPr>
        <w:t>今年要按照《自治区改革完善医疗卫生行业综合监管制度的实施意见》，参照自治区医疗卫生行业综合监管协调机制建立模式，建立本地医疗卫生行业综合监管协调机制，开展医疗服务多元化监管，落实《医疗机构依法执业自查管理办法》，切实推进本地医疗卫生行业综合监管工作。贯彻落实《关于进一步加强医疗美容综合监管的通知》，在医疗美容领域全方位推进综合监管，规范医疗美容诊疗行为，继续严厉打击非法医疗机构。</w:t>
      </w:r>
    </w:p>
    <w:p>
      <w:pPr>
        <w:pStyle w:val="2"/>
        <w:pageBreakBefore w:val="0"/>
        <w:numPr>
          <w:ilvl w:val="0"/>
          <w:numId w:val="1"/>
        </w:numPr>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项目实施的历史概况</w:t>
      </w:r>
    </w:p>
    <w:p>
      <w:pPr>
        <w:pageBreakBefore w:val="0"/>
        <w:kinsoku/>
        <w:wordWrap/>
        <w:overflowPunct/>
        <w:topLinePunct w:val="0"/>
        <w:autoSpaceDE/>
        <w:autoSpaceDN/>
        <w:bidi w:val="0"/>
        <w:adjustRightInd/>
        <w:snapToGrid/>
        <w:spacing w:line="560" w:lineRule="atLeast"/>
        <w:ind w:firstLine="640" w:firstLineChars="200"/>
        <w:textAlignment w:val="auto"/>
        <w:rPr>
          <w:rStyle w:val="23"/>
          <w:rFonts w:ascii="黑体" w:hAnsi="黑体" w:eastAsia="黑体"/>
          <w:bCs w:val="0"/>
          <w:color w:val="FFFFFF" w:themeColor="background1"/>
          <w:spacing w:val="-4"/>
          <w:sz w:val="32"/>
          <w:szCs w:val="32"/>
          <w14:textFill>
            <w14:solidFill>
              <w14:schemeClr w14:val="bg1"/>
            </w14:solidFill>
          </w14:textFill>
        </w:rPr>
      </w:pPr>
      <w:r>
        <w:rPr>
          <w:rFonts w:hint="eastAsia" w:ascii="仿宋_GB2312" w:hAnsi="仿宋_GB2312" w:eastAsia="仿宋_GB2312" w:cs="仿宋_GB2312"/>
          <w:sz w:val="32"/>
          <w:szCs w:val="32"/>
        </w:rPr>
        <w:t>“打击非法行医卫生监督检查”项目主要用于负责管辖范围内：一严厉打击无证行医，对未取得《医疗机构执业许可证》擅自开展诊疗活动的“黑诊所”进行重点查处。规范持证医疗机构执业行为，主要针对超范围执业，聘用非卫生技术人员，出租承包科室等违法违规行为。抓好举报案件查处！</w:t>
      </w:r>
    </w:p>
    <w:p>
      <w:pPr>
        <w:pageBreakBefore w:val="0"/>
        <w:numPr>
          <w:ilvl w:val="0"/>
          <w:numId w:val="2"/>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rPr>
      </w:pPr>
      <w:r>
        <w:rPr>
          <w:rFonts w:hint="eastAsia" w:ascii="仿宋_GB2312" w:hAnsi="仿宋_GB2312" w:eastAsia="仿宋_GB2312" w:cs="仿宋_GB2312"/>
          <w:sz w:val="32"/>
          <w:szCs w:val="32"/>
        </w:rPr>
        <w:t>项目主要内容：“打击非法行医卫生监督检查”项目主要负责管辖范围内：一严厉打击无证行医，对未取得《医疗机构执业许可证》擅自开展诊疗活动的“黑诊所”进行重点查处。二、规范持证医疗机构执业行为，主要针对超范围执业，聘用非卫生技术人员，出租承包科室等违法违规行为。三、抓好举报案件查处</w:t>
      </w:r>
    </w:p>
    <w:p>
      <w:pPr>
        <w:pageBreakBefore w:val="0"/>
        <w:kinsoku/>
        <w:wordWrap/>
        <w:overflowPunct/>
        <w:topLinePunct w:val="0"/>
        <w:autoSpaceDE/>
        <w:autoSpaceDN/>
        <w:bidi w:val="0"/>
        <w:adjustRightInd/>
        <w:snapToGrid/>
        <w:spacing w:line="560" w:lineRule="atLeast"/>
        <w:ind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本项目总投资4.3万元，其中：财政本级资金4.3万元。项目实际支出4.18万元， 支出率为97.21%。</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4.3万元，按照《打击非法行医资金管理办法》及单位财务制度等相关规定，资金支出符合打击非法行医专项资金费用范围，做到了专款专用。在项目资金拨付和使用过程中，为确保项目资金的安全性，提高项目资金使用效率，严格遵循打击非法行医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项目预算资金来源于塔地财预【2020】0509号文件中批复的资金，项目资金到位4.3万元，用于支付项目实施进程中的各项费用。</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atLeast"/>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rPr>
      </w:pPr>
      <w:r>
        <w:rPr>
          <w:rFonts w:hint="eastAsia" w:ascii="仿宋_GB2312" w:hAnsi="仿宋_GB2312" w:eastAsia="仿宋_GB2312" w:cs="仿宋_GB2312"/>
          <w:sz w:val="32"/>
          <w:szCs w:val="32"/>
        </w:rPr>
        <w:t>2020年对</w:t>
      </w:r>
      <w:r>
        <w:rPr>
          <w:rFonts w:hint="eastAsia" w:ascii="仿宋" w:hAnsi="仿宋" w:eastAsia="仿宋" w:cs="仿宋"/>
          <w:sz w:val="32"/>
          <w:szCs w:val="32"/>
        </w:rPr>
        <w:t>地直医疗机构进行专项督导检查,医疗机构执业许可证的效验审核督导，对无证行医机构严格查处。</w:t>
      </w:r>
      <w:r>
        <w:rPr>
          <w:rFonts w:hint="eastAsia" w:ascii="仿宋_GB2312" w:hAnsi="仿宋_GB2312" w:eastAsia="仿宋_GB2312" w:cs="仿宋_GB2312"/>
          <w:sz w:val="32"/>
          <w:szCs w:val="32"/>
        </w:rPr>
        <w:t>严厉打击无证行医，对未取得《医疗机构执业许可证》擅自开展诊疗活动的“黑诊所”进行重点查处。规范持证医疗机构执业行为，主要针对超范围执业，聘用非卫生技术人员，出租承包科室等违法违规行为。</w:t>
      </w:r>
    </w:p>
    <w:p>
      <w:pPr>
        <w:pageBreakBefore w:val="0"/>
        <w:kinsoku/>
        <w:wordWrap/>
        <w:overflowPunct/>
        <w:topLinePunct w:val="0"/>
        <w:autoSpaceDE/>
        <w:autoSpaceDN/>
        <w:bidi w:val="0"/>
        <w:adjustRightInd/>
        <w:snapToGrid/>
        <w:spacing w:line="560" w:lineRule="atLeast"/>
        <w:ind w:firstLine="964" w:firstLineChars="3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（1）前期准备：根据《打击非法行医项目资金支出方案》，通过制定项目实施方案，经项目负责人审核通过后，有序开展后续工程。</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（2）组织实施：资金一到位，立即根据项目要求实施项目。项目责任人按照《打击非法行医方案》要求逐一进行项目部署安排，提高项目质量及效率性。</w:t>
      </w:r>
    </w:p>
    <w:p>
      <w:pPr>
        <w:pageBreakBefore w:val="0"/>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二、绩效评价工作开展情况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3"/>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atLeas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评价对象为“打击非法行医卫生监督检查”项目，评价核心为专项资金的支出完成情况和效果。</w:t>
      </w:r>
    </w:p>
    <w:p>
      <w:pPr>
        <w:pageBreakBefore w:val="0"/>
        <w:kinsoku/>
        <w:wordWrap/>
        <w:overflowPunct/>
        <w:topLinePunct w:val="0"/>
        <w:autoSpaceDE/>
        <w:autoSpaceDN/>
        <w:bidi w:val="0"/>
        <w:adjustRightInd/>
        <w:snapToGrid/>
        <w:spacing w:line="560" w:lineRule="atLeast"/>
        <w:ind w:left="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3、绩效评价的范围</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项目立项、决策过程、绩效目标）、项目管理（包括项目资金、项目实施）、项目产出（包括项目产出数量、产出质量、产出时效和产出成本）项目效益（包括实施效益及满意度）四个维度进行评价。</w:t>
      </w:r>
    </w:p>
    <w:p>
      <w:pPr>
        <w:pageBreakBefore w:val="0"/>
        <w:kinsoku/>
        <w:wordWrap/>
        <w:overflowPunct/>
        <w:topLinePunct w:val="0"/>
        <w:autoSpaceDE/>
        <w:autoSpaceDN/>
        <w:bidi w:val="0"/>
        <w:adjustRightInd/>
        <w:snapToGrid/>
        <w:spacing w:line="560" w:lineRule="atLeas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（二）绩效评价原则、评价指标体系（详情见表1）、评价方法、评价标准。</w:t>
      </w:r>
    </w:p>
    <w:p>
      <w:pPr>
        <w:pageBreakBefore w:val="0"/>
        <w:kinsoku/>
        <w:wordWrap/>
        <w:overflowPunct/>
        <w:topLinePunct w:val="0"/>
        <w:autoSpaceDE/>
        <w:autoSpaceDN/>
        <w:bidi w:val="0"/>
        <w:adjustRightInd/>
        <w:snapToGrid/>
        <w:spacing w:line="560" w:lineRule="atLeast"/>
        <w:ind w:left="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1、绩效评价原则</w:t>
      </w:r>
    </w:p>
    <w:p>
      <w:pPr>
        <w:pageBreakBefore w:val="0"/>
        <w:kinsoku/>
        <w:wordWrap/>
        <w:overflowPunct/>
        <w:topLinePunct w:val="0"/>
        <w:autoSpaceDE/>
        <w:autoSpaceDN/>
        <w:bidi w:val="0"/>
        <w:adjustRightInd/>
        <w:snapToGrid/>
        <w:spacing w:line="560" w:lineRule="atLeas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本次项目绩效评价遵循以下基本原则：</w:t>
      </w:r>
    </w:p>
    <w:p>
      <w:pPr>
        <w:pageBreakBefore w:val="0"/>
        <w:kinsoku/>
        <w:wordWrap/>
        <w:overflowPunct/>
        <w:topLinePunct w:val="0"/>
        <w:autoSpaceDE/>
        <w:autoSpaceDN/>
        <w:bidi w:val="0"/>
        <w:adjustRightInd/>
        <w:snapToGrid/>
        <w:spacing w:line="560" w:lineRule="atLeas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（1）科学公正。绩效评价应当运用科学合理的方法，按照规范的程序，对项目绩效进行客观、公正的反映。</w:t>
      </w:r>
    </w:p>
    <w:p>
      <w:pPr>
        <w:pageBreakBefore w:val="0"/>
        <w:kinsoku/>
        <w:wordWrap/>
        <w:overflowPunct/>
        <w:topLinePunct w:val="0"/>
        <w:autoSpaceDE/>
        <w:autoSpaceDN/>
        <w:bidi w:val="0"/>
        <w:adjustRightInd/>
        <w:snapToGrid/>
        <w:spacing w:line="560" w:lineRule="atLeas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atLeast"/>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atLeas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采用层次分析法，建立评价指标体系。绩效评价将指标分为项目决策、项目产出、项目效益、项目过程指标四个维度，最终形成一个由多个相互联系的指标组成的多层次指标体系。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确定各个指标相对于项目总体绩效的权重分值。在绩效评价指标体系中，项目决策权重为10%，项目过程权重值占50%，项目产出权重值占30%，项目效益权重占10%。</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atLeas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atLeast"/>
        <w:jc w:val="both"/>
        <w:textAlignment w:val="auto"/>
        <w:outlineLvl w:val="9"/>
        <w:rPr>
          <w:rFonts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具体评价指标体系详情见附件1</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4、评价标准</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绩效评价标准通常包括计划标准、行业标准、历史标准等，用于对绩效指标完成情况进行比较。本次评价主要采用了计划标准和行业标准。</w:t>
      </w:r>
    </w:p>
    <w:p>
      <w:pPr>
        <w:pStyle w:val="2"/>
        <w:pageBreakBefore w:val="0"/>
        <w:numPr>
          <w:ilvl w:val="0"/>
          <w:numId w:val="4"/>
        </w:numPr>
        <w:kinsoku/>
        <w:wordWrap/>
        <w:overflowPunct/>
        <w:topLinePunct w:val="0"/>
        <w:autoSpaceDE/>
        <w:autoSpaceDN/>
        <w:bidi w:val="0"/>
        <w:adjustRightInd/>
        <w:snapToGrid/>
        <w:spacing w:before="0" w:after="0" w:line="560" w:lineRule="atLeast"/>
        <w:jc w:val="both"/>
        <w:textAlignment w:val="auto"/>
        <w:rPr>
          <w:rFonts w:ascii="仿宋_GB2312" w:hAnsi="仿宋_GB2312" w:eastAsia="仿宋_GB2312" w:cs="仿宋_GB2312"/>
          <w:color w:val="000000"/>
          <w:spacing w:val="17"/>
        </w:rPr>
      </w:pPr>
      <w:r>
        <w:rPr>
          <w:rFonts w:hint="eastAsia" w:ascii="仿宋_GB2312" w:hAnsi="仿宋_GB2312" w:eastAsia="仿宋_GB2312" w:cs="仿宋_GB2312"/>
          <w:color w:val="000000"/>
          <w:spacing w:val="17"/>
        </w:rPr>
        <w:t>绩效评价工作过程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atLeast"/>
        <w:ind w:firstLine="641"/>
        <w:textAlignment w:val="auto"/>
      </w:pPr>
      <w:r>
        <w:rPr>
          <w:rFonts w:hint="eastAsia" w:ascii="仿宋_GB2312" w:hAnsi="仿宋_GB2312" w:eastAsia="仿宋_GB2312" w:cs="仿宋_GB2312"/>
          <w:color w:val="000000"/>
          <w:spacing w:val="17"/>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5"/>
        </w:numPr>
        <w:kinsoku/>
        <w:wordWrap/>
        <w:overflowPunct/>
        <w:topLinePunct w:val="0"/>
        <w:autoSpaceDE/>
        <w:autoSpaceDN/>
        <w:bidi w:val="0"/>
        <w:adjustRightInd/>
        <w:snapToGrid/>
        <w:spacing w:line="560" w:lineRule="atLeast"/>
        <w:ind w:firstLine="641"/>
        <w:textAlignment w:val="auto"/>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对打击非法行医卫生监督检查项目进行客观评价，最终评分结果：总得分为 94.27分，属于“优”。其中，项目决策类指标权重为5分，得分为 5分，得分率为 100%。项目过程类指标权重为5分，得分为4.77 分，得分率为 95.4%。项目产出类指标权重为50分，得分为48.5分，得分率为 97%。项目效益类指标权重为40分，得分为36分，得分率为 90%。</w:t>
      </w:r>
    </w:p>
    <w:p>
      <w:pPr>
        <w:pStyle w:val="2"/>
        <w:pageBreakBefore w:val="0"/>
        <w:kinsoku/>
        <w:wordWrap/>
        <w:overflowPunct/>
        <w:topLinePunct w:val="0"/>
        <w:autoSpaceDE/>
        <w:autoSpaceDN/>
        <w:bidi w:val="0"/>
        <w:adjustRightInd/>
        <w:snapToGrid/>
        <w:spacing w:before="0" w:after="0" w:line="560" w:lineRule="atLeast"/>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表1综合评分表</w:t>
      </w:r>
    </w:p>
    <w:p>
      <w:pPr>
        <w:pageBreakBefore w:val="0"/>
        <w:kinsoku/>
        <w:wordWrap/>
        <w:overflowPunct/>
        <w:topLinePunct w:val="0"/>
        <w:autoSpaceDE/>
        <w:autoSpaceDN/>
        <w:bidi w:val="0"/>
        <w:adjustRightInd/>
        <w:snapToGrid/>
        <w:spacing w:line="560" w:lineRule="atLeast"/>
        <w:textAlignment w:val="auto"/>
      </w:pPr>
    </w:p>
    <w:p>
      <w:pPr>
        <w:pageBreakBefore w:val="0"/>
        <w:kinsoku/>
        <w:wordWrap/>
        <w:overflowPunct/>
        <w:topLinePunct w:val="0"/>
        <w:autoSpaceDE/>
        <w:autoSpaceDN/>
        <w:bidi w:val="0"/>
        <w:adjustRightInd/>
        <w:snapToGrid/>
        <w:spacing w:line="560" w:lineRule="atLeast"/>
        <w:textAlignment w:val="auto"/>
      </w:pPr>
    </w:p>
    <w:tbl>
      <w:tblPr>
        <w:tblStyle w:val="21"/>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atLeas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8"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0.97</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97%</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0.9</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90%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0.9</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90%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9</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9</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90%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9.5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9.5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95%</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实施效益</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28</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28</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93.33%</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8</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8</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80%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8</w:t>
            </w:r>
          </w:p>
        </w:tc>
      </w:tr>
    </w:tbl>
    <w:p>
      <w:pPr>
        <w:pageBreakBefore w:val="0"/>
        <w:kinsoku/>
        <w:wordWrap/>
        <w:overflowPunct/>
        <w:topLinePunct w:val="0"/>
        <w:autoSpaceDE/>
        <w:autoSpaceDN/>
        <w:bidi w:val="0"/>
        <w:adjustRightInd/>
        <w:snapToGrid/>
        <w:spacing w:line="560" w:lineRule="atLeast"/>
        <w:ind w:firstLine="320" w:firstLineChars="100"/>
        <w:textAlignment w:val="auto"/>
        <w:rPr>
          <w:rFonts w:ascii="黑体" w:hAnsi="黑体" w:eastAsia="黑体"/>
          <w:sz w:val="32"/>
          <w:szCs w:val="32"/>
        </w:rPr>
      </w:pPr>
      <w:r>
        <w:rPr>
          <w:rFonts w:hint="eastAsia" w:ascii="黑体" w:hAnsi="黑体" w:eastAsia="黑体"/>
          <w:sz w:val="32"/>
          <w:szCs w:val="32"/>
        </w:rPr>
        <w:t>四、绩效评价指标分析</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项目决策指标从项目立项、绩项目标、资金投入3个方面对项目的立项决策目标完成情况进行考察，项目决策类指标分值5分，实际得分5分，得分率100%。项目决策指标得分情况如表所示。</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w:t>
      </w:r>
      <w:r>
        <w:rPr>
          <w:rFonts w:ascii="仿宋_GB2312" w:eastAsia="仿宋_GB2312" w:cs="仿宋_GB2312"/>
          <w:sz w:val="32"/>
          <w:szCs w:val="32"/>
        </w:rPr>
        <w:t>项目立项</w:t>
      </w:r>
      <w:r>
        <w:rPr>
          <w:rFonts w:hint="eastAsia" w:ascii="仿宋_GB2312" w:eastAsia="仿宋_GB2312" w:cs="仿宋_GB2312"/>
          <w:sz w:val="32"/>
          <w:szCs w:val="32"/>
        </w:rPr>
        <w:t>”，</w:t>
      </w:r>
      <w:r>
        <w:rPr>
          <w:rFonts w:ascii="仿宋_GB2312" w:eastAsia="仿宋_GB2312" w:cs="仿宋_GB2312"/>
          <w:sz w:val="32"/>
          <w:szCs w:val="32"/>
        </w:rPr>
        <w:t>立项</w:t>
      </w:r>
      <w:r>
        <w:rPr>
          <w:rFonts w:hint="eastAsia" w:ascii="仿宋_GB2312" w:eastAsia="仿宋_GB2312" w:cs="仿宋_GB2312"/>
          <w:sz w:val="32"/>
          <w:szCs w:val="32"/>
        </w:rPr>
        <w:t>有文件依据，根据评分标准，该指标不扣分，实际得分</w:t>
      </w:r>
      <w:r>
        <w:rPr>
          <w:rFonts w:ascii="仿宋_GB2312" w:eastAsia="仿宋_GB2312" w:cs="仿宋_GB2312"/>
          <w:sz w:val="32"/>
          <w:szCs w:val="32"/>
        </w:rPr>
        <w:t>1</w:t>
      </w:r>
      <w:r>
        <w:rPr>
          <w:rFonts w:hint="eastAsia" w:ascii="仿宋_GB2312" w:eastAsia="仿宋_GB2312" w:cs="仿宋_GB2312"/>
          <w:sz w:val="32"/>
          <w:szCs w:val="32"/>
        </w:rPr>
        <w:t>分。</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cs="仿宋_GB2312"/>
          <w:sz w:val="32"/>
          <w:szCs w:val="32"/>
        </w:rPr>
      </w:pPr>
      <w:r>
        <w:rPr>
          <w:rFonts w:hint="eastAsia" w:ascii="仿宋_GB2312" w:eastAsia="仿宋_GB2312" w:cs="仿宋_GB2312"/>
          <w:sz w:val="32"/>
          <w:szCs w:val="32"/>
        </w:rPr>
        <w:t>对于“绩效目标”，项目设置了较为详细的项目支出绩效目标，根据评分标准，指标不扣分，实际得分</w:t>
      </w:r>
      <w:r>
        <w:rPr>
          <w:rFonts w:ascii="仿宋_GB2312" w:eastAsia="仿宋_GB2312" w:cs="仿宋_GB2312"/>
          <w:sz w:val="32"/>
          <w:szCs w:val="32"/>
        </w:rPr>
        <w:t>2</w:t>
      </w:r>
      <w:r>
        <w:rPr>
          <w:rFonts w:hint="eastAsia" w:ascii="仿宋_GB2312" w:eastAsia="仿宋_GB2312" w:cs="仿宋_GB2312"/>
          <w:sz w:val="32"/>
          <w:szCs w:val="32"/>
        </w:rPr>
        <w:t>分。</w:t>
      </w:r>
    </w:p>
    <w:p>
      <w:pPr>
        <w:pageBreakBefore w:val="0"/>
        <w:kinsoku/>
        <w:wordWrap/>
        <w:overflowPunct/>
        <w:topLinePunct w:val="0"/>
        <w:autoSpaceDE/>
        <w:autoSpaceDN/>
        <w:bidi w:val="0"/>
        <w:adjustRightInd/>
        <w:snapToGrid/>
        <w:spacing w:line="560" w:lineRule="atLeast"/>
        <w:ind w:firstLine="640" w:firstLineChars="200"/>
        <w:textAlignment w:val="auto"/>
      </w:pPr>
      <w:r>
        <w:rPr>
          <w:rFonts w:hint="eastAsia" w:ascii="仿宋_GB2312" w:eastAsia="仿宋_GB2312" w:cs="仿宋_GB2312"/>
          <w:sz w:val="32"/>
          <w:szCs w:val="32"/>
        </w:rPr>
        <w:t>对于“资金投入”，</w:t>
      </w:r>
      <w:r>
        <w:rPr>
          <w:rFonts w:ascii="仿宋_GB2312" w:eastAsia="仿宋_GB2312" w:cs="仿宋_GB2312"/>
          <w:sz w:val="32"/>
          <w:szCs w:val="32"/>
        </w:rPr>
        <w:t>该项目</w:t>
      </w:r>
      <w:r>
        <w:rPr>
          <w:rFonts w:hint="eastAsia" w:ascii="仿宋_GB2312" w:eastAsia="仿宋_GB2312" w:cs="仿宋_GB2312"/>
          <w:sz w:val="32"/>
          <w:szCs w:val="32"/>
        </w:rPr>
        <w:t>本级资金4.3万元，本级财政预算资金4.3万元，均按时</w:t>
      </w:r>
      <w:r>
        <w:rPr>
          <w:rFonts w:ascii="仿宋_GB2312" w:eastAsia="仿宋_GB2312" w:cs="仿宋_GB2312"/>
          <w:sz w:val="32"/>
          <w:szCs w:val="32"/>
        </w:rPr>
        <w:t>到位。</w:t>
      </w:r>
      <w:r>
        <w:rPr>
          <w:rFonts w:hint="eastAsia" w:ascii="仿宋_GB2312" w:eastAsia="仿宋_GB2312" w:cs="仿宋_GB2312"/>
          <w:sz w:val="32"/>
          <w:szCs w:val="32"/>
        </w:rPr>
        <w:t>资金有效保证了</w:t>
      </w:r>
      <w:r>
        <w:rPr>
          <w:rFonts w:ascii="仿宋_GB2312" w:eastAsia="仿宋_GB2312" w:cs="仿宋_GB2312"/>
          <w:sz w:val="32"/>
          <w:szCs w:val="32"/>
        </w:rPr>
        <w:t>项目</w:t>
      </w:r>
      <w:r>
        <w:rPr>
          <w:rFonts w:hint="eastAsia" w:ascii="仿宋_GB2312" w:eastAsia="仿宋_GB2312" w:cs="仿宋_GB2312"/>
          <w:sz w:val="32"/>
          <w:szCs w:val="32"/>
        </w:rPr>
        <w:t>的实施。根据评分标准，该指标不扣分，实际得分</w:t>
      </w:r>
      <w:r>
        <w:rPr>
          <w:rFonts w:ascii="仿宋_GB2312" w:eastAsia="仿宋_GB2312" w:cs="仿宋_GB2312"/>
          <w:sz w:val="32"/>
          <w:szCs w:val="32"/>
        </w:rPr>
        <w:t>2</w:t>
      </w:r>
      <w:r>
        <w:rPr>
          <w:rFonts w:hint="eastAsia" w:ascii="仿宋_GB2312" w:eastAsia="仿宋_GB2312" w:cs="仿宋_GB2312"/>
          <w:sz w:val="32"/>
          <w:szCs w:val="32"/>
        </w:rPr>
        <w:t>分。</w:t>
      </w:r>
    </w:p>
    <w:p>
      <w:pPr>
        <w:pStyle w:val="2"/>
        <w:pageBreakBefore w:val="0"/>
        <w:numPr>
          <w:ilvl w:val="0"/>
          <w:numId w:val="6"/>
        </w:numPr>
        <w:kinsoku/>
        <w:wordWrap/>
        <w:overflowPunct/>
        <w:topLinePunct w:val="0"/>
        <w:autoSpaceDE/>
        <w:autoSpaceDN/>
        <w:bidi w:val="0"/>
        <w:adjustRightInd/>
        <w:snapToGrid/>
        <w:spacing w:before="0" w:after="0" w:line="560" w:lineRule="atLeast"/>
        <w:ind w:firstLine="321" w:firstLineChars="100"/>
        <w:jc w:val="both"/>
        <w:textAlignment w:val="auto"/>
      </w:pP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napToGrid/>
        <w:spacing w:line="560" w:lineRule="atLeas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项目管理指标从项目资金的资金到位率、预算执行率、资金使用合规性，管理制度健全性、制度执行有效性、五个方面对项目的管理情况进行考察。项目管理类指标分值5分，实际得分4.77分，得分率为95.4%。</w:t>
      </w:r>
    </w:p>
    <w:p>
      <w:pPr>
        <w:pageBreakBefore w:val="0"/>
        <w:kinsoku/>
        <w:wordWrap/>
        <w:overflowPunct/>
        <w:topLinePunct w:val="0"/>
        <w:autoSpaceDE/>
        <w:autoSpaceDN/>
        <w:bidi w:val="0"/>
        <w:adjustRightInd/>
        <w:snapToGrid/>
        <w:spacing w:line="560" w:lineRule="atLeas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对于“资金到位率”，项目资金到位及时，到位率为100%。根据评分标准，该指标不扣分，实际得分1分。</w:t>
      </w:r>
    </w:p>
    <w:p>
      <w:pPr>
        <w:pageBreakBefore w:val="0"/>
        <w:kinsoku/>
        <w:wordWrap/>
        <w:overflowPunct/>
        <w:topLinePunct w:val="0"/>
        <w:autoSpaceDE/>
        <w:autoSpaceDN/>
        <w:bidi w:val="0"/>
        <w:adjustRightInd/>
        <w:snapToGrid/>
        <w:spacing w:line="560" w:lineRule="atLeas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预算执行率”，项目预算编制为4.3万元，实际使用4.18万元。预算管理存在预算资金当年未完全使用，存在资金闲置，预算执行与预算编制存在不一致的情况，根据评分标准，该指标实际得分率97%。扣0.03分，得分0.97分。</w:t>
      </w:r>
    </w:p>
    <w:p>
      <w:pPr>
        <w:pageBreakBefore w:val="0"/>
        <w:kinsoku/>
        <w:wordWrap/>
        <w:overflowPunct/>
        <w:topLinePunct w:val="0"/>
        <w:autoSpaceDE/>
        <w:autoSpaceDN/>
        <w:bidi w:val="0"/>
        <w:adjustRightInd/>
        <w:snapToGrid/>
        <w:spacing w:line="560" w:lineRule="atLeas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资金使用合规性”项目按照专项资金列支的范围使用资金，支出范围合规；资金支出能按财务制度执行，并能按国库集中支付制度规定执行，不存在资金违纪违规使用情况。根据评分标准，该指标不扣分，实际得分1分，得分率为100%。</w:t>
      </w:r>
    </w:p>
    <w:p>
      <w:pPr>
        <w:pageBreakBefore w:val="0"/>
        <w:kinsoku/>
        <w:wordWrap/>
        <w:overflowPunct/>
        <w:topLinePunct w:val="0"/>
        <w:autoSpaceDE/>
        <w:autoSpaceDN/>
        <w:bidi w:val="0"/>
        <w:adjustRightInd/>
        <w:snapToGrid/>
        <w:spacing w:line="560" w:lineRule="atLeast"/>
        <w:ind w:firstLine="960" w:firstLineChars="300"/>
        <w:textAlignment w:val="auto"/>
        <w:rPr>
          <w:rFonts w:ascii="仿宋_GB2312" w:eastAsia="仿宋_GB2312" w:cs="仿宋_GB2312"/>
          <w:sz w:val="32"/>
          <w:szCs w:val="32"/>
        </w:rPr>
      </w:pPr>
      <w:r>
        <w:rPr>
          <w:rFonts w:hint="eastAsia" w:ascii="仿宋_GB2312" w:hAnsi="仿宋_GB2312" w:eastAsia="仿宋_GB2312" w:cs="仿宋_GB2312"/>
          <w:sz w:val="32"/>
          <w:szCs w:val="32"/>
        </w:rPr>
        <w:t>对于“管理制度健全性”，项目机构健全，分工明确，不存在不相容岗位兼任情况。但未制定项目管理实施细则，根</w:t>
      </w:r>
      <w:r>
        <w:rPr>
          <w:rFonts w:hint="eastAsia" w:ascii="仿宋_GB2312" w:eastAsia="仿宋_GB2312" w:cs="仿宋_GB2312"/>
          <w:sz w:val="32"/>
          <w:szCs w:val="32"/>
        </w:rPr>
        <w:t>据评分标准，该指标扣</w:t>
      </w:r>
      <w:r>
        <w:rPr>
          <w:rFonts w:ascii="仿宋_GB2312" w:eastAsia="仿宋_GB2312" w:cs="仿宋_GB2312"/>
          <w:sz w:val="32"/>
          <w:szCs w:val="32"/>
        </w:rPr>
        <w:t>0.1</w:t>
      </w:r>
      <w:r>
        <w:rPr>
          <w:rFonts w:hint="eastAsia" w:ascii="仿宋_GB2312" w:eastAsia="仿宋_GB2312" w:cs="仿宋_GB2312"/>
          <w:sz w:val="32"/>
          <w:szCs w:val="32"/>
        </w:rPr>
        <w:t>分，实际得分</w:t>
      </w:r>
      <w:r>
        <w:rPr>
          <w:rFonts w:ascii="仿宋_GB2312" w:eastAsia="仿宋_GB2312" w:cs="仿宋_GB2312"/>
          <w:sz w:val="32"/>
          <w:szCs w:val="32"/>
        </w:rPr>
        <w:t>0.9</w:t>
      </w:r>
      <w:r>
        <w:rPr>
          <w:rFonts w:hint="eastAsia" w:ascii="仿宋_GB2312" w:eastAsia="仿宋_GB2312" w:cs="仿宋_GB2312"/>
          <w:sz w:val="32"/>
          <w:szCs w:val="32"/>
        </w:rPr>
        <w:t>分</w:t>
      </w:r>
      <w:r>
        <w:rPr>
          <w:rFonts w:ascii="仿宋_GB2312" w:eastAsia="仿宋_GB2312" w:cs="仿宋_GB2312"/>
          <w:sz w:val="32"/>
          <w:szCs w:val="32"/>
        </w:rPr>
        <w:t>，</w:t>
      </w:r>
      <w:r>
        <w:rPr>
          <w:rFonts w:hint="eastAsia" w:ascii="仿宋_GB2312" w:eastAsia="仿宋_GB2312" w:cs="仿宋_GB2312"/>
          <w:sz w:val="32"/>
          <w:szCs w:val="32"/>
        </w:rPr>
        <w:t>得分率为</w:t>
      </w:r>
      <w:r>
        <w:rPr>
          <w:rFonts w:ascii="仿宋_GB2312" w:eastAsia="仿宋_GB2312" w:cs="仿宋_GB2312"/>
          <w:sz w:val="32"/>
          <w:szCs w:val="32"/>
        </w:rPr>
        <w:t>90%</w:t>
      </w:r>
      <w:r>
        <w:rPr>
          <w:rFonts w:hint="eastAsia" w:asci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cs="仿宋_GB2312"/>
        </w:rPr>
      </w:pPr>
      <w:r>
        <w:rPr>
          <w:rFonts w:hint="eastAsia" w:ascii="仿宋_GB2312" w:eastAsia="仿宋_GB2312" w:cs="仿宋_GB2312"/>
          <w:sz w:val="32"/>
          <w:szCs w:val="32"/>
        </w:rPr>
        <w:t>对于“制度执行有效性”，认真组织项目实施，但在项目执行过程中，由于对制度执行的效率了解还不够深入，根据评分标准，该指标扣</w:t>
      </w:r>
      <w:r>
        <w:rPr>
          <w:rFonts w:ascii="仿宋_GB2312" w:eastAsia="仿宋_GB2312" w:cs="仿宋_GB2312"/>
          <w:sz w:val="32"/>
          <w:szCs w:val="32"/>
        </w:rPr>
        <w:t>0.1</w:t>
      </w:r>
      <w:r>
        <w:rPr>
          <w:rFonts w:hint="eastAsia" w:ascii="仿宋_GB2312" w:eastAsia="仿宋_GB2312" w:cs="仿宋_GB2312"/>
          <w:sz w:val="32"/>
          <w:szCs w:val="32"/>
        </w:rPr>
        <w:t>分，实际得分</w:t>
      </w:r>
      <w:r>
        <w:rPr>
          <w:rFonts w:ascii="仿宋_GB2312" w:eastAsia="仿宋_GB2312" w:cs="仿宋_GB2312"/>
          <w:sz w:val="32"/>
          <w:szCs w:val="32"/>
        </w:rPr>
        <w:t>0.9</w:t>
      </w:r>
      <w:r>
        <w:rPr>
          <w:rFonts w:hint="eastAsia" w:ascii="仿宋_GB2312" w:eastAsia="仿宋_GB2312" w:cs="仿宋_GB2312"/>
          <w:sz w:val="32"/>
          <w:szCs w:val="32"/>
        </w:rPr>
        <w:t>分</w:t>
      </w:r>
      <w:r>
        <w:rPr>
          <w:rFonts w:ascii="仿宋_GB2312" w:eastAsia="仿宋_GB2312" w:cs="仿宋_GB2312"/>
          <w:sz w:val="32"/>
          <w:szCs w:val="32"/>
        </w:rPr>
        <w:t>，</w:t>
      </w:r>
      <w:r>
        <w:rPr>
          <w:rFonts w:hint="eastAsia" w:ascii="仿宋_GB2312" w:eastAsia="仿宋_GB2312" w:cs="仿宋_GB2312"/>
          <w:sz w:val="32"/>
          <w:szCs w:val="32"/>
        </w:rPr>
        <w:t>得分率为</w:t>
      </w:r>
      <w:r>
        <w:rPr>
          <w:rFonts w:ascii="仿宋_GB2312" w:eastAsia="仿宋_GB2312" w:cs="仿宋_GB2312"/>
          <w:sz w:val="32"/>
          <w:szCs w:val="32"/>
        </w:rPr>
        <w:t>90%</w:t>
      </w:r>
      <w:r>
        <w:rPr>
          <w:rFonts w:hint="eastAsia" w:ascii="仿宋_GB2312" w:eastAsia="仿宋_GB2312" w:cs="仿宋_GB2312"/>
          <w:sz w:val="32"/>
          <w:szCs w:val="32"/>
        </w:rPr>
        <w:t>。</w:t>
      </w:r>
    </w:p>
    <w:p>
      <w:pPr>
        <w:pageBreakBefore w:val="0"/>
        <w:widowControl/>
        <w:kinsoku/>
        <w:wordWrap/>
        <w:overflowPunct/>
        <w:topLinePunct w:val="0"/>
        <w:autoSpaceDE/>
        <w:autoSpaceDN/>
        <w:bidi w:val="0"/>
        <w:adjustRightInd/>
        <w:snapToGrid/>
        <w:spacing w:line="560" w:lineRule="atLeast"/>
        <w:ind w:firstLine="482" w:firstLineChars="150"/>
        <w:textAlignment w:val="auto"/>
        <w:rPr>
          <w:rFonts w:ascii="仿宋_GB2312" w:eastAsia="仿宋_GB2312" w:cs="仿宋_GB2312"/>
          <w:b/>
          <w:sz w:val="32"/>
          <w:szCs w:val="32"/>
        </w:rPr>
      </w:pPr>
      <w:r>
        <w:rPr>
          <w:rFonts w:hint="eastAsia" w:ascii="仿宋_GB2312" w:eastAsia="仿宋_GB2312" w:cs="仿宋_GB2312"/>
          <w:b/>
          <w:sz w:val="32"/>
          <w:szCs w:val="32"/>
        </w:rPr>
        <w:t>（三）项目产出情况</w:t>
      </w:r>
    </w:p>
    <w:p>
      <w:pPr>
        <w:pageBreakBefore w:val="0"/>
        <w:kinsoku/>
        <w:wordWrap/>
        <w:overflowPunct/>
        <w:topLinePunct w:val="0"/>
        <w:autoSpaceDE/>
        <w:autoSpaceDN/>
        <w:bidi w:val="0"/>
        <w:adjustRightInd/>
        <w:snapToGrid/>
        <w:spacing w:line="560" w:lineRule="atLeast"/>
        <w:ind w:firstLine="640" w:firstLineChars="200"/>
        <w:textAlignment w:val="auto"/>
        <w:rPr>
          <w:rFonts w:ascii="楷体_GB2312" w:hAnsi="楷体_GB2312" w:eastAsia="楷体_GB2312" w:cs="楷体_GB2312"/>
          <w:b/>
          <w:bCs/>
          <w:sz w:val="32"/>
          <w:szCs w:val="32"/>
          <w:highlight w:val="yellow"/>
        </w:rPr>
      </w:pPr>
      <w:r>
        <w:rPr>
          <w:rFonts w:hint="eastAsia" w:ascii="仿宋_GB2312" w:eastAsia="仿宋_GB2312" w:cs="仿宋_GB2312"/>
          <w:sz w:val="32"/>
          <w:szCs w:val="32"/>
        </w:rPr>
        <w:t>项目绩效主要从项目产出的产出数量、产出质量、产出时效、成本情况4个方面对项目的绩效情况进行评价。项目产出类指标分值</w:t>
      </w:r>
      <w:r>
        <w:rPr>
          <w:rFonts w:ascii="仿宋_GB2312" w:eastAsia="仿宋_GB2312" w:cs="仿宋_GB2312"/>
          <w:sz w:val="32"/>
          <w:szCs w:val="32"/>
        </w:rPr>
        <w:t>50</w:t>
      </w:r>
      <w:r>
        <w:rPr>
          <w:rFonts w:hint="eastAsia" w:ascii="仿宋_GB2312" w:eastAsia="仿宋_GB2312" w:cs="仿宋_GB2312"/>
          <w:sz w:val="32"/>
          <w:szCs w:val="32"/>
        </w:rPr>
        <w:t>分，实际得分</w:t>
      </w:r>
      <w:r>
        <w:rPr>
          <w:rFonts w:ascii="仿宋_GB2312" w:eastAsia="仿宋_GB2312" w:cs="仿宋_GB2312"/>
          <w:sz w:val="32"/>
          <w:szCs w:val="32"/>
        </w:rPr>
        <w:t>4</w:t>
      </w:r>
      <w:r>
        <w:rPr>
          <w:rFonts w:hint="eastAsia" w:ascii="仿宋_GB2312" w:eastAsia="仿宋_GB2312" w:cs="仿宋_GB2312"/>
          <w:sz w:val="32"/>
          <w:szCs w:val="32"/>
        </w:rPr>
        <w:t>8.5分，得分率为97%。</w:t>
      </w:r>
    </w:p>
    <w:p>
      <w:pPr>
        <w:pageBreakBefore w:val="0"/>
        <w:kinsoku/>
        <w:wordWrap/>
        <w:overflowPunct/>
        <w:topLinePunct w:val="0"/>
        <w:autoSpaceDE/>
        <w:autoSpaceDN/>
        <w:bidi w:val="0"/>
        <w:adjustRightInd/>
        <w:snapToGrid/>
        <w:spacing w:line="560" w:lineRule="atLeast"/>
        <w:ind w:firstLine="321" w:firstLineChars="10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数量指标</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执法案件数</w:t>
      </w:r>
      <w:r>
        <w:rPr>
          <w:rFonts w:hint="eastAsia" w:ascii="仿宋_GB2312" w:hAnsi="仿宋_GB2312" w:eastAsia="仿宋_GB2312" w:cs="仿宋_GB2312"/>
          <w:sz w:val="32"/>
          <w:szCs w:val="32"/>
        </w:rPr>
        <w:t>。预期指标值5件，指标完成值5件。指标完成率100%。</w:t>
      </w:r>
    </w:p>
    <w:p>
      <w:pPr>
        <w:pStyle w:val="19"/>
        <w:pageBreakBefore w:val="0"/>
        <w:widowControl/>
        <w:kinsoku/>
        <w:wordWrap/>
        <w:overflowPunct/>
        <w:topLinePunct w:val="0"/>
        <w:autoSpaceDE/>
        <w:autoSpaceDN/>
        <w:bidi w:val="0"/>
        <w:adjustRightInd/>
        <w:snapToGrid/>
        <w:spacing w:before="0" w:beforeAutospacing="0" w:after="0" w:afterAutospacing="0" w:line="560" w:lineRule="atLeast"/>
        <w:ind w:firstLine="321" w:firstLineChars="100"/>
        <w:jc w:val="both"/>
        <w:textAlignment w:val="auto"/>
        <w:rPr>
          <w:rFonts w:ascii="仿宋_GB2312" w:hAnsi="仿宋_GB2312" w:eastAsia="仿宋_GB2312" w:cs="仿宋_GB2312"/>
          <w:color w:val="auto"/>
          <w:sz w:val="32"/>
          <w:szCs w:val="32"/>
        </w:rPr>
      </w:pPr>
      <w:r>
        <w:rPr>
          <w:rFonts w:hint="eastAsia" w:ascii="仿宋_GB2312" w:hAnsi="仿宋_GB2312" w:eastAsia="仿宋_GB2312" w:cs="仿宋_GB2312"/>
          <w:b/>
          <w:bCs/>
          <w:sz w:val="32"/>
          <w:szCs w:val="32"/>
        </w:rPr>
        <w:t>质量指标</w:t>
      </w:r>
      <w:r>
        <w:rPr>
          <w:rFonts w:hint="eastAsia" w:ascii="仿宋_GB2312" w:hAnsi="仿宋_GB2312" w:eastAsia="仿宋_GB2312" w:cs="仿宋_GB2312"/>
          <w:kern w:val="2"/>
          <w:sz w:val="32"/>
          <w:szCs w:val="32"/>
        </w:rPr>
        <w:t>：</w:t>
      </w:r>
      <w:r>
        <w:rPr>
          <w:rFonts w:hint="eastAsia" w:ascii="仿宋_GB2312" w:hAnsi="仿宋_GB2312" w:eastAsia="仿宋_GB2312" w:cs="仿宋_GB2312"/>
          <w:b/>
          <w:bCs/>
          <w:color w:val="auto"/>
          <w:kern w:val="2"/>
          <w:sz w:val="32"/>
          <w:szCs w:val="32"/>
        </w:rPr>
        <w:t>医疗机构监督检查覆盖率。</w:t>
      </w:r>
      <w:r>
        <w:rPr>
          <w:rFonts w:hint="eastAsia" w:ascii="仿宋_GB2312" w:hAnsi="仿宋_GB2312" w:eastAsia="仿宋_GB2312" w:cs="仿宋_GB2312"/>
          <w:color w:val="auto"/>
          <w:sz w:val="32"/>
          <w:szCs w:val="32"/>
        </w:rPr>
        <w:t>预期指标值100%，指标完成值90%，指标完成率90%；</w:t>
      </w:r>
    </w:p>
    <w:p>
      <w:pPr>
        <w:pStyle w:val="19"/>
        <w:pageBreakBefore w:val="0"/>
        <w:widowControl/>
        <w:kinsoku/>
        <w:wordWrap/>
        <w:overflowPunct/>
        <w:topLinePunct w:val="0"/>
        <w:autoSpaceDE/>
        <w:autoSpaceDN/>
        <w:bidi w:val="0"/>
        <w:adjustRightInd/>
        <w:snapToGrid/>
        <w:spacing w:before="0" w:beforeAutospacing="0" w:after="0" w:afterAutospacing="0" w:line="560" w:lineRule="atLeast"/>
        <w:ind w:firstLine="321" w:firstLineChars="100"/>
        <w:jc w:val="both"/>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时效指标</w:t>
      </w:r>
      <w:r>
        <w:rPr>
          <w:rFonts w:hint="eastAsia" w:ascii="仿宋_GB2312" w:hAnsi="仿宋_GB2312" w:eastAsia="仿宋_GB2312" w:cs="仿宋_GB2312"/>
          <w:kern w:val="2"/>
          <w:sz w:val="32"/>
          <w:szCs w:val="32"/>
        </w:rPr>
        <w:t>：</w:t>
      </w:r>
      <w:r>
        <w:rPr>
          <w:rFonts w:hint="eastAsia" w:ascii="仿宋_GB2312" w:hAnsi="仿宋_GB2312" w:eastAsia="仿宋_GB2312" w:cs="仿宋_GB2312"/>
          <w:b/>
          <w:bCs/>
          <w:sz w:val="32"/>
          <w:szCs w:val="32"/>
        </w:rPr>
        <w:t>项目完成时间。</w:t>
      </w:r>
      <w:r>
        <w:rPr>
          <w:rFonts w:hint="eastAsia" w:ascii="仿宋_GB2312" w:hAnsi="仿宋_GB2312" w:eastAsia="仿宋_GB2312" w:cs="仿宋_GB2312"/>
          <w:color w:val="auto"/>
          <w:sz w:val="32"/>
          <w:szCs w:val="32"/>
        </w:rPr>
        <w:t>预期指标值</w:t>
      </w:r>
      <w:r>
        <w:rPr>
          <w:rFonts w:hint="eastAsia" w:ascii="仿宋_GB2312" w:hAnsi="仿宋_GB2312" w:eastAsia="仿宋_GB2312" w:cs="仿宋_GB2312"/>
          <w:b/>
          <w:bCs/>
          <w:sz w:val="32"/>
          <w:szCs w:val="32"/>
        </w:rPr>
        <w:t>2</w:t>
      </w:r>
      <w:r>
        <w:rPr>
          <w:rFonts w:hint="eastAsia" w:ascii="仿宋_GB2312" w:hAnsi="仿宋_GB2312" w:eastAsia="仿宋_GB2312" w:cs="仿宋_GB2312"/>
          <w:kern w:val="2"/>
          <w:sz w:val="32"/>
          <w:szCs w:val="32"/>
        </w:rPr>
        <w:t>020年12月，</w:t>
      </w:r>
      <w:r>
        <w:rPr>
          <w:rFonts w:hint="eastAsia" w:ascii="仿宋_GB2312" w:hAnsi="仿宋_GB2312" w:eastAsia="仿宋_GB2312" w:cs="仿宋_GB2312"/>
          <w:color w:val="auto"/>
          <w:sz w:val="32"/>
          <w:szCs w:val="32"/>
        </w:rPr>
        <w:t>指标完成值2020年12月。指标完成率100%</w:t>
      </w:r>
    </w:p>
    <w:p>
      <w:pPr>
        <w:pStyle w:val="19"/>
        <w:pageBreakBefore w:val="0"/>
        <w:widowControl/>
        <w:kinsoku/>
        <w:wordWrap/>
        <w:overflowPunct/>
        <w:topLinePunct w:val="0"/>
        <w:autoSpaceDE/>
        <w:autoSpaceDN/>
        <w:bidi w:val="0"/>
        <w:adjustRightInd/>
        <w:snapToGrid/>
        <w:spacing w:before="0" w:beforeAutospacing="0" w:after="0" w:afterAutospacing="0" w:line="560" w:lineRule="atLeast"/>
        <w:ind w:firstLine="643" w:firstLineChars="200"/>
        <w:jc w:val="both"/>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成本指标</w:t>
      </w:r>
      <w:r>
        <w:rPr>
          <w:rFonts w:hint="eastAsia" w:ascii="仿宋_GB2312" w:hAnsi="仿宋_GB2312" w:eastAsia="仿宋_GB2312" w:cs="仿宋_GB2312"/>
          <w:kern w:val="2"/>
          <w:sz w:val="32"/>
          <w:szCs w:val="32"/>
        </w:rPr>
        <w:t>：</w:t>
      </w:r>
      <w:r>
        <w:rPr>
          <w:rFonts w:hint="eastAsia" w:ascii="仿宋_GB2312" w:hAnsi="仿宋_GB2312" w:eastAsia="仿宋_GB2312" w:cs="仿宋_GB2312"/>
          <w:b/>
          <w:bCs/>
          <w:color w:val="auto"/>
          <w:sz w:val="32"/>
        </w:rPr>
        <w:t>项目实施费用。</w:t>
      </w:r>
      <w:r>
        <w:rPr>
          <w:rFonts w:hint="eastAsia" w:ascii="仿宋_GB2312" w:hAnsi="仿宋_GB2312" w:eastAsia="仿宋_GB2312" w:cs="仿宋_GB2312"/>
          <w:sz w:val="32"/>
          <w:szCs w:val="32"/>
        </w:rPr>
        <w:t>预期指标值4.3万元，指标完成值4.18万元，指标完成率97.2%。</w:t>
      </w:r>
    </w:p>
    <w:p>
      <w:pPr>
        <w:pageBreakBefore w:val="0"/>
        <w:kinsoku/>
        <w:wordWrap/>
        <w:overflowPunct/>
        <w:topLinePunct w:val="0"/>
        <w:autoSpaceDE/>
        <w:autoSpaceDN/>
        <w:bidi w:val="0"/>
        <w:adjustRightInd/>
        <w:snapToGrid/>
        <w:spacing w:line="560" w:lineRule="atLeast"/>
        <w:ind w:firstLine="960" w:firstLineChars="300"/>
        <w:textAlignment w:val="auto"/>
        <w:rPr>
          <w:rFonts w:ascii="仿宋_GB2312" w:hAnsi="仿宋_GB2312" w:eastAsia="仿宋_GB2312" w:cs="仿宋_GB2312"/>
          <w:sz w:val="32"/>
          <w:szCs w:val="32"/>
        </w:rPr>
      </w:pPr>
    </w:p>
    <w:p>
      <w:pPr>
        <w:pageBreakBefore w:val="0"/>
        <w:widowControl/>
        <w:kinsoku/>
        <w:wordWrap/>
        <w:overflowPunct/>
        <w:topLinePunct w:val="0"/>
        <w:autoSpaceDE/>
        <w:autoSpaceDN/>
        <w:bidi w:val="0"/>
        <w:adjustRightInd/>
        <w:snapToGrid/>
        <w:spacing w:line="560" w:lineRule="atLeast"/>
        <w:ind w:firstLine="482" w:firstLineChars="150"/>
        <w:textAlignment w:val="auto"/>
        <w:rPr>
          <w:rFonts w:ascii="仿宋_GB2312" w:eastAsia="仿宋_GB2312" w:cs="仿宋_GB2312"/>
          <w:b/>
          <w:sz w:val="32"/>
          <w:szCs w:val="32"/>
        </w:rPr>
      </w:pPr>
      <w:r>
        <w:rPr>
          <w:rFonts w:hint="eastAsia" w:ascii="仿宋_GB2312" w:eastAsia="仿宋_GB2312" w:cs="仿宋_GB2312"/>
          <w:b/>
          <w:sz w:val="32"/>
          <w:szCs w:val="32"/>
        </w:rPr>
        <w:t>（四）项目效益情况</w:t>
      </w:r>
    </w:p>
    <w:p>
      <w:pPr>
        <w:pageBreakBefore w:val="0"/>
        <w:kinsoku/>
        <w:wordWrap/>
        <w:overflowPunct/>
        <w:topLinePunct w:val="0"/>
        <w:autoSpaceDE/>
        <w:autoSpaceDN/>
        <w:bidi w:val="0"/>
        <w:adjustRightInd/>
        <w:snapToGrid/>
        <w:spacing w:line="560" w:lineRule="atLeast"/>
        <w:ind w:firstLine="640" w:firstLineChars="200"/>
        <w:textAlignment w:val="auto"/>
        <w:rPr>
          <w:rFonts w:ascii="楷体_GB2312" w:hAnsi="楷体_GB2312" w:eastAsia="楷体_GB2312" w:cs="楷体_GB2312"/>
          <w:b/>
          <w:bCs/>
          <w:sz w:val="32"/>
          <w:szCs w:val="32"/>
          <w:highlight w:val="yellow"/>
        </w:rPr>
      </w:pPr>
      <w:r>
        <w:rPr>
          <w:rFonts w:hint="eastAsia" w:ascii="仿宋_GB2312" w:eastAsia="仿宋_GB2312" w:cs="仿宋_GB2312"/>
          <w:sz w:val="32"/>
          <w:szCs w:val="32"/>
        </w:rPr>
        <w:t>项目绩效主要从项目产出的效果的经济效益、社会效益、可持续影响、满意度</w:t>
      </w:r>
      <w:r>
        <w:rPr>
          <w:rFonts w:ascii="仿宋_GB2312" w:eastAsia="仿宋_GB2312" w:cs="仿宋_GB2312"/>
          <w:sz w:val="32"/>
          <w:szCs w:val="32"/>
        </w:rPr>
        <w:t>4</w:t>
      </w:r>
      <w:r>
        <w:rPr>
          <w:rFonts w:hint="eastAsia" w:ascii="仿宋_GB2312" w:eastAsia="仿宋_GB2312" w:cs="仿宋_GB2312"/>
          <w:sz w:val="32"/>
          <w:szCs w:val="32"/>
        </w:rPr>
        <w:t>个方面对项目的绩效情况进行评价。项目</w:t>
      </w:r>
      <w:r>
        <w:rPr>
          <w:rFonts w:ascii="仿宋_GB2312" w:eastAsia="仿宋_GB2312" w:cs="仿宋_GB2312"/>
          <w:sz w:val="32"/>
          <w:szCs w:val="32"/>
        </w:rPr>
        <w:t>效益</w:t>
      </w:r>
      <w:r>
        <w:rPr>
          <w:rFonts w:hint="eastAsia" w:ascii="仿宋_GB2312" w:eastAsia="仿宋_GB2312" w:cs="仿宋_GB2312"/>
          <w:sz w:val="32"/>
          <w:szCs w:val="32"/>
        </w:rPr>
        <w:t>类指标分值</w:t>
      </w:r>
      <w:r>
        <w:rPr>
          <w:rFonts w:ascii="仿宋_GB2312" w:eastAsia="仿宋_GB2312" w:cs="仿宋_GB2312"/>
          <w:sz w:val="32"/>
          <w:szCs w:val="32"/>
        </w:rPr>
        <w:t>40</w:t>
      </w:r>
      <w:r>
        <w:rPr>
          <w:rFonts w:hint="eastAsia" w:ascii="仿宋_GB2312" w:eastAsia="仿宋_GB2312" w:cs="仿宋_GB2312"/>
          <w:sz w:val="32"/>
          <w:szCs w:val="32"/>
        </w:rPr>
        <w:t>分，实际得分36分，得分率为90%。</w:t>
      </w:r>
    </w:p>
    <w:p>
      <w:pPr>
        <w:pageBreakBefore w:val="0"/>
        <w:kinsoku/>
        <w:wordWrap/>
        <w:overflowPunct/>
        <w:topLinePunct w:val="0"/>
        <w:autoSpaceDE/>
        <w:autoSpaceDN/>
        <w:bidi w:val="0"/>
        <w:adjustRightInd/>
        <w:snapToGrid/>
        <w:spacing w:line="560" w:lineRule="atLeast"/>
        <w:ind w:firstLine="640"/>
        <w:textAlignment w:val="auto"/>
        <w:rPr>
          <w:rStyle w:val="52"/>
          <w:color w:val="auto"/>
        </w:rPr>
      </w:pPr>
      <w:r>
        <w:rPr>
          <w:rStyle w:val="52"/>
          <w:rFonts w:hint="eastAsia"/>
          <w:color w:val="auto"/>
        </w:rPr>
        <w:t>经济效益指标方面：通过对医疗机构卫生监督检查，规范了医疗机构合理性及合规性，打击非法行医乱象，提高医疗服务行业的质量，从而达到拉动本区经济水平。</w:t>
      </w:r>
      <w:r>
        <w:rPr>
          <w:rFonts w:hint="eastAsia" w:ascii="仿宋_GB2312" w:eastAsia="仿宋_GB2312" w:cs="仿宋_GB2312"/>
          <w:sz w:val="32"/>
          <w:szCs w:val="32"/>
        </w:rPr>
        <w:t>根据评分标准，该指标分值10分，实际得分10分</w:t>
      </w:r>
      <w:r>
        <w:rPr>
          <w:rFonts w:ascii="仿宋_GB2312" w:eastAsia="仿宋_GB2312" w:cs="仿宋_GB2312"/>
          <w:sz w:val="32"/>
          <w:szCs w:val="32"/>
        </w:rPr>
        <w:t>，</w:t>
      </w:r>
      <w:r>
        <w:rPr>
          <w:rFonts w:hint="eastAsia" w:ascii="仿宋_GB2312" w:eastAsia="仿宋_GB2312" w:cs="仿宋_GB2312"/>
          <w:sz w:val="32"/>
          <w:szCs w:val="32"/>
        </w:rPr>
        <w:t>得分率为100</w:t>
      </w:r>
      <w:r>
        <w:rPr>
          <w:rFonts w:ascii="仿宋_GB2312" w:eastAsia="仿宋_GB2312" w:cs="仿宋_GB2312"/>
          <w:sz w:val="32"/>
          <w:szCs w:val="32"/>
        </w:rPr>
        <w:t>%</w:t>
      </w:r>
      <w:r>
        <w:rPr>
          <w:rFonts w:hint="eastAsia" w:asci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640"/>
        <w:textAlignment w:val="auto"/>
        <w:rPr>
          <w:rFonts w:ascii="仿宋_GB2312" w:eastAsia="仿宋_GB2312" w:cs="仿宋_GB2312"/>
          <w:sz w:val="32"/>
          <w:szCs w:val="32"/>
        </w:rPr>
      </w:pPr>
      <w:r>
        <w:rPr>
          <w:rStyle w:val="52"/>
          <w:rFonts w:hint="eastAsia"/>
          <w:color w:val="auto"/>
        </w:rPr>
        <w:t>社会效益指标方面：打击非法行医卫生监督检查，保障医疗服务水平逐步提高，适应社会发展。由于这是一个需要长期提升的过程。</w:t>
      </w:r>
      <w:r>
        <w:rPr>
          <w:rFonts w:hint="eastAsia" w:ascii="仿宋_GB2312" w:eastAsia="仿宋_GB2312" w:cs="仿宋_GB2312"/>
          <w:sz w:val="32"/>
          <w:szCs w:val="32"/>
        </w:rPr>
        <w:t>根据评分标准，该指标分值10分，实际得分9分</w:t>
      </w:r>
      <w:r>
        <w:rPr>
          <w:rFonts w:ascii="仿宋_GB2312" w:eastAsia="仿宋_GB2312" w:cs="仿宋_GB2312"/>
          <w:sz w:val="32"/>
          <w:szCs w:val="32"/>
        </w:rPr>
        <w:t>，</w:t>
      </w:r>
      <w:r>
        <w:rPr>
          <w:rFonts w:hint="eastAsia" w:ascii="仿宋_GB2312" w:eastAsia="仿宋_GB2312" w:cs="仿宋_GB2312"/>
          <w:sz w:val="32"/>
          <w:szCs w:val="32"/>
        </w:rPr>
        <w:t>扣1分，得分率为90</w:t>
      </w:r>
      <w:r>
        <w:rPr>
          <w:rFonts w:ascii="仿宋_GB2312" w:eastAsia="仿宋_GB2312" w:cs="仿宋_GB2312"/>
          <w:sz w:val="32"/>
          <w:szCs w:val="32"/>
        </w:rPr>
        <w:t>%</w:t>
      </w:r>
      <w:r>
        <w:rPr>
          <w:rFonts w:hint="eastAsia" w:asci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640"/>
        <w:textAlignment w:val="auto"/>
        <w:rPr>
          <w:rStyle w:val="52"/>
          <w:color w:val="auto"/>
        </w:rPr>
      </w:pPr>
      <w:r>
        <w:rPr>
          <w:rStyle w:val="52"/>
          <w:color w:val="auto"/>
        </w:rPr>
        <w:t>可持续影响指标</w:t>
      </w:r>
      <w:r>
        <w:rPr>
          <w:rStyle w:val="52"/>
          <w:rFonts w:hint="eastAsia"/>
          <w:color w:val="auto"/>
        </w:rPr>
        <w:t>方面：通过对医疗机构监督检查，不断提高医疗机构的服务质量，使卫生行业服务水平不断提高，更好的服务百姓，高质量就医。</w:t>
      </w:r>
      <w:r>
        <w:rPr>
          <w:rFonts w:hint="eastAsia" w:ascii="仿宋_GB2312" w:eastAsia="仿宋_GB2312" w:cs="仿宋_GB2312"/>
          <w:sz w:val="32"/>
          <w:szCs w:val="32"/>
        </w:rPr>
        <w:t>根据评分标准，该指标分值10分，实际得分9分</w:t>
      </w:r>
      <w:r>
        <w:rPr>
          <w:rFonts w:ascii="仿宋_GB2312" w:eastAsia="仿宋_GB2312" w:cs="仿宋_GB2312"/>
          <w:sz w:val="32"/>
          <w:szCs w:val="32"/>
        </w:rPr>
        <w:t>，</w:t>
      </w:r>
      <w:r>
        <w:rPr>
          <w:rFonts w:hint="eastAsia" w:ascii="仿宋_GB2312" w:eastAsia="仿宋_GB2312" w:cs="仿宋_GB2312"/>
          <w:sz w:val="32"/>
          <w:szCs w:val="32"/>
        </w:rPr>
        <w:t>扣1分，得分率为90</w:t>
      </w:r>
      <w:r>
        <w:rPr>
          <w:rFonts w:ascii="仿宋_GB2312" w:eastAsia="仿宋_GB2312" w:cs="仿宋_GB2312"/>
          <w:sz w:val="32"/>
          <w:szCs w:val="32"/>
        </w:rPr>
        <w:t>%</w:t>
      </w:r>
      <w:r>
        <w:rPr>
          <w:rFonts w:hint="eastAsia" w:asci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640"/>
        <w:textAlignment w:val="auto"/>
        <w:rPr>
          <w:rStyle w:val="52"/>
          <w:color w:val="auto"/>
        </w:rPr>
      </w:pPr>
      <w:r>
        <w:rPr>
          <w:rStyle w:val="52"/>
          <w:color w:val="auto"/>
        </w:rPr>
        <w:t>满</w:t>
      </w:r>
      <w:r>
        <w:rPr>
          <w:rStyle w:val="52"/>
          <w:rFonts w:hint="eastAsia"/>
          <w:color w:val="auto"/>
        </w:rPr>
        <w:t>意度指标方面：对于“服务对象满意度”根据调查问卷调查结果，服务对象满意度80%，根据指标评分标准，</w:t>
      </w:r>
      <w:r>
        <w:rPr>
          <w:rFonts w:hint="eastAsia" w:ascii="仿宋_GB2312" w:eastAsia="仿宋_GB2312" w:cs="仿宋_GB2312"/>
          <w:sz w:val="32"/>
          <w:szCs w:val="32"/>
        </w:rPr>
        <w:t>根据评分标准，该指标分值10分，实际得分8分</w:t>
      </w:r>
      <w:r>
        <w:rPr>
          <w:rFonts w:ascii="仿宋_GB2312" w:eastAsia="仿宋_GB2312" w:cs="仿宋_GB2312"/>
          <w:sz w:val="32"/>
          <w:szCs w:val="32"/>
        </w:rPr>
        <w:t>，</w:t>
      </w:r>
      <w:r>
        <w:rPr>
          <w:rFonts w:hint="eastAsia" w:ascii="仿宋_GB2312" w:eastAsia="仿宋_GB2312" w:cs="仿宋_GB2312"/>
          <w:sz w:val="32"/>
          <w:szCs w:val="32"/>
        </w:rPr>
        <w:t>扣2分，得分率为80</w:t>
      </w:r>
      <w:r>
        <w:rPr>
          <w:rFonts w:ascii="仿宋_GB2312" w:eastAsia="仿宋_GB2312" w:cs="仿宋_GB2312"/>
          <w:sz w:val="32"/>
          <w:szCs w:val="32"/>
        </w:rPr>
        <w:t>%</w:t>
      </w:r>
      <w:r>
        <w:rPr>
          <w:rFonts w:hint="eastAsia" w:asci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641"/>
        <w:textAlignment w:val="auto"/>
        <w:rPr>
          <w:rStyle w:val="52"/>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napToGrid/>
        <w:spacing w:line="560" w:lineRule="atLeas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atLeast"/>
        <w:ind w:firstLine="640" w:firstLineChars="200"/>
        <w:jc w:val="left"/>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7"/>
        </w:numPr>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eastAsia="仿宋_GB2312" w:cs="仿宋_GB2312"/>
          <w:sz w:val="32"/>
          <w:szCs w:val="32"/>
        </w:rPr>
      </w:pPr>
      <w:r>
        <w:rPr>
          <w:rFonts w:hint="eastAsia" w:ascii="仿宋_GB2312" w:hAnsi="仿宋_GB2312" w:eastAsia="仿宋_GB2312" w:cs="仿宋_GB2312"/>
          <w:sz w:val="32"/>
          <w:szCs w:val="32"/>
        </w:rPr>
        <w:t>1、存在的问题：</w:t>
      </w:r>
      <w:r>
        <w:rPr>
          <w:rFonts w:hint="eastAsia" w:ascii="仿宋_GB2312" w:eastAsia="仿宋_GB2312" w:cs="仿宋_GB2312"/>
          <w:sz w:val="32"/>
          <w:szCs w:val="32"/>
        </w:rPr>
        <w:t>项目绩效管理缺乏经验，有待强化。在项目具体执行过程往往只重视预算执行情况，忽视产出和效果，项目实施过程中需提供行之有效的绩效管理办法和评价机制。</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2、原因分析：</w:t>
      </w:r>
      <w:r>
        <w:rPr>
          <w:rFonts w:ascii="仿宋_GB2312" w:eastAsia="仿宋_GB2312" w:cs="仿宋_GB2312"/>
          <w:sz w:val="32"/>
          <w:szCs w:val="32"/>
        </w:rPr>
        <w:t>单位存在分工不明确，具体项目执行部门不够重视项目绩效工作，相关财务制度不完善。</w:t>
      </w:r>
    </w:p>
    <w:p>
      <w:pPr>
        <w:pageBreakBefore w:val="0"/>
        <w:numPr>
          <w:ilvl w:val="0"/>
          <w:numId w:val="8"/>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有关建议</w:t>
      </w:r>
    </w:p>
    <w:p>
      <w:pPr>
        <w:pageBreakBefore w:val="0"/>
        <w:numPr>
          <w:ilvl w:val="0"/>
          <w:numId w:val="9"/>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9"/>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账、定专人。同时，资金拨付除坚持按项目计划、工程进度和质量分阶段验收拨款外，还坚持部门联审制，项目单位先做事、后报账，从而确保专项资金专款专用，有效地防止了截留、挤占和挪用。</w:t>
      </w:r>
    </w:p>
    <w:p>
      <w:pPr>
        <w:pageBreakBefore w:val="0"/>
        <w:numPr>
          <w:ilvl w:val="0"/>
          <w:numId w:val="8"/>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rFonts w:hint="eastAsia" w:eastAsiaTheme="majorEastAsia"/>
          <w:b w:val="0"/>
          <w:bCs w:val="0"/>
          <w:lang w:val="en-US" w:eastAsia="zh-CN"/>
        </w:rPr>
      </w:pPr>
      <w:r>
        <w:rPr>
          <w:rFonts w:hint="eastAsia"/>
          <w:b w:val="0"/>
          <w:bCs w:val="0"/>
          <w:lang w:val="en-US" w:eastAsia="zh-CN"/>
        </w:rPr>
        <w:t>无</w:t>
      </w:r>
    </w:p>
    <w:p>
      <w:pPr>
        <w:rPr>
          <w:rFonts w:ascii="黑体" w:hAnsi="黑体" w:eastAsia="黑体"/>
          <w:sz w:val="32"/>
          <w:szCs w:val="32"/>
        </w:rPr>
      </w:pPr>
    </w:p>
    <w:tbl>
      <w:tblPr>
        <w:tblStyle w:val="21"/>
        <w:tblW w:w="9308" w:type="dxa"/>
        <w:tblInd w:w="93" w:type="dxa"/>
        <w:tblLayout w:type="autofit"/>
        <w:tblCellMar>
          <w:top w:w="0" w:type="dxa"/>
          <w:left w:w="108" w:type="dxa"/>
          <w:bottom w:w="0" w:type="dxa"/>
          <w:right w:w="108" w:type="dxa"/>
        </w:tblCellMar>
      </w:tblPr>
      <w:tblGrid>
        <w:gridCol w:w="715"/>
        <w:gridCol w:w="716"/>
        <w:gridCol w:w="715"/>
        <w:gridCol w:w="715"/>
        <w:gridCol w:w="715"/>
        <w:gridCol w:w="716"/>
        <w:gridCol w:w="964"/>
        <w:gridCol w:w="1770"/>
        <w:gridCol w:w="594"/>
        <w:gridCol w:w="1688"/>
      </w:tblGrid>
      <w:tr>
        <w:tblPrEx>
          <w:tblCellMar>
            <w:top w:w="0" w:type="dxa"/>
            <w:left w:w="108" w:type="dxa"/>
            <w:bottom w:w="0" w:type="dxa"/>
            <w:right w:w="108" w:type="dxa"/>
          </w:tblCellMar>
        </w:tblPrEx>
        <w:trPr>
          <w:trHeight w:val="277" w:hRule="atLeast"/>
        </w:trPr>
        <w:tc>
          <w:tcPr>
            <w:tcW w:w="9308"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bookmarkStart w:id="2" w:name="_GoBack"/>
            <w:bookmarkEnd w:id="2"/>
          </w:p>
          <w:p>
            <w:pPr>
              <w:keepNext w:val="0"/>
              <w:keepLines w:val="0"/>
              <w:widowControl/>
              <w:suppressLineNumbers w:val="0"/>
              <w:jc w:val="center"/>
              <w:textAlignment w:val="center"/>
              <w:rPr>
                <w:rFonts w:ascii="宋体" w:hAnsi="宋体" w:cs="宋体"/>
                <w:b/>
                <w:bCs/>
                <w:color w:val="000000"/>
                <w:sz w:val="32"/>
                <w:szCs w:val="32"/>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tblCellMar>
            <w:top w:w="0" w:type="dxa"/>
            <w:left w:w="108" w:type="dxa"/>
            <w:bottom w:w="0" w:type="dxa"/>
            <w:right w:w="108" w:type="dxa"/>
          </w:tblCellMar>
        </w:tblPrEx>
        <w:trPr>
          <w:trHeight w:val="277" w:hRule="atLeast"/>
        </w:trPr>
        <w:tc>
          <w:tcPr>
            <w:tcW w:w="9308"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cs="宋体"/>
                <w:color w:val="000000"/>
                <w:sz w:val="32"/>
                <w:szCs w:val="32"/>
              </w:rPr>
            </w:pPr>
            <w:r>
              <w:rPr>
                <w:rFonts w:hint="eastAsia" w:ascii="宋体" w:hAnsi="宋体" w:eastAsia="宋体" w:cs="宋体"/>
                <w:i w:val="0"/>
                <w:color w:val="000000"/>
                <w:kern w:val="0"/>
                <w:sz w:val="32"/>
                <w:szCs w:val="32"/>
                <w:u w:val="none"/>
                <w:lang w:val="en-US" w:eastAsia="zh-CN" w:bidi="ar"/>
              </w:rPr>
              <w:t>（   2020 年度）</w:t>
            </w:r>
          </w:p>
        </w:tc>
      </w:tr>
      <w:tr>
        <w:tblPrEx>
          <w:tblCellMar>
            <w:top w:w="0" w:type="dxa"/>
            <w:left w:w="108" w:type="dxa"/>
            <w:bottom w:w="0" w:type="dxa"/>
            <w:right w:w="108" w:type="dxa"/>
          </w:tblCellMar>
        </w:tblPrEx>
        <w:trPr>
          <w:trHeight w:val="139" w:hRule="atLeast"/>
        </w:trPr>
        <w:tc>
          <w:tcPr>
            <w:tcW w:w="9308" w:type="dxa"/>
            <w:gridSpan w:val="10"/>
            <w:tcBorders>
              <w:top w:val="nil"/>
              <w:left w:val="nil"/>
              <w:bottom w:val="nil"/>
              <w:right w:val="nil"/>
            </w:tcBorders>
            <w:shd w:val="clear" w:color="auto" w:fill="auto"/>
            <w:vAlign w:val="center"/>
          </w:tcPr>
          <w:p>
            <w:pPr>
              <w:jc w:val="center"/>
              <w:rPr>
                <w:rFonts w:ascii="宋体" w:hAnsi="宋体" w:cs="宋体"/>
                <w:color w:val="000000"/>
                <w:sz w:val="22"/>
                <w:szCs w:val="22"/>
              </w:rPr>
            </w:pPr>
          </w:p>
        </w:tc>
      </w:tr>
      <w:tr>
        <w:tblPrEx>
          <w:tblCellMar>
            <w:top w:w="0" w:type="dxa"/>
            <w:left w:w="108" w:type="dxa"/>
            <w:bottom w:w="0" w:type="dxa"/>
            <w:right w:w="108" w:type="dxa"/>
          </w:tblCellMar>
        </w:tblPrEx>
        <w:trPr>
          <w:trHeight w:val="143" w:hRule="atLeast"/>
        </w:trPr>
        <w:tc>
          <w:tcPr>
            <w:tcW w:w="14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项目名称</w:t>
            </w:r>
          </w:p>
        </w:tc>
        <w:tc>
          <w:tcPr>
            <w:tcW w:w="787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打击非法行医卫生监督专项业务费</w:t>
            </w:r>
          </w:p>
        </w:tc>
      </w:tr>
      <w:tr>
        <w:tblPrEx>
          <w:tblCellMar>
            <w:top w:w="0" w:type="dxa"/>
            <w:left w:w="108" w:type="dxa"/>
            <w:bottom w:w="0" w:type="dxa"/>
            <w:right w:w="108" w:type="dxa"/>
          </w:tblCellMar>
        </w:tblPrEx>
        <w:trPr>
          <w:trHeight w:val="143" w:hRule="atLeast"/>
        </w:trPr>
        <w:tc>
          <w:tcPr>
            <w:tcW w:w="14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主管部门</w:t>
            </w:r>
          </w:p>
        </w:tc>
        <w:tc>
          <w:tcPr>
            <w:tcW w:w="38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实施单位</w:t>
            </w:r>
          </w:p>
        </w:tc>
        <w:tc>
          <w:tcPr>
            <w:tcW w:w="22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塔城地区卫生计生综合监督执法局</w:t>
            </w:r>
          </w:p>
        </w:tc>
      </w:tr>
      <w:tr>
        <w:tblPrEx>
          <w:tblCellMar>
            <w:top w:w="0" w:type="dxa"/>
            <w:left w:w="108" w:type="dxa"/>
            <w:bottom w:w="0" w:type="dxa"/>
            <w:right w:w="108" w:type="dxa"/>
          </w:tblCellMar>
        </w:tblPrEx>
        <w:trPr>
          <w:trHeight w:val="281" w:hRule="atLeast"/>
        </w:trPr>
        <w:tc>
          <w:tcPr>
            <w:tcW w:w="14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项目资金</w:t>
            </w:r>
          </w:p>
        </w:tc>
        <w:tc>
          <w:tcPr>
            <w:tcW w:w="715" w:type="dxa"/>
            <w:tcBorders>
              <w:top w:val="nil"/>
              <w:left w:val="nil"/>
              <w:bottom w:val="nil"/>
              <w:right w:val="nil"/>
            </w:tcBorders>
            <w:shd w:val="clear" w:color="auto" w:fill="auto"/>
            <w:noWrap/>
            <w:vAlign w:val="bottom"/>
          </w:tcPr>
          <w:p>
            <w:pPr>
              <w:rPr>
                <w:rFonts w:ascii="Arial" w:hAnsi="Arial" w:cs="Arial"/>
                <w:color w:val="000000"/>
                <w:sz w:val="20"/>
                <w:szCs w:val="20"/>
              </w:rPr>
            </w:pPr>
          </w:p>
        </w:tc>
        <w:tc>
          <w:tcPr>
            <w:tcW w:w="715" w:type="dxa"/>
            <w:tcBorders>
              <w:top w:val="nil"/>
              <w:left w:val="nil"/>
              <w:bottom w:val="nil"/>
              <w:right w:val="nil"/>
            </w:tcBorders>
            <w:shd w:val="clear" w:color="auto" w:fill="auto"/>
            <w:noWrap/>
            <w:vAlign w:val="bottom"/>
          </w:tcPr>
          <w:p>
            <w:pPr>
              <w:rPr>
                <w:rFonts w:ascii="Arial" w:hAnsi="Arial" w:cs="Arial"/>
                <w:color w:val="000000"/>
                <w:sz w:val="20"/>
                <w:szCs w:val="20"/>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全年预算数</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全年执行数</w:t>
            </w:r>
          </w:p>
        </w:tc>
        <w:tc>
          <w:tcPr>
            <w:tcW w:w="22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执行率</w:t>
            </w:r>
          </w:p>
        </w:tc>
      </w:tr>
      <w:tr>
        <w:tblPrEx>
          <w:tblCellMar>
            <w:top w:w="0" w:type="dxa"/>
            <w:left w:w="108" w:type="dxa"/>
            <w:bottom w:w="0" w:type="dxa"/>
            <w:right w:w="108" w:type="dxa"/>
          </w:tblCellMar>
        </w:tblPrEx>
        <w:trPr>
          <w:trHeight w:val="143" w:hRule="atLeast"/>
        </w:trPr>
        <w:tc>
          <w:tcPr>
            <w:tcW w:w="14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（万元）</w:t>
            </w:r>
          </w:p>
        </w:tc>
        <w:tc>
          <w:tcPr>
            <w:tcW w:w="1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年度资金总额</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4.3</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4.3</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4.18</w:t>
            </w:r>
          </w:p>
        </w:tc>
        <w:tc>
          <w:tcPr>
            <w:tcW w:w="22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97.27%</w:t>
            </w:r>
          </w:p>
        </w:tc>
      </w:tr>
      <w:tr>
        <w:tblPrEx>
          <w:tblCellMar>
            <w:top w:w="0" w:type="dxa"/>
            <w:left w:w="108" w:type="dxa"/>
            <w:bottom w:w="0" w:type="dxa"/>
            <w:right w:w="108" w:type="dxa"/>
          </w:tblCellMar>
        </w:tblPrEx>
        <w:trPr>
          <w:trHeight w:val="281" w:hRule="atLeast"/>
        </w:trPr>
        <w:tc>
          <w:tcPr>
            <w:tcW w:w="14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其中：当年财政拨款</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22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281" w:hRule="atLeast"/>
        </w:trPr>
        <w:tc>
          <w:tcPr>
            <w:tcW w:w="14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上年结转资金</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c>
          <w:tcPr>
            <w:tcW w:w="22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143" w:hRule="atLeast"/>
        </w:trPr>
        <w:tc>
          <w:tcPr>
            <w:tcW w:w="14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2"/>
                <w:szCs w:val="22"/>
              </w:rPr>
            </w:pPr>
          </w:p>
        </w:tc>
        <w:tc>
          <w:tcPr>
            <w:tcW w:w="14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其他资金</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4.3</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4.3</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4.18</w:t>
            </w:r>
          </w:p>
        </w:tc>
        <w:tc>
          <w:tcPr>
            <w:tcW w:w="22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196"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年度总体目标</w:t>
            </w:r>
          </w:p>
        </w:tc>
        <w:tc>
          <w:tcPr>
            <w:tcW w:w="454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预期目标</w:t>
            </w:r>
          </w:p>
        </w:tc>
        <w:tc>
          <w:tcPr>
            <w:tcW w:w="40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实际完成情况</w:t>
            </w:r>
          </w:p>
        </w:tc>
      </w:tr>
      <w:tr>
        <w:tblPrEx>
          <w:tblCellMar>
            <w:top w:w="0" w:type="dxa"/>
            <w:left w:w="108" w:type="dxa"/>
            <w:bottom w:w="0" w:type="dxa"/>
            <w:right w:w="108" w:type="dxa"/>
          </w:tblCellMar>
        </w:tblPrEx>
        <w:trPr>
          <w:trHeight w:val="1109"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454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完成国家、自治区卫健委下达的2020年度依法对医疗机构、母婴保健机构、采供血机构、疾病预防控制机构的执业资质、执业范围及人员行医资质进行监督管理，查处出租、承包科室及非法开展胎儿性别鉴定、非法开展性病诊疗、非法发布医疗广告等行为及重点 “双随机” 监督抽检工作任务。完成本年年度所有卫生监督检查等工作。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w:t>
            </w:r>
          </w:p>
        </w:tc>
        <w:tc>
          <w:tcPr>
            <w:tcW w:w="40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完成国家、自治区卫健委下达的2020年度依法对医疗机构、母婴保健机构、采供血机构、疾病预防控制机构的执业资质、执业范围及人员行医资质进行监督管理，查处出租、承包科室及非法开展胎儿性别鉴定、非法开展性病诊疗、非法发布医疗广告等行为及重点 “双随机” 监督抽检工作任务。完成本年年度所有卫生监督检查等工作。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w:t>
            </w:r>
          </w:p>
        </w:tc>
      </w:tr>
      <w:tr>
        <w:tblPrEx>
          <w:tblCellMar>
            <w:top w:w="0" w:type="dxa"/>
            <w:left w:w="108" w:type="dxa"/>
            <w:bottom w:w="0" w:type="dxa"/>
            <w:right w:w="108" w:type="dxa"/>
          </w:tblCellMar>
        </w:tblPrEx>
        <w:trPr>
          <w:trHeight w:val="604" w:hRule="atLeast"/>
        </w:trPr>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一级指标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二级指标</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三级指标</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年度指标值</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实际完成值</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偏差原因分析及改进措施</w:t>
            </w:r>
          </w:p>
        </w:tc>
      </w:tr>
      <w:tr>
        <w:tblPrEx>
          <w:tblCellMar>
            <w:top w:w="0" w:type="dxa"/>
            <w:left w:w="108" w:type="dxa"/>
            <w:bottom w:w="0" w:type="dxa"/>
            <w:right w:w="108" w:type="dxa"/>
          </w:tblCellMar>
        </w:tblPrEx>
        <w:trPr>
          <w:trHeight w:val="520" w:hRule="atLeast"/>
        </w:trPr>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年度绩效指标完成情况</w:t>
            </w:r>
          </w:p>
        </w:tc>
        <w:tc>
          <w:tcPr>
            <w:tcW w:w="7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产出指标</w:t>
            </w:r>
          </w:p>
        </w:tc>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数量指标</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双随机监督检查</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=3家</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3家</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76"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执法案件数</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=5家</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5家</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76"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采购电脑</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=4台</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4台</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30"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质量指标</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双随机监督检查覆盖率</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376"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案件处罚率</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≥90%</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90%</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502"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时效指标</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项目完成日期</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=2020.12月</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2020年12月</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49"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成本指标</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项目成本金额</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≤4.3万元</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4.18万元</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节约项目资金、实际发生数小于预算数</w:t>
            </w:r>
          </w:p>
        </w:tc>
      </w:tr>
      <w:tr>
        <w:tblPrEx>
          <w:tblCellMar>
            <w:top w:w="0" w:type="dxa"/>
            <w:left w:w="108" w:type="dxa"/>
            <w:bottom w:w="0" w:type="dxa"/>
            <w:right w:w="108" w:type="dxa"/>
          </w:tblCellMar>
        </w:tblPrEx>
        <w:trPr>
          <w:trHeight w:val="449"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社会效益指标</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用药安全数得到提高</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显著提高</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显著提高</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466"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可持续影响指标</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提高全民用餐安全</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有所提高</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有所提高</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r>
        <w:tblPrEx>
          <w:tblCellMar>
            <w:top w:w="0" w:type="dxa"/>
            <w:left w:w="108" w:type="dxa"/>
            <w:bottom w:w="0" w:type="dxa"/>
            <w:right w:w="108" w:type="dxa"/>
          </w:tblCellMar>
        </w:tblPrEx>
        <w:trPr>
          <w:trHeight w:val="502" w:hRule="atLeast"/>
        </w:trPr>
        <w:tc>
          <w:tcPr>
            <w:tcW w:w="7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满意度指标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服务对象满意度指标</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被监督医疗机构满意度调查</w:t>
            </w:r>
          </w:p>
        </w:tc>
        <w:tc>
          <w:tcPr>
            <w:tcW w:w="9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≥90%</w:t>
            </w:r>
          </w:p>
        </w:tc>
        <w:tc>
          <w:tcPr>
            <w:tcW w:w="23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90%</w:t>
            </w:r>
          </w:p>
        </w:tc>
        <w:tc>
          <w:tcPr>
            <w:tcW w:w="16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r>
    </w:tbl>
    <w:p>
      <w:pPr>
        <w:pStyle w:val="2"/>
        <w:jc w:val="both"/>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ascii="仿宋_GB2312"/>
          <w:bCs/>
          <w:sz w:val="32"/>
          <w:szCs w:val="32"/>
        </w:rPr>
      </w:pPr>
      <w:r>
        <w:rPr>
          <w:rFonts w:hint="eastAsia" w:ascii="仿宋_GB2312"/>
          <w:bCs/>
          <w:sz w:val="32"/>
          <w:szCs w:val="32"/>
        </w:rPr>
        <w:t>附件1绩效评价指标体系及评分标准</w:t>
      </w:r>
    </w:p>
    <w:tbl>
      <w:tblPr>
        <w:tblStyle w:val="21"/>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302"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344"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927"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2044"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512"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537" w:type="pct"/>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302"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92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①项目立项是否符合国家法律法规、国民经济发展规划和相关政策；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②项目立项是否符合行业发展规划和政策要求；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③项目立项是否与部门职责范围相符，属于部门履职所需；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④项目是否属于公共财政支持范围，是否符合中央、地方事权支出责任划分原则；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⑤项目是否与相关部门同类项目或部门内部相关项目重复。</w:t>
            </w:r>
          </w:p>
        </w:tc>
        <w:tc>
          <w:tcPr>
            <w:tcW w:w="512" w:type="pct"/>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537" w:type="pct"/>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pPr>
              <w:spacing w:line="0" w:lineRule="atLeast"/>
              <w:jc w:val="center"/>
              <w:rPr>
                <w:rFonts w:ascii="宋体" w:hAnsi="宋体" w:cs="宋体"/>
                <w:color w:val="000000"/>
                <w:kern w:val="0"/>
                <w:sz w:val="22"/>
                <w:szCs w:val="22"/>
              </w:rPr>
            </w:pPr>
          </w:p>
        </w:tc>
        <w:tc>
          <w:tcPr>
            <w:tcW w:w="302" w:type="pct"/>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92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项目申请、设立过程是否符合相关要求，用以反映和考核项目立项的规范情况。</w:t>
            </w:r>
          </w:p>
        </w:tc>
        <w:tc>
          <w:tcPr>
            <w:tcW w:w="2044" w:type="pct"/>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①项目是否按照规定的程序申请设立；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②审批文件、材料是否符合相关要求；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③事前是否已经过必要的可行性研究、专家论证、风险评估、绩效评估、集体决策。</w:t>
            </w:r>
          </w:p>
        </w:tc>
        <w:tc>
          <w:tcPr>
            <w:tcW w:w="512" w:type="pct"/>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537" w:type="pct"/>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pPr>
              <w:spacing w:line="0" w:lineRule="atLeast"/>
              <w:jc w:val="center"/>
              <w:rPr>
                <w:rFonts w:ascii="宋体" w:hAnsi="宋体" w:cs="宋体"/>
                <w:color w:val="000000"/>
                <w:kern w:val="0"/>
                <w:sz w:val="22"/>
                <w:szCs w:val="22"/>
              </w:rPr>
            </w:pPr>
          </w:p>
        </w:tc>
        <w:tc>
          <w:tcPr>
            <w:tcW w:w="302"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（如未设定预算绩效目标，也可考核其他工作任务目标）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①项目是否有绩效目标；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②项目绩效目标与实际工作内容是否具有相关性；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③项目预期产出效益和效果是否符合正常的业绩水平；</w:t>
            </w:r>
          </w:p>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④是否与预算确定的项目投资额或资金量相匹配。</w:t>
            </w:r>
          </w:p>
        </w:tc>
        <w:tc>
          <w:tcPr>
            <w:tcW w:w="512" w:type="pct"/>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1</w:t>
            </w:r>
          </w:p>
        </w:tc>
        <w:tc>
          <w:tcPr>
            <w:tcW w:w="537" w:type="pct"/>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tc>
        <w:tc>
          <w:tcPr>
            <w:tcW w:w="302"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依据绩效目标设定的绩效指标是否清晰、细化、可衡量等，用以反映和考核项目绩效目标的明细化情况。</w:t>
            </w:r>
          </w:p>
        </w:tc>
        <w:tc>
          <w:tcPr>
            <w:tcW w:w="2044"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①是否将项目绩效目标细化分解为具体的绩效指标；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②是否通过清晰、可衡量的指标值予以体现；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③是否与项目目标任务数或计划数相对应。</w:t>
            </w:r>
            <w:r>
              <w:rPr>
                <w:rFonts w:hint="eastAsia" w:ascii="宋体" w:hAnsi="宋体" w:cs="宋体"/>
                <w:color w:val="000000"/>
                <w:kern w:val="0"/>
                <w:sz w:val="22"/>
                <w:szCs w:val="22"/>
              </w:rPr>
              <w:br w:type="textWrapping"/>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pPr>
              <w:spacing w:line="0" w:lineRule="atLeast"/>
              <w:jc w:val="center"/>
              <w:rPr>
                <w:rFonts w:ascii="宋体" w:hAnsi="宋体" w:cs="宋体"/>
                <w:color w:val="000000"/>
                <w:kern w:val="0"/>
                <w:sz w:val="22"/>
                <w:szCs w:val="22"/>
              </w:rPr>
            </w:pPr>
          </w:p>
        </w:tc>
        <w:tc>
          <w:tcPr>
            <w:tcW w:w="302"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92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①预算编制是否经过科学论证；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②预算内容与项目内容是否匹配；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③预算额度测算依据是否充分，是否按照标准编制；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④预算确定的项目投资额或资金量是否与工作任务相匹配。</w:t>
            </w:r>
          </w:p>
        </w:tc>
        <w:tc>
          <w:tcPr>
            <w:tcW w:w="512"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53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302" w:type="pct"/>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92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①预算资金分配依据是否充分；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②资金分配额度是否合理，与项目单位或地方实际是否相适应。</w:t>
            </w:r>
          </w:p>
        </w:tc>
        <w:tc>
          <w:tcPr>
            <w:tcW w:w="512"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53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tc>
        <w:tc>
          <w:tcPr>
            <w:tcW w:w="302"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资金到位率=（实际到位资金/预算资金）×100%。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实际到位资金：一定时期（本年度或项目期）内落实到具体项目的资金。</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预算资金：一定时期（本年度或项目期）内预算安排到具体项目的资金。</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pPr>
              <w:spacing w:line="0" w:lineRule="atLeast"/>
              <w:jc w:val="center"/>
              <w:rPr>
                <w:rFonts w:ascii="宋体" w:hAnsi="宋体" w:cs="宋体"/>
                <w:color w:val="000000"/>
                <w:kern w:val="0"/>
                <w:sz w:val="22"/>
                <w:szCs w:val="22"/>
              </w:rPr>
            </w:pPr>
          </w:p>
        </w:tc>
        <w:tc>
          <w:tcPr>
            <w:tcW w:w="302" w:type="pct"/>
            <w:vMerge w:val="continue"/>
            <w:shd w:val="clear" w:color="auto" w:fill="FFFFFF"/>
            <w:vAlign w:val="center"/>
          </w:tcPr>
          <w:p>
            <w:pPr>
              <w:spacing w:line="0" w:lineRule="atLeast"/>
              <w:jc w:val="center"/>
              <w:rPr>
                <w:rFonts w:ascii="宋体" w:hAnsi="宋体" w:cs="宋体"/>
                <w:color w:val="000000"/>
                <w:kern w:val="0"/>
                <w:sz w:val="22"/>
                <w:szCs w:val="22"/>
              </w:rPr>
            </w:pP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92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项目预算资金是否按照计划执行，用以反映或考核项目预算执行情况。</w:t>
            </w:r>
          </w:p>
        </w:tc>
        <w:tc>
          <w:tcPr>
            <w:tcW w:w="2044"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预算执行率=（实际支出资金/实际到位资金）×100%。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实际支出资金：一定时期（本年度或项目期）内项目实际拨付的资金。</w:t>
            </w:r>
          </w:p>
        </w:tc>
        <w:tc>
          <w:tcPr>
            <w:tcW w:w="512"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53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0.97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　</w:t>
            </w:r>
          </w:p>
        </w:tc>
        <w:tc>
          <w:tcPr>
            <w:tcW w:w="302"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①是否符合国家财经法规和财务管理制度以及有关专项资金管理办法的规定；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②资金的拨付是否有完整的审批程序和手续；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③是否符合项目预算批复或合同规定的用途；</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④是否存在截留、挤占、挪用、虚列支出等情况。</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pPr>
              <w:spacing w:line="0" w:lineRule="atLeast"/>
              <w:jc w:val="center"/>
              <w:rPr>
                <w:rFonts w:ascii="宋体" w:hAnsi="宋体" w:cs="宋体"/>
                <w:color w:val="000000"/>
                <w:kern w:val="0"/>
                <w:sz w:val="22"/>
                <w:szCs w:val="22"/>
              </w:rPr>
            </w:pPr>
          </w:p>
        </w:tc>
        <w:tc>
          <w:tcPr>
            <w:tcW w:w="302"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①是否已制定或具有相应的财务和业务管理制度；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②财务和业务管理制度是否合法、合规、完整。</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0.9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302" w:type="pct"/>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项目实施是否符合相关管理规定，用以反映和考核相关管理制度的有效执行情况。</w:t>
            </w:r>
          </w:p>
        </w:tc>
        <w:tc>
          <w:tcPr>
            <w:tcW w:w="2044"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①是否遵守相关法律法规和相关管理规定；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②项目调整及支出调整手续是否完备；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③项目合同书、验收报告、技术鉴定等资料是否齐全并及时归档；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④项目实施的人员条件、场地设备、信息支撑等是否落实到位。</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0.9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302"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实际完成率=（实际产出数/计划产出数）×100%。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实际产出数：一定时期（本年度或项目期）内项目实际产出的产品或提供的服务数量。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302"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质量达标率=（质量达标产出数/实际产出数）×100%。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pPr>
              <w:spacing w:line="0" w:lineRule="atLeast"/>
              <w:jc w:val="center"/>
              <w:rPr>
                <w:rFonts w:ascii="宋体" w:hAnsi="宋体" w:cs="宋体"/>
                <w:color w:val="000000"/>
                <w:kern w:val="0"/>
                <w:sz w:val="22"/>
                <w:szCs w:val="22"/>
              </w:rPr>
            </w:pPr>
          </w:p>
        </w:tc>
        <w:tc>
          <w:tcPr>
            <w:tcW w:w="302" w:type="pct"/>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实际完成时间：项目实施单位完成该项目实际所耗用的时间。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计划完成时间：按照项目实施计划或相关规定完成该项目所需的时间。</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302"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成本节约率=[（计划成本-实际成本）/计划成本]×100%。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实际成本：项目实施单位如期、保质、保量完成既定工作目标实际所耗费的支出。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计划成本：项目实施单位为完成工作目标计划安排的支出，一般以项目预算为参考。</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302" w:type="pct"/>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927" w:type="pct"/>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项目实施所产生的效益。</w:t>
            </w:r>
          </w:p>
        </w:tc>
        <w:tc>
          <w:tcPr>
            <w:tcW w:w="2044"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30</w:t>
            </w:r>
          </w:p>
        </w:tc>
        <w:tc>
          <w:tcPr>
            <w:tcW w:w="537" w:type="pct"/>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302" w:type="pct"/>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344" w:type="pc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92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社会公众或服务对象对项目实施效果的满意程度。</w:t>
            </w:r>
          </w:p>
        </w:tc>
        <w:tc>
          <w:tcPr>
            <w:tcW w:w="2044"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537" w:type="pct"/>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8</w:t>
            </w:r>
          </w:p>
        </w:tc>
      </w:tr>
    </w:tbl>
    <w:p>
      <w:pPr>
        <w:pStyle w:val="2"/>
      </w:pPr>
    </w:p>
    <w:p/>
    <w:p>
      <w:pPr>
        <w:spacing w:line="540" w:lineRule="exact"/>
        <w:ind w:firstLine="640"/>
        <w:rPr>
          <w:rStyle w:val="23"/>
          <w:rFonts w:ascii="黑体" w:hAnsi="黑体" w:eastAsia="黑体"/>
          <w:bCs w:val="0"/>
          <w:spacing w:val="-4"/>
          <w:sz w:val="32"/>
          <w:szCs w:val="32"/>
        </w:rPr>
      </w:pPr>
    </w:p>
    <w:p>
      <w:pPr>
        <w:spacing w:line="540" w:lineRule="exact"/>
        <w:ind w:firstLine="640"/>
        <w:rPr>
          <w:rStyle w:val="23"/>
          <w:rFonts w:ascii="黑体" w:hAnsi="黑体" w:eastAsia="黑体"/>
          <w:bCs w:val="0"/>
          <w:spacing w:val="-4"/>
          <w:sz w:val="32"/>
          <w:szCs w:val="32"/>
        </w:rPr>
      </w:pPr>
    </w:p>
    <w:p>
      <w:pPr>
        <w:spacing w:line="540" w:lineRule="exact"/>
        <w:ind w:firstLine="640"/>
        <w:rPr>
          <w:rStyle w:val="23"/>
          <w:rFonts w:ascii="黑体" w:hAnsi="黑体" w:eastAsia="黑体"/>
          <w:bCs w:val="0"/>
          <w:spacing w:val="-4"/>
          <w:sz w:val="32"/>
          <w:szCs w:val="32"/>
        </w:rPr>
      </w:pPr>
    </w:p>
    <w:p>
      <w:pPr>
        <w:spacing w:line="540" w:lineRule="exact"/>
        <w:ind w:firstLine="640"/>
        <w:rPr>
          <w:rStyle w:val="23"/>
          <w:rFonts w:ascii="黑体" w:hAnsi="黑体" w:eastAsia="黑体"/>
          <w:bCs w:val="0"/>
          <w:spacing w:val="-4"/>
          <w:sz w:val="32"/>
          <w:szCs w:val="32"/>
        </w:rPr>
      </w:pPr>
    </w:p>
    <w:p>
      <w:pPr>
        <w:spacing w:line="540" w:lineRule="exact"/>
        <w:ind w:firstLine="640"/>
        <w:rPr>
          <w:rStyle w:val="23"/>
          <w:rFonts w:ascii="黑体" w:hAnsi="黑体" w:eastAsia="黑体"/>
          <w:bCs w:val="0"/>
          <w:spacing w:val="-4"/>
          <w:sz w:val="32"/>
          <w:szCs w:val="32"/>
        </w:rPr>
      </w:pPr>
    </w:p>
    <w:p>
      <w:pPr>
        <w:spacing w:line="540" w:lineRule="exact"/>
        <w:ind w:firstLine="640"/>
        <w:rPr>
          <w:rStyle w:val="23"/>
          <w:rFonts w:ascii="黑体" w:hAnsi="黑体" w:eastAsia="黑体"/>
          <w:bCs w:val="0"/>
          <w:spacing w:val="-4"/>
          <w:sz w:val="32"/>
          <w:szCs w:val="32"/>
        </w:rPr>
      </w:pPr>
    </w:p>
    <w:p>
      <w:pPr>
        <w:spacing w:line="540" w:lineRule="exact"/>
        <w:rPr>
          <w:rStyle w:val="23"/>
          <w:rFonts w:ascii="仿宋" w:hAnsi="仿宋"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1</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27813159"/>
    <w:multiLevelType w:val="singleLevel"/>
    <w:tmpl w:val="27813159"/>
    <w:lvl w:ilvl="0" w:tentative="0">
      <w:start w:val="3"/>
      <w:numFmt w:val="chineseCounting"/>
      <w:suff w:val="nothing"/>
      <w:lvlText w:val="（%1）"/>
      <w:lvlJc w:val="left"/>
      <w:rPr>
        <w:rFonts w:hint="eastAsia"/>
      </w:rPr>
    </w:lvl>
  </w:abstractNum>
  <w:abstractNum w:abstractNumId="7">
    <w:nsid w:val="3730CCE4"/>
    <w:multiLevelType w:val="singleLevel"/>
    <w:tmpl w:val="3730CCE4"/>
    <w:lvl w:ilvl="0" w:tentative="0">
      <w:start w:val="2"/>
      <w:numFmt w:val="decimal"/>
      <w:suff w:val="nothing"/>
      <w:lvlText w:val="（%1）"/>
      <w:lvlJc w:val="left"/>
    </w:lvl>
  </w:abstractNum>
  <w:abstractNum w:abstractNumId="8">
    <w:nsid w:val="6FAA0AB1"/>
    <w:multiLevelType w:val="singleLevel"/>
    <w:tmpl w:val="6FAA0AB1"/>
    <w:lvl w:ilvl="0" w:tentative="0">
      <w:start w:val="2"/>
      <w:numFmt w:val="chineseCounting"/>
      <w:suff w:val="nothing"/>
      <w:lvlText w:val="（%1）"/>
      <w:lvlJc w:val="left"/>
      <w:rPr>
        <w:rFonts w:hint="eastAsia"/>
      </w:rPr>
    </w:lvl>
  </w:abstractNum>
  <w:num w:numId="1">
    <w:abstractNumId w:val="7"/>
  </w:num>
  <w:num w:numId="2">
    <w:abstractNumId w:val="2"/>
  </w:num>
  <w:num w:numId="3">
    <w:abstractNumId w:val="1"/>
  </w:num>
  <w:num w:numId="4">
    <w:abstractNumId w:val="6"/>
  </w:num>
  <w:num w:numId="5">
    <w:abstractNumId w:val="5"/>
  </w:num>
  <w:num w:numId="6">
    <w:abstractNumId w:val="8"/>
  </w:num>
  <w:num w:numId="7">
    <w:abstractNumId w:val="4"/>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6465"/>
    <w:rsid w:val="000E50F0"/>
    <w:rsid w:val="000E586C"/>
    <w:rsid w:val="00121AE4"/>
    <w:rsid w:val="00146AAD"/>
    <w:rsid w:val="00172A27"/>
    <w:rsid w:val="001B3A40"/>
    <w:rsid w:val="001C346E"/>
    <w:rsid w:val="003C18BC"/>
    <w:rsid w:val="004366A8"/>
    <w:rsid w:val="00464900"/>
    <w:rsid w:val="00502BA7"/>
    <w:rsid w:val="005162F1"/>
    <w:rsid w:val="00535153"/>
    <w:rsid w:val="00554F82"/>
    <w:rsid w:val="0056390D"/>
    <w:rsid w:val="005719B0"/>
    <w:rsid w:val="005D10D6"/>
    <w:rsid w:val="007806A5"/>
    <w:rsid w:val="00855E3A"/>
    <w:rsid w:val="00922CB9"/>
    <w:rsid w:val="00925BEE"/>
    <w:rsid w:val="009E5CD9"/>
    <w:rsid w:val="00A26421"/>
    <w:rsid w:val="00A4293B"/>
    <w:rsid w:val="00A67D50"/>
    <w:rsid w:val="00A8691A"/>
    <w:rsid w:val="00AC1946"/>
    <w:rsid w:val="00B40063"/>
    <w:rsid w:val="00B41F61"/>
    <w:rsid w:val="00BA46E6"/>
    <w:rsid w:val="00C56C72"/>
    <w:rsid w:val="00CA6457"/>
    <w:rsid w:val="00D17F2E"/>
    <w:rsid w:val="00D30354"/>
    <w:rsid w:val="00D44B2D"/>
    <w:rsid w:val="00DF42A0"/>
    <w:rsid w:val="00DF7C45"/>
    <w:rsid w:val="00E31565"/>
    <w:rsid w:val="00E46C51"/>
    <w:rsid w:val="00E769FE"/>
    <w:rsid w:val="00EA2CBE"/>
    <w:rsid w:val="00F32FEE"/>
    <w:rsid w:val="00F71278"/>
    <w:rsid w:val="00FB10BB"/>
    <w:rsid w:val="02AC11FB"/>
    <w:rsid w:val="051A56F5"/>
    <w:rsid w:val="054E30D1"/>
    <w:rsid w:val="060E7BDD"/>
    <w:rsid w:val="0612228B"/>
    <w:rsid w:val="063A494A"/>
    <w:rsid w:val="06566002"/>
    <w:rsid w:val="066D6EAA"/>
    <w:rsid w:val="06BD2A2D"/>
    <w:rsid w:val="08937778"/>
    <w:rsid w:val="08C662D4"/>
    <w:rsid w:val="09B0394A"/>
    <w:rsid w:val="09B42483"/>
    <w:rsid w:val="09BD4D95"/>
    <w:rsid w:val="0A151249"/>
    <w:rsid w:val="0CEE13D0"/>
    <w:rsid w:val="0F4C3997"/>
    <w:rsid w:val="0F8D41CB"/>
    <w:rsid w:val="10DA1B4C"/>
    <w:rsid w:val="11C75270"/>
    <w:rsid w:val="123E049D"/>
    <w:rsid w:val="12637CC3"/>
    <w:rsid w:val="12E657C5"/>
    <w:rsid w:val="133C600C"/>
    <w:rsid w:val="14DB006A"/>
    <w:rsid w:val="167C7687"/>
    <w:rsid w:val="168B3546"/>
    <w:rsid w:val="168E274D"/>
    <w:rsid w:val="18BD3F74"/>
    <w:rsid w:val="18ED78E3"/>
    <w:rsid w:val="1A2374E0"/>
    <w:rsid w:val="1B091EBA"/>
    <w:rsid w:val="1C317CE2"/>
    <w:rsid w:val="1C6B6014"/>
    <w:rsid w:val="1C8412BB"/>
    <w:rsid w:val="1D454CEB"/>
    <w:rsid w:val="1D525200"/>
    <w:rsid w:val="1D7D4D04"/>
    <w:rsid w:val="1DD45808"/>
    <w:rsid w:val="1DED42AC"/>
    <w:rsid w:val="1F973666"/>
    <w:rsid w:val="1FF927F0"/>
    <w:rsid w:val="20005763"/>
    <w:rsid w:val="20877BE1"/>
    <w:rsid w:val="20FB313D"/>
    <w:rsid w:val="21CF320E"/>
    <w:rsid w:val="21F41A3A"/>
    <w:rsid w:val="220B4804"/>
    <w:rsid w:val="22593DC8"/>
    <w:rsid w:val="22F3665A"/>
    <w:rsid w:val="230A46AE"/>
    <w:rsid w:val="250B1673"/>
    <w:rsid w:val="25870FBA"/>
    <w:rsid w:val="25B35B0F"/>
    <w:rsid w:val="26821EEC"/>
    <w:rsid w:val="26F95158"/>
    <w:rsid w:val="27703F85"/>
    <w:rsid w:val="27A209EA"/>
    <w:rsid w:val="282475E3"/>
    <w:rsid w:val="284C1C74"/>
    <w:rsid w:val="2C2F00AA"/>
    <w:rsid w:val="2C6100C1"/>
    <w:rsid w:val="2CA1736A"/>
    <w:rsid w:val="2D6421BB"/>
    <w:rsid w:val="2D883B77"/>
    <w:rsid w:val="2E423A44"/>
    <w:rsid w:val="2EE415A8"/>
    <w:rsid w:val="2F6F2186"/>
    <w:rsid w:val="2F8B30EA"/>
    <w:rsid w:val="2FC96C20"/>
    <w:rsid w:val="30EF65F9"/>
    <w:rsid w:val="31306E8D"/>
    <w:rsid w:val="314A652F"/>
    <w:rsid w:val="31AE6290"/>
    <w:rsid w:val="324C0C15"/>
    <w:rsid w:val="3264220D"/>
    <w:rsid w:val="33353F12"/>
    <w:rsid w:val="333E2D02"/>
    <w:rsid w:val="359B0DD2"/>
    <w:rsid w:val="35D905E4"/>
    <w:rsid w:val="3604250B"/>
    <w:rsid w:val="36813E05"/>
    <w:rsid w:val="37181600"/>
    <w:rsid w:val="387412E2"/>
    <w:rsid w:val="39354C89"/>
    <w:rsid w:val="3963178C"/>
    <w:rsid w:val="3A1045C2"/>
    <w:rsid w:val="3A214619"/>
    <w:rsid w:val="3A290F34"/>
    <w:rsid w:val="3AC25D81"/>
    <w:rsid w:val="3ADD40A8"/>
    <w:rsid w:val="3B712626"/>
    <w:rsid w:val="3C8D10D6"/>
    <w:rsid w:val="3E05386B"/>
    <w:rsid w:val="3E871216"/>
    <w:rsid w:val="3EB513E4"/>
    <w:rsid w:val="40632BE5"/>
    <w:rsid w:val="406E4E38"/>
    <w:rsid w:val="41CC2676"/>
    <w:rsid w:val="42823297"/>
    <w:rsid w:val="42E10848"/>
    <w:rsid w:val="430F1D88"/>
    <w:rsid w:val="461B320F"/>
    <w:rsid w:val="46B21672"/>
    <w:rsid w:val="47865301"/>
    <w:rsid w:val="47871299"/>
    <w:rsid w:val="47887D8A"/>
    <w:rsid w:val="49172244"/>
    <w:rsid w:val="4AA93078"/>
    <w:rsid w:val="4AF35F82"/>
    <w:rsid w:val="4B8A13E5"/>
    <w:rsid w:val="4BAB3C56"/>
    <w:rsid w:val="4D39332D"/>
    <w:rsid w:val="4DF3645D"/>
    <w:rsid w:val="4EB25220"/>
    <w:rsid w:val="4F213589"/>
    <w:rsid w:val="4F552460"/>
    <w:rsid w:val="4FCC6863"/>
    <w:rsid w:val="4FE15102"/>
    <w:rsid w:val="500A214A"/>
    <w:rsid w:val="50C90085"/>
    <w:rsid w:val="50E24DE4"/>
    <w:rsid w:val="51995140"/>
    <w:rsid w:val="51EA734C"/>
    <w:rsid w:val="520F00F6"/>
    <w:rsid w:val="522D604D"/>
    <w:rsid w:val="526B2216"/>
    <w:rsid w:val="5297585E"/>
    <w:rsid w:val="52AD7D6F"/>
    <w:rsid w:val="52F259D8"/>
    <w:rsid w:val="54C822F3"/>
    <w:rsid w:val="5549519D"/>
    <w:rsid w:val="5557596B"/>
    <w:rsid w:val="55E468BF"/>
    <w:rsid w:val="57D710B1"/>
    <w:rsid w:val="58A579FF"/>
    <w:rsid w:val="5AA2334D"/>
    <w:rsid w:val="5AD6770E"/>
    <w:rsid w:val="5B104346"/>
    <w:rsid w:val="5B4741D3"/>
    <w:rsid w:val="5B596DFC"/>
    <w:rsid w:val="5DF03945"/>
    <w:rsid w:val="5E5C7E33"/>
    <w:rsid w:val="5EA438B3"/>
    <w:rsid w:val="60192D1D"/>
    <w:rsid w:val="610F7DAB"/>
    <w:rsid w:val="6129714C"/>
    <w:rsid w:val="61497769"/>
    <w:rsid w:val="61D747A5"/>
    <w:rsid w:val="62EB744E"/>
    <w:rsid w:val="637C2815"/>
    <w:rsid w:val="6398422A"/>
    <w:rsid w:val="640B5CC0"/>
    <w:rsid w:val="645F2CA8"/>
    <w:rsid w:val="650B3DDC"/>
    <w:rsid w:val="654B40E9"/>
    <w:rsid w:val="6578024F"/>
    <w:rsid w:val="66C10696"/>
    <w:rsid w:val="66D20CE7"/>
    <w:rsid w:val="673A1FFE"/>
    <w:rsid w:val="687E4929"/>
    <w:rsid w:val="689114A8"/>
    <w:rsid w:val="68A11AE8"/>
    <w:rsid w:val="68E16DF2"/>
    <w:rsid w:val="69BC5AE6"/>
    <w:rsid w:val="6A5C2B47"/>
    <w:rsid w:val="6AD81C8E"/>
    <w:rsid w:val="6C763F16"/>
    <w:rsid w:val="6CFE4AB9"/>
    <w:rsid w:val="6DB713DE"/>
    <w:rsid w:val="6DC725DC"/>
    <w:rsid w:val="6E2C4E9E"/>
    <w:rsid w:val="6E3B5DA1"/>
    <w:rsid w:val="6E712CCB"/>
    <w:rsid w:val="7094003D"/>
    <w:rsid w:val="70D87AB8"/>
    <w:rsid w:val="7276270D"/>
    <w:rsid w:val="74326D9F"/>
    <w:rsid w:val="74467EAF"/>
    <w:rsid w:val="74521B5A"/>
    <w:rsid w:val="74C335D0"/>
    <w:rsid w:val="74CC2050"/>
    <w:rsid w:val="753A7E63"/>
    <w:rsid w:val="768A07BA"/>
    <w:rsid w:val="773B7E26"/>
    <w:rsid w:val="784F074B"/>
    <w:rsid w:val="78EC5068"/>
    <w:rsid w:val="7A30464D"/>
    <w:rsid w:val="7A353D0B"/>
    <w:rsid w:val="7A371F5F"/>
    <w:rsid w:val="7ACD11F1"/>
    <w:rsid w:val="7D3A5E2F"/>
    <w:rsid w:val="7D542543"/>
    <w:rsid w:val="7D6A328A"/>
    <w:rsid w:val="7DE64E1E"/>
    <w:rsid w:val="7F741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50"/>
    <w:semiHidden/>
    <w:unhideWhenUsed/>
    <w:qFormat/>
    <w:uiPriority w:val="99"/>
    <w:rPr>
      <w:sz w:val="18"/>
      <w:szCs w:val="18"/>
    </w:rPr>
  </w:style>
  <w:style w:type="paragraph" w:styleId="14">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toc 1"/>
    <w:basedOn w:val="1"/>
    <w:next w:val="1"/>
    <w:unhideWhenUsed/>
    <w:qFormat/>
    <w:uiPriority w:val="39"/>
    <w:pPr>
      <w:spacing w:before="120" w:after="120"/>
      <w:ind w:firstLine="600" w:firstLineChars="200"/>
      <w:jc w:val="left"/>
    </w:pPr>
    <w:rPr>
      <w:rFonts w:ascii="Calibri" w:hAnsi="Calibri" w:eastAsia="仿宋_GB2312" w:cs="Calibri"/>
      <w:b/>
      <w:bCs/>
      <w:caps/>
      <w:sz w:val="20"/>
      <w:szCs w:val="20"/>
    </w:rPr>
  </w:style>
  <w:style w:type="paragraph" w:styleId="17">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8">
    <w:name w:val="toc 2"/>
    <w:basedOn w:val="1"/>
    <w:next w:val="1"/>
    <w:unhideWhenUsed/>
    <w:uiPriority w:val="39"/>
    <w:pPr>
      <w:ind w:left="280" w:firstLine="600" w:firstLineChars="200"/>
      <w:jc w:val="left"/>
    </w:pPr>
    <w:rPr>
      <w:rFonts w:ascii="Calibri" w:hAnsi="Calibri" w:eastAsia="仿宋_GB2312" w:cs="Calibri"/>
      <w:smallCaps/>
      <w:sz w:val="20"/>
      <w:szCs w:val="20"/>
    </w:rPr>
  </w:style>
  <w:style w:type="paragraph" w:styleId="19">
    <w:name w:val="Normal (Web)"/>
    <w:basedOn w:val="1"/>
    <w:qFormat/>
    <w:uiPriority w:val="99"/>
    <w:pPr>
      <w:spacing w:before="100" w:beforeAutospacing="1" w:after="100" w:afterAutospacing="1"/>
      <w:jc w:val="left"/>
    </w:pPr>
    <w:rPr>
      <w:rFonts w:ascii="Calibri" w:hAnsi="Calibri"/>
      <w:color w:val="000000"/>
      <w:kern w:val="0"/>
      <w:sz w:val="24"/>
    </w:rPr>
  </w:style>
  <w:style w:type="paragraph" w:styleId="20">
    <w:name w:val="Body Text First Indent"/>
    <w:basedOn w:val="12"/>
    <w:qFormat/>
    <w:uiPriority w:val="0"/>
    <w:pPr>
      <w:spacing w:after="0"/>
      <w:ind w:firstLine="20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customStyle="1" w:styleId="25">
    <w:name w:val="标题 1 字符"/>
    <w:basedOn w:val="22"/>
    <w:link w:val="3"/>
    <w:qFormat/>
    <w:uiPriority w:val="9"/>
    <w:rPr>
      <w:rFonts w:asciiTheme="majorHAnsi" w:hAnsiTheme="majorHAnsi" w:eastAsiaTheme="majorEastAsia"/>
      <w:b/>
      <w:bCs/>
      <w:kern w:val="32"/>
      <w:sz w:val="32"/>
      <w:szCs w:val="32"/>
    </w:rPr>
  </w:style>
  <w:style w:type="character" w:customStyle="1" w:styleId="26">
    <w:name w:val="标题 2 字符"/>
    <w:basedOn w:val="22"/>
    <w:link w:val="4"/>
    <w:semiHidden/>
    <w:qFormat/>
    <w:uiPriority w:val="9"/>
    <w:rPr>
      <w:rFonts w:asciiTheme="majorHAnsi" w:hAnsiTheme="majorHAnsi" w:eastAsiaTheme="majorEastAsia"/>
      <w:b/>
      <w:bCs/>
      <w:i/>
      <w:iCs/>
      <w:sz w:val="28"/>
      <w:szCs w:val="28"/>
    </w:rPr>
  </w:style>
  <w:style w:type="character" w:customStyle="1" w:styleId="27">
    <w:name w:val="标题 3 字符"/>
    <w:basedOn w:val="22"/>
    <w:link w:val="5"/>
    <w:semiHidden/>
    <w:qFormat/>
    <w:uiPriority w:val="9"/>
    <w:rPr>
      <w:rFonts w:asciiTheme="majorHAnsi" w:hAnsiTheme="majorHAnsi" w:eastAsiaTheme="majorEastAsia"/>
      <w:b/>
      <w:bCs/>
      <w:sz w:val="26"/>
      <w:szCs w:val="26"/>
    </w:rPr>
  </w:style>
  <w:style w:type="character" w:customStyle="1" w:styleId="28">
    <w:name w:val="标题 4 字符"/>
    <w:basedOn w:val="22"/>
    <w:link w:val="6"/>
    <w:semiHidden/>
    <w:qFormat/>
    <w:uiPriority w:val="9"/>
    <w:rPr>
      <w:b/>
      <w:bCs/>
      <w:sz w:val="28"/>
      <w:szCs w:val="28"/>
    </w:rPr>
  </w:style>
  <w:style w:type="character" w:customStyle="1" w:styleId="29">
    <w:name w:val="标题 5 字符"/>
    <w:basedOn w:val="22"/>
    <w:link w:val="7"/>
    <w:semiHidden/>
    <w:qFormat/>
    <w:uiPriority w:val="9"/>
    <w:rPr>
      <w:b/>
      <w:bCs/>
      <w:i/>
      <w:iCs/>
      <w:sz w:val="26"/>
      <w:szCs w:val="26"/>
    </w:rPr>
  </w:style>
  <w:style w:type="character" w:customStyle="1" w:styleId="30">
    <w:name w:val="标题 6 字符"/>
    <w:basedOn w:val="22"/>
    <w:link w:val="8"/>
    <w:semiHidden/>
    <w:qFormat/>
    <w:uiPriority w:val="9"/>
    <w:rPr>
      <w:b/>
      <w:bCs/>
    </w:rPr>
  </w:style>
  <w:style w:type="character" w:customStyle="1" w:styleId="31">
    <w:name w:val="标题 7 字符"/>
    <w:basedOn w:val="22"/>
    <w:link w:val="9"/>
    <w:semiHidden/>
    <w:qFormat/>
    <w:uiPriority w:val="9"/>
    <w:rPr>
      <w:sz w:val="24"/>
      <w:szCs w:val="24"/>
    </w:rPr>
  </w:style>
  <w:style w:type="character" w:customStyle="1" w:styleId="32">
    <w:name w:val="标题 8 字符"/>
    <w:basedOn w:val="22"/>
    <w:link w:val="10"/>
    <w:semiHidden/>
    <w:qFormat/>
    <w:uiPriority w:val="9"/>
    <w:rPr>
      <w:i/>
      <w:iCs/>
      <w:sz w:val="24"/>
      <w:szCs w:val="24"/>
    </w:rPr>
  </w:style>
  <w:style w:type="character" w:customStyle="1" w:styleId="33">
    <w:name w:val="标题 9 字符"/>
    <w:basedOn w:val="22"/>
    <w:link w:val="11"/>
    <w:semiHidden/>
    <w:qFormat/>
    <w:uiPriority w:val="9"/>
    <w:rPr>
      <w:rFonts w:asciiTheme="majorHAnsi" w:hAnsiTheme="majorHAnsi" w:eastAsiaTheme="majorEastAsia"/>
    </w:rPr>
  </w:style>
  <w:style w:type="character" w:customStyle="1" w:styleId="34">
    <w:name w:val="标题 字符"/>
    <w:basedOn w:val="22"/>
    <w:link w:val="2"/>
    <w:qFormat/>
    <w:uiPriority w:val="10"/>
    <w:rPr>
      <w:rFonts w:asciiTheme="majorHAnsi" w:hAnsiTheme="majorHAnsi" w:eastAsiaTheme="majorEastAsia"/>
      <w:b/>
      <w:bCs/>
      <w:kern w:val="28"/>
      <w:sz w:val="32"/>
      <w:szCs w:val="32"/>
    </w:rPr>
  </w:style>
  <w:style w:type="character" w:customStyle="1" w:styleId="35">
    <w:name w:val="副标题 字符"/>
    <w:basedOn w:val="22"/>
    <w:link w:val="17"/>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2"/>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2"/>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2"/>
    <w:qFormat/>
    <w:uiPriority w:val="21"/>
    <w:rPr>
      <w:b/>
      <w:i/>
      <w:sz w:val="24"/>
      <w:szCs w:val="24"/>
      <w:u w:val="single"/>
    </w:rPr>
  </w:style>
  <w:style w:type="character" w:customStyle="1" w:styleId="44">
    <w:name w:val="不明显参考1"/>
    <w:basedOn w:val="22"/>
    <w:qFormat/>
    <w:uiPriority w:val="31"/>
    <w:rPr>
      <w:sz w:val="24"/>
      <w:szCs w:val="24"/>
      <w:u w:val="single"/>
    </w:rPr>
  </w:style>
  <w:style w:type="character" w:customStyle="1" w:styleId="45">
    <w:name w:val="明显参考1"/>
    <w:basedOn w:val="22"/>
    <w:qFormat/>
    <w:uiPriority w:val="32"/>
    <w:rPr>
      <w:b/>
      <w:sz w:val="24"/>
      <w:u w:val="single"/>
    </w:rPr>
  </w:style>
  <w:style w:type="character" w:customStyle="1" w:styleId="46">
    <w:name w:val="书籍标题1"/>
    <w:basedOn w:val="22"/>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字符"/>
    <w:basedOn w:val="22"/>
    <w:link w:val="15"/>
    <w:qFormat/>
    <w:uiPriority w:val="99"/>
    <w:rPr>
      <w:rFonts w:ascii="Calibri" w:hAnsi="Calibri" w:eastAsia="宋体"/>
      <w:kern w:val="2"/>
      <w:sz w:val="18"/>
      <w:szCs w:val="18"/>
    </w:rPr>
  </w:style>
  <w:style w:type="character" w:customStyle="1" w:styleId="49">
    <w:name w:val="页脚 字符"/>
    <w:basedOn w:val="22"/>
    <w:link w:val="14"/>
    <w:qFormat/>
    <w:uiPriority w:val="99"/>
    <w:rPr>
      <w:rFonts w:ascii="Calibri" w:hAnsi="Calibri" w:eastAsia="宋体"/>
      <w:kern w:val="2"/>
      <w:sz w:val="18"/>
      <w:szCs w:val="18"/>
    </w:rPr>
  </w:style>
  <w:style w:type="character" w:customStyle="1" w:styleId="50">
    <w:name w:val="批注框文本 字符"/>
    <w:basedOn w:val="22"/>
    <w:link w:val="13"/>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1473</Words>
  <Characters>8400</Characters>
  <Lines>70</Lines>
  <Paragraphs>19</Paragraphs>
  <TotalTime>3</TotalTime>
  <ScaleCrop>false</ScaleCrop>
  <LinksUpToDate>false</LinksUpToDate>
  <CharactersWithSpaces>9854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2021-05-29T09:10:20Z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5FAA34912FCA401B8E462B0CD83D5A44</vt:lpwstr>
  </property>
</Properties>
</file>