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hint="eastAsia"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lang w:val="en-US" w:eastAsia="zh-CN"/>
        </w:rPr>
        <w:t>博物馆、纪念馆免费开放</w:t>
      </w:r>
      <w:r>
        <w:rPr>
          <w:rFonts w:hint="eastAsia" w:ascii="方正小标宋_GBK" w:hAnsi="华文中宋" w:eastAsia="方正小标宋_GBK" w:cs="宋体"/>
          <w:kern w:val="0"/>
          <w:sz w:val="48"/>
          <w:szCs w:val="48"/>
        </w:rPr>
        <w:t>资金项目</w:t>
      </w:r>
    </w:p>
    <w:p>
      <w:pPr>
        <w:pageBreakBefore w:val="0"/>
        <w:kinsoku/>
        <w:wordWrap/>
        <w:overflowPunct/>
        <w:topLinePunct w:val="0"/>
        <w:autoSpaceDE/>
        <w:autoSpaceDN/>
        <w:bidi w:val="0"/>
        <w:adjustRightInd/>
        <w:snapToGrid/>
        <w:spacing w:line="560" w:lineRule="exact"/>
        <w:jc w:val="center"/>
        <w:rPr>
          <w:rFonts w:hint="eastAsia"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支出绩效评价报告</w:t>
      </w: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6"/>
          <w:szCs w:val="36"/>
        </w:rPr>
      </w:pPr>
      <w:r>
        <w:rPr>
          <w:rFonts w:hint="eastAsia" w:hAnsi="宋体" w:eastAsia="仿宋_GB2312" w:cs="宋体"/>
          <w:kern w:val="0"/>
          <w:sz w:val="36"/>
          <w:szCs w:val="36"/>
        </w:rPr>
        <w:t>（ 20</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年度）</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int="default"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博物馆、纪念馆免费开放</w:t>
      </w:r>
      <w:r>
        <w:rPr>
          <w:rFonts w:hint="eastAsia" w:hAnsi="宋体" w:eastAsia="仿宋_GB2312" w:cs="宋体"/>
          <w:kern w:val="0"/>
          <w:sz w:val="36"/>
          <w:szCs w:val="36"/>
        </w:rPr>
        <w:t>资金项目</w:t>
      </w: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塔城地区博物馆</w:t>
      </w:r>
    </w:p>
    <w:p>
      <w:pPr>
        <w:pageBreakBefore w:val="0"/>
        <w:kinsoku/>
        <w:wordWrap/>
        <w:overflowPunct/>
        <w:topLinePunct w:val="0"/>
        <w:autoSpaceDE/>
        <w:autoSpaceDN/>
        <w:bidi w:val="0"/>
        <w:adjustRightInd/>
        <w:snapToGrid/>
        <w:spacing w:line="560" w:lineRule="exact"/>
        <w:ind w:firstLine="720" w:firstLineChars="20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塔城地区文化体育广播电视和旅游局</w:t>
      </w:r>
    </w:p>
    <w:p>
      <w:pPr>
        <w:pageBreakBefore w:val="0"/>
        <w:kinsoku/>
        <w:wordWrap/>
        <w:overflowPunct/>
        <w:topLinePunct w:val="0"/>
        <w:autoSpaceDE/>
        <w:autoSpaceDN/>
        <w:bidi w:val="0"/>
        <w:adjustRightInd/>
        <w:snapToGrid/>
        <w:spacing w:line="560" w:lineRule="exact"/>
        <w:ind w:firstLine="720" w:firstLineChars="20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濮传达</w:t>
      </w:r>
    </w:p>
    <w:p>
      <w:pPr>
        <w:pageBreakBefore w:val="0"/>
        <w:kinsoku/>
        <w:wordWrap/>
        <w:overflowPunct/>
        <w:topLinePunct w:val="0"/>
        <w:autoSpaceDE/>
        <w:autoSpaceDN/>
        <w:bidi w:val="0"/>
        <w:adjustRightInd/>
        <w:snapToGrid/>
        <w:spacing w:line="56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日</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rPr>
          <w:rStyle w:val="23"/>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3"/>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塔城地区</w:t>
      </w:r>
      <w:r>
        <w:rPr>
          <w:rFonts w:hint="eastAsia" w:ascii="仿宋_GB2312" w:hAnsi="仿宋_GB2312" w:eastAsia="仿宋_GB2312" w:cs="仿宋_GB2312"/>
          <w:kern w:val="0"/>
          <w:sz w:val="32"/>
          <w:szCs w:val="32"/>
          <w:lang w:eastAsia="zh-CN"/>
        </w:rPr>
        <w:t>博物馆是塔城地区</w:t>
      </w:r>
      <w:r>
        <w:rPr>
          <w:rFonts w:hint="eastAsia" w:ascii="仿宋_GB2312" w:hAnsi="仿宋_GB2312" w:eastAsia="仿宋_GB2312" w:cs="仿宋_GB2312"/>
          <w:kern w:val="0"/>
          <w:sz w:val="32"/>
          <w:szCs w:val="32"/>
        </w:rPr>
        <w:t>唯一一座综合性博物馆，一直以来，无论讲解服务能力和综合管理水平，都受到社会观众的好评。</w:t>
      </w:r>
      <w:r>
        <w:rPr>
          <w:rFonts w:hint="eastAsia" w:ascii="仿宋_GB2312" w:hAnsi="仿宋_GB2312" w:eastAsia="仿宋_GB2312" w:cs="仿宋_GB2312"/>
          <w:kern w:val="0"/>
          <w:sz w:val="32"/>
          <w:szCs w:val="32"/>
          <w:lang w:eastAsia="zh-CN"/>
        </w:rPr>
        <w:t>为</w:t>
      </w:r>
      <w:r>
        <w:rPr>
          <w:rFonts w:hint="eastAsia" w:ascii="仿宋_GB2312" w:hAnsi="仿宋_GB2312" w:eastAsia="仿宋_GB2312" w:cs="仿宋_GB2312"/>
          <w:kern w:val="0"/>
          <w:sz w:val="32"/>
          <w:szCs w:val="32"/>
        </w:rPr>
        <w:t>不断完善馆内软硬件设施，给更多的游客来带博物馆公共职能。</w:t>
      </w:r>
      <w:r>
        <w:rPr>
          <w:rFonts w:hint="eastAsia" w:ascii="仿宋_GB2312" w:hAnsi="仿宋_GB2312" w:eastAsia="仿宋_GB2312" w:cs="仿宋_GB2312"/>
          <w:kern w:val="0"/>
          <w:sz w:val="32"/>
          <w:szCs w:val="32"/>
          <w:lang w:val="en-US" w:eastAsia="zh-CN"/>
        </w:rPr>
        <w:t>2020年</w:t>
      </w:r>
      <w:r>
        <w:rPr>
          <w:rFonts w:hint="eastAsia" w:ascii="仿宋_GB2312" w:hAnsi="仿宋_GB2312" w:eastAsia="仿宋_GB2312" w:cs="仿宋_GB2312"/>
          <w:kern w:val="0"/>
          <w:sz w:val="32"/>
          <w:szCs w:val="32"/>
        </w:rPr>
        <w:t>地区博物馆共接待中外游客39830人次，其中，青少年参观人数达到11940人次，流动博物馆巡回展65场，参观人数达6580人次。</w:t>
      </w:r>
    </w:p>
    <w:p>
      <w:pPr>
        <w:pageBreakBefore w:val="0"/>
        <w:numPr>
          <w:ilvl w:val="0"/>
          <w:numId w:val="1"/>
        </w:numPr>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rPr>
        <w:t>项目主要内容：</w:t>
      </w:r>
      <w:r>
        <w:rPr>
          <w:rFonts w:hint="eastAsia" w:ascii="仿宋_GB2312" w:hAnsi="仿宋_GB2312" w:eastAsia="仿宋_GB2312" w:cs="仿宋_GB2312"/>
          <w:b w:val="0"/>
          <w:bCs w:val="0"/>
          <w:kern w:val="2"/>
          <w:sz w:val="32"/>
          <w:szCs w:val="32"/>
          <w:lang w:val="en-US" w:eastAsia="zh-CN" w:bidi="ar-SA"/>
        </w:rPr>
        <w:t>2020年1月塔城地区博物馆根据上级要求，在博物馆、纪念馆免费开放资金上，严格按照《博物馆、纪念馆免费开放专项资金管理使用办法》执行，此项资金主要用于运转经费及博物馆、纪念馆基本陈列、设备购置、维修（护）、专家咨询等费用支出。</w:t>
      </w:r>
    </w:p>
    <w:p>
      <w:pPr>
        <w:pageBreakBefore w:val="0"/>
        <w:kinsoku/>
        <w:wordWrap/>
        <w:overflowPunct/>
        <w:topLinePunct w:val="0"/>
        <w:autoSpaceDE/>
        <w:autoSpaceDN/>
        <w:bidi w:val="0"/>
        <w:adjustRightInd/>
        <w:snapToGrid/>
        <w:spacing w:line="560" w:lineRule="exact"/>
        <w:ind w:firstLine="640" w:firstLineChars="200"/>
      </w:pPr>
      <w:r>
        <w:rPr>
          <w:rFonts w:hint="eastAsia" w:ascii="仿宋_GB2312" w:hAnsi="仿宋_GB2312" w:eastAsia="仿宋_GB2312" w:cs="仿宋_GB2312"/>
          <w:sz w:val="32"/>
          <w:szCs w:val="32"/>
        </w:rPr>
        <w:t>项目实施情况：</w:t>
      </w:r>
      <w:r>
        <w:rPr>
          <w:rFonts w:hint="eastAsia" w:ascii="仿宋_GB2312" w:hAnsi="仿宋_GB2312" w:eastAsia="仿宋_GB2312" w:cs="仿宋_GB2312"/>
          <w:sz w:val="32"/>
          <w:szCs w:val="32"/>
          <w:lang w:eastAsia="zh-CN"/>
        </w:rPr>
        <w:t>【博物馆、纪念馆免费开放资金】</w:t>
      </w:r>
      <w:r>
        <w:rPr>
          <w:rFonts w:hint="eastAsia" w:ascii="仿宋_GB2312" w:hAnsi="仿宋_GB2312" w:eastAsia="仿宋_GB2312" w:cs="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本项目总</w:t>
      </w:r>
      <w:r>
        <w:rPr>
          <w:rFonts w:hint="eastAsia" w:ascii="仿宋_GB2312" w:hAnsi="仿宋_GB2312" w:eastAsia="仿宋_GB2312" w:cs="仿宋_GB2312"/>
          <w:sz w:val="32"/>
          <w:szCs w:val="32"/>
          <w:highlight w:val="none"/>
        </w:rPr>
        <w:t>投资</w:t>
      </w:r>
      <w:r>
        <w:rPr>
          <w:rFonts w:hint="eastAsia" w:ascii="仿宋_GB2312" w:hAnsi="仿宋_GB2312" w:eastAsia="仿宋_GB2312" w:cs="仿宋_GB2312"/>
          <w:sz w:val="32"/>
          <w:szCs w:val="32"/>
          <w:highlight w:val="none"/>
          <w:lang w:val="en-US" w:eastAsia="zh-CN"/>
        </w:rPr>
        <w:t>133.65</w:t>
      </w:r>
      <w:r>
        <w:rPr>
          <w:rFonts w:hint="eastAsia" w:ascii="仿宋_GB2312" w:hAnsi="仿宋_GB2312" w:eastAsia="仿宋_GB2312" w:cs="仿宋_GB2312"/>
          <w:sz w:val="32"/>
          <w:szCs w:val="32"/>
          <w:highlight w:val="none"/>
        </w:rPr>
        <w:t>万元，其中：</w:t>
      </w:r>
      <w:r>
        <w:rPr>
          <w:rFonts w:hint="eastAsia" w:ascii="仿宋_GB2312" w:hAnsi="仿宋_GB2312" w:eastAsia="仿宋_GB2312" w:cs="仿宋_GB2312"/>
          <w:sz w:val="32"/>
          <w:szCs w:val="32"/>
          <w:highlight w:val="none"/>
          <w:lang w:val="en-US" w:eastAsia="zh-CN"/>
        </w:rPr>
        <w:t>当年财政拨款105.74万元，上年结转资金27.92万元</w:t>
      </w:r>
      <w:r>
        <w:rPr>
          <w:rFonts w:hint="eastAsia" w:ascii="仿宋_GB2312" w:hAnsi="仿宋_GB2312" w:eastAsia="仿宋_GB2312" w:cs="仿宋_GB2312"/>
          <w:sz w:val="32"/>
          <w:szCs w:val="32"/>
          <w:highlight w:val="none"/>
        </w:rPr>
        <w:t>。项目实际支出</w:t>
      </w:r>
      <w:r>
        <w:rPr>
          <w:rFonts w:hint="eastAsia" w:ascii="仿宋_GB2312" w:hAnsi="仿宋_GB2312" w:eastAsia="仿宋_GB2312" w:cs="仿宋_GB2312"/>
          <w:sz w:val="32"/>
          <w:szCs w:val="32"/>
          <w:highlight w:val="none"/>
          <w:lang w:val="en-US" w:eastAsia="zh-CN"/>
        </w:rPr>
        <w:t>133.65</w:t>
      </w:r>
      <w:r>
        <w:rPr>
          <w:rFonts w:hint="eastAsia" w:ascii="仿宋_GB2312" w:hAnsi="仿宋_GB2312" w:eastAsia="仿宋_GB2312" w:cs="仿宋_GB2312"/>
          <w:sz w:val="32"/>
          <w:szCs w:val="32"/>
          <w:highlight w:val="none"/>
        </w:rPr>
        <w:t>万元， 支出率为100%。</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3、资金投入和使用情况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20"/>
          <w:szCs w:val="20"/>
          <w:highlight w:val="none"/>
        </w:rPr>
      </w:pPr>
      <w:r>
        <w:rPr>
          <w:rFonts w:hint="eastAsia" w:ascii="仿宋_GB2312" w:hAnsi="仿宋_GB2312" w:eastAsia="仿宋_GB2312" w:cs="仿宋_GB2312"/>
          <w:sz w:val="32"/>
          <w:szCs w:val="32"/>
          <w:highlight w:val="none"/>
        </w:rPr>
        <w:t>（1）资金安排</w:t>
      </w:r>
    </w:p>
    <w:p>
      <w:pPr>
        <w:pageBreakBefore w:val="0"/>
        <w:kinsoku/>
        <w:wordWrap/>
        <w:overflowPunct/>
        <w:topLinePunct w:val="0"/>
        <w:autoSpaceDE/>
        <w:autoSpaceDN/>
        <w:bidi w:val="0"/>
        <w:adjustRightInd/>
        <w:snapToGrid/>
        <w:spacing w:line="56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项目总投资</w:t>
      </w:r>
      <w:r>
        <w:rPr>
          <w:rFonts w:hint="eastAsia" w:ascii="仿宋_GB2312" w:hAnsi="仿宋_GB2312" w:eastAsia="仿宋_GB2312" w:cs="仿宋_GB2312"/>
          <w:sz w:val="32"/>
          <w:szCs w:val="32"/>
          <w:highlight w:val="none"/>
          <w:lang w:val="en-US" w:eastAsia="zh-CN"/>
        </w:rPr>
        <w:t>133.65</w:t>
      </w:r>
      <w:r>
        <w:rPr>
          <w:rFonts w:hint="eastAsia" w:ascii="仿宋_GB2312" w:hAnsi="仿宋_GB2312" w:eastAsia="仿宋_GB2312" w:cs="仿宋_GB2312"/>
          <w:sz w:val="32"/>
          <w:szCs w:val="32"/>
          <w:highlight w:val="none"/>
        </w:rPr>
        <w:t>万元，按照《</w:t>
      </w:r>
      <w:r>
        <w:rPr>
          <w:rFonts w:hint="eastAsia" w:ascii="仿宋_GB2312" w:hAnsi="仿宋_GB2312" w:eastAsia="仿宋_GB2312" w:cs="仿宋_GB2312"/>
          <w:b w:val="0"/>
          <w:bCs w:val="0"/>
          <w:kern w:val="2"/>
          <w:sz w:val="32"/>
          <w:szCs w:val="32"/>
          <w:highlight w:val="none"/>
          <w:lang w:val="en-US" w:eastAsia="zh-CN" w:bidi="ar-SA"/>
        </w:rPr>
        <w:t>博物</w:t>
      </w:r>
      <w:r>
        <w:rPr>
          <w:rFonts w:hint="eastAsia" w:ascii="仿宋_GB2312" w:hAnsi="仿宋_GB2312" w:eastAsia="仿宋_GB2312" w:cs="仿宋_GB2312"/>
          <w:b w:val="0"/>
          <w:bCs w:val="0"/>
          <w:kern w:val="2"/>
          <w:sz w:val="32"/>
          <w:szCs w:val="32"/>
          <w:lang w:val="en-US" w:eastAsia="zh-CN" w:bidi="ar-SA"/>
        </w:rPr>
        <w:t>馆、纪念馆免费开放专项资金管理使用办法</w:t>
      </w:r>
      <w:r>
        <w:rPr>
          <w:rFonts w:hint="eastAsia" w:ascii="仿宋_GB2312" w:hAnsi="仿宋_GB2312" w:eastAsia="仿宋_GB2312" w:cs="仿宋_GB2312"/>
          <w:sz w:val="32"/>
          <w:szCs w:val="32"/>
        </w:rPr>
        <w:t>》及单位财务制度等相关规定，资金支出符合</w:t>
      </w:r>
      <w:r>
        <w:rPr>
          <w:rFonts w:hint="eastAsia" w:ascii="仿宋_GB2312" w:hAnsi="仿宋_GB2312" w:eastAsia="仿宋_GB2312" w:cs="仿宋_GB2312"/>
          <w:sz w:val="32"/>
          <w:szCs w:val="32"/>
          <w:lang w:eastAsia="zh-CN"/>
        </w:rPr>
        <w:t>【博物馆、纪念馆免费开放资金】</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eastAsia="zh-CN"/>
        </w:rPr>
        <w:t>【博物馆、纪念馆免费开放资金】</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napToGrid/>
        <w:spacing w:line="56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w:t>
      </w:r>
      <w:r>
        <w:rPr>
          <w:rFonts w:hint="eastAsia" w:ascii="仿宋_GB2312" w:hAnsi="仿宋_GB2312" w:eastAsia="仿宋_GB2312" w:cs="仿宋_GB2312"/>
          <w:sz w:val="32"/>
          <w:szCs w:val="32"/>
          <w:lang w:val="en-US" w:eastAsia="zh-CN"/>
        </w:rPr>
        <w:t>依据《下达2018年博物馆逐步免费开放补助资金》；《博物馆自治区文物保护专项经费》；《</w:t>
      </w:r>
      <w:bookmarkStart w:id="2" w:name="_GoBack"/>
      <w:bookmarkEnd w:id="2"/>
      <w:r>
        <w:rPr>
          <w:rFonts w:hint="eastAsia" w:ascii="仿宋_GB2312" w:hAnsi="仿宋_GB2312" w:eastAsia="仿宋_GB2312" w:cs="仿宋_GB2312"/>
          <w:sz w:val="32"/>
          <w:szCs w:val="32"/>
          <w:lang w:val="en-US" w:eastAsia="zh-CN"/>
        </w:rPr>
        <w:t>关于提前安排2019年博物馆、纪念馆逐步免费开放补助资金的通知》</w:t>
      </w:r>
      <w:r>
        <w:rPr>
          <w:rFonts w:hint="eastAsia" w:ascii="仿宋_GB2312" w:hAnsi="仿宋_GB2312" w:eastAsia="仿宋_GB2312" w:cs="仿宋_GB2312"/>
          <w:sz w:val="32"/>
          <w:szCs w:val="32"/>
        </w:rPr>
        <w:t>文件中批复的资金，项目资金到位</w:t>
      </w:r>
      <w:r>
        <w:rPr>
          <w:rFonts w:hint="eastAsia" w:ascii="仿宋_GB2312" w:hAnsi="仿宋_GB2312" w:eastAsia="仿宋_GB2312" w:cs="仿宋_GB2312"/>
          <w:sz w:val="32"/>
          <w:szCs w:val="32"/>
          <w:lang w:val="en-US" w:eastAsia="zh-CN"/>
        </w:rPr>
        <w:t>133.65</w:t>
      </w:r>
      <w:r>
        <w:rPr>
          <w:rFonts w:hint="eastAsia" w:ascii="仿宋_GB2312" w:hAnsi="仿宋_GB2312" w:eastAsia="仿宋_GB2312" w:cs="仿宋_GB2312"/>
          <w:sz w:val="32"/>
          <w:szCs w:val="32"/>
        </w:rPr>
        <w:t>万元，用于支付</w:t>
      </w:r>
      <w:r>
        <w:rPr>
          <w:rFonts w:hint="eastAsia" w:ascii="仿宋_GB2312" w:hAnsi="仿宋_GB2312" w:eastAsia="仿宋_GB2312" w:cs="仿宋_GB2312"/>
          <w:kern w:val="1"/>
          <w:sz w:val="32"/>
          <w:szCs w:val="32"/>
          <w:lang w:eastAsia="zh-CN"/>
        </w:rPr>
        <w:t>人员经费和公用经费以及博物馆、纪念馆免费开放资金。</w:t>
      </w:r>
      <w:r>
        <w:rPr>
          <w:rFonts w:hint="eastAsia" w:ascii="仿宋_GB2312" w:hAnsi="仿宋_GB2312" w:eastAsia="仿宋_GB2312" w:cs="仿宋_GB2312"/>
          <w:kern w:val="1"/>
          <w:sz w:val="32"/>
          <w:szCs w:val="32"/>
        </w:rPr>
        <w:t>塔城地区博物馆所在地</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红楼</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是</w:t>
      </w:r>
      <w:r>
        <w:rPr>
          <w:rFonts w:hint="eastAsia" w:ascii="仿宋_GB2312" w:hAnsi="仿宋_GB2312" w:eastAsia="仿宋_GB2312" w:cs="仿宋_GB2312"/>
          <w:kern w:val="1"/>
          <w:sz w:val="32"/>
          <w:szCs w:val="32"/>
          <w:lang w:eastAsia="zh-CN"/>
        </w:rPr>
        <w:t>国家级重点保护单位，是</w:t>
      </w:r>
      <w:r>
        <w:rPr>
          <w:rFonts w:hint="eastAsia" w:ascii="仿宋_GB2312" w:hAnsi="仿宋_GB2312" w:eastAsia="仿宋_GB2312" w:cs="仿宋_GB2312"/>
          <w:kern w:val="1"/>
          <w:sz w:val="32"/>
          <w:szCs w:val="32"/>
        </w:rPr>
        <w:t>古建筑，</w:t>
      </w:r>
      <w:r>
        <w:rPr>
          <w:rFonts w:hint="eastAsia" w:ascii="仿宋_GB2312" w:hAnsi="仿宋_GB2312" w:eastAsia="仿宋_GB2312" w:cs="仿宋_GB2312"/>
          <w:kern w:val="1"/>
          <w:sz w:val="32"/>
          <w:szCs w:val="32"/>
          <w:lang w:eastAsia="zh-CN"/>
        </w:rPr>
        <w:t>若要维持正常开馆，需要支付很大一部分维修费，维修费包括暖气维修、电路维修、安防消防设施维修等</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Style w:val="53"/>
        <w:pageBreakBefore w:val="0"/>
        <w:kinsoku/>
        <w:wordWrap/>
        <w:overflowPunct/>
        <w:topLinePunct w:val="0"/>
        <w:autoSpaceDE/>
        <w:autoSpaceDN/>
        <w:bidi w:val="0"/>
        <w:adjustRightInd/>
        <w:snapToGrid/>
        <w:spacing w:line="560" w:lineRule="exact"/>
        <w:ind w:firstLine="624" w:firstLineChars="195"/>
      </w:pPr>
      <w:r>
        <w:rPr>
          <w:rFonts w:hint="eastAsia" w:ascii="仿宋_GB2312" w:hAnsi="仿宋_GB2312" w:eastAsia="仿宋_GB2312" w:cs="仿宋_GB2312"/>
          <w:kern w:val="2"/>
          <w:sz w:val="32"/>
          <w:szCs w:val="32"/>
          <w:lang w:val="en-US" w:eastAsia="zh-CN" w:bidi="ar-SA"/>
        </w:rPr>
        <w:t>按照有关博物馆免费开放资金用途完成，力争使成果符合博物馆免费开放要求，部分项目还达到了设备和技术的先进性、实用性和安全性的综合统一。</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kern w:val="2"/>
          <w:sz w:val="32"/>
          <w:szCs w:val="32"/>
          <w:lang w:val="en-US" w:eastAsia="zh-CN" w:bidi="ar-SA"/>
        </w:rPr>
        <w:t>博物馆免费开放资金使用</w:t>
      </w:r>
      <w:r>
        <w:rPr>
          <w:rFonts w:hint="eastAsia" w:ascii="仿宋_GB2312" w:hAnsi="仿宋_GB2312" w:eastAsia="仿宋_GB2312" w:cs="仿宋_GB2312"/>
          <w:sz w:val="32"/>
          <w:szCs w:val="32"/>
        </w:rPr>
        <w:t>方案》，通过制定项目实施方案，经</w:t>
      </w:r>
      <w:r>
        <w:rPr>
          <w:rFonts w:hint="eastAsia" w:ascii="仿宋_GB2312" w:hAnsi="仿宋_GB2312" w:eastAsia="仿宋_GB2312" w:cs="仿宋_GB2312"/>
          <w:sz w:val="32"/>
          <w:szCs w:val="32"/>
          <w:lang w:eastAsia="zh-CN"/>
        </w:rPr>
        <w:t>管委会</w:t>
      </w:r>
      <w:r>
        <w:rPr>
          <w:rFonts w:hint="eastAsia" w:ascii="仿宋_GB2312" w:hAnsi="仿宋_GB2312" w:eastAsia="仿宋_GB2312" w:cs="仿宋_GB2312"/>
          <w:sz w:val="32"/>
          <w:szCs w:val="32"/>
        </w:rPr>
        <w:t>审核通过后，有序开展后续</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w:t>
      </w:r>
      <w:r>
        <w:rPr>
          <w:rFonts w:hint="eastAsia" w:ascii="仿宋_GB2312" w:hAnsi="仿宋_GB2312" w:eastAsia="仿宋_GB2312" w:cs="仿宋_GB2312"/>
          <w:sz w:val="32"/>
          <w:szCs w:val="32"/>
          <w:lang w:eastAsia="zh-CN"/>
        </w:rPr>
        <w:t>截止</w:t>
      </w:r>
      <w:r>
        <w:rPr>
          <w:rFonts w:hint="eastAsia" w:ascii="仿宋_GB2312" w:hAnsi="仿宋_GB2312" w:eastAsia="仿宋_GB2312" w:cs="仿宋_GB2312"/>
          <w:sz w:val="32"/>
          <w:szCs w:val="32"/>
          <w:lang w:val="en-US" w:eastAsia="zh-CN"/>
        </w:rPr>
        <w:t>2020年12月31日</w:t>
      </w:r>
      <w:r>
        <w:rPr>
          <w:rFonts w:hint="eastAsia" w:ascii="仿宋_GB2312" w:hAnsi="仿宋_GB2312" w:eastAsia="仿宋_GB2312" w:cs="仿宋_GB2312"/>
          <w:kern w:val="0"/>
          <w:sz w:val="32"/>
          <w:szCs w:val="32"/>
        </w:rPr>
        <w:t>地区博物馆</w:t>
      </w:r>
      <w:r>
        <w:rPr>
          <w:rFonts w:hint="eastAsia" w:ascii="仿宋_GB2312" w:hAnsi="仿宋_GB2312" w:eastAsia="仿宋_GB2312" w:cs="仿宋_GB2312"/>
          <w:kern w:val="1"/>
          <w:sz w:val="32"/>
          <w:szCs w:val="32"/>
        </w:rPr>
        <w:t>资金共使用</w:t>
      </w:r>
      <w:r>
        <w:rPr>
          <w:rFonts w:hint="eastAsia" w:ascii="仿宋_GB2312" w:hAnsi="仿宋_GB2312" w:eastAsia="仿宋_GB2312" w:cs="仿宋_GB2312"/>
          <w:kern w:val="1"/>
          <w:sz w:val="32"/>
          <w:szCs w:val="32"/>
          <w:lang w:val="en-US" w:eastAsia="zh-CN"/>
        </w:rPr>
        <w:t>133.65</w:t>
      </w:r>
      <w:r>
        <w:rPr>
          <w:rFonts w:hint="eastAsia" w:ascii="仿宋_GB2312" w:hAnsi="仿宋_GB2312" w:eastAsia="仿宋_GB2312" w:cs="仿宋_GB2312"/>
          <w:kern w:val="1"/>
          <w:sz w:val="32"/>
          <w:szCs w:val="32"/>
        </w:rPr>
        <w:t>万元，</w:t>
      </w:r>
      <w:r>
        <w:rPr>
          <w:rFonts w:hint="eastAsia" w:ascii="仿宋_GB2312" w:hAnsi="仿宋_GB2312" w:eastAsia="仿宋_GB2312" w:cs="仿宋_GB2312"/>
          <w:kern w:val="1"/>
          <w:sz w:val="32"/>
          <w:szCs w:val="32"/>
          <w:lang w:val="en-US" w:eastAsia="zh-CN"/>
        </w:rPr>
        <w:t>预算</w:t>
      </w:r>
      <w:r>
        <w:rPr>
          <w:rFonts w:hint="eastAsia" w:ascii="仿宋_GB2312" w:hAnsi="仿宋_GB2312" w:eastAsia="仿宋_GB2312" w:cs="仿宋_GB2312"/>
          <w:kern w:val="1"/>
          <w:sz w:val="32"/>
          <w:szCs w:val="32"/>
        </w:rPr>
        <w:t xml:space="preserve">执行率 </w:t>
      </w:r>
      <w:r>
        <w:rPr>
          <w:rFonts w:hint="eastAsia" w:ascii="仿宋_GB2312" w:hAnsi="仿宋_GB2312" w:eastAsia="仿宋_GB2312" w:cs="仿宋_GB2312"/>
          <w:kern w:val="1"/>
          <w:sz w:val="32"/>
          <w:szCs w:val="32"/>
          <w:lang w:val="en-US" w:eastAsia="zh-CN"/>
        </w:rPr>
        <w:t>100</w:t>
      </w:r>
      <w:r>
        <w:rPr>
          <w:rFonts w:hint="eastAsia" w:ascii="仿宋_GB2312" w:hAnsi="仿宋_GB2312" w:eastAsia="仿宋_GB2312" w:cs="仿宋_GB2312"/>
          <w:kern w:val="1"/>
          <w:sz w:val="32"/>
          <w:szCs w:val="32"/>
        </w:rPr>
        <w:t>%</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0"/>
          <w:sz w:val="32"/>
          <w:szCs w:val="32"/>
        </w:rPr>
        <w:t>共接待中外游客39830人次，其中，青少年参观人数达到11940人次，流动博物馆巡回展65场，参观人数达6580人次</w:t>
      </w:r>
      <w:r>
        <w:rPr>
          <w:rFonts w:hint="eastAsia" w:ascii="仿宋_GB2312" w:hAnsi="仿宋_GB2312" w:eastAsia="仿宋_GB2312" w:cs="仿宋_GB2312"/>
          <w:kern w:val="1"/>
          <w:sz w:val="32"/>
          <w:szCs w:val="32"/>
        </w:rPr>
        <w:t>。</w:t>
      </w:r>
      <w:r>
        <w:rPr>
          <w:rFonts w:hint="eastAsia" w:ascii="仿宋_GB2312" w:hAnsi="仿宋_GB2312" w:eastAsia="仿宋_GB2312" w:cs="仿宋_GB2312"/>
          <w:sz w:val="32"/>
          <w:szCs w:val="32"/>
        </w:rPr>
        <w:t>项目责任人按照《</w:t>
      </w:r>
      <w:r>
        <w:rPr>
          <w:rFonts w:hint="eastAsia" w:ascii="仿宋_GB2312" w:hAnsi="仿宋_GB2312" w:eastAsia="仿宋_GB2312" w:cs="仿宋_GB2312"/>
          <w:kern w:val="2"/>
          <w:sz w:val="32"/>
          <w:szCs w:val="32"/>
          <w:lang w:val="en-US" w:eastAsia="zh-CN" w:bidi="ar-SA"/>
        </w:rPr>
        <w:t>博物馆免费开放资金使用</w:t>
      </w:r>
      <w:r>
        <w:rPr>
          <w:rFonts w:hint="eastAsia" w:ascii="仿宋_GB2312" w:hAnsi="仿宋_GB2312" w:eastAsia="仿宋_GB2312" w:cs="仿宋_GB2312"/>
          <w:sz w:val="32"/>
          <w:szCs w:val="32"/>
        </w:rPr>
        <w:t>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1"/>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本次绩效评价遵循财政部《关于印发&lt;项目支出绩效评价管理办法&gt;的通知》，《关于印发&lt;塔城地区全面实施财政支出绩效管理的工作方案&gt;的通知》（塔财预〔2020〕15号）文件精神，对塔城</w:t>
      </w:r>
      <w:r>
        <w:rPr>
          <w:rFonts w:hint="eastAsia" w:ascii="仿宋_GB2312" w:hAnsi="仿宋_GB2312" w:eastAsia="仿宋_GB2312" w:cs="仿宋_GB2312"/>
          <w:sz w:val="32"/>
          <w:szCs w:val="32"/>
          <w:lang w:eastAsia="zh-CN"/>
        </w:rPr>
        <w:t>地区博物馆</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博物馆、纪念馆免费开放资金</w:t>
      </w:r>
      <w:r>
        <w:rPr>
          <w:rFonts w:hint="eastAsia" w:ascii="仿宋_GB2312" w:hAnsi="仿宋_GB2312" w:eastAsia="仿宋_GB2312" w:cs="仿宋_GB2312"/>
          <w:sz w:val="32"/>
          <w:szCs w:val="32"/>
        </w:rPr>
        <w:t>项目”进行绩效评价，从</w:t>
      </w:r>
      <w:r>
        <w:rPr>
          <w:rFonts w:hint="eastAsia" w:ascii="仿宋_GB2312" w:hAnsi="仿宋_GB2312" w:eastAsia="仿宋_GB2312" w:cs="仿宋_GB2312"/>
          <w:sz w:val="32"/>
          <w:szCs w:val="32"/>
          <w:lang w:eastAsia="zh-CN"/>
        </w:rPr>
        <w:t>改善陈列布展，支持重点博物馆提升服务能力</w:t>
      </w:r>
      <w:r>
        <w:rPr>
          <w:rFonts w:hint="eastAsia" w:ascii="仿宋_GB2312" w:hAnsi="仿宋_GB2312" w:eastAsia="仿宋_GB2312" w:cs="仿宋_GB2312"/>
          <w:sz w:val="32"/>
          <w:szCs w:val="32"/>
        </w:rPr>
        <w:t>专项经费管理使用的角度探寻“塔城</w:t>
      </w:r>
      <w:r>
        <w:rPr>
          <w:rFonts w:hint="eastAsia" w:ascii="仿宋_GB2312" w:hAnsi="仿宋_GB2312" w:eastAsia="仿宋_GB2312" w:cs="仿宋_GB2312"/>
          <w:sz w:val="32"/>
          <w:szCs w:val="32"/>
          <w:lang w:eastAsia="zh-CN"/>
        </w:rPr>
        <w:t>地区博物馆博物馆、纪念馆免费开放资金专项经费</w:t>
      </w:r>
      <w:r>
        <w:rPr>
          <w:rFonts w:hint="eastAsia" w:ascii="仿宋_GB2312" w:hAnsi="仿宋_GB2312" w:eastAsia="仿宋_GB2312" w:cs="仿宋_GB2312"/>
          <w:sz w:val="32"/>
          <w:szCs w:val="32"/>
        </w:rPr>
        <w:t>项目”的效率和效益，提出有针对性的建议，提高对“塔城</w:t>
      </w:r>
      <w:r>
        <w:rPr>
          <w:rFonts w:hint="eastAsia" w:ascii="仿宋_GB2312" w:hAnsi="仿宋_GB2312" w:eastAsia="仿宋_GB2312" w:cs="仿宋_GB2312"/>
          <w:sz w:val="32"/>
          <w:szCs w:val="32"/>
          <w:lang w:eastAsia="zh-CN"/>
        </w:rPr>
        <w:t>地区博物馆博物馆、纪念馆免费开放资金专项经费</w:t>
      </w:r>
      <w:r>
        <w:rPr>
          <w:rFonts w:hint="eastAsia" w:ascii="仿宋_GB2312" w:hAnsi="仿宋_GB2312" w:eastAsia="仿宋_GB2312" w:cs="仿宋_GB2312"/>
          <w:sz w:val="32"/>
          <w:szCs w:val="32"/>
        </w:rPr>
        <w:t>”的有效利用度，进一步提升“塔城</w:t>
      </w:r>
      <w:r>
        <w:rPr>
          <w:rFonts w:hint="eastAsia" w:ascii="仿宋_GB2312" w:hAnsi="仿宋_GB2312" w:eastAsia="仿宋_GB2312" w:cs="仿宋_GB2312"/>
          <w:sz w:val="32"/>
          <w:szCs w:val="32"/>
          <w:lang w:eastAsia="zh-CN"/>
        </w:rPr>
        <w:t>地区博物馆</w:t>
      </w:r>
      <w:r>
        <w:rPr>
          <w:rFonts w:hint="eastAsia" w:ascii="仿宋_GB2312" w:hAnsi="仿宋_GB2312" w:eastAsia="仿宋_GB2312" w:cs="仿宋_GB2312"/>
          <w:sz w:val="32"/>
          <w:szCs w:val="32"/>
        </w:rPr>
        <w:t>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博物馆、纪念馆免费开放资金专项经费</w:t>
      </w:r>
      <w:r>
        <w:rPr>
          <w:rFonts w:hint="eastAsia" w:ascii="仿宋_GB2312" w:hAnsi="仿宋_GB2312" w:eastAsia="仿宋_GB2312" w:cs="仿宋_GB2312"/>
          <w:sz w:val="32"/>
          <w:szCs w:val="32"/>
        </w:rPr>
        <w:t>项目在实施前向项目负责人提供财政支出绩效方面的资金管理信息，促进</w:t>
      </w:r>
      <w:r>
        <w:rPr>
          <w:rFonts w:hint="eastAsia" w:ascii="仿宋_GB2312" w:hAnsi="仿宋_GB2312" w:eastAsia="仿宋_GB2312" w:cs="仿宋_GB2312"/>
          <w:sz w:val="32"/>
          <w:szCs w:val="32"/>
          <w:lang w:eastAsia="zh-CN"/>
        </w:rPr>
        <w:t>免费开放资金</w:t>
      </w:r>
      <w:r>
        <w:rPr>
          <w:rFonts w:hint="eastAsia" w:ascii="仿宋_GB2312" w:hAnsi="仿宋_GB2312" w:eastAsia="仿宋_GB2312" w:cs="仿宋_GB2312"/>
          <w:sz w:val="32"/>
          <w:szCs w:val="32"/>
        </w:rPr>
        <w:t>项目支出严格按照资金管理规定进行。</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博物馆、纪念馆免费开放资金专项经费</w:t>
      </w:r>
      <w:r>
        <w:rPr>
          <w:rFonts w:hint="eastAsia" w:ascii="仿宋_GB2312" w:hAnsi="仿宋_GB2312" w:eastAsia="仿宋_GB2312" w:cs="仿宋_GB2312"/>
          <w:sz w:val="32"/>
          <w:szCs w:val="32"/>
        </w:rPr>
        <w:t>项目绩效管理财政支出运行提供及时、有效的信息。</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exact"/>
        <w:ind w:firstLine="640" w:firstLineChars="200"/>
        <w:contextualSpacing/>
        <w:rPr>
          <w:rFonts w:hint="eastAsia" w:ascii="仿宋_GB2312" w:hAnsi="仿宋_GB2312" w:eastAsia="仿宋_GB2312" w:cs="仿宋_GB2312"/>
          <w:sz w:val="32"/>
          <w:szCs w:val="32"/>
          <w:highlight w:val="yellow"/>
          <w:lang w:eastAsia="zh-CN"/>
        </w:rPr>
      </w:pPr>
      <w:r>
        <w:rPr>
          <w:rFonts w:hint="eastAsia" w:ascii="仿宋_GB2312" w:hAnsi="仿宋_GB2312" w:eastAsia="仿宋_GB2312" w:cs="仿宋_GB2312"/>
          <w:sz w:val="32"/>
          <w:szCs w:val="32"/>
          <w:highlight w:val="none"/>
          <w:lang w:val="en-US" w:eastAsia="zh-CN"/>
        </w:rPr>
        <w:t>评价对象为</w:t>
      </w:r>
      <w:r>
        <w:rPr>
          <w:rFonts w:hint="eastAsia" w:ascii="仿宋_GB2312" w:hAnsi="仿宋_GB2312" w:eastAsia="仿宋_GB2312" w:cs="仿宋_GB2312"/>
          <w:sz w:val="32"/>
          <w:szCs w:val="32"/>
          <w:highlight w:val="none"/>
          <w:lang w:eastAsia="zh-CN"/>
        </w:rPr>
        <w:t>塔城地区博物馆、纪念馆免费开放资金</w:t>
      </w:r>
      <w:r>
        <w:rPr>
          <w:rFonts w:hint="eastAsia" w:ascii="仿宋_GB2312" w:hAnsi="仿宋_GB2312" w:eastAsia="仿宋_GB2312" w:cs="仿宋_GB2312"/>
          <w:sz w:val="32"/>
          <w:szCs w:val="32"/>
          <w:highlight w:val="none"/>
        </w:rPr>
        <w:t>专项经费</w:t>
      </w:r>
      <w:r>
        <w:rPr>
          <w:rFonts w:hint="eastAsia" w:ascii="仿宋_GB2312" w:hAnsi="仿宋_GB2312" w:eastAsia="仿宋_GB2312" w:cs="仿宋_GB2312"/>
          <w:sz w:val="32"/>
          <w:szCs w:val="32"/>
          <w:highlight w:val="none"/>
          <w:lang w:eastAsia="zh-CN"/>
        </w:rPr>
        <w:t>项目。</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w:t>
      </w:r>
      <w:r>
        <w:rPr>
          <w:rFonts w:hint="eastAsia" w:ascii="仿宋_GB2312" w:hAnsi="仿宋_GB2312" w:eastAsia="仿宋_GB2312" w:cs="仿宋_GB2312"/>
          <w:sz w:val="32"/>
          <w:szCs w:val="32"/>
          <w:lang w:val="en-US" w:eastAsia="zh-CN"/>
        </w:rPr>
        <w:t>博物馆、纪念馆免费开放资金专项经费</w:t>
      </w:r>
      <w:r>
        <w:rPr>
          <w:rFonts w:hint="eastAsia" w:ascii="仿宋_GB2312" w:hAnsi="仿宋_GB2312" w:eastAsia="仿宋_GB2312" w:cs="仿宋_GB2312"/>
          <w:sz w:val="32"/>
          <w:szCs w:val="32"/>
        </w:rPr>
        <w:t>项目的决策、过程、产出、效益等方面进行评价。</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为了全面了解</w:t>
      </w:r>
      <w:r>
        <w:rPr>
          <w:rFonts w:hint="eastAsia" w:ascii="仿宋_GB2312" w:hAnsi="仿宋_GB2312" w:eastAsia="仿宋_GB2312" w:cs="仿宋_GB2312"/>
          <w:sz w:val="32"/>
          <w:szCs w:val="32"/>
          <w:lang w:eastAsia="zh-CN"/>
        </w:rPr>
        <w:t>博物馆、纪念馆免费开放资金专项经费</w:t>
      </w:r>
      <w:r>
        <w:rPr>
          <w:rFonts w:hint="eastAsia" w:ascii="仿宋_GB2312" w:hAnsi="仿宋_GB2312" w:eastAsia="仿宋_GB2312" w:cs="仿宋_GB2312"/>
          <w:sz w:val="32"/>
          <w:szCs w:val="32"/>
        </w:rPr>
        <w:t>项目资金的使用情况、实施情况以及取得的综合绩效，以便总结</w:t>
      </w:r>
      <w:r>
        <w:rPr>
          <w:rFonts w:hint="eastAsia" w:ascii="仿宋_GB2312" w:hAnsi="仿宋_GB2312" w:eastAsia="仿宋_GB2312" w:cs="仿宋_GB2312"/>
          <w:sz w:val="32"/>
          <w:szCs w:val="32"/>
          <w:lang w:eastAsia="zh-CN"/>
        </w:rPr>
        <w:t>博物馆、纪念馆免费开放资金专项经费</w:t>
      </w:r>
      <w:r>
        <w:rPr>
          <w:rFonts w:hint="eastAsia" w:ascii="仿宋_GB2312" w:hAnsi="仿宋_GB2312" w:eastAsia="仿宋_GB2312" w:cs="仿宋_GB2312"/>
          <w:sz w:val="32"/>
          <w:szCs w:val="32"/>
        </w:rPr>
        <w:t>项目实施经验，发现</w:t>
      </w:r>
      <w:r>
        <w:rPr>
          <w:rFonts w:hint="eastAsia" w:ascii="仿宋_GB2312" w:hAnsi="仿宋_GB2312" w:eastAsia="仿宋_GB2312" w:cs="仿宋_GB2312"/>
          <w:sz w:val="32"/>
          <w:szCs w:val="32"/>
          <w:lang w:eastAsia="zh-CN"/>
        </w:rPr>
        <w:t>该</w:t>
      </w:r>
      <w:r>
        <w:rPr>
          <w:rFonts w:hint="eastAsia" w:ascii="仿宋_GB2312" w:hAnsi="仿宋_GB2312" w:eastAsia="仿宋_GB2312" w:cs="仿宋_GB2312"/>
          <w:sz w:val="32"/>
          <w:szCs w:val="32"/>
        </w:rPr>
        <w:t>项目管理中存在的问题，进一步加强和规范</w:t>
      </w:r>
      <w:r>
        <w:rPr>
          <w:rFonts w:hint="eastAsia" w:ascii="仿宋_GB2312" w:hAnsi="仿宋_GB2312" w:eastAsia="仿宋_GB2312" w:cs="仿宋_GB2312"/>
          <w:sz w:val="32"/>
          <w:szCs w:val="32"/>
          <w:lang w:eastAsia="zh-CN"/>
        </w:rPr>
        <w:t>博物馆、纪念馆免费开放资金专项经费</w:t>
      </w:r>
      <w:r>
        <w:rPr>
          <w:rFonts w:hint="eastAsia" w:ascii="仿宋_GB2312" w:hAnsi="仿宋_GB2312" w:eastAsia="仿宋_GB2312" w:cs="仿宋_GB2312"/>
          <w:sz w:val="32"/>
          <w:szCs w:val="32"/>
        </w:rPr>
        <w:t>项目资金管理，完善</w:t>
      </w:r>
      <w:r>
        <w:rPr>
          <w:rFonts w:hint="eastAsia" w:ascii="仿宋_GB2312" w:hAnsi="仿宋_GB2312" w:eastAsia="仿宋_GB2312" w:cs="仿宋_GB2312"/>
          <w:sz w:val="32"/>
          <w:szCs w:val="32"/>
          <w:lang w:eastAsia="zh-CN"/>
        </w:rPr>
        <w:t>博物馆、纪念馆免费开放资金专项经费</w:t>
      </w:r>
      <w:r>
        <w:rPr>
          <w:rFonts w:hint="eastAsia" w:ascii="仿宋_GB2312" w:hAnsi="仿宋_GB2312" w:eastAsia="仿宋_GB2312" w:cs="仿宋_GB2312"/>
          <w:sz w:val="32"/>
          <w:szCs w:val="32"/>
        </w:rPr>
        <w:t>项目和资金管理办法，指导预算编制和申报绩效目标、优化财政支出结构提供决策参考和依据，以保证</w:t>
      </w:r>
      <w:r>
        <w:rPr>
          <w:rFonts w:hint="eastAsia" w:ascii="仿宋_GB2312" w:hAnsi="仿宋_GB2312" w:eastAsia="仿宋_GB2312" w:cs="仿宋_GB2312"/>
          <w:sz w:val="32"/>
          <w:szCs w:val="32"/>
          <w:lang w:eastAsia="zh-CN"/>
        </w:rPr>
        <w:t>博物馆、纪念馆免费开放资金专项经费</w:t>
      </w:r>
      <w:r>
        <w:rPr>
          <w:rFonts w:hint="eastAsia" w:ascii="仿宋_GB2312" w:hAnsi="仿宋_GB2312" w:eastAsia="仿宋_GB2312" w:cs="仿宋_GB2312"/>
          <w:sz w:val="32"/>
          <w:szCs w:val="32"/>
        </w:rPr>
        <w:t>项目资金使用管理的规范性、安全性和有效性，对</w:t>
      </w:r>
      <w:r>
        <w:rPr>
          <w:rFonts w:hint="eastAsia" w:ascii="仿宋_GB2312" w:hAnsi="仿宋_GB2312" w:eastAsia="仿宋_GB2312" w:cs="仿宋_GB2312"/>
          <w:sz w:val="32"/>
          <w:szCs w:val="32"/>
          <w:lang w:eastAsia="zh-CN"/>
        </w:rPr>
        <w:t>博物馆、纪念馆免费开放资金专项经费</w:t>
      </w:r>
      <w:r>
        <w:rPr>
          <w:rFonts w:hint="eastAsia" w:ascii="仿宋_GB2312" w:hAnsi="仿宋_GB2312" w:eastAsia="仿宋_GB2312" w:cs="仿宋_GB2312"/>
          <w:sz w:val="32"/>
          <w:szCs w:val="32"/>
        </w:rPr>
        <w:t>项目进行绩效评价是必不可少的。</w:t>
      </w:r>
    </w:p>
    <w:p>
      <w:pPr>
        <w:pageBreakBefore w:val="0"/>
        <w:kinsoku/>
        <w:wordWrap/>
        <w:overflowPunct/>
        <w:topLinePunct w:val="0"/>
        <w:autoSpaceDE/>
        <w:autoSpaceDN/>
        <w:bidi w:val="0"/>
        <w:adjustRightInd/>
        <w:snapToGrid/>
        <w:spacing w:line="560" w:lineRule="exac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lang w:eastAsia="zh-CN"/>
        </w:rPr>
        <w:t>本次</w:t>
      </w: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w:t>
      </w:r>
      <w:r>
        <w:rPr>
          <w:rFonts w:hint="eastAsia" w:ascii="仿宋_GB2312" w:hAnsi="仿宋_GB2312" w:eastAsia="仿宋_GB2312" w:cs="仿宋_GB2312"/>
          <w:color w:val="000000"/>
          <w:spacing w:val="17"/>
          <w:sz w:val="32"/>
          <w:szCs w:val="32"/>
          <w:highlight w:val="none"/>
        </w:rPr>
        <w:t>评价指标体系中，</w:t>
      </w:r>
      <w:r>
        <w:rPr>
          <w:rFonts w:hint="eastAsia" w:ascii="仿宋_GB2312" w:hAnsi="仿宋_GB2312" w:eastAsia="仿宋_GB2312" w:cs="仿宋_GB2312"/>
          <w:color w:val="000000"/>
          <w:spacing w:val="17"/>
          <w:sz w:val="32"/>
          <w:szCs w:val="32"/>
        </w:rPr>
        <w:t>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lang w:val="en-US" w:eastAsia="zh-CN"/>
        </w:rPr>
        <w:t>占5分</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highlight w:val="none"/>
          <w:lang w:val="en-US" w:eastAsia="zh-CN"/>
        </w:rPr>
        <w:t>分，</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50分</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40分</w:t>
      </w:r>
      <w:r>
        <w:rPr>
          <w:rFonts w:hint="eastAsia" w:ascii="仿宋_GB2312" w:hAnsi="仿宋_GB2312" w:eastAsia="仿宋_GB2312" w:cs="仿宋_GB2312"/>
          <w:color w:val="000000"/>
          <w:spacing w:val="17"/>
          <w:sz w:val="32"/>
          <w:szCs w:val="32"/>
          <w:highlight w:val="none"/>
        </w:rPr>
        <w:t>。</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firstLine="708" w:firstLineChars="200"/>
        <w:jc w:val="both"/>
        <w:outlineLvl w:val="9"/>
        <w:rPr>
          <w:rFonts w:hint="eastAsia" w:ascii="仿宋_GB2312" w:hAnsi="仿宋_GB2312" w:eastAsia="仿宋_GB2312" w:cs="仿宋_GB2312"/>
          <w:b w:val="0"/>
          <w:bCs w:val="0"/>
          <w:color w:val="000000"/>
          <w:spacing w:val="17"/>
          <w:lang w:val="en-US" w:eastAsia="zh-CN"/>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eastAsia="zh-CN"/>
        </w:rPr>
        <w:t>下表。</w:t>
      </w:r>
    </w:p>
    <w:tbl>
      <w:tblPr>
        <w:tblStyle w:val="21"/>
        <w:tblpPr w:leftFromText="180" w:rightFromText="180" w:vertAnchor="text" w:horzAnchor="page" w:tblpX="1749" w:tblpY="1012"/>
        <w:tblOverlap w:val="never"/>
        <w:tblW w:w="9500" w:type="dxa"/>
        <w:tblInd w:w="0" w:type="dxa"/>
        <w:tblLayout w:type="fixed"/>
        <w:tblCellMar>
          <w:top w:w="0" w:type="dxa"/>
          <w:left w:w="0" w:type="dxa"/>
          <w:bottom w:w="0" w:type="dxa"/>
          <w:right w:w="0" w:type="dxa"/>
        </w:tblCellMar>
      </w:tblPr>
      <w:tblGrid>
        <w:gridCol w:w="1573"/>
        <w:gridCol w:w="2723"/>
        <w:gridCol w:w="3588"/>
        <w:gridCol w:w="1616"/>
      </w:tblGrid>
      <w:tr>
        <w:tblPrEx>
          <w:tblCellMar>
            <w:top w:w="0" w:type="dxa"/>
            <w:left w:w="0" w:type="dxa"/>
            <w:bottom w:w="0" w:type="dxa"/>
            <w:right w:w="0" w:type="dxa"/>
          </w:tblCellMar>
        </w:tblPrEx>
        <w:trPr>
          <w:trHeight w:val="595" w:hRule="atLeast"/>
        </w:trPr>
        <w:tc>
          <w:tcPr>
            <w:tcW w:w="157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482" w:firstLineChars="200"/>
              <w:jc w:val="both"/>
              <w:textAlignment w:val="center"/>
              <w:rPr>
                <w:rFonts w:ascii="仿宋" w:hAnsi="仿宋" w:eastAsia="仿宋" w:cs="仿宋"/>
                <w:b/>
                <w:bCs w:val="0"/>
                <w:color w:val="000000"/>
                <w:sz w:val="24"/>
                <w:szCs w:val="24"/>
              </w:rPr>
            </w:pPr>
            <w:r>
              <w:rPr>
                <w:rFonts w:hint="eastAsia" w:ascii="仿宋" w:hAnsi="仿宋" w:eastAsia="仿宋" w:cs="仿宋"/>
                <w:b/>
                <w:bCs w:val="0"/>
                <w:color w:val="000000"/>
                <w:kern w:val="0"/>
                <w:sz w:val="24"/>
                <w:szCs w:val="24"/>
              </w:rPr>
              <w:t>一级指标</w:t>
            </w:r>
          </w:p>
        </w:tc>
        <w:tc>
          <w:tcPr>
            <w:tcW w:w="272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482" w:firstLineChars="200"/>
              <w:jc w:val="both"/>
              <w:textAlignment w:val="center"/>
              <w:rPr>
                <w:rFonts w:ascii="仿宋" w:hAnsi="仿宋" w:eastAsia="仿宋" w:cs="仿宋"/>
                <w:b/>
                <w:bCs w:val="0"/>
                <w:color w:val="000000"/>
                <w:sz w:val="24"/>
                <w:szCs w:val="24"/>
              </w:rPr>
            </w:pPr>
            <w:r>
              <w:rPr>
                <w:rFonts w:hint="eastAsia" w:ascii="仿宋" w:hAnsi="仿宋" w:eastAsia="仿宋" w:cs="仿宋"/>
                <w:b/>
                <w:bCs w:val="0"/>
                <w:color w:val="000000"/>
                <w:kern w:val="0"/>
                <w:sz w:val="24"/>
                <w:szCs w:val="24"/>
              </w:rPr>
              <w:t>二级指标</w:t>
            </w: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482" w:firstLineChars="200"/>
              <w:jc w:val="both"/>
              <w:textAlignment w:val="center"/>
              <w:rPr>
                <w:rFonts w:ascii="仿宋" w:hAnsi="仿宋" w:eastAsia="仿宋" w:cs="仿宋"/>
                <w:b/>
                <w:bCs w:val="0"/>
                <w:color w:val="000000"/>
                <w:sz w:val="24"/>
                <w:szCs w:val="24"/>
              </w:rPr>
            </w:pPr>
            <w:r>
              <w:rPr>
                <w:rFonts w:hint="eastAsia" w:ascii="仿宋" w:hAnsi="仿宋" w:eastAsia="仿宋" w:cs="仿宋"/>
                <w:b/>
                <w:bCs w:val="0"/>
                <w:color w:val="000000"/>
                <w:kern w:val="0"/>
                <w:sz w:val="24"/>
                <w:szCs w:val="24"/>
              </w:rPr>
              <w:t>三级指标</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482" w:firstLineChars="200"/>
              <w:jc w:val="both"/>
              <w:textAlignment w:val="center"/>
              <w:rPr>
                <w:rFonts w:ascii="仿宋" w:hAnsi="仿宋" w:eastAsia="仿宋" w:cs="仿宋"/>
                <w:b/>
                <w:bCs w:val="0"/>
                <w:color w:val="000000"/>
                <w:sz w:val="24"/>
                <w:szCs w:val="24"/>
              </w:rPr>
            </w:pPr>
            <w:r>
              <w:rPr>
                <w:rFonts w:hint="eastAsia" w:ascii="仿宋" w:hAnsi="仿宋" w:eastAsia="仿宋" w:cs="仿宋"/>
                <w:b/>
                <w:bCs w:val="0"/>
                <w:color w:val="000000"/>
                <w:kern w:val="0"/>
                <w:sz w:val="24"/>
                <w:szCs w:val="24"/>
              </w:rPr>
              <w:t>得分</w:t>
            </w:r>
          </w:p>
        </w:tc>
      </w:tr>
      <w:tr>
        <w:tblPrEx>
          <w:tblCellMar>
            <w:top w:w="0" w:type="dxa"/>
            <w:left w:w="0" w:type="dxa"/>
            <w:bottom w:w="0" w:type="dxa"/>
            <w:right w:w="0" w:type="dxa"/>
          </w:tblCellMar>
        </w:tblPrEx>
        <w:trPr>
          <w:trHeight w:val="595" w:hRule="atLeast"/>
        </w:trPr>
        <w:tc>
          <w:tcPr>
            <w:tcW w:w="15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决策（5分）</w:t>
            </w:r>
          </w:p>
        </w:tc>
        <w:tc>
          <w:tcPr>
            <w:tcW w:w="272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项目立项（</w:t>
            </w:r>
            <w:r>
              <w:rPr>
                <w:rFonts w:hint="eastAsia" w:ascii="仿宋" w:hAnsi="仿宋" w:eastAsia="仿宋" w:cs="仿宋"/>
                <w:bCs/>
                <w:color w:val="000000"/>
                <w:kern w:val="0"/>
                <w:sz w:val="30"/>
                <w:szCs w:val="30"/>
                <w:lang w:val="en-US" w:eastAsia="zh-CN"/>
              </w:rPr>
              <w:t>1</w:t>
            </w:r>
            <w:r>
              <w:rPr>
                <w:rFonts w:hint="eastAsia" w:ascii="仿宋" w:hAnsi="仿宋" w:eastAsia="仿宋" w:cs="仿宋"/>
                <w:bCs/>
                <w:color w:val="000000"/>
                <w:kern w:val="0"/>
                <w:sz w:val="30"/>
                <w:szCs w:val="30"/>
              </w:rPr>
              <w:t>分）</w:t>
            </w:r>
          </w:p>
        </w:tc>
        <w:tc>
          <w:tcPr>
            <w:tcW w:w="3588"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立项依据充分性（</w:t>
            </w:r>
            <w:r>
              <w:rPr>
                <w:rFonts w:hint="eastAsia" w:ascii="仿宋" w:hAnsi="仿宋" w:eastAsia="仿宋" w:cs="仿宋"/>
                <w:bCs/>
                <w:color w:val="000000"/>
                <w:kern w:val="0"/>
                <w:sz w:val="30"/>
                <w:szCs w:val="30"/>
                <w:lang w:val="en-US" w:eastAsia="zh-CN"/>
              </w:rPr>
              <w:t>0</w:t>
            </w:r>
            <w:r>
              <w:rPr>
                <w:rFonts w:hint="eastAsia" w:ascii="仿宋" w:hAnsi="仿宋" w:eastAsia="仿宋" w:cs="仿宋"/>
                <w:bCs/>
                <w:color w:val="000000"/>
                <w:kern w:val="0"/>
                <w:sz w:val="30"/>
                <w:szCs w:val="30"/>
              </w:rPr>
              <w:t>.5分）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0.5</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立项程序（</w:t>
            </w:r>
            <w:r>
              <w:rPr>
                <w:rFonts w:hint="eastAsia" w:ascii="仿宋" w:hAnsi="仿宋" w:eastAsia="仿宋" w:cs="仿宋"/>
                <w:bCs/>
                <w:color w:val="000000"/>
                <w:kern w:val="0"/>
                <w:sz w:val="30"/>
                <w:szCs w:val="30"/>
                <w:lang w:val="en-US" w:eastAsia="zh-CN"/>
              </w:rPr>
              <w:t>0</w:t>
            </w:r>
            <w:r>
              <w:rPr>
                <w:rFonts w:hint="eastAsia" w:ascii="仿宋" w:hAnsi="仿宋" w:eastAsia="仿宋" w:cs="仿宋"/>
                <w:bCs/>
                <w:color w:val="000000"/>
                <w:kern w:val="0"/>
                <w:sz w:val="30"/>
                <w:szCs w:val="30"/>
              </w:rPr>
              <w:t>.5分）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0.5</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绩效目标（</w:t>
            </w:r>
            <w:r>
              <w:rPr>
                <w:rFonts w:hint="eastAsia" w:ascii="仿宋" w:hAnsi="仿宋" w:eastAsia="仿宋" w:cs="仿宋"/>
                <w:bCs/>
                <w:color w:val="000000"/>
                <w:kern w:val="0"/>
                <w:sz w:val="30"/>
                <w:szCs w:val="30"/>
                <w:lang w:val="en-US" w:eastAsia="zh-CN"/>
              </w:rPr>
              <w:t>2</w:t>
            </w:r>
            <w:r>
              <w:rPr>
                <w:rFonts w:hint="eastAsia" w:ascii="仿宋" w:hAnsi="仿宋" w:eastAsia="仿宋" w:cs="仿宋"/>
                <w:bCs/>
                <w:color w:val="000000"/>
                <w:kern w:val="0"/>
                <w:sz w:val="30"/>
                <w:szCs w:val="30"/>
              </w:rPr>
              <w:t>分）</w:t>
            </w: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绩效目标（</w:t>
            </w:r>
            <w:r>
              <w:rPr>
                <w:rFonts w:hint="eastAsia" w:ascii="仿宋" w:hAnsi="仿宋" w:eastAsia="仿宋" w:cs="仿宋"/>
                <w:bCs/>
                <w:color w:val="000000"/>
                <w:kern w:val="0"/>
                <w:sz w:val="30"/>
                <w:szCs w:val="30"/>
                <w:lang w:val="en-US" w:eastAsia="zh-CN"/>
              </w:rPr>
              <w:t>1</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绩效指标（</w:t>
            </w:r>
            <w:r>
              <w:rPr>
                <w:rFonts w:hint="eastAsia" w:ascii="仿宋" w:hAnsi="仿宋" w:eastAsia="仿宋" w:cs="仿宋"/>
                <w:bCs/>
                <w:color w:val="000000"/>
                <w:kern w:val="0"/>
                <w:sz w:val="30"/>
                <w:szCs w:val="30"/>
                <w:lang w:val="en-US" w:eastAsia="zh-CN"/>
              </w:rPr>
              <w:t>1</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资金投入（</w:t>
            </w:r>
            <w:r>
              <w:rPr>
                <w:rFonts w:hint="eastAsia" w:ascii="仿宋" w:hAnsi="仿宋" w:eastAsia="仿宋" w:cs="仿宋"/>
                <w:bCs/>
                <w:color w:val="000000"/>
                <w:kern w:val="0"/>
                <w:sz w:val="30"/>
                <w:szCs w:val="30"/>
                <w:lang w:val="en-US" w:eastAsia="zh-CN"/>
              </w:rPr>
              <w:t>2</w:t>
            </w:r>
            <w:r>
              <w:rPr>
                <w:rFonts w:hint="eastAsia" w:ascii="仿宋" w:hAnsi="仿宋" w:eastAsia="仿宋" w:cs="仿宋"/>
                <w:bCs/>
                <w:color w:val="000000"/>
                <w:kern w:val="0"/>
                <w:sz w:val="30"/>
                <w:szCs w:val="30"/>
              </w:rPr>
              <w:t>分）</w:t>
            </w: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预算编制（</w:t>
            </w:r>
            <w:r>
              <w:rPr>
                <w:rFonts w:hint="eastAsia" w:ascii="仿宋" w:hAnsi="仿宋" w:eastAsia="仿宋" w:cs="仿宋"/>
                <w:bCs/>
                <w:color w:val="000000"/>
                <w:kern w:val="0"/>
                <w:sz w:val="30"/>
                <w:szCs w:val="30"/>
                <w:lang w:val="en-US" w:eastAsia="zh-CN"/>
              </w:rPr>
              <w:t>1</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3588"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资金分配合理性（</w:t>
            </w:r>
            <w:r>
              <w:rPr>
                <w:rFonts w:hint="eastAsia" w:ascii="仿宋" w:hAnsi="仿宋" w:eastAsia="仿宋" w:cs="仿宋"/>
                <w:bCs/>
                <w:color w:val="000000"/>
                <w:kern w:val="0"/>
                <w:sz w:val="30"/>
                <w:szCs w:val="30"/>
                <w:lang w:val="en-US" w:eastAsia="zh-CN"/>
              </w:rPr>
              <w:t>1</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w:t>
            </w:r>
          </w:p>
        </w:tc>
      </w:tr>
      <w:tr>
        <w:tblPrEx>
          <w:tblCellMar>
            <w:top w:w="0" w:type="dxa"/>
            <w:left w:w="0" w:type="dxa"/>
            <w:bottom w:w="0" w:type="dxa"/>
            <w:right w:w="0" w:type="dxa"/>
          </w:tblCellMar>
        </w:tblPrEx>
        <w:trPr>
          <w:trHeight w:val="595" w:hRule="atLeast"/>
        </w:trPr>
        <w:tc>
          <w:tcPr>
            <w:tcW w:w="15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过程（5分）</w:t>
            </w:r>
          </w:p>
        </w:tc>
        <w:tc>
          <w:tcPr>
            <w:tcW w:w="272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资金管理（</w:t>
            </w:r>
            <w:r>
              <w:rPr>
                <w:rFonts w:hint="eastAsia" w:ascii="仿宋" w:hAnsi="仿宋" w:eastAsia="仿宋" w:cs="仿宋"/>
                <w:bCs/>
                <w:color w:val="000000"/>
                <w:kern w:val="0"/>
                <w:sz w:val="30"/>
                <w:szCs w:val="30"/>
                <w:lang w:val="en-US" w:eastAsia="zh-CN"/>
              </w:rPr>
              <w:t>3</w:t>
            </w:r>
            <w:r>
              <w:rPr>
                <w:rFonts w:hint="eastAsia" w:ascii="仿宋" w:hAnsi="仿宋" w:eastAsia="仿宋" w:cs="仿宋"/>
                <w:bCs/>
                <w:color w:val="000000"/>
                <w:kern w:val="0"/>
                <w:sz w:val="30"/>
                <w:szCs w:val="30"/>
              </w:rPr>
              <w:t>分）</w:t>
            </w: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资金到位率（</w:t>
            </w:r>
            <w:r>
              <w:rPr>
                <w:rFonts w:hint="eastAsia" w:ascii="仿宋" w:hAnsi="仿宋" w:eastAsia="仿宋" w:cs="仿宋"/>
                <w:bCs/>
                <w:color w:val="000000"/>
                <w:kern w:val="0"/>
                <w:sz w:val="30"/>
                <w:szCs w:val="30"/>
                <w:lang w:val="en-US" w:eastAsia="zh-CN"/>
              </w:rPr>
              <w:t>1</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预算执行率（</w:t>
            </w:r>
            <w:r>
              <w:rPr>
                <w:rFonts w:hint="eastAsia" w:ascii="仿宋" w:hAnsi="仿宋" w:eastAsia="仿宋" w:cs="仿宋"/>
                <w:bCs/>
                <w:color w:val="000000"/>
                <w:kern w:val="0"/>
                <w:sz w:val="30"/>
                <w:szCs w:val="30"/>
                <w:lang w:val="en-US" w:eastAsia="zh-CN"/>
              </w:rPr>
              <w:t>1</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3588"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资金使用合规性（</w:t>
            </w:r>
            <w:r>
              <w:rPr>
                <w:rFonts w:hint="eastAsia" w:ascii="仿宋" w:hAnsi="仿宋" w:eastAsia="仿宋" w:cs="仿宋"/>
                <w:bCs/>
                <w:color w:val="000000"/>
                <w:kern w:val="0"/>
                <w:sz w:val="30"/>
                <w:szCs w:val="30"/>
                <w:lang w:val="en-US" w:eastAsia="zh-CN"/>
              </w:rPr>
              <w:t>1</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组织实施（</w:t>
            </w:r>
            <w:r>
              <w:rPr>
                <w:rFonts w:hint="eastAsia" w:ascii="仿宋" w:hAnsi="仿宋" w:eastAsia="仿宋" w:cs="仿宋"/>
                <w:bCs/>
                <w:color w:val="000000"/>
                <w:kern w:val="0"/>
                <w:sz w:val="30"/>
                <w:szCs w:val="30"/>
                <w:lang w:val="en-US" w:eastAsia="zh-CN"/>
              </w:rPr>
              <w:t>2</w:t>
            </w:r>
            <w:r>
              <w:rPr>
                <w:rFonts w:hint="eastAsia" w:ascii="仿宋" w:hAnsi="仿宋" w:eastAsia="仿宋" w:cs="仿宋"/>
                <w:bCs/>
                <w:color w:val="000000"/>
                <w:kern w:val="0"/>
                <w:sz w:val="30"/>
                <w:szCs w:val="30"/>
              </w:rPr>
              <w:t>分）</w:t>
            </w: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管理制度健全性（</w:t>
            </w:r>
            <w:r>
              <w:rPr>
                <w:rFonts w:hint="eastAsia" w:ascii="仿宋" w:hAnsi="仿宋" w:eastAsia="仿宋" w:cs="仿宋"/>
                <w:bCs/>
                <w:color w:val="000000"/>
                <w:kern w:val="0"/>
                <w:sz w:val="30"/>
                <w:szCs w:val="30"/>
                <w:lang w:val="en-US" w:eastAsia="zh-CN"/>
              </w:rPr>
              <w:t>1</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制度执行（</w:t>
            </w:r>
            <w:r>
              <w:rPr>
                <w:rFonts w:hint="eastAsia" w:ascii="仿宋" w:hAnsi="仿宋" w:eastAsia="仿宋" w:cs="仿宋"/>
                <w:bCs/>
                <w:color w:val="000000"/>
                <w:kern w:val="0"/>
                <w:sz w:val="30"/>
                <w:szCs w:val="30"/>
                <w:lang w:val="en-US" w:eastAsia="zh-CN"/>
              </w:rPr>
              <w:t>1</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w:t>
            </w:r>
          </w:p>
        </w:tc>
      </w:tr>
      <w:tr>
        <w:tblPrEx>
          <w:tblCellMar>
            <w:top w:w="0" w:type="dxa"/>
            <w:left w:w="0" w:type="dxa"/>
            <w:bottom w:w="0" w:type="dxa"/>
            <w:right w:w="0" w:type="dxa"/>
          </w:tblCellMar>
        </w:tblPrEx>
        <w:trPr>
          <w:trHeight w:val="651" w:hRule="atLeast"/>
        </w:trPr>
        <w:tc>
          <w:tcPr>
            <w:tcW w:w="15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Cs/>
                <w:color w:val="000000"/>
                <w:kern w:val="0"/>
                <w:sz w:val="30"/>
                <w:szCs w:val="30"/>
              </w:rPr>
            </w:pPr>
            <w:r>
              <w:rPr>
                <w:rFonts w:hint="eastAsia" w:ascii="仿宋" w:hAnsi="仿宋" w:eastAsia="仿宋" w:cs="仿宋"/>
                <w:bCs/>
                <w:color w:val="000000"/>
                <w:kern w:val="0"/>
                <w:sz w:val="30"/>
                <w:szCs w:val="30"/>
              </w:rPr>
              <w:t>产出</w:t>
            </w:r>
          </w:p>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w:t>
            </w:r>
            <w:r>
              <w:rPr>
                <w:rFonts w:hint="eastAsia" w:ascii="仿宋" w:hAnsi="仿宋" w:eastAsia="仿宋" w:cs="仿宋"/>
                <w:bCs/>
                <w:color w:val="000000"/>
                <w:kern w:val="0"/>
                <w:sz w:val="30"/>
                <w:szCs w:val="30"/>
                <w:lang w:val="en-US" w:eastAsia="zh-CN"/>
              </w:rPr>
              <w:t>50</w:t>
            </w:r>
            <w:r>
              <w:rPr>
                <w:rFonts w:hint="eastAsia" w:ascii="仿宋" w:hAnsi="仿宋" w:eastAsia="仿宋" w:cs="仿宋"/>
                <w:bCs/>
                <w:color w:val="000000"/>
                <w:kern w:val="0"/>
                <w:sz w:val="30"/>
                <w:szCs w:val="30"/>
              </w:rPr>
              <w:t>分）</w:t>
            </w:r>
          </w:p>
        </w:tc>
        <w:tc>
          <w:tcPr>
            <w:tcW w:w="272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产出数量（1</w:t>
            </w:r>
            <w:r>
              <w:rPr>
                <w:rFonts w:hint="eastAsia" w:ascii="仿宋" w:hAnsi="仿宋" w:eastAsia="仿宋" w:cs="仿宋"/>
                <w:bCs/>
                <w:color w:val="000000"/>
                <w:kern w:val="0"/>
                <w:sz w:val="30"/>
                <w:szCs w:val="30"/>
                <w:lang w:val="en-US" w:eastAsia="zh-CN"/>
              </w:rPr>
              <w:t>5</w:t>
            </w:r>
            <w:r>
              <w:rPr>
                <w:rFonts w:hint="eastAsia" w:ascii="仿宋" w:hAnsi="仿宋" w:eastAsia="仿宋" w:cs="仿宋"/>
                <w:bCs/>
                <w:color w:val="000000"/>
                <w:kern w:val="0"/>
                <w:sz w:val="30"/>
                <w:szCs w:val="30"/>
              </w:rPr>
              <w:t>分）</w:t>
            </w: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实际完成率（</w:t>
            </w:r>
            <w:r>
              <w:rPr>
                <w:rFonts w:hint="eastAsia" w:ascii="仿宋" w:hAnsi="仿宋" w:eastAsia="仿宋" w:cs="仿宋"/>
                <w:bCs/>
                <w:color w:val="000000"/>
                <w:kern w:val="0"/>
                <w:sz w:val="30"/>
                <w:szCs w:val="30"/>
                <w:lang w:val="en-US" w:eastAsia="zh-CN"/>
              </w:rPr>
              <w:t>15</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15</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产出质量（10分）</w:t>
            </w: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质量达标率（10分）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10</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产出时效（1</w:t>
            </w:r>
            <w:r>
              <w:rPr>
                <w:rFonts w:hint="eastAsia" w:ascii="仿宋" w:hAnsi="仿宋" w:eastAsia="仿宋" w:cs="仿宋"/>
                <w:bCs/>
                <w:color w:val="000000"/>
                <w:kern w:val="0"/>
                <w:sz w:val="30"/>
                <w:szCs w:val="30"/>
                <w:lang w:val="en-US" w:eastAsia="zh-CN"/>
              </w:rPr>
              <w:t>5</w:t>
            </w:r>
            <w:r>
              <w:rPr>
                <w:rFonts w:hint="eastAsia" w:ascii="仿宋" w:hAnsi="仿宋" w:eastAsia="仿宋" w:cs="仿宋"/>
                <w:bCs/>
                <w:color w:val="000000"/>
                <w:kern w:val="0"/>
                <w:sz w:val="30"/>
                <w:szCs w:val="30"/>
              </w:rPr>
              <w:t>分）</w:t>
            </w: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完成及时性（1</w:t>
            </w:r>
            <w:r>
              <w:rPr>
                <w:rFonts w:hint="eastAsia" w:ascii="仿宋" w:hAnsi="仿宋" w:eastAsia="仿宋" w:cs="仿宋"/>
                <w:bCs/>
                <w:color w:val="000000"/>
                <w:kern w:val="0"/>
                <w:sz w:val="30"/>
                <w:szCs w:val="30"/>
                <w:lang w:val="en-US" w:eastAsia="zh-CN"/>
              </w:rPr>
              <w:t>5</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15</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产出成本（10分）</w:t>
            </w: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成本节约率（10分）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10</w:t>
            </w:r>
          </w:p>
        </w:tc>
      </w:tr>
      <w:tr>
        <w:tblPrEx>
          <w:tblCellMar>
            <w:top w:w="0" w:type="dxa"/>
            <w:left w:w="0" w:type="dxa"/>
            <w:bottom w:w="0" w:type="dxa"/>
            <w:right w:w="0" w:type="dxa"/>
          </w:tblCellMar>
        </w:tblPrEx>
        <w:trPr>
          <w:trHeight w:val="595" w:hRule="atLeast"/>
        </w:trPr>
        <w:tc>
          <w:tcPr>
            <w:tcW w:w="15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Cs/>
                <w:color w:val="000000"/>
                <w:kern w:val="0"/>
                <w:sz w:val="30"/>
                <w:szCs w:val="30"/>
              </w:rPr>
            </w:pPr>
            <w:r>
              <w:rPr>
                <w:rFonts w:hint="eastAsia" w:ascii="仿宋" w:hAnsi="仿宋" w:eastAsia="仿宋" w:cs="仿宋"/>
                <w:bCs/>
                <w:color w:val="000000"/>
                <w:kern w:val="0"/>
                <w:sz w:val="30"/>
                <w:szCs w:val="30"/>
              </w:rPr>
              <w:t>效益</w:t>
            </w:r>
          </w:p>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w:t>
            </w:r>
            <w:r>
              <w:rPr>
                <w:rFonts w:hint="eastAsia" w:ascii="仿宋" w:hAnsi="仿宋" w:eastAsia="仿宋" w:cs="仿宋"/>
                <w:bCs/>
                <w:color w:val="000000"/>
                <w:kern w:val="0"/>
                <w:sz w:val="30"/>
                <w:szCs w:val="30"/>
                <w:lang w:val="en-US" w:eastAsia="zh-CN"/>
              </w:rPr>
              <w:t>40</w:t>
            </w:r>
            <w:r>
              <w:rPr>
                <w:rFonts w:hint="eastAsia" w:ascii="仿宋" w:hAnsi="仿宋" w:eastAsia="仿宋" w:cs="仿宋"/>
                <w:bCs/>
                <w:color w:val="000000"/>
                <w:kern w:val="0"/>
                <w:sz w:val="30"/>
                <w:szCs w:val="30"/>
              </w:rPr>
              <w:t>分）</w:t>
            </w:r>
          </w:p>
        </w:tc>
        <w:tc>
          <w:tcPr>
            <w:tcW w:w="272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项目效益（</w:t>
            </w:r>
            <w:r>
              <w:rPr>
                <w:rFonts w:hint="eastAsia" w:ascii="仿宋" w:hAnsi="仿宋" w:eastAsia="仿宋" w:cs="仿宋"/>
                <w:bCs/>
                <w:color w:val="000000"/>
                <w:kern w:val="0"/>
                <w:sz w:val="30"/>
                <w:szCs w:val="30"/>
                <w:lang w:val="en-US" w:eastAsia="zh-CN"/>
              </w:rPr>
              <w:t>40</w:t>
            </w:r>
            <w:r>
              <w:rPr>
                <w:rFonts w:hint="eastAsia" w:ascii="仿宋" w:hAnsi="仿宋" w:eastAsia="仿宋" w:cs="仿宋"/>
                <w:bCs/>
                <w:color w:val="000000"/>
                <w:kern w:val="0"/>
                <w:sz w:val="30"/>
                <w:szCs w:val="30"/>
              </w:rPr>
              <w:t>分）</w:t>
            </w: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实施效益（</w:t>
            </w:r>
            <w:r>
              <w:rPr>
                <w:rFonts w:hint="eastAsia" w:ascii="仿宋" w:hAnsi="仿宋" w:eastAsia="仿宋" w:cs="仿宋"/>
                <w:bCs/>
                <w:color w:val="000000"/>
                <w:kern w:val="0"/>
                <w:sz w:val="30"/>
                <w:szCs w:val="30"/>
                <w:lang w:val="en-US" w:eastAsia="zh-CN"/>
              </w:rPr>
              <w:t>30</w:t>
            </w:r>
            <w:r>
              <w:rPr>
                <w:rFonts w:hint="eastAsia" w:ascii="仿宋" w:hAnsi="仿宋" w:eastAsia="仿宋" w:cs="仿宋"/>
                <w:bCs/>
                <w:color w:val="000000"/>
                <w:kern w:val="0"/>
                <w:sz w:val="30"/>
                <w:szCs w:val="30"/>
              </w:rPr>
              <w:t>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27.71</w:t>
            </w:r>
          </w:p>
        </w:tc>
      </w:tr>
      <w:tr>
        <w:tblPrEx>
          <w:tblCellMar>
            <w:top w:w="0" w:type="dxa"/>
            <w:left w:w="0" w:type="dxa"/>
            <w:bottom w:w="0" w:type="dxa"/>
            <w:right w:w="0" w:type="dxa"/>
          </w:tblCellMar>
        </w:tblPrEx>
        <w:trPr>
          <w:trHeight w:val="595" w:hRule="atLeast"/>
        </w:trPr>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27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600" w:firstLineChars="200"/>
              <w:jc w:val="center"/>
              <w:rPr>
                <w:rFonts w:ascii="仿宋" w:hAnsi="仿宋" w:eastAsia="仿宋" w:cs="仿宋"/>
                <w:bCs/>
                <w:color w:val="000000"/>
                <w:sz w:val="30"/>
                <w:szCs w:val="30"/>
              </w:rPr>
            </w:pPr>
          </w:p>
        </w:tc>
        <w:tc>
          <w:tcPr>
            <w:tcW w:w="35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满意度（10分）</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bCs/>
                <w:color w:val="000000"/>
                <w:sz w:val="30"/>
                <w:szCs w:val="30"/>
              </w:rPr>
            </w:pPr>
            <w:r>
              <w:rPr>
                <w:rFonts w:hint="eastAsia" w:ascii="宋体" w:hAnsi="宋体" w:cs="宋体"/>
                <w:color w:val="000000"/>
                <w:kern w:val="0"/>
                <w:sz w:val="30"/>
                <w:szCs w:val="30"/>
                <w:lang w:val="en-US" w:eastAsia="zh-CN"/>
              </w:rPr>
              <w:t>10</w:t>
            </w:r>
          </w:p>
        </w:tc>
      </w:tr>
      <w:tr>
        <w:tblPrEx>
          <w:tblCellMar>
            <w:top w:w="0" w:type="dxa"/>
            <w:left w:w="0" w:type="dxa"/>
            <w:bottom w:w="0" w:type="dxa"/>
            <w:right w:w="0" w:type="dxa"/>
          </w:tblCellMar>
        </w:tblPrEx>
        <w:trPr>
          <w:trHeight w:val="605" w:hRule="atLeast"/>
        </w:trPr>
        <w:tc>
          <w:tcPr>
            <w:tcW w:w="78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00" w:firstLineChars="200"/>
              <w:jc w:val="center"/>
              <w:textAlignment w:val="center"/>
              <w:rPr>
                <w:rFonts w:ascii="仿宋" w:hAnsi="仿宋" w:eastAsia="仿宋" w:cs="仿宋"/>
                <w:bCs/>
                <w:color w:val="000000"/>
                <w:sz w:val="30"/>
                <w:szCs w:val="30"/>
              </w:rPr>
            </w:pPr>
            <w:r>
              <w:rPr>
                <w:rFonts w:hint="eastAsia" w:ascii="仿宋" w:hAnsi="仿宋" w:eastAsia="仿宋" w:cs="仿宋"/>
                <w:bCs/>
                <w:color w:val="000000"/>
                <w:kern w:val="0"/>
                <w:sz w:val="30"/>
                <w:szCs w:val="30"/>
              </w:rPr>
              <w:t>合计</w:t>
            </w:r>
          </w:p>
        </w:tc>
        <w:tc>
          <w:tcPr>
            <w:tcW w:w="16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30"/>
                <w:szCs w:val="30"/>
                <w:lang w:val="en-US" w:eastAsia="zh-CN" w:bidi="ar-SA"/>
              </w:rPr>
            </w:pPr>
            <w:r>
              <w:rPr>
                <w:rFonts w:hint="eastAsia" w:ascii="宋体" w:hAnsi="宋体" w:cs="宋体"/>
                <w:color w:val="000000"/>
                <w:kern w:val="0"/>
                <w:sz w:val="30"/>
                <w:szCs w:val="30"/>
                <w:lang w:val="en-US" w:eastAsia="zh-CN"/>
              </w:rPr>
              <w:fldChar w:fldCharType="begin"/>
            </w:r>
            <w:r>
              <w:rPr>
                <w:rFonts w:hint="eastAsia" w:ascii="宋体" w:hAnsi="宋体" w:cs="宋体"/>
                <w:color w:val="000000"/>
                <w:kern w:val="0"/>
                <w:sz w:val="30"/>
                <w:szCs w:val="30"/>
                <w:lang w:val="en-US" w:eastAsia="zh-CN"/>
              </w:rPr>
              <w:instrText xml:space="preserve"> = sum(D2:D18) \* MERGEFORMAT </w:instrText>
            </w:r>
            <w:r>
              <w:rPr>
                <w:rFonts w:hint="eastAsia" w:ascii="宋体" w:hAnsi="宋体" w:cs="宋体"/>
                <w:color w:val="000000"/>
                <w:kern w:val="0"/>
                <w:sz w:val="30"/>
                <w:szCs w:val="30"/>
                <w:lang w:val="en-US" w:eastAsia="zh-CN"/>
              </w:rPr>
              <w:fldChar w:fldCharType="separate"/>
            </w:r>
            <w:r>
              <w:rPr>
                <w:rFonts w:hint="eastAsia" w:ascii="宋体" w:hAnsi="宋体" w:cs="宋体"/>
                <w:color w:val="000000"/>
                <w:kern w:val="0"/>
                <w:sz w:val="30"/>
                <w:szCs w:val="30"/>
                <w:lang w:val="en-US" w:eastAsia="zh-CN"/>
              </w:rPr>
              <w:t>97.71</w:t>
            </w:r>
            <w:r>
              <w:rPr>
                <w:rFonts w:hint="eastAsia" w:ascii="宋体" w:hAnsi="宋体" w:cs="宋体"/>
                <w:color w:val="000000"/>
                <w:kern w:val="0"/>
                <w:sz w:val="30"/>
                <w:szCs w:val="30"/>
                <w:lang w:val="en-US" w:eastAsia="zh-CN"/>
              </w:rPr>
              <w:fldChar w:fldCharType="end"/>
            </w:r>
          </w:p>
        </w:tc>
      </w:tr>
    </w:tbl>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w:t>
      </w:r>
    </w:p>
    <w:p>
      <w:pPr>
        <w:pageBreakBefore w:val="0"/>
        <w:kinsoku/>
        <w:wordWrap/>
        <w:overflowPunct/>
        <w:topLinePunct w:val="0"/>
        <w:autoSpaceDE/>
        <w:autoSpaceDN/>
        <w:bidi w:val="0"/>
        <w:adjustRightInd/>
        <w:snapToGrid/>
        <w:spacing w:line="560" w:lineRule="exact"/>
        <w:ind w:firstLine="64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3"/>
        </w:numPr>
        <w:kinsoku/>
        <w:wordWrap/>
        <w:overflowPunct/>
        <w:topLinePunct w:val="0"/>
        <w:autoSpaceDE/>
        <w:autoSpaceDN/>
        <w:bidi w:val="0"/>
        <w:adjustRightInd/>
        <w:snapToGrid/>
        <w:spacing w:line="560" w:lineRule="exac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对博物馆、纪念馆免费开放资金专项经费项目进行客观评价，最终评分结果：总得分为 97.71分，属于“优”。其中，项目决策类指标权重为5分，得分为 5分，得分率为 100%。项目过程类指标权重为5分，得分为5 分，得分率为 100%。项目产出类指标权重为50分，得分为50分，得分率为 100%。项目效益类指标权重为40分，得分为37.71分，得分率为 94.25%。</w:t>
      </w:r>
    </w:p>
    <w:p>
      <w:pPr>
        <w:pStyle w:val="2"/>
        <w:pageBreakBefore w:val="0"/>
        <w:kinsoku/>
        <w:wordWrap/>
        <w:overflowPunct/>
        <w:topLinePunct w:val="0"/>
        <w:autoSpaceDE/>
        <w:autoSpaceDN/>
        <w:bidi w:val="0"/>
        <w:adjustRightInd/>
        <w:snapToGrid/>
        <w:spacing w:before="0" w:after="0" w:line="560" w:lineRule="exac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表1综合评分表</w:t>
      </w:r>
    </w:p>
    <w:p>
      <w:pPr>
        <w:pageBreakBefore w:val="0"/>
        <w:kinsoku/>
        <w:wordWrap/>
        <w:overflowPunct/>
        <w:topLinePunct w:val="0"/>
        <w:autoSpaceDE/>
        <w:autoSpaceDN/>
        <w:bidi w:val="0"/>
        <w:adjustRightInd/>
        <w:snapToGrid/>
        <w:spacing w:line="560" w:lineRule="exact"/>
      </w:pPr>
    </w:p>
    <w:p>
      <w:pPr>
        <w:pageBreakBefore w:val="0"/>
        <w:kinsoku/>
        <w:wordWrap/>
        <w:overflowPunct/>
        <w:topLinePunct w:val="0"/>
        <w:autoSpaceDE/>
        <w:autoSpaceDN/>
        <w:bidi w:val="0"/>
        <w:adjustRightInd/>
        <w:snapToGrid/>
        <w:spacing w:line="560" w:lineRule="exact"/>
      </w:pPr>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有所提升</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eastAsia="zh-CN"/>
              </w:rPr>
              <w:t>有所提升</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92.36%</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27.71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有所提升</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eastAsia="zh-CN"/>
              </w:rPr>
              <w:t>有所提升</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r>
    </w:tbl>
    <w:p>
      <w:pPr>
        <w:pageBreakBefore w:val="0"/>
        <w:kinsoku/>
        <w:wordWrap/>
        <w:overflowPunct/>
        <w:topLinePunct w:val="0"/>
        <w:autoSpaceDE/>
        <w:autoSpaceDN/>
        <w:bidi w:val="0"/>
        <w:adjustRightInd/>
        <w:snapToGrid/>
        <w:spacing w:line="560" w:lineRule="exact"/>
        <w:ind w:firstLine="320" w:firstLineChars="100"/>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项目决策指标从立项依据充分性、立项程序、绩效目标、绩效指标、预算编制、资金分配合理性6个方面对项目立项是否符合法律法规、相关政策、发展规划以及部门职责，用以反映和考核项目立项依据情况进行考察，立项依据充分性分值0.5分，实际得分0.5分，得分率100%；立项程序分值1分，实际得分1分，得分率100%；绩效目标分值1分，实际得分1分，得分率100%；绩效指标分值1分，实际得分1分，得分率100%；预算编制分值1分，实际得分1分，得分率100%；资金分配合理性分值1分，实际得分1分，得分率100%。项目决策指标得分情况如表所示。</w:t>
      </w:r>
    </w:p>
    <w:p>
      <w:pPr>
        <w:pageBreakBefore w:val="0"/>
        <w:kinsoku/>
        <w:wordWrap/>
        <w:overflowPunct/>
        <w:topLinePunct w:val="0"/>
        <w:autoSpaceDE/>
        <w:autoSpaceDN/>
        <w:bidi w:val="0"/>
        <w:adjustRightInd/>
        <w:snapToGrid/>
        <w:spacing w:line="560" w:lineRule="exact"/>
        <w:ind w:firstLine="640"/>
        <w:jc w:val="center"/>
        <w:rPr>
          <w:rStyle w:val="52"/>
          <w:rFonts w:hint="eastAsia"/>
          <w:b/>
          <w:bCs/>
          <w:color w:val="auto"/>
          <w:lang w:val="en-US" w:eastAsia="zh-CN"/>
        </w:rPr>
      </w:pPr>
      <w:r>
        <w:rPr>
          <w:rStyle w:val="52"/>
          <w:rFonts w:hint="eastAsia"/>
          <w:b/>
          <w:bCs/>
          <w:color w:val="auto"/>
          <w:lang w:val="en-US" w:eastAsia="zh-CN"/>
        </w:rPr>
        <w:t>项目决策指标得分情况</w:t>
      </w:r>
    </w:p>
    <w:tbl>
      <w:tblPr>
        <w:tblStyle w:val="21"/>
        <w:tblW w:w="8569" w:type="dxa"/>
        <w:tblInd w:w="0" w:type="dxa"/>
        <w:tblLayout w:type="fixed"/>
        <w:tblCellMar>
          <w:top w:w="0" w:type="dxa"/>
          <w:left w:w="0" w:type="dxa"/>
          <w:bottom w:w="0" w:type="dxa"/>
          <w:right w:w="0" w:type="dxa"/>
        </w:tblCellMar>
      </w:tblPr>
      <w:tblGrid>
        <w:gridCol w:w="2141"/>
        <w:gridCol w:w="2142"/>
        <w:gridCol w:w="2142"/>
        <w:gridCol w:w="2144"/>
      </w:tblGrid>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三级指标</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权重</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得分率</w:t>
            </w: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实际得分</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立项依据充分性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val="en-US" w:eastAsia="zh-CN"/>
              </w:rPr>
              <w:t>0</w:t>
            </w:r>
            <w:r>
              <w:rPr>
                <w:rFonts w:hint="eastAsia" w:ascii="仿宋" w:hAnsi="仿宋" w:eastAsia="仿宋" w:cs="仿宋"/>
                <w:color w:val="000000"/>
                <w:kern w:val="0"/>
                <w:sz w:val="28"/>
                <w:szCs w:val="28"/>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val="en-US" w:eastAsia="zh-CN"/>
              </w:rPr>
              <w:t>0</w:t>
            </w:r>
            <w:r>
              <w:rPr>
                <w:rFonts w:hint="eastAsia" w:ascii="仿宋" w:hAnsi="仿宋" w:eastAsia="仿宋" w:cs="仿宋"/>
                <w:color w:val="000000"/>
                <w:kern w:val="0"/>
                <w:sz w:val="28"/>
                <w:szCs w:val="28"/>
              </w:rPr>
              <w:t>.5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立项程序规范性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val="en-US" w:eastAsia="zh-CN"/>
              </w:rPr>
              <w:t>0</w:t>
            </w:r>
            <w:r>
              <w:rPr>
                <w:rFonts w:hint="eastAsia" w:ascii="仿宋" w:hAnsi="仿宋" w:eastAsia="仿宋" w:cs="仿宋"/>
                <w:color w:val="000000"/>
                <w:kern w:val="0"/>
                <w:sz w:val="28"/>
                <w:szCs w:val="28"/>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val="en-US" w:eastAsia="zh-CN"/>
              </w:rPr>
              <w:t>0</w:t>
            </w:r>
            <w:r>
              <w:rPr>
                <w:rFonts w:hint="eastAsia" w:ascii="仿宋" w:hAnsi="仿宋" w:eastAsia="仿宋" w:cs="仿宋"/>
                <w:color w:val="000000"/>
                <w:kern w:val="0"/>
                <w:sz w:val="28"/>
                <w:szCs w:val="28"/>
              </w:rPr>
              <w:t>.5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绩效目标合理性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 w:hAnsi="仿宋" w:eastAsia="仿宋" w:cs="仿宋"/>
                <w:color w:val="000000"/>
                <w:sz w:val="28"/>
                <w:szCs w:val="28"/>
                <w:lang w:eastAsia="zh-CN"/>
              </w:rPr>
            </w:pPr>
            <w:r>
              <w:rPr>
                <w:rFonts w:hint="eastAsia" w:ascii="仿宋" w:hAnsi="仿宋" w:eastAsia="仿宋" w:cs="仿宋"/>
                <w:color w:val="000000"/>
                <w:kern w:val="0"/>
                <w:sz w:val="28"/>
                <w:szCs w:val="28"/>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val="en-US" w:eastAsia="zh-CN"/>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绩效指标明确性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 w:hAnsi="仿宋" w:eastAsia="仿宋" w:cs="仿宋"/>
                <w:color w:val="000000"/>
                <w:sz w:val="28"/>
                <w:szCs w:val="28"/>
                <w:lang w:eastAsia="zh-CN"/>
              </w:rPr>
            </w:pPr>
            <w:r>
              <w:rPr>
                <w:rFonts w:hint="eastAsia" w:ascii="仿宋" w:hAnsi="仿宋" w:eastAsia="仿宋" w:cs="仿宋"/>
                <w:color w:val="000000"/>
                <w:kern w:val="0"/>
                <w:sz w:val="28"/>
                <w:szCs w:val="28"/>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val="en-US" w:eastAsia="zh-CN"/>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预算编制科学性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 w:hAnsi="仿宋" w:eastAsia="仿宋" w:cs="仿宋"/>
                <w:color w:val="000000"/>
                <w:sz w:val="28"/>
                <w:szCs w:val="28"/>
                <w:lang w:eastAsia="zh-CN"/>
              </w:rPr>
            </w:pPr>
            <w:r>
              <w:rPr>
                <w:rFonts w:hint="eastAsia" w:ascii="仿宋" w:hAnsi="仿宋" w:eastAsia="仿宋" w:cs="仿宋"/>
                <w:color w:val="000000"/>
                <w:kern w:val="0"/>
                <w:sz w:val="28"/>
                <w:szCs w:val="28"/>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val="en-US" w:eastAsia="zh-CN"/>
              </w:rPr>
              <w:t>1</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资金分配合理性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 w:hAnsi="仿宋" w:eastAsia="仿宋" w:cs="仿宋"/>
                <w:color w:val="000000"/>
                <w:sz w:val="28"/>
                <w:szCs w:val="28"/>
                <w:lang w:eastAsia="zh-CN"/>
              </w:rPr>
            </w:pPr>
            <w:r>
              <w:rPr>
                <w:rFonts w:hint="eastAsia" w:ascii="仿宋" w:hAnsi="仿宋" w:eastAsia="仿宋" w:cs="仿宋"/>
                <w:color w:val="000000"/>
                <w:kern w:val="0"/>
                <w:sz w:val="28"/>
                <w:szCs w:val="28"/>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val="en-US" w:eastAsia="zh-CN"/>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both"/>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合计</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kern w:val="0"/>
                <w:sz w:val="28"/>
                <w:szCs w:val="28"/>
                <w:lang w:val="en-US" w:eastAsia="zh-CN"/>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val="en-US" w:eastAsia="zh-CN"/>
              </w:rPr>
              <w:t>5</w:t>
            </w:r>
          </w:p>
        </w:tc>
      </w:tr>
    </w:tbl>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对于项目决策指标分值5分，实际得分5分，该指标得分率100%，说明立项依据充分性、立项程序、绩效目标、绩效指标、预算编制、资金分配合理性。</w:t>
      </w:r>
    </w:p>
    <w:p>
      <w:pPr>
        <w:pStyle w:val="19"/>
        <w:pageBreakBefore w:val="0"/>
        <w:numPr>
          <w:ilvl w:val="0"/>
          <w:numId w:val="0"/>
        </w:numPr>
        <w:kinsoku/>
        <w:wordWrap/>
        <w:overflowPunct/>
        <w:topLinePunct w:val="0"/>
        <w:autoSpaceDE/>
        <w:autoSpaceDN/>
        <w:bidi w:val="0"/>
        <w:adjustRightInd/>
        <w:snapToGrid/>
        <w:spacing w:after="0"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rPr>
        <w:t>项目过程情况</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依据评分表中项目过程情况描述项目过程指标从资金到位率、预算执行率、资金使用合规性、管理制度健全性、制度执行5个方面对项目的管理情况进行考察，资金到位率分值1分，实际得分1分，得分率100%，预算执行率分值1分，实际得分1分，得分率100%，资金使用合规性分值1分，实际得分1分，得分率100%，、管理制度健全性分值1分，实际得分1分，得分率100%，、制度执行分值1分，实际得分1分，得分率100%。项目决策指标得分情况如表所示。</w:t>
      </w:r>
    </w:p>
    <w:p>
      <w:pPr>
        <w:pageBreakBefore w:val="0"/>
        <w:kinsoku/>
        <w:wordWrap/>
        <w:overflowPunct/>
        <w:topLinePunct w:val="0"/>
        <w:autoSpaceDE/>
        <w:autoSpaceDN/>
        <w:bidi w:val="0"/>
        <w:adjustRightInd/>
        <w:snapToGrid/>
        <w:spacing w:line="560" w:lineRule="exact"/>
        <w:ind w:firstLine="640"/>
        <w:jc w:val="center"/>
        <w:rPr>
          <w:rStyle w:val="52"/>
          <w:rFonts w:hint="eastAsia"/>
          <w:color w:val="auto"/>
          <w:lang w:val="en-US" w:eastAsia="zh-CN"/>
        </w:rPr>
      </w:pPr>
      <w:r>
        <w:rPr>
          <w:rStyle w:val="52"/>
          <w:rFonts w:hint="eastAsia"/>
          <w:color w:val="auto"/>
          <w:lang w:val="en-US" w:eastAsia="zh-CN"/>
        </w:rPr>
        <w:t>项目过程指标得分情况</w:t>
      </w:r>
    </w:p>
    <w:tbl>
      <w:tblPr>
        <w:tblStyle w:val="21"/>
        <w:tblW w:w="8567" w:type="dxa"/>
        <w:tblInd w:w="0" w:type="dxa"/>
        <w:tblLayout w:type="fixed"/>
        <w:tblCellMar>
          <w:top w:w="0" w:type="dxa"/>
          <w:left w:w="0" w:type="dxa"/>
          <w:bottom w:w="0" w:type="dxa"/>
          <w:right w:w="0" w:type="dxa"/>
        </w:tblCellMar>
      </w:tblPr>
      <w:tblGrid>
        <w:gridCol w:w="2424"/>
        <w:gridCol w:w="2016"/>
        <w:gridCol w:w="2016"/>
        <w:gridCol w:w="2111"/>
      </w:tblGrid>
      <w:tr>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2" w:firstLineChars="200"/>
              <w:jc w:val="center"/>
              <w:textAlignment w:val="center"/>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rPr>
              <w:t>三级指标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2" w:firstLineChars="200"/>
              <w:jc w:val="left"/>
              <w:textAlignment w:val="center"/>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2" w:firstLineChars="200"/>
              <w:jc w:val="left"/>
              <w:textAlignment w:val="center"/>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2" w:firstLineChars="200"/>
              <w:jc w:val="left"/>
              <w:textAlignment w:val="center"/>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rPr>
              <w:t>实际得分</w:t>
            </w:r>
          </w:p>
        </w:tc>
      </w:tr>
      <w:tr>
        <w:tblPrEx>
          <w:tblCellMar>
            <w:top w:w="0" w:type="dxa"/>
            <w:left w:w="0" w:type="dxa"/>
            <w:bottom w:w="0" w:type="dxa"/>
            <w:right w:w="0" w:type="dxa"/>
          </w:tblCellMar>
        </w:tblPrEx>
        <w:trPr>
          <w:trHeight w:val="31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资金到位率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预算执行率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100</w:t>
            </w:r>
            <w:r>
              <w:rPr>
                <w:rFonts w:hint="eastAsia" w:ascii="仿宋_GB2312" w:hAnsi="仿宋_GB2312" w:eastAsia="仿宋_GB2312" w:cs="仿宋_GB2312"/>
                <w:color w:val="000000"/>
                <w:kern w:val="0"/>
                <w:sz w:val="28"/>
                <w:szCs w:val="28"/>
                <w:highlight w:val="none"/>
              </w:rPr>
              <w:t>%</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资金使用合规性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管理制度健全性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制度执行</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5</w:t>
            </w:r>
          </w:p>
        </w:tc>
      </w:tr>
    </w:tbl>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对于“过程控制”，中央补助地方公共文化服务体系建设专项工作经费执行符合业务管理的规定；项目管理、实施人员均落实到位，能按照方案和计划执行；项目无调整，资料齐全；资金使用依据合格，无虚列套取项目支出，无超标准开支，按评分标准，该指标实际得分率100%。</w:t>
      </w:r>
    </w:p>
    <w:p>
      <w:pPr>
        <w:pStyle w:val="19"/>
        <w:pageBreakBefore w:val="0"/>
        <w:numPr>
          <w:ilvl w:val="0"/>
          <w:numId w:val="0"/>
        </w:numPr>
        <w:kinsoku/>
        <w:wordWrap/>
        <w:overflowPunct/>
        <w:topLinePunct w:val="0"/>
        <w:autoSpaceDE/>
        <w:autoSpaceDN/>
        <w:bidi w:val="0"/>
        <w:adjustRightInd/>
        <w:snapToGrid/>
        <w:spacing w:after="0"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（三）</w:t>
      </w:r>
      <w:r>
        <w:rPr>
          <w:rFonts w:hint="eastAsia" w:ascii="楷体_GB2312" w:hAnsi="楷体_GB2312" w:eastAsia="楷体_GB2312" w:cs="楷体_GB2312"/>
          <w:b/>
          <w:bCs/>
          <w:sz w:val="32"/>
          <w:szCs w:val="32"/>
        </w:rPr>
        <w:t>项目产出</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数量指标方面：</w:t>
      </w:r>
    </w:p>
    <w:tbl>
      <w:tblPr>
        <w:tblStyle w:val="21"/>
        <w:tblW w:w="8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8"/>
        <w:gridCol w:w="2042"/>
        <w:gridCol w:w="2041"/>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三级指标</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权重</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得分率</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实际得分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产出数量</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产出质量</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产出时效</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成本情况</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合计</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50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50</w:t>
            </w:r>
          </w:p>
        </w:tc>
      </w:tr>
    </w:tbl>
    <w:p>
      <w:pPr>
        <w:pageBreakBefore w:val="0"/>
        <w:kinsoku/>
        <w:wordWrap/>
        <w:overflowPunct/>
        <w:topLinePunct w:val="0"/>
        <w:autoSpaceDE/>
        <w:autoSpaceDN/>
        <w:bidi w:val="0"/>
        <w:adjustRightInd/>
        <w:snapToGrid/>
        <w:spacing w:line="560" w:lineRule="exact"/>
        <w:ind w:firstLine="640"/>
        <w:rPr>
          <w:rStyle w:val="52"/>
          <w:rFonts w:hint="eastAsia"/>
          <w:color w:val="auto"/>
          <w:highlight w:val="none"/>
          <w:lang w:val="en-US" w:eastAsia="zh-CN"/>
        </w:rPr>
      </w:pPr>
      <w:r>
        <w:rPr>
          <w:rStyle w:val="52"/>
          <w:rFonts w:hint="eastAsia"/>
          <w:color w:val="auto"/>
          <w:highlight w:val="none"/>
          <w:lang w:val="en-US" w:eastAsia="zh-CN"/>
        </w:rPr>
        <w:t>对于“产出指标”，又具体分为以下明细指标进行评价，具体见下表：</w:t>
      </w:r>
    </w:p>
    <w:tbl>
      <w:tblPr>
        <w:tblStyle w:val="21"/>
        <w:tblW w:w="8589" w:type="dxa"/>
        <w:tblInd w:w="-96" w:type="dxa"/>
        <w:tblLayout w:type="fixed"/>
        <w:tblCellMar>
          <w:top w:w="0" w:type="dxa"/>
          <w:left w:w="0" w:type="dxa"/>
          <w:bottom w:w="0" w:type="dxa"/>
          <w:right w:w="0" w:type="dxa"/>
        </w:tblCellMar>
      </w:tblPr>
      <w:tblGrid>
        <w:gridCol w:w="3953"/>
        <w:gridCol w:w="1525"/>
        <w:gridCol w:w="1525"/>
        <w:gridCol w:w="1586"/>
      </w:tblGrid>
      <w:tr>
        <w:tblPrEx>
          <w:tblCellMar>
            <w:top w:w="0" w:type="dxa"/>
            <w:left w:w="0" w:type="dxa"/>
            <w:bottom w:w="0" w:type="dxa"/>
            <w:right w:w="0" w:type="dxa"/>
          </w:tblCellMar>
        </w:tblPrEx>
        <w:trPr>
          <w:trHeight w:val="450" w:hRule="atLeast"/>
        </w:trPr>
        <w:tc>
          <w:tcPr>
            <w:tcW w:w="39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三级指标明细</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权重</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得分率</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实际得分</w:t>
            </w:r>
          </w:p>
        </w:tc>
      </w:tr>
      <w:tr>
        <w:tblPrEx>
          <w:tblCellMar>
            <w:top w:w="0" w:type="dxa"/>
            <w:left w:w="0" w:type="dxa"/>
            <w:bottom w:w="0" w:type="dxa"/>
            <w:right w:w="0" w:type="dxa"/>
          </w:tblCellMar>
        </w:tblPrEx>
        <w:trPr>
          <w:trHeight w:val="585" w:hRule="atLeast"/>
        </w:trPr>
        <w:tc>
          <w:tcPr>
            <w:tcW w:w="39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聘请讲解员人数（人）</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val="en-US" w:eastAsia="zh-CN"/>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kern w:val="0"/>
                <w:sz w:val="28"/>
                <w:szCs w:val="28"/>
                <w:lang w:val="en-US" w:eastAsia="zh-CN"/>
              </w:rPr>
              <w:t>5</w:t>
            </w:r>
          </w:p>
        </w:tc>
      </w:tr>
      <w:tr>
        <w:tblPrEx>
          <w:tblCellMar>
            <w:top w:w="0" w:type="dxa"/>
            <w:left w:w="0" w:type="dxa"/>
            <w:bottom w:w="0" w:type="dxa"/>
            <w:right w:w="0" w:type="dxa"/>
          </w:tblCellMar>
        </w:tblPrEx>
        <w:trPr>
          <w:trHeight w:val="585" w:hRule="atLeast"/>
        </w:trPr>
        <w:tc>
          <w:tcPr>
            <w:tcW w:w="39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免费开放的天数</w:t>
            </w:r>
            <w:r>
              <w:rPr>
                <w:rFonts w:hint="eastAsia" w:ascii="仿宋_GB2312" w:hAnsi="仿宋_GB2312" w:eastAsia="仿宋_GB2312" w:cs="仿宋_GB2312"/>
                <w:color w:val="000000"/>
                <w:kern w:val="0"/>
                <w:sz w:val="28"/>
                <w:szCs w:val="28"/>
                <w:lang w:eastAsia="zh-CN"/>
              </w:rPr>
              <w:t>（天）</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w:t>
            </w:r>
          </w:p>
        </w:tc>
      </w:tr>
      <w:tr>
        <w:tblPrEx>
          <w:tblCellMar>
            <w:top w:w="0" w:type="dxa"/>
            <w:left w:w="0" w:type="dxa"/>
            <w:bottom w:w="0" w:type="dxa"/>
            <w:right w:w="0" w:type="dxa"/>
          </w:tblCellMar>
        </w:tblPrEx>
        <w:trPr>
          <w:trHeight w:val="585" w:hRule="atLeast"/>
        </w:trPr>
        <w:tc>
          <w:tcPr>
            <w:tcW w:w="39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维修维护数量</w:t>
            </w:r>
            <w:r>
              <w:rPr>
                <w:rFonts w:hint="eastAsia" w:ascii="仿宋_GB2312" w:hAnsi="仿宋_GB2312" w:eastAsia="仿宋_GB2312" w:cs="仿宋_GB2312"/>
                <w:color w:val="000000"/>
                <w:kern w:val="0"/>
                <w:sz w:val="28"/>
                <w:szCs w:val="28"/>
                <w:lang w:eastAsia="zh-CN"/>
              </w:rPr>
              <w:t>（项）</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w:t>
            </w:r>
          </w:p>
        </w:tc>
      </w:tr>
      <w:tr>
        <w:tblPrEx>
          <w:tblCellMar>
            <w:top w:w="0" w:type="dxa"/>
            <w:left w:w="0" w:type="dxa"/>
            <w:bottom w:w="0" w:type="dxa"/>
            <w:right w:w="0" w:type="dxa"/>
          </w:tblCellMar>
        </w:tblPrEx>
        <w:trPr>
          <w:trHeight w:val="585" w:hRule="atLeast"/>
        </w:trPr>
        <w:tc>
          <w:tcPr>
            <w:tcW w:w="39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藏品管理完好率</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5</w:t>
            </w:r>
          </w:p>
        </w:tc>
      </w:tr>
      <w:tr>
        <w:tblPrEx>
          <w:tblCellMar>
            <w:top w:w="0" w:type="dxa"/>
            <w:left w:w="0" w:type="dxa"/>
            <w:bottom w:w="0" w:type="dxa"/>
            <w:right w:w="0" w:type="dxa"/>
          </w:tblCellMar>
        </w:tblPrEx>
        <w:trPr>
          <w:trHeight w:val="585" w:hRule="atLeast"/>
        </w:trPr>
        <w:tc>
          <w:tcPr>
            <w:tcW w:w="39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讲解员出勤率</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0"/>
                <w:sz w:val="28"/>
                <w:szCs w:val="28"/>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5</w:t>
            </w:r>
          </w:p>
        </w:tc>
      </w:tr>
      <w:tr>
        <w:tblPrEx>
          <w:tblCellMar>
            <w:top w:w="0" w:type="dxa"/>
            <w:left w:w="0" w:type="dxa"/>
            <w:bottom w:w="0" w:type="dxa"/>
            <w:right w:w="0" w:type="dxa"/>
          </w:tblCellMar>
        </w:tblPrEx>
        <w:trPr>
          <w:trHeight w:val="585" w:hRule="atLeast"/>
        </w:trPr>
        <w:tc>
          <w:tcPr>
            <w:tcW w:w="39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维修任务完好率</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val="en-US" w:eastAsia="zh-CN"/>
              </w:rPr>
              <w:t>10</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val="en-US" w:eastAsia="zh-CN"/>
              </w:rPr>
              <w:t>10</w:t>
            </w:r>
          </w:p>
        </w:tc>
      </w:tr>
      <w:tr>
        <w:tblPrEx>
          <w:tblCellMar>
            <w:top w:w="0" w:type="dxa"/>
            <w:left w:w="0" w:type="dxa"/>
            <w:bottom w:w="0" w:type="dxa"/>
            <w:right w:w="0" w:type="dxa"/>
          </w:tblCellMar>
        </w:tblPrEx>
        <w:trPr>
          <w:trHeight w:val="585" w:hRule="atLeast"/>
        </w:trPr>
        <w:tc>
          <w:tcPr>
            <w:tcW w:w="39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维修成本</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val="en-US" w:eastAsia="zh-CN"/>
              </w:rPr>
              <w:t>5</w:t>
            </w:r>
          </w:p>
        </w:tc>
      </w:tr>
      <w:tr>
        <w:tblPrEx>
          <w:tblCellMar>
            <w:top w:w="0" w:type="dxa"/>
            <w:left w:w="0" w:type="dxa"/>
            <w:bottom w:w="0" w:type="dxa"/>
            <w:right w:w="0" w:type="dxa"/>
          </w:tblCellMar>
        </w:tblPrEx>
        <w:trPr>
          <w:trHeight w:val="585" w:hRule="atLeast"/>
        </w:trPr>
        <w:tc>
          <w:tcPr>
            <w:tcW w:w="39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办公成本</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0"/>
                <w:sz w:val="28"/>
                <w:szCs w:val="28"/>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5</w:t>
            </w:r>
          </w:p>
        </w:tc>
      </w:tr>
      <w:tr>
        <w:tblPrEx>
          <w:tblCellMar>
            <w:top w:w="0" w:type="dxa"/>
            <w:left w:w="0" w:type="dxa"/>
            <w:bottom w:w="0" w:type="dxa"/>
            <w:right w:w="0" w:type="dxa"/>
          </w:tblCellMar>
        </w:tblPrEx>
        <w:trPr>
          <w:trHeight w:val="585" w:hRule="atLeast"/>
        </w:trPr>
        <w:tc>
          <w:tcPr>
            <w:tcW w:w="39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讲解员劳务费</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5</w:t>
            </w:r>
          </w:p>
        </w:tc>
      </w:tr>
      <w:tr>
        <w:tblPrEx>
          <w:tblCellMar>
            <w:top w:w="0" w:type="dxa"/>
            <w:left w:w="0" w:type="dxa"/>
            <w:bottom w:w="0" w:type="dxa"/>
            <w:right w:w="0" w:type="dxa"/>
          </w:tblCellMar>
        </w:tblPrEx>
        <w:trPr>
          <w:trHeight w:val="585" w:hRule="atLeast"/>
        </w:trPr>
        <w:tc>
          <w:tcPr>
            <w:tcW w:w="39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ind w:firstLine="560" w:firstLineChars="200"/>
              <w:jc w:val="center"/>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合计</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50</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val="en-US" w:eastAsia="zh-CN"/>
              </w:rPr>
              <w:t>50</w:t>
            </w:r>
          </w:p>
        </w:tc>
      </w:tr>
    </w:tbl>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对于“产出数量”，</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指标1：聘请讲解员人数6人，实际值6人，根据评分标准，该指标实际得分率100%；</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指标2：免费开放的天数365天，实际值300天，根据评分标准，该指标实际得分率82.19%。原因是今年受传染病防控影响，参观人员明显减少。</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指标3：维修维护数量3项，实际值3项，根据评分标准，该指标实际得分率100%。</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对于“产出质量”</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指标1：藏品管理完好率100%，实际值100%，根据评分标准，该指标实际得分率100%；</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指标2：讲解员出勤率达100%，实际值100%，根据评分标准，该指标不扣分。</w:t>
      </w:r>
    </w:p>
    <w:p>
      <w:pPr>
        <w:pageBreakBefore w:val="0"/>
        <w:kinsoku/>
        <w:wordWrap/>
        <w:overflowPunct/>
        <w:topLinePunct w:val="0"/>
        <w:autoSpaceDE/>
        <w:autoSpaceDN/>
        <w:bidi w:val="0"/>
        <w:adjustRightInd/>
        <w:snapToGrid/>
        <w:spacing w:line="560" w:lineRule="exact"/>
        <w:ind w:firstLine="640"/>
        <w:rPr>
          <w:rStyle w:val="52"/>
          <w:rFonts w:hint="eastAsia"/>
          <w:color w:val="auto"/>
          <w:highlight w:val="none"/>
          <w:lang w:val="en-US" w:eastAsia="zh-CN"/>
        </w:rPr>
      </w:pPr>
      <w:r>
        <w:rPr>
          <w:rStyle w:val="52"/>
          <w:rFonts w:hint="eastAsia"/>
          <w:color w:val="auto"/>
          <w:highlight w:val="none"/>
          <w:lang w:val="en-US" w:eastAsia="zh-CN"/>
        </w:rPr>
        <w:t>对于“产出时效”，</w:t>
      </w:r>
    </w:p>
    <w:p>
      <w:pPr>
        <w:pageBreakBefore w:val="0"/>
        <w:kinsoku/>
        <w:wordWrap/>
        <w:overflowPunct/>
        <w:topLinePunct w:val="0"/>
        <w:autoSpaceDE/>
        <w:autoSpaceDN/>
        <w:bidi w:val="0"/>
        <w:adjustRightInd/>
        <w:snapToGrid/>
        <w:spacing w:line="560" w:lineRule="exact"/>
        <w:ind w:firstLine="640"/>
        <w:rPr>
          <w:rStyle w:val="52"/>
          <w:rFonts w:hint="eastAsia"/>
          <w:color w:val="auto"/>
          <w:highlight w:val="none"/>
          <w:lang w:val="en-US" w:eastAsia="zh-CN"/>
        </w:rPr>
      </w:pPr>
      <w:r>
        <w:rPr>
          <w:rStyle w:val="52"/>
          <w:rFonts w:hint="eastAsia"/>
          <w:color w:val="auto"/>
          <w:highlight w:val="none"/>
          <w:lang w:val="en-US" w:eastAsia="zh-CN"/>
        </w:rPr>
        <w:t>指标1：维修任务完好率2019年12月，实际值2020年12月，按指标评分标准，该指标不扣分。</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对于“成本情况”，</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指标1：维修成本2万元，实际值2万元，按指标评分标准，该指标不扣分；</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指标2：办公成本2万元，实际值2万元，按指标评分标准，该指标不扣分；</w:t>
      </w:r>
    </w:p>
    <w:p>
      <w:pPr>
        <w:pageBreakBefore w:val="0"/>
        <w:kinsoku/>
        <w:wordWrap/>
        <w:overflowPunct/>
        <w:topLinePunct w:val="0"/>
        <w:autoSpaceDE/>
        <w:autoSpaceDN/>
        <w:bidi w:val="0"/>
        <w:adjustRightInd/>
        <w:snapToGrid/>
        <w:spacing w:line="560" w:lineRule="exact"/>
        <w:ind w:firstLine="640"/>
        <w:rPr>
          <w:rStyle w:val="52"/>
          <w:rFonts w:hint="eastAsia"/>
          <w:color w:val="auto"/>
          <w:lang w:val="en-US" w:eastAsia="zh-CN"/>
        </w:rPr>
      </w:pPr>
      <w:r>
        <w:rPr>
          <w:rStyle w:val="52"/>
          <w:rFonts w:hint="eastAsia"/>
          <w:color w:val="auto"/>
          <w:lang w:val="en-US" w:eastAsia="zh-CN"/>
        </w:rPr>
        <w:t>指标3：讲解员劳务费23万元，实际值23万元，按指标评分标准，该指标不扣分；</w:t>
      </w:r>
    </w:p>
    <w:p>
      <w:pPr>
        <w:pStyle w:val="19"/>
        <w:pageBreakBefore w:val="0"/>
        <w:numPr>
          <w:ilvl w:val="0"/>
          <w:numId w:val="0"/>
        </w:numPr>
        <w:kinsoku/>
        <w:wordWrap/>
        <w:overflowPunct/>
        <w:topLinePunct w:val="0"/>
        <w:autoSpaceDE/>
        <w:autoSpaceDN/>
        <w:bidi w:val="0"/>
        <w:adjustRightInd/>
        <w:snapToGrid/>
        <w:spacing w:after="0"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（四）</w:t>
      </w:r>
      <w:r>
        <w:rPr>
          <w:rFonts w:hint="eastAsia" w:ascii="楷体_GB2312" w:hAnsi="楷体_GB2312" w:eastAsia="楷体_GB2312" w:cs="楷体_GB2312"/>
          <w:b/>
          <w:bCs/>
          <w:sz w:val="32"/>
          <w:szCs w:val="32"/>
        </w:rPr>
        <w:t>效益情况</w:t>
      </w:r>
    </w:p>
    <w:p>
      <w:pPr>
        <w:pageBreakBefore w:val="0"/>
        <w:kinsoku/>
        <w:wordWrap/>
        <w:overflowPunct/>
        <w:topLinePunct w:val="0"/>
        <w:autoSpaceDE/>
        <w:autoSpaceDN/>
        <w:bidi w:val="0"/>
        <w:adjustRightInd/>
        <w:snapToGrid/>
        <w:spacing w:line="560" w:lineRule="exact"/>
        <w:ind w:firstLine="640"/>
        <w:rPr>
          <w:rStyle w:val="52"/>
          <w:rFonts w:hint="eastAsia"/>
          <w:color w:val="auto"/>
        </w:rPr>
      </w:pPr>
      <w:r>
        <w:rPr>
          <w:rStyle w:val="52"/>
          <w:rFonts w:hint="eastAsia"/>
          <w:color w:val="auto"/>
        </w:rPr>
        <w:t>经济效益指标方面：项目绩效主要从项目实施效益及满意度2个方面对项目的绩效情况进行评价。项目绩效实施效益类指标分值</w:t>
      </w:r>
      <w:r>
        <w:rPr>
          <w:rStyle w:val="52"/>
          <w:rFonts w:hint="eastAsia" w:eastAsia="仿宋_GB2312"/>
          <w:color w:val="auto"/>
          <w:lang w:val="en-US" w:eastAsia="zh-CN"/>
        </w:rPr>
        <w:t>40</w:t>
      </w:r>
      <w:r>
        <w:rPr>
          <w:rStyle w:val="52"/>
          <w:rFonts w:hint="eastAsia"/>
          <w:color w:val="auto"/>
        </w:rPr>
        <w:t>分，实际得分</w:t>
      </w:r>
      <w:r>
        <w:rPr>
          <w:rStyle w:val="52"/>
          <w:rFonts w:hint="eastAsia" w:eastAsia="仿宋_GB2312"/>
          <w:color w:val="auto"/>
          <w:lang w:val="en-US" w:eastAsia="zh-CN"/>
        </w:rPr>
        <w:t>37.71</w:t>
      </w:r>
      <w:r>
        <w:rPr>
          <w:rStyle w:val="52"/>
          <w:rFonts w:hint="eastAsia"/>
          <w:color w:val="auto"/>
        </w:rPr>
        <w:t>分，得分率为</w:t>
      </w:r>
      <w:r>
        <w:rPr>
          <w:rStyle w:val="52"/>
          <w:rFonts w:hint="eastAsia" w:eastAsia="仿宋_GB2312"/>
          <w:color w:val="auto"/>
          <w:lang w:val="en-US" w:eastAsia="zh-CN"/>
        </w:rPr>
        <w:t>94.25</w:t>
      </w:r>
      <w:r>
        <w:rPr>
          <w:rStyle w:val="52"/>
          <w:rFonts w:hint="eastAsia"/>
          <w:color w:val="auto"/>
        </w:rPr>
        <w:t>%。</w:t>
      </w:r>
    </w:p>
    <w:p>
      <w:pPr>
        <w:pageBreakBefore w:val="0"/>
        <w:kinsoku/>
        <w:wordWrap/>
        <w:overflowPunct/>
        <w:topLinePunct w:val="0"/>
        <w:autoSpaceDE/>
        <w:autoSpaceDN/>
        <w:bidi w:val="0"/>
        <w:adjustRightInd/>
        <w:snapToGrid/>
        <w:spacing w:line="560" w:lineRule="exact"/>
        <w:ind w:firstLine="640"/>
        <w:jc w:val="center"/>
        <w:rPr>
          <w:rStyle w:val="52"/>
          <w:rFonts w:hint="eastAsia"/>
          <w:color w:val="auto"/>
        </w:rPr>
      </w:pPr>
      <w:r>
        <w:rPr>
          <w:rStyle w:val="52"/>
          <w:rFonts w:hint="eastAsia"/>
          <w:b/>
          <w:bCs/>
          <w:color w:val="auto"/>
        </w:rPr>
        <w:t>项目</w:t>
      </w:r>
      <w:r>
        <w:rPr>
          <w:rStyle w:val="52"/>
          <w:rFonts w:hint="eastAsia" w:eastAsia="仿宋_GB2312"/>
          <w:b/>
          <w:bCs/>
          <w:color w:val="auto"/>
          <w:lang w:eastAsia="zh-CN"/>
        </w:rPr>
        <w:t>效益</w:t>
      </w:r>
      <w:r>
        <w:rPr>
          <w:rStyle w:val="52"/>
          <w:rFonts w:hint="eastAsia"/>
          <w:b/>
          <w:bCs/>
          <w:color w:val="auto"/>
        </w:rPr>
        <w:t>指标得分情况</w:t>
      </w:r>
    </w:p>
    <w:tbl>
      <w:tblPr>
        <w:tblStyle w:val="21"/>
        <w:tblpPr w:leftFromText="180" w:rightFromText="180" w:vertAnchor="text" w:horzAnchor="page" w:tblpX="1941" w:tblpY="144"/>
        <w:tblOverlap w:val="never"/>
        <w:tblW w:w="8581" w:type="dxa"/>
        <w:jc w:val="center"/>
        <w:tblLayout w:type="fixed"/>
        <w:tblCellMar>
          <w:top w:w="0" w:type="dxa"/>
          <w:left w:w="0" w:type="dxa"/>
          <w:bottom w:w="0" w:type="dxa"/>
          <w:right w:w="0" w:type="dxa"/>
        </w:tblCellMar>
      </w:tblPr>
      <w:tblGrid>
        <w:gridCol w:w="2452"/>
        <w:gridCol w:w="2043"/>
        <w:gridCol w:w="2043"/>
        <w:gridCol w:w="2043"/>
      </w:tblGrid>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eastAsia="zh-CN"/>
              </w:rPr>
              <w:t>二</w:t>
            </w:r>
            <w:r>
              <w:rPr>
                <w:rFonts w:hint="eastAsia" w:ascii="仿宋_GB2312" w:hAnsi="仿宋_GB2312" w:eastAsia="仿宋_GB2312" w:cs="仿宋_GB2312"/>
                <w:color w:val="000000"/>
                <w:kern w:val="0"/>
                <w:sz w:val="28"/>
                <w:szCs w:val="28"/>
              </w:rPr>
              <w:t>级指标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权重</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得分率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实际得分</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实施效益</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30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val="en-US" w:eastAsia="zh-CN"/>
              </w:rPr>
              <w:t>92.36</w:t>
            </w:r>
            <w:r>
              <w:rPr>
                <w:rFonts w:hint="eastAsia" w:ascii="仿宋_GB2312" w:hAnsi="仿宋_GB2312" w:eastAsia="仿宋_GB2312" w:cs="仿宋_GB2312"/>
                <w:color w:val="000000"/>
                <w:kern w:val="0"/>
                <w:sz w:val="28"/>
                <w:szCs w:val="28"/>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27.71</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满意度</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val="en-US" w:eastAsia="zh-CN"/>
              </w:rPr>
              <w:t>100</w:t>
            </w:r>
            <w:r>
              <w:rPr>
                <w:rFonts w:hint="eastAsia" w:ascii="仿宋_GB2312" w:hAnsi="仿宋_GB2312" w:eastAsia="仿宋_GB2312" w:cs="仿宋_GB2312"/>
                <w:color w:val="000000"/>
                <w:kern w:val="0"/>
                <w:sz w:val="28"/>
                <w:szCs w:val="28"/>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10</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ind w:firstLine="560" w:firstLineChars="200"/>
              <w:jc w:val="center"/>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合计</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ind w:firstLine="560" w:firstLineChars="200"/>
              <w:jc w:val="center"/>
              <w:textAlignment w:val="bottom"/>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40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val="en-US" w:eastAsia="zh-CN"/>
              </w:rPr>
              <w:t>95</w:t>
            </w:r>
            <w:r>
              <w:rPr>
                <w:rFonts w:hint="eastAsia" w:ascii="仿宋_GB2312" w:hAnsi="仿宋_GB2312" w:eastAsia="仿宋_GB2312" w:cs="仿宋_GB2312"/>
                <w:color w:val="000000"/>
                <w:kern w:val="0"/>
                <w:sz w:val="28"/>
                <w:szCs w:val="28"/>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ind w:firstLine="560" w:firstLineChars="200"/>
              <w:jc w:val="center"/>
              <w:textAlignment w:val="bottom"/>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37.71</w:t>
            </w:r>
          </w:p>
        </w:tc>
      </w:tr>
    </w:tbl>
    <w:p>
      <w:pPr>
        <w:pageBreakBefore w:val="0"/>
        <w:kinsoku/>
        <w:wordWrap/>
        <w:overflowPunct/>
        <w:topLinePunct w:val="0"/>
        <w:autoSpaceDE/>
        <w:autoSpaceDN/>
        <w:bidi w:val="0"/>
        <w:adjustRightInd/>
        <w:snapToGrid/>
        <w:spacing w:line="560" w:lineRule="exact"/>
        <w:ind w:firstLine="640" w:firstLineChars="200"/>
        <w:rPr>
          <w:rStyle w:val="52"/>
          <w:rFonts w:hint="eastAsia"/>
          <w:color w:val="auto"/>
          <w:highlight w:val="none"/>
        </w:rPr>
      </w:pPr>
      <w:r>
        <w:rPr>
          <w:rStyle w:val="52"/>
          <w:rFonts w:hint="eastAsia"/>
          <w:color w:val="auto"/>
          <w:highlight w:val="none"/>
        </w:rPr>
        <w:t>对于“社会效益”</w:t>
      </w:r>
    </w:p>
    <w:p>
      <w:pPr>
        <w:pageBreakBefore w:val="0"/>
        <w:kinsoku/>
        <w:wordWrap/>
        <w:overflowPunct/>
        <w:topLinePunct w:val="0"/>
        <w:autoSpaceDE/>
        <w:autoSpaceDN/>
        <w:bidi w:val="0"/>
        <w:adjustRightInd/>
        <w:snapToGrid/>
        <w:spacing w:line="560" w:lineRule="exact"/>
        <w:ind w:firstLine="640"/>
        <w:rPr>
          <w:rStyle w:val="52"/>
          <w:rFonts w:hint="eastAsia"/>
          <w:color w:val="auto"/>
          <w:highlight w:val="none"/>
          <w:lang w:val="en-US" w:eastAsia="zh-CN"/>
        </w:rPr>
      </w:pPr>
      <w:r>
        <w:rPr>
          <w:rStyle w:val="52"/>
          <w:rFonts w:hint="eastAsia" w:eastAsia="仿宋_GB2312"/>
          <w:color w:val="auto"/>
          <w:highlight w:val="none"/>
          <w:lang w:eastAsia="zh-CN"/>
        </w:rPr>
        <w:t>指标</w:t>
      </w:r>
      <w:r>
        <w:rPr>
          <w:rStyle w:val="52"/>
          <w:rFonts w:hint="eastAsia" w:eastAsia="仿宋_GB2312"/>
          <w:color w:val="auto"/>
          <w:highlight w:val="none"/>
          <w:lang w:val="en-US" w:eastAsia="zh-CN"/>
        </w:rPr>
        <w:t>1：不断满足人民群众日益提高的文化需求，</w:t>
      </w:r>
      <w:r>
        <w:rPr>
          <w:rStyle w:val="52"/>
          <w:rFonts w:hint="eastAsia"/>
          <w:color w:val="auto"/>
          <w:highlight w:val="none"/>
          <w:lang w:val="en-US" w:eastAsia="zh-CN"/>
        </w:rPr>
        <w:t>实际值90%，按指标评分标准，该指标扣1.5分；</w:t>
      </w:r>
    </w:p>
    <w:p>
      <w:pPr>
        <w:pageBreakBefore w:val="0"/>
        <w:kinsoku/>
        <w:wordWrap/>
        <w:overflowPunct/>
        <w:topLinePunct w:val="0"/>
        <w:autoSpaceDE/>
        <w:autoSpaceDN/>
        <w:bidi w:val="0"/>
        <w:adjustRightInd/>
        <w:snapToGrid/>
        <w:spacing w:line="560" w:lineRule="exact"/>
        <w:ind w:firstLine="640" w:firstLineChars="200"/>
        <w:rPr>
          <w:rStyle w:val="52"/>
          <w:rFonts w:hint="eastAsia"/>
          <w:color w:val="auto"/>
          <w:highlight w:val="none"/>
        </w:rPr>
      </w:pPr>
      <w:r>
        <w:rPr>
          <w:rStyle w:val="52"/>
          <w:rFonts w:hint="eastAsia"/>
          <w:color w:val="auto"/>
          <w:highlight w:val="none"/>
        </w:rPr>
        <w:t>对于“</w:t>
      </w:r>
      <w:r>
        <w:rPr>
          <w:rStyle w:val="52"/>
          <w:rFonts w:hint="eastAsia" w:eastAsia="仿宋_GB2312"/>
          <w:color w:val="auto"/>
          <w:highlight w:val="none"/>
          <w:lang w:val="en-US" w:eastAsia="zh-CN"/>
        </w:rPr>
        <w:t>生态</w:t>
      </w:r>
      <w:r>
        <w:rPr>
          <w:rStyle w:val="52"/>
          <w:rFonts w:hint="eastAsia"/>
          <w:color w:val="auto"/>
          <w:highlight w:val="none"/>
        </w:rPr>
        <w:t>效益”</w:t>
      </w:r>
    </w:p>
    <w:p>
      <w:pPr>
        <w:pageBreakBefore w:val="0"/>
        <w:kinsoku/>
        <w:wordWrap/>
        <w:overflowPunct/>
        <w:topLinePunct w:val="0"/>
        <w:autoSpaceDE/>
        <w:autoSpaceDN/>
        <w:bidi w:val="0"/>
        <w:adjustRightInd/>
        <w:snapToGrid/>
        <w:spacing w:line="560" w:lineRule="exact"/>
        <w:ind w:firstLine="640"/>
        <w:rPr>
          <w:rStyle w:val="52"/>
          <w:rFonts w:hint="eastAsia"/>
          <w:color w:val="auto"/>
          <w:highlight w:val="none"/>
          <w:lang w:val="en-US" w:eastAsia="zh-CN"/>
        </w:rPr>
      </w:pPr>
      <w:r>
        <w:rPr>
          <w:rStyle w:val="52"/>
          <w:rFonts w:hint="eastAsia" w:eastAsia="仿宋_GB2312"/>
          <w:color w:val="auto"/>
          <w:highlight w:val="none"/>
          <w:lang w:val="en-US" w:eastAsia="zh-CN"/>
        </w:rPr>
        <w:t>指标1：不断改善文物建筑环境，</w:t>
      </w:r>
      <w:r>
        <w:rPr>
          <w:rStyle w:val="52"/>
          <w:rFonts w:hint="eastAsia"/>
          <w:color w:val="auto"/>
          <w:highlight w:val="none"/>
          <w:lang w:val="en-US" w:eastAsia="zh-CN"/>
        </w:rPr>
        <w:t>实际值90%，按指标评分标准，该指标扣0.79分；</w:t>
      </w:r>
    </w:p>
    <w:p>
      <w:pPr>
        <w:pageBreakBefore w:val="0"/>
        <w:kinsoku/>
        <w:wordWrap/>
        <w:overflowPunct/>
        <w:topLinePunct w:val="0"/>
        <w:autoSpaceDE/>
        <w:autoSpaceDN/>
        <w:bidi w:val="0"/>
        <w:adjustRightInd/>
        <w:snapToGrid/>
        <w:spacing w:line="560" w:lineRule="exact"/>
        <w:ind w:firstLine="640"/>
        <w:rPr>
          <w:rStyle w:val="52"/>
          <w:rFonts w:hint="eastAsia"/>
          <w:color w:val="auto"/>
          <w:highlight w:val="none"/>
        </w:rPr>
      </w:pPr>
      <w:r>
        <w:rPr>
          <w:rStyle w:val="52"/>
          <w:rFonts w:hint="eastAsia"/>
          <w:color w:val="auto"/>
          <w:highlight w:val="none"/>
          <w:lang w:val="en-US" w:eastAsia="zh-CN"/>
        </w:rPr>
        <w:t>根据指标评分标准，对于“实施效益”指标扣2.29分。扣分原因为：</w:t>
      </w:r>
      <w:r>
        <w:rPr>
          <w:rStyle w:val="52"/>
          <w:rFonts w:hint="eastAsia"/>
          <w:color w:val="auto"/>
          <w:highlight w:val="none"/>
        </w:rPr>
        <w:t>“塔城</w:t>
      </w:r>
      <w:r>
        <w:rPr>
          <w:rStyle w:val="52"/>
          <w:rFonts w:hint="eastAsia" w:eastAsia="仿宋_GB2312"/>
          <w:color w:val="auto"/>
          <w:highlight w:val="none"/>
          <w:lang w:eastAsia="zh-CN"/>
        </w:rPr>
        <w:t>地区博物馆</w:t>
      </w:r>
      <w:r>
        <w:rPr>
          <w:rStyle w:val="52"/>
          <w:rFonts w:hint="eastAsia"/>
          <w:color w:val="auto"/>
          <w:highlight w:val="none"/>
          <w:lang w:val="en-US" w:eastAsia="zh-CN"/>
        </w:rPr>
        <w:t>博物馆、纪念馆免费开放资金专项经费</w:t>
      </w:r>
      <w:r>
        <w:rPr>
          <w:rStyle w:val="52"/>
          <w:rFonts w:hint="eastAsia"/>
          <w:color w:val="auto"/>
          <w:highlight w:val="none"/>
        </w:rPr>
        <w:t>项目”利用</w:t>
      </w:r>
      <w:r>
        <w:rPr>
          <w:rStyle w:val="52"/>
          <w:rFonts w:hint="eastAsia" w:eastAsia="仿宋_GB2312"/>
          <w:color w:val="auto"/>
          <w:highlight w:val="none"/>
          <w:lang w:eastAsia="zh-CN"/>
        </w:rPr>
        <w:t>免费开放资金日常运转</w:t>
      </w:r>
      <w:r>
        <w:rPr>
          <w:rStyle w:val="52"/>
          <w:rFonts w:hint="eastAsia"/>
          <w:color w:val="auto"/>
          <w:highlight w:val="none"/>
        </w:rPr>
        <w:t>经费不断满足人民群众日益提高的文化需求</w:t>
      </w:r>
      <w:r>
        <w:rPr>
          <w:rStyle w:val="52"/>
          <w:rFonts w:hint="eastAsia" w:eastAsia="仿宋_GB2312"/>
          <w:color w:val="auto"/>
          <w:highlight w:val="none"/>
          <w:lang w:eastAsia="zh-CN"/>
        </w:rPr>
        <w:t>，</w:t>
      </w:r>
      <w:r>
        <w:rPr>
          <w:rStyle w:val="52"/>
          <w:rFonts w:hint="eastAsia" w:eastAsia="仿宋_GB2312"/>
          <w:color w:val="auto"/>
          <w:highlight w:val="none"/>
          <w:lang w:val="en-US" w:eastAsia="zh-CN"/>
        </w:rPr>
        <w:t>但</w:t>
      </w:r>
      <w:r>
        <w:rPr>
          <w:rStyle w:val="52"/>
          <w:rFonts w:hint="eastAsia"/>
          <w:color w:val="auto"/>
          <w:highlight w:val="none"/>
          <w:lang w:val="en-US" w:eastAsia="zh-CN"/>
        </w:rPr>
        <w:t>随着生活条件不断增加，部分人民群众不在本地区参观博物馆。</w:t>
      </w:r>
    </w:p>
    <w:p>
      <w:pPr>
        <w:pageBreakBefore w:val="0"/>
        <w:kinsoku/>
        <w:wordWrap/>
        <w:overflowPunct/>
        <w:topLinePunct w:val="0"/>
        <w:autoSpaceDE/>
        <w:autoSpaceDN/>
        <w:bidi w:val="0"/>
        <w:adjustRightInd/>
        <w:snapToGrid/>
        <w:spacing w:line="560" w:lineRule="exact"/>
        <w:ind w:firstLine="640"/>
        <w:rPr>
          <w:rStyle w:val="52"/>
          <w:rFonts w:hint="eastAsia" w:eastAsia="仿宋_GB2312"/>
          <w:color w:val="auto"/>
          <w:highlight w:val="none"/>
          <w:lang w:eastAsia="zh-CN"/>
        </w:rPr>
      </w:pPr>
      <w:r>
        <w:rPr>
          <w:rStyle w:val="52"/>
          <w:rFonts w:hint="eastAsia"/>
          <w:color w:val="auto"/>
          <w:highlight w:val="none"/>
        </w:rPr>
        <w:t>对于“服务对象满意度”</w:t>
      </w:r>
      <w:r>
        <w:rPr>
          <w:rStyle w:val="52"/>
          <w:rFonts w:hint="eastAsia" w:eastAsia="仿宋_GB2312"/>
          <w:color w:val="auto"/>
          <w:highlight w:val="none"/>
          <w:lang w:eastAsia="zh-CN"/>
        </w:rPr>
        <w:t>：</w:t>
      </w:r>
    </w:p>
    <w:p>
      <w:pPr>
        <w:pageBreakBefore w:val="0"/>
        <w:kinsoku/>
        <w:wordWrap/>
        <w:overflowPunct/>
        <w:topLinePunct w:val="0"/>
        <w:autoSpaceDE/>
        <w:autoSpaceDN/>
        <w:bidi w:val="0"/>
        <w:adjustRightInd/>
        <w:snapToGrid/>
        <w:spacing w:line="560" w:lineRule="exact"/>
        <w:ind w:firstLine="640" w:firstLineChars="200"/>
        <w:rPr>
          <w:rStyle w:val="52"/>
          <w:rFonts w:hint="eastAsia"/>
          <w:color w:val="auto"/>
          <w:highlight w:val="none"/>
        </w:rPr>
      </w:pPr>
      <w:r>
        <w:rPr>
          <w:rStyle w:val="52"/>
          <w:rFonts w:hint="eastAsia" w:eastAsia="仿宋_GB2312"/>
          <w:color w:val="auto"/>
          <w:highlight w:val="none"/>
          <w:lang w:eastAsia="zh-CN"/>
        </w:rPr>
        <w:t>指标</w:t>
      </w:r>
      <w:r>
        <w:rPr>
          <w:rStyle w:val="52"/>
          <w:rFonts w:hint="eastAsia" w:eastAsia="仿宋_GB2312"/>
          <w:color w:val="auto"/>
          <w:highlight w:val="none"/>
          <w:lang w:val="en-US" w:eastAsia="zh-CN"/>
        </w:rPr>
        <w:t>1：力争达到是相对人百分百，</w:t>
      </w:r>
      <w:r>
        <w:rPr>
          <w:rStyle w:val="52"/>
          <w:rFonts w:hint="eastAsia"/>
          <w:color w:val="auto"/>
          <w:highlight w:val="none"/>
          <w:lang w:val="en-US" w:eastAsia="zh-CN"/>
        </w:rPr>
        <w:t>实际值100%，按指标评分标准，该指标不扣分。塔城地区博物馆</w:t>
      </w:r>
      <w:r>
        <w:rPr>
          <w:rStyle w:val="52"/>
          <w:rFonts w:hint="eastAsia"/>
          <w:color w:val="auto"/>
          <w:highlight w:val="none"/>
        </w:rPr>
        <w:t>发放的调查问卷</w:t>
      </w:r>
      <w:r>
        <w:rPr>
          <w:rStyle w:val="52"/>
          <w:rFonts w:hint="eastAsia" w:eastAsia="仿宋_GB2312"/>
          <w:color w:val="auto"/>
          <w:highlight w:val="none"/>
          <w:lang w:eastAsia="zh-CN"/>
        </w:rPr>
        <w:t>，问卷</w:t>
      </w:r>
      <w:r>
        <w:rPr>
          <w:rStyle w:val="52"/>
          <w:rFonts w:hint="eastAsia"/>
          <w:color w:val="auto"/>
          <w:highlight w:val="none"/>
        </w:rPr>
        <w:t>中的满意度问题主要包括：</w:t>
      </w:r>
      <w:r>
        <w:rPr>
          <w:rStyle w:val="52"/>
          <w:rFonts w:hint="eastAsia" w:eastAsia="仿宋_GB2312"/>
          <w:color w:val="auto"/>
          <w:highlight w:val="none"/>
          <w:lang w:eastAsia="zh-CN"/>
        </w:rPr>
        <w:t>参观人员</w:t>
      </w:r>
      <w:r>
        <w:rPr>
          <w:rStyle w:val="52"/>
          <w:rFonts w:hint="eastAsia"/>
          <w:color w:val="auto"/>
          <w:highlight w:val="none"/>
        </w:rPr>
        <w:t>对</w:t>
      </w:r>
      <w:r>
        <w:rPr>
          <w:rStyle w:val="52"/>
          <w:rFonts w:hint="eastAsia" w:eastAsia="仿宋_GB2312"/>
          <w:color w:val="auto"/>
          <w:highlight w:val="none"/>
          <w:lang w:eastAsia="zh-CN"/>
        </w:rPr>
        <w:t>博物馆及讲解员讲解</w:t>
      </w:r>
      <w:r>
        <w:rPr>
          <w:rStyle w:val="52"/>
          <w:rFonts w:hint="eastAsia"/>
          <w:color w:val="auto"/>
          <w:highlight w:val="none"/>
        </w:rPr>
        <w:t>工作的满意度，力争达到是相对人百分百满意。对满意度指标分为三档，即“满意”、“基本满意”、“不满意”；满分为10分，各档次对应的分值为10分、9分、0分，通过加权计算得出各项指标的满意度平均得分。综合问卷调查结果，</w:t>
      </w:r>
      <w:r>
        <w:rPr>
          <w:rStyle w:val="52"/>
          <w:rFonts w:hint="eastAsia" w:eastAsia="仿宋_GB2312"/>
          <w:color w:val="auto"/>
          <w:highlight w:val="none"/>
          <w:lang w:eastAsia="zh-CN"/>
        </w:rPr>
        <w:t>参观人员</w:t>
      </w:r>
      <w:r>
        <w:rPr>
          <w:rStyle w:val="52"/>
          <w:rFonts w:hint="eastAsia"/>
          <w:color w:val="auto"/>
          <w:highlight w:val="none"/>
        </w:rPr>
        <w:t>的满意度分析结果为</w:t>
      </w:r>
      <w:r>
        <w:rPr>
          <w:rStyle w:val="52"/>
          <w:rFonts w:hint="eastAsia" w:eastAsia="仿宋_GB2312"/>
          <w:color w:val="auto"/>
          <w:highlight w:val="none"/>
          <w:lang w:val="en-US" w:eastAsia="zh-CN"/>
        </w:rPr>
        <w:t>10</w:t>
      </w:r>
      <w:r>
        <w:rPr>
          <w:rStyle w:val="52"/>
          <w:rFonts w:hint="eastAsia"/>
          <w:color w:val="auto"/>
          <w:highlight w:val="none"/>
        </w:rPr>
        <w:t>分。根据指标评分标准，该指标实际得分率为</w:t>
      </w:r>
      <w:r>
        <w:rPr>
          <w:rStyle w:val="52"/>
          <w:rFonts w:hint="eastAsia" w:eastAsia="仿宋_GB2312"/>
          <w:color w:val="auto"/>
          <w:highlight w:val="none"/>
          <w:lang w:val="en-US" w:eastAsia="zh-CN"/>
        </w:rPr>
        <w:t>100</w:t>
      </w:r>
      <w:r>
        <w:rPr>
          <w:rStyle w:val="52"/>
          <w:rFonts w:hint="eastAsia"/>
          <w:color w:val="auto"/>
          <w:highlight w:val="none"/>
        </w:rPr>
        <w:t>%。</w:t>
      </w:r>
    </w:p>
    <w:p>
      <w:pPr>
        <w:pageBreakBefore w:val="0"/>
        <w:kinsoku/>
        <w:wordWrap/>
        <w:overflowPunct/>
        <w:topLinePunct w:val="0"/>
        <w:autoSpaceDE/>
        <w:autoSpaceDN/>
        <w:bidi w:val="0"/>
        <w:adjustRightInd/>
        <w:snapToGrid/>
        <w:spacing w:line="560" w:lineRule="exact"/>
        <w:ind w:firstLine="641"/>
        <w:rPr>
          <w:rStyle w:val="52"/>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w:t>
      </w:r>
      <w:r>
        <w:rPr>
          <w:rStyle w:val="52"/>
          <w:rFonts w:hint="eastAsia"/>
          <w:color w:val="auto"/>
          <w:lang w:val="en-US" w:eastAsia="zh-CN"/>
        </w:rPr>
        <w:t>博物馆、纪念馆免费开放资金专项经费</w:t>
      </w:r>
      <w:r>
        <w:rPr>
          <w:rFonts w:hint="eastAsia" w:ascii="仿宋_GB2312" w:hAnsi="仿宋_GB2312" w:eastAsia="仿宋_GB2312" w:cs="仿宋_GB2312"/>
          <w:sz w:val="32"/>
          <w:szCs w:val="32"/>
        </w:rPr>
        <w:t>项目顺利进行，提前做好</w:t>
      </w:r>
      <w:r>
        <w:rPr>
          <w:rStyle w:val="52"/>
          <w:rFonts w:hint="eastAsia"/>
          <w:color w:val="auto"/>
          <w:lang w:val="en-US" w:eastAsia="zh-CN"/>
        </w:rPr>
        <w:t>博物馆、纪念馆免费开放资金专项经费</w:t>
      </w:r>
      <w:r>
        <w:rPr>
          <w:rFonts w:hint="eastAsia" w:ascii="仿宋_GB2312" w:hAnsi="仿宋_GB2312" w:eastAsia="仿宋_GB2312" w:cs="仿宋_GB2312"/>
          <w:sz w:val="32"/>
          <w:szCs w:val="32"/>
        </w:rPr>
        <w:t>项目规划，将所列计划再三审核。在</w:t>
      </w:r>
      <w:r>
        <w:rPr>
          <w:rStyle w:val="52"/>
          <w:rFonts w:hint="eastAsia"/>
          <w:color w:val="auto"/>
          <w:lang w:val="en-US" w:eastAsia="zh-CN"/>
        </w:rPr>
        <w:t>博物馆、纪念馆免费开放资金专项经费</w:t>
      </w:r>
      <w:r>
        <w:rPr>
          <w:rFonts w:hint="eastAsia" w:ascii="仿宋_GB2312" w:hAnsi="仿宋_GB2312" w:eastAsia="仿宋_GB2312" w:cs="仿宋_GB2312"/>
          <w:sz w:val="32"/>
          <w:szCs w:val="32"/>
        </w:rPr>
        <w:t>项目实施过程中做好定期监督检查，严格按照</w:t>
      </w:r>
      <w:r>
        <w:rPr>
          <w:rFonts w:hint="eastAsia" w:ascii="仿宋_GB2312" w:hAnsi="仿宋_GB2312" w:eastAsia="仿宋_GB2312" w:cs="仿宋_GB2312"/>
          <w:sz w:val="32"/>
          <w:szCs w:val="32"/>
          <w:lang w:eastAsia="zh-CN"/>
        </w:rPr>
        <w:t>《</w:t>
      </w:r>
      <w:r>
        <w:rPr>
          <w:rStyle w:val="52"/>
          <w:rFonts w:hint="eastAsia"/>
          <w:color w:val="auto"/>
          <w:lang w:val="en-US" w:eastAsia="zh-CN"/>
        </w:rPr>
        <w:t>博物馆、纪念馆免费开放资金专项资金管理办法》</w:t>
      </w:r>
      <w:r>
        <w:rPr>
          <w:rFonts w:hint="eastAsia" w:ascii="仿宋_GB2312" w:hAnsi="仿宋_GB2312" w:eastAsia="仿宋_GB2312" w:cs="仿宋_GB2312"/>
          <w:sz w:val="32"/>
          <w:szCs w:val="32"/>
        </w:rPr>
        <w:t>规范进行，在项目资金使用过程中，严格落实把关，按照项目资金使用范围做好审核工作，让项目资金落于实处。在项</w:t>
      </w:r>
      <w:r>
        <w:rPr>
          <w:rFonts w:hint="eastAsia" w:ascii="仿宋_GB2312" w:hAnsi="仿宋_GB2312" w:eastAsia="仿宋_GB2312" w:cs="仿宋_GB2312"/>
          <w:sz w:val="32"/>
          <w:szCs w:val="32"/>
          <w:lang w:eastAsia="zh-CN"/>
        </w:rPr>
        <w:t>该</w:t>
      </w:r>
      <w:r>
        <w:rPr>
          <w:rFonts w:hint="eastAsia" w:ascii="仿宋_GB2312" w:hAnsi="仿宋_GB2312" w:eastAsia="仿宋_GB2312" w:cs="仿宋_GB2312"/>
          <w:sz w:val="32"/>
          <w:szCs w:val="32"/>
        </w:rPr>
        <w:t>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w:t>
      </w:r>
      <w:r>
        <w:rPr>
          <w:rFonts w:hint="eastAsia" w:ascii="仿宋_GB2312" w:hAnsi="仿宋_GB2312" w:eastAsia="仿宋_GB2312" w:cs="仿宋_GB2312"/>
          <w:b w:val="0"/>
          <w:bCs w:val="0"/>
          <w:kern w:val="2"/>
          <w:lang w:val="en-US" w:eastAsia="zh-CN"/>
        </w:rPr>
        <w:t>博物馆、纪念馆免费开放资金专项经费</w:t>
      </w:r>
      <w:r>
        <w:rPr>
          <w:rFonts w:hint="eastAsia" w:ascii="仿宋_GB2312" w:hAnsi="仿宋_GB2312" w:eastAsia="仿宋_GB2312" w:cs="仿宋_GB2312"/>
          <w:b w:val="0"/>
          <w:bCs w:val="0"/>
          <w:kern w:val="2"/>
        </w:rPr>
        <w:t>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4"/>
        </w:numPr>
        <w:kinsoku/>
        <w:wordWrap/>
        <w:overflowPunct/>
        <w:topLinePunct w:val="0"/>
        <w:autoSpaceDE/>
        <w:autoSpaceDN/>
        <w:bidi w:val="0"/>
        <w:adjustRightInd/>
        <w:snapToGrid/>
        <w:spacing w:line="560" w:lineRule="exact"/>
        <w:ind w:firstLine="641"/>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存在的问题及原因分析</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1、存在的问题</w:t>
      </w:r>
    </w:p>
    <w:p>
      <w:pPr>
        <w:pStyle w:val="2"/>
        <w:pageBreakBefore w:val="0"/>
        <w:kinsoku/>
        <w:wordWrap/>
        <w:overflowPunct/>
        <w:topLinePunct w:val="0"/>
        <w:autoSpaceDE/>
        <w:autoSpaceDN/>
        <w:bidi w:val="0"/>
        <w:adjustRightInd/>
        <w:snapToGrid/>
        <w:spacing w:before="0" w:after="0" w:line="560" w:lineRule="exact"/>
        <w:ind w:firstLine="640" w:firstLineChars="200"/>
        <w:jc w:val="left"/>
        <w:rPr>
          <w:rFonts w:hint="eastAsia" w:ascii="仿宋_GB2312" w:hAnsi="仿宋_GB2312" w:eastAsia="仿宋_GB2312" w:cs="仿宋_GB2312"/>
          <w:b w:val="0"/>
          <w:bCs w:val="0"/>
          <w:color w:val="auto"/>
          <w:kern w:val="2"/>
          <w:highlight w:val="none"/>
          <w:lang w:eastAsia="zh-CN"/>
        </w:rPr>
      </w:pPr>
      <w:r>
        <w:rPr>
          <w:rFonts w:hint="eastAsia" w:ascii="仿宋_GB2312" w:hAnsi="仿宋_GB2312" w:eastAsia="仿宋_GB2312" w:cs="仿宋_GB2312"/>
          <w:b w:val="0"/>
          <w:bCs w:val="0"/>
          <w:color w:val="auto"/>
          <w:kern w:val="2"/>
          <w:highlight w:val="none"/>
          <w:lang w:eastAsia="zh-CN"/>
        </w:rPr>
        <w:t>（</w:t>
      </w:r>
      <w:r>
        <w:rPr>
          <w:rFonts w:hint="eastAsia" w:ascii="仿宋_GB2312" w:hAnsi="仿宋_GB2312" w:eastAsia="仿宋_GB2312" w:cs="仿宋_GB2312"/>
          <w:b w:val="0"/>
          <w:bCs w:val="0"/>
          <w:color w:val="auto"/>
          <w:kern w:val="2"/>
          <w:highlight w:val="none"/>
          <w:lang w:val="en-US" w:eastAsia="zh-CN"/>
        </w:rPr>
        <w:t>2</w:t>
      </w:r>
      <w:r>
        <w:rPr>
          <w:rFonts w:hint="eastAsia" w:ascii="仿宋_GB2312" w:hAnsi="仿宋_GB2312" w:eastAsia="仿宋_GB2312" w:cs="仿宋_GB2312"/>
          <w:b w:val="0"/>
          <w:bCs w:val="0"/>
          <w:color w:val="auto"/>
          <w:kern w:val="2"/>
          <w:highlight w:val="none"/>
          <w:lang w:eastAsia="zh-CN"/>
        </w:rPr>
        <w:t>）我单位所在地“红楼”是国家级重点保护单位，是古建筑，若要维持正常开馆，需要支付很大一部分维修费。</w:t>
      </w:r>
    </w:p>
    <w:p>
      <w:pPr>
        <w:pStyle w:val="2"/>
        <w:pageBreakBefore w:val="0"/>
        <w:kinsoku/>
        <w:wordWrap/>
        <w:overflowPunct/>
        <w:topLinePunct w:val="0"/>
        <w:autoSpaceDE/>
        <w:autoSpaceDN/>
        <w:bidi w:val="0"/>
        <w:adjustRightInd/>
        <w:snapToGrid/>
        <w:spacing w:before="0" w:after="0" w:line="560" w:lineRule="exact"/>
        <w:ind w:firstLine="640" w:firstLineChars="200"/>
        <w:jc w:val="left"/>
        <w:rPr>
          <w:rFonts w:hint="eastAsia" w:ascii="仿宋_GB2312" w:hAnsi="仿宋_GB2312" w:eastAsia="仿宋_GB2312" w:cs="仿宋_GB2312"/>
          <w:b w:val="0"/>
          <w:bCs w:val="0"/>
          <w:color w:val="auto"/>
          <w:kern w:val="2"/>
          <w:highlight w:val="none"/>
          <w:lang w:eastAsia="zh-CN"/>
        </w:rPr>
      </w:pPr>
      <w:r>
        <w:rPr>
          <w:rFonts w:hint="eastAsia" w:ascii="仿宋_GB2312" w:hAnsi="仿宋_GB2312" w:eastAsia="仿宋_GB2312" w:cs="仿宋_GB2312"/>
          <w:b w:val="0"/>
          <w:bCs w:val="0"/>
          <w:color w:val="auto"/>
          <w:kern w:val="2"/>
          <w:highlight w:val="none"/>
          <w:lang w:eastAsia="zh-CN"/>
        </w:rPr>
        <w:t>（</w:t>
      </w:r>
      <w:r>
        <w:rPr>
          <w:rFonts w:hint="eastAsia" w:ascii="仿宋_GB2312" w:hAnsi="仿宋_GB2312" w:eastAsia="仿宋_GB2312" w:cs="仿宋_GB2312"/>
          <w:b w:val="0"/>
          <w:bCs w:val="0"/>
          <w:color w:val="auto"/>
          <w:kern w:val="2"/>
          <w:highlight w:val="none"/>
          <w:lang w:val="en-US" w:eastAsia="zh-CN"/>
        </w:rPr>
        <w:t>2</w:t>
      </w:r>
      <w:r>
        <w:rPr>
          <w:rFonts w:hint="eastAsia" w:ascii="仿宋_GB2312" w:hAnsi="仿宋_GB2312" w:eastAsia="仿宋_GB2312" w:cs="仿宋_GB2312"/>
          <w:b w:val="0"/>
          <w:bCs w:val="0"/>
          <w:color w:val="auto"/>
          <w:kern w:val="2"/>
          <w:highlight w:val="none"/>
          <w:lang w:eastAsia="zh-CN"/>
        </w:rPr>
        <w:t>）在人才方面有有所欠缺，一是招聘有点困难，二是相关专业人才稀缺。</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2、原因分析</w:t>
      </w:r>
    </w:p>
    <w:p>
      <w:pPr>
        <w:pStyle w:val="2"/>
        <w:pageBreakBefore w:val="0"/>
        <w:kinsoku/>
        <w:wordWrap/>
        <w:overflowPunct/>
        <w:topLinePunct w:val="0"/>
        <w:autoSpaceDE/>
        <w:autoSpaceDN/>
        <w:bidi w:val="0"/>
        <w:adjustRightInd/>
        <w:snapToGrid/>
        <w:spacing w:before="0" w:after="0" w:line="560" w:lineRule="exact"/>
        <w:ind w:firstLine="640" w:firstLineChars="200"/>
        <w:jc w:val="left"/>
        <w:rPr>
          <w:rFonts w:hint="eastAsia" w:ascii="仿宋_GB2312" w:hAnsi="仿宋_GB2312" w:eastAsia="仿宋_GB2312" w:cs="仿宋_GB2312"/>
          <w:b w:val="0"/>
          <w:bCs w:val="0"/>
          <w:color w:val="auto"/>
          <w:kern w:val="2"/>
          <w:highlight w:val="none"/>
          <w:lang w:eastAsia="zh-CN"/>
        </w:rPr>
      </w:pPr>
      <w:r>
        <w:rPr>
          <w:rFonts w:hint="eastAsia" w:ascii="仿宋_GB2312" w:hAnsi="仿宋_GB2312" w:eastAsia="仿宋_GB2312" w:cs="仿宋_GB2312"/>
          <w:b w:val="0"/>
          <w:bCs w:val="0"/>
          <w:color w:val="auto"/>
          <w:kern w:val="2"/>
          <w:highlight w:val="none"/>
          <w:lang w:eastAsia="zh-CN"/>
        </w:rPr>
        <w:t>每季度定期对暖气、电路、安防消防等设施进行检查，及时维修维护；扩大对大中专毕业生的招聘，专业等方面不设限，吸引更多爱好古文物及播音的人才；定期开展“职业素质提升”活动，加强职业技能，提升职业素质，通过站姿、走姿、礼仪体态对讲解员进行礼仪形体培训。</w:t>
      </w:r>
    </w:p>
    <w:p>
      <w:pPr>
        <w:pageBreakBefore w:val="0"/>
        <w:numPr>
          <w:ilvl w:val="0"/>
          <w:numId w:val="5"/>
        </w:numPr>
        <w:kinsoku/>
        <w:wordWrap/>
        <w:overflowPunct/>
        <w:topLinePunct w:val="0"/>
        <w:autoSpaceDE/>
        <w:autoSpaceDN/>
        <w:bidi w:val="0"/>
        <w:adjustRightInd/>
        <w:snapToGrid/>
        <w:spacing w:line="560" w:lineRule="exact"/>
        <w:ind w:firstLine="641"/>
        <w:rPr>
          <w:rFonts w:ascii="黑体" w:hAnsi="黑体" w:eastAsia="黑体"/>
          <w:sz w:val="32"/>
          <w:szCs w:val="32"/>
        </w:rPr>
      </w:pPr>
      <w:r>
        <w:rPr>
          <w:rFonts w:hint="eastAsia" w:ascii="黑体" w:hAnsi="黑体" w:eastAsia="黑体"/>
          <w:sz w:val="32"/>
          <w:szCs w:val="32"/>
        </w:rPr>
        <w:t>有关建议</w:t>
      </w:r>
    </w:p>
    <w:p>
      <w:pPr>
        <w:pageBreakBefore w:val="0"/>
        <w:numPr>
          <w:ilvl w:val="0"/>
          <w:numId w:val="6"/>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6"/>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5"/>
        </w:numPr>
        <w:kinsoku/>
        <w:wordWrap/>
        <w:overflowPunct/>
        <w:topLinePunct w:val="0"/>
        <w:autoSpaceDE/>
        <w:autoSpaceDN/>
        <w:bidi w:val="0"/>
        <w:adjustRightInd/>
        <w:snapToGrid/>
        <w:spacing w:line="560" w:lineRule="exact"/>
        <w:ind w:firstLine="641"/>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Style w:val="2"/>
        <w:pageBreakBefore w:val="0"/>
        <w:kinsoku/>
        <w:wordWrap/>
        <w:overflowPunct/>
        <w:topLinePunct w:val="0"/>
        <w:autoSpaceDE/>
        <w:autoSpaceDN/>
        <w:bidi w:val="0"/>
        <w:adjustRightInd/>
        <w:snapToGrid/>
        <w:spacing w:before="0" w:after="0" w:line="560" w:lineRule="exact"/>
        <w:ind w:firstLine="640" w:firstLineChars="200"/>
        <w:jc w:val="left"/>
        <w:rPr>
          <w:rFonts w:hint="eastAsia" w:ascii="仿宋_GB2312" w:hAnsi="仿宋_GB2312" w:eastAsia="仿宋_GB2312" w:cs="仿宋_GB2312"/>
          <w:b w:val="0"/>
          <w:bCs w:val="0"/>
          <w:kern w:val="2"/>
          <w:lang w:eastAsia="zh-CN"/>
        </w:rPr>
      </w:pPr>
      <w:r>
        <w:rPr>
          <w:rFonts w:hint="eastAsia" w:ascii="仿宋_GB2312" w:hAnsi="仿宋_GB2312" w:eastAsia="仿宋_GB2312" w:cs="仿宋_GB2312"/>
          <w:b w:val="0"/>
          <w:bCs w:val="0"/>
          <w:kern w:val="2"/>
          <w:lang w:eastAsia="zh-CN"/>
        </w:rPr>
        <w:t>无。</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pStyle w:val="2"/>
        <w:jc w:val="both"/>
        <w:rPr>
          <w:rFonts w:hint="eastAsia"/>
          <w:lang w:val="en-US" w:eastAsia="zh-CN"/>
        </w:rPr>
      </w:pPr>
    </w:p>
    <w:tbl>
      <w:tblPr>
        <w:tblStyle w:val="21"/>
        <w:tblW w:w="9705" w:type="dxa"/>
        <w:tblInd w:w="0" w:type="dxa"/>
        <w:shd w:val="clear" w:color="auto" w:fill="auto"/>
        <w:tblLayout w:type="fixed"/>
        <w:tblCellMar>
          <w:top w:w="0" w:type="dxa"/>
          <w:left w:w="0" w:type="dxa"/>
          <w:bottom w:w="0" w:type="dxa"/>
          <w:right w:w="0" w:type="dxa"/>
        </w:tblCellMar>
      </w:tblPr>
      <w:tblGrid>
        <w:gridCol w:w="840"/>
        <w:gridCol w:w="840"/>
        <w:gridCol w:w="840"/>
        <w:gridCol w:w="840"/>
        <w:gridCol w:w="840"/>
        <w:gridCol w:w="840"/>
        <w:gridCol w:w="1215"/>
        <w:gridCol w:w="840"/>
        <w:gridCol w:w="735"/>
        <w:gridCol w:w="1875"/>
      </w:tblGrid>
      <w:tr>
        <w:tblPrEx>
          <w:shd w:val="clear" w:color="auto" w:fill="auto"/>
          <w:tblCellMar>
            <w:top w:w="0" w:type="dxa"/>
            <w:left w:w="0" w:type="dxa"/>
            <w:bottom w:w="0" w:type="dxa"/>
            <w:right w:w="0" w:type="dxa"/>
          </w:tblCellMar>
        </w:tblPrEx>
        <w:trPr>
          <w:trHeight w:val="409" w:hRule="atLeast"/>
        </w:trPr>
        <w:tc>
          <w:tcPr>
            <w:tcW w:w="970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方正小标宋_GBK" w:hAnsi="方正小标宋_GBK" w:eastAsia="方正小标宋_GBK" w:cs="方正小标宋_GBK"/>
                <w:b w:val="0"/>
                <w:bCs/>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70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705" w:type="dxa"/>
            <w:gridSpan w:val="10"/>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0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博物馆、纪念馆免费开放资金</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57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6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塔城地区博物馆</w:t>
            </w:r>
          </w:p>
        </w:tc>
      </w:tr>
      <w:tr>
        <w:tblPrEx>
          <w:shd w:val="clear" w:color="auto" w:fill="auto"/>
          <w:tblCellMar>
            <w:top w:w="0" w:type="dxa"/>
            <w:left w:w="0" w:type="dxa"/>
            <w:bottom w:w="0" w:type="dxa"/>
            <w:right w:w="0" w:type="dxa"/>
          </w:tblCellMar>
        </w:tblPrEx>
        <w:trPr>
          <w:trHeight w:val="54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shd w:val="clear" w:color="auto" w:fill="auto"/>
          <w:tblCellMar>
            <w:top w:w="0" w:type="dxa"/>
            <w:left w:w="0" w:type="dxa"/>
            <w:bottom w:w="0" w:type="dxa"/>
            <w:right w:w="0" w:type="dxa"/>
          </w:tblCellMar>
        </w:tblPrEx>
        <w:trPr>
          <w:trHeight w:val="433"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133.65</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133.65</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133.65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shd w:val="clear" w:color="auto" w:fill="auto"/>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105.74</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105.74</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105.74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27.92</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27.92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41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4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4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1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预期项目按照有关博物馆免费开放资金用途完成，力争使成果符合博物馆免费开放要求，部分项目还达到了设备和技术的先进性、实用性和安全性的综合统一。</w:t>
            </w:r>
          </w:p>
        </w:tc>
        <w:tc>
          <w:tcPr>
            <w:tcW w:w="34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预期项目按照有关博物馆免费开放资金用途完成，力争使成果符合博物馆免费开放要求，部分项目还达到了设备和技术的先进性、实用性和安全性的综合统一。</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5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8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54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聘请讲解员人数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=6人</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6人</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免费开放的天数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=365天</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300天</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今年受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影响，</w:t>
            </w:r>
            <w:r>
              <w:rPr>
                <w:rFonts w:hint="eastAsia" w:ascii="宋体" w:hAnsi="宋体" w:cs="宋体"/>
                <w:i w:val="0"/>
                <w:color w:val="000000"/>
                <w:kern w:val="0"/>
                <w:sz w:val="18"/>
                <w:szCs w:val="18"/>
                <w:u w:val="none"/>
                <w:lang w:val="en-US" w:eastAsia="zh-CN" w:bidi="ar"/>
              </w:rPr>
              <w:t>减少开放天数</w:t>
            </w: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6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维修维护数量</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=3项</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3项</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7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藏品管理完好率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讲解员出勤率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维修任务完好率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2019年12月</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5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维修成本</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=2万元</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2万元</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办公成本</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=2万元</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2万元</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讲解员劳务费</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=23万元</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23万元</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不断满足人民群众日益提高的文化需求</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随着生活条件不断增加，部分人民群众不在本地区参观博物馆。</w:t>
            </w:r>
          </w:p>
        </w:tc>
      </w:tr>
      <w:tr>
        <w:tblPrEx>
          <w:tblCellMar>
            <w:top w:w="0" w:type="dxa"/>
            <w:left w:w="0" w:type="dxa"/>
            <w:bottom w:w="0" w:type="dxa"/>
            <w:right w:w="0" w:type="dxa"/>
          </w:tblCellMar>
        </w:tblPrEx>
        <w:trPr>
          <w:trHeight w:val="7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不断改善文物建筑环境</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地区博物馆文物建筑在不断的改善中。</w:t>
            </w:r>
          </w:p>
        </w:tc>
      </w:tr>
      <w:tr>
        <w:tblPrEx>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力争达到是相对人百分百满意</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pStyle w:val="2"/>
        <w:jc w:val="both"/>
        <w:rPr>
          <w:rFonts w:hint="eastAsia" w:ascii="宋体" w:hAnsi="宋体" w:eastAsia="宋体" w:cs="宋体"/>
          <w:b/>
          <w:bCs/>
          <w:i w:val="0"/>
          <w:iCs w:val="0"/>
          <w:color w:val="000000"/>
          <w:kern w:val="0"/>
          <w:sz w:val="32"/>
          <w:szCs w:val="32"/>
          <w:u w:val="none"/>
          <w:lang w:val="en-US" w:eastAsia="zh-CN" w:bidi="ar"/>
        </w:rPr>
      </w:pPr>
    </w:p>
    <w:p>
      <w:pPr>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rPr>
          <w:rFonts w:hint="eastAsia"/>
          <w:lang w:val="en-US" w:eastAsia="zh-CN"/>
        </w:rPr>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rPr>
          <w:rFonts w:hint="eastAsia"/>
        </w:rPr>
      </w:pPr>
    </w:p>
    <w:p>
      <w:pPr>
        <w:pageBreakBefore w:val="0"/>
        <w:kinsoku/>
        <w:wordWrap/>
        <w:overflowPunct/>
        <w:topLinePunct w:val="0"/>
        <w:autoSpaceDE/>
        <w:autoSpaceDN/>
        <w:bidi w:val="0"/>
        <w:adjustRightInd/>
        <w:snapToGrid/>
        <w:spacing w:line="56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1"/>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highlight w:val="yellow"/>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highlight w:val="yellow"/>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p>
        </w:tc>
        <w:tc>
          <w:tcPr>
            <w:tcW w:w="76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15</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15</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27.71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Style w:val="2"/>
        <w:pageBreakBefore w:val="0"/>
        <w:kinsoku/>
        <w:wordWrap/>
        <w:overflowPunct/>
        <w:topLinePunct w:val="0"/>
        <w:autoSpaceDE/>
        <w:autoSpaceDN/>
        <w:bidi w:val="0"/>
        <w:adjustRightInd/>
        <w:snapToGrid/>
        <w:spacing w:before="0" w:after="0" w:line="560" w:lineRule="exact"/>
        <w:rPr>
          <w:rFonts w:hint="default"/>
          <w:lang w:val="en-US" w:eastAsia="zh-CN"/>
        </w:rPr>
      </w:pPr>
    </w:p>
    <w:p>
      <w:pPr>
        <w:pageBreakBefore w:val="0"/>
        <w:kinsoku/>
        <w:wordWrap/>
        <w:overflowPunct/>
        <w:topLinePunct w:val="0"/>
        <w:autoSpaceDE/>
        <w:autoSpaceDN/>
        <w:bidi w:val="0"/>
        <w:adjustRightInd/>
        <w:snapToGrid/>
        <w:spacing w:line="560" w:lineRule="exact"/>
      </w:pPr>
    </w:p>
    <w:p>
      <w:pPr>
        <w:pageBreakBefore w:val="0"/>
        <w:kinsoku/>
        <w:wordWrap/>
        <w:overflowPunct/>
        <w:topLinePunct w:val="0"/>
        <w:autoSpaceDE/>
        <w:autoSpaceDN/>
        <w:bidi w:val="0"/>
        <w:adjustRightInd/>
        <w:snapToGrid/>
        <w:spacing w:line="560" w:lineRule="exact"/>
        <w:ind w:firstLine="640"/>
        <w:rPr>
          <w:rStyle w:val="23"/>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3"/>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3"/>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3"/>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3"/>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3"/>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rPr>
          <w:rStyle w:val="23"/>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2</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260BA5"/>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96DBE"/>
    <w:rsid w:val="00DF42A0"/>
    <w:rsid w:val="00DF7C45"/>
    <w:rsid w:val="00E31565"/>
    <w:rsid w:val="00E46C51"/>
    <w:rsid w:val="00E769FE"/>
    <w:rsid w:val="00EA2CBE"/>
    <w:rsid w:val="00F32FEE"/>
    <w:rsid w:val="00F71278"/>
    <w:rsid w:val="00FB10BB"/>
    <w:rsid w:val="01554136"/>
    <w:rsid w:val="02B63A48"/>
    <w:rsid w:val="051A56F5"/>
    <w:rsid w:val="055C15AE"/>
    <w:rsid w:val="05FD239D"/>
    <w:rsid w:val="066D6EAA"/>
    <w:rsid w:val="08C662D4"/>
    <w:rsid w:val="09BD4D95"/>
    <w:rsid w:val="0F8D41CB"/>
    <w:rsid w:val="11C75270"/>
    <w:rsid w:val="11CA7C9A"/>
    <w:rsid w:val="12637CC3"/>
    <w:rsid w:val="12E657C5"/>
    <w:rsid w:val="132705AE"/>
    <w:rsid w:val="13316C64"/>
    <w:rsid w:val="13610213"/>
    <w:rsid w:val="15BF2DE2"/>
    <w:rsid w:val="167C7687"/>
    <w:rsid w:val="168B3546"/>
    <w:rsid w:val="18252736"/>
    <w:rsid w:val="1A2374E0"/>
    <w:rsid w:val="1C317CE2"/>
    <w:rsid w:val="1C5348F5"/>
    <w:rsid w:val="1DD45808"/>
    <w:rsid w:val="1DED42AC"/>
    <w:rsid w:val="1FD825F2"/>
    <w:rsid w:val="20005763"/>
    <w:rsid w:val="20FB313D"/>
    <w:rsid w:val="220B4804"/>
    <w:rsid w:val="23B32207"/>
    <w:rsid w:val="26295072"/>
    <w:rsid w:val="282475E3"/>
    <w:rsid w:val="2A8C2B59"/>
    <w:rsid w:val="2C6100C1"/>
    <w:rsid w:val="2D133AD0"/>
    <w:rsid w:val="2E2342C6"/>
    <w:rsid w:val="310B7A83"/>
    <w:rsid w:val="3264220D"/>
    <w:rsid w:val="35643657"/>
    <w:rsid w:val="376E2A7B"/>
    <w:rsid w:val="38DB253B"/>
    <w:rsid w:val="3963178C"/>
    <w:rsid w:val="3AF84471"/>
    <w:rsid w:val="40ED3D8E"/>
    <w:rsid w:val="417870AB"/>
    <w:rsid w:val="41CA5650"/>
    <w:rsid w:val="41CC2676"/>
    <w:rsid w:val="424B17D4"/>
    <w:rsid w:val="46B21672"/>
    <w:rsid w:val="478E48EE"/>
    <w:rsid w:val="4B1E68E1"/>
    <w:rsid w:val="4CE65C72"/>
    <w:rsid w:val="4F552460"/>
    <w:rsid w:val="4FCC6863"/>
    <w:rsid w:val="500A214A"/>
    <w:rsid w:val="5104030F"/>
    <w:rsid w:val="522D604D"/>
    <w:rsid w:val="5297585E"/>
    <w:rsid w:val="52AD7D6F"/>
    <w:rsid w:val="53174FCC"/>
    <w:rsid w:val="54595953"/>
    <w:rsid w:val="5549519D"/>
    <w:rsid w:val="5557596B"/>
    <w:rsid w:val="565B6A3A"/>
    <w:rsid w:val="56D2203F"/>
    <w:rsid w:val="5B596DFC"/>
    <w:rsid w:val="5C63539C"/>
    <w:rsid w:val="5DF03945"/>
    <w:rsid w:val="5F7702F9"/>
    <w:rsid w:val="637C2815"/>
    <w:rsid w:val="64883527"/>
    <w:rsid w:val="6A7F11E2"/>
    <w:rsid w:val="6BA53CD2"/>
    <w:rsid w:val="6DBA6C74"/>
    <w:rsid w:val="70425C7A"/>
    <w:rsid w:val="70551C47"/>
    <w:rsid w:val="73D61EC5"/>
    <w:rsid w:val="744E072B"/>
    <w:rsid w:val="74660E3A"/>
    <w:rsid w:val="75F95A9B"/>
    <w:rsid w:val="766601DC"/>
    <w:rsid w:val="78C263F7"/>
    <w:rsid w:val="7A353D0B"/>
    <w:rsid w:val="7B35446D"/>
    <w:rsid w:val="7B9871F4"/>
    <w:rsid w:val="7D3A5E2F"/>
    <w:rsid w:val="7D527092"/>
    <w:rsid w:val="7E314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ody Text Indent"/>
    <w:basedOn w:val="1"/>
    <w:unhideWhenUsed/>
    <w:qFormat/>
    <w:uiPriority w:val="99"/>
    <w:pPr>
      <w:spacing w:after="120"/>
      <w:ind w:left="420" w:leftChars="200"/>
    </w:pPr>
  </w:style>
  <w:style w:type="paragraph" w:styleId="15">
    <w:name w:val="Balloon Text"/>
    <w:basedOn w:val="1"/>
    <w:link w:val="50"/>
    <w:semiHidden/>
    <w:unhideWhenUsed/>
    <w:qFormat/>
    <w:uiPriority w:val="99"/>
    <w:rPr>
      <w:sz w:val="18"/>
      <w:szCs w:val="18"/>
    </w:rPr>
  </w:style>
  <w:style w:type="paragraph" w:styleId="16">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qFormat/>
    <w:uiPriority w:val="0"/>
    <w:pPr>
      <w:spacing w:after="0"/>
      <w:ind w:firstLine="200" w:firstLineChars="200"/>
    </w:pPr>
  </w:style>
  <w:style w:type="paragraph" w:styleId="20">
    <w:name w:val="Body Text First Indent 2"/>
    <w:basedOn w:val="14"/>
    <w:unhideWhenUsed/>
    <w:qFormat/>
    <w:uiPriority w:val="99"/>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2"/>
    <w:qFormat/>
    <w:uiPriority w:val="10"/>
    <w:rPr>
      <w:rFonts w:asciiTheme="majorHAnsi" w:hAnsiTheme="majorHAnsi" w:eastAsiaTheme="majorEastAsia"/>
      <w:b/>
      <w:bCs/>
      <w:kern w:val="28"/>
      <w:sz w:val="32"/>
      <w:szCs w:val="32"/>
    </w:rPr>
  </w:style>
  <w:style w:type="character" w:customStyle="1" w:styleId="35">
    <w:name w:val="副标题 字符"/>
    <w:basedOn w:val="22"/>
    <w:link w:val="18"/>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7"/>
    <w:qFormat/>
    <w:uiPriority w:val="99"/>
    <w:rPr>
      <w:rFonts w:ascii="Calibri" w:hAnsi="Calibri" w:eastAsia="宋体"/>
      <w:kern w:val="2"/>
      <w:sz w:val="18"/>
      <w:szCs w:val="18"/>
    </w:rPr>
  </w:style>
  <w:style w:type="character" w:customStyle="1" w:styleId="49">
    <w:name w:val="页脚 字符"/>
    <w:basedOn w:val="22"/>
    <w:link w:val="16"/>
    <w:qFormat/>
    <w:uiPriority w:val="99"/>
    <w:rPr>
      <w:rFonts w:ascii="Calibri" w:hAnsi="Calibri" w:eastAsia="宋体"/>
      <w:kern w:val="2"/>
      <w:sz w:val="18"/>
      <w:szCs w:val="18"/>
    </w:rPr>
  </w:style>
  <w:style w:type="character" w:customStyle="1" w:styleId="50">
    <w:name w:val="批注框文本 字符"/>
    <w:basedOn w:val="22"/>
    <w:link w:val="15"/>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 w:type="paragraph" w:customStyle="1" w:styleId="53">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10</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2021-04-07T10:46:00Z</cp:lastPrinted>
  <dcterms:modified xsi:type="dcterms:W3CDTF">2025-09-04T07:11:40Z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A9D89C441B6A4C2D80D3E751D26DBA71</vt:lpwstr>
  </property>
  <property fmtid="{D5CDD505-2E9C-101B-9397-08002B2CF9AE}" pid="4" name="KSOSaveFontToCloudKey">
    <vt:lpwstr>462561243_btnclosed</vt:lpwstr>
  </property>
</Properties>
</file>