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简体" w:hAnsi="方正小标宋简体" w:eastAsia="方正小标宋简体" w:cs="方正小标宋简体"/>
          <w:b/>
          <w:bCs/>
          <w:kern w:val="0"/>
          <w:sz w:val="44"/>
          <w:szCs w:val="44"/>
        </w:rPr>
      </w:pPr>
      <w:r>
        <w:rPr>
          <w:rFonts w:hint="eastAsia" w:ascii="方正小标宋简体" w:hAnsi="方正小标宋简体" w:eastAsia="方正小标宋简体" w:cs="方正小标宋简体"/>
          <w:b/>
          <w:bCs/>
          <w:kern w:val="0"/>
          <w:sz w:val="44"/>
          <w:szCs w:val="44"/>
        </w:rPr>
        <w:t>动物防疫补助资金项目支出</w:t>
      </w:r>
    </w:p>
    <w:p>
      <w:pPr>
        <w:spacing w:line="540" w:lineRule="exact"/>
        <w:jc w:val="center"/>
        <w:rPr>
          <w:rFonts w:ascii="方正小标宋简体" w:hAnsi="方正小标宋简体" w:eastAsia="方正小标宋简体" w:cs="方正小标宋简体"/>
          <w:b/>
          <w:bCs/>
          <w:kern w:val="0"/>
          <w:sz w:val="44"/>
          <w:szCs w:val="44"/>
        </w:rPr>
      </w:pPr>
      <w:r>
        <w:rPr>
          <w:rFonts w:hint="eastAsia" w:ascii="方正小标宋简体" w:hAnsi="方正小标宋简体" w:eastAsia="方正小标宋简体" w:cs="方正小标宋简体"/>
          <w:b/>
          <w:bCs/>
          <w:kern w:val="0"/>
          <w:sz w:val="44"/>
          <w:szCs w:val="44"/>
        </w:rPr>
        <w:t>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ind w:firstLine="1440" w:firstLineChars="400"/>
        <w:rPr>
          <w:rFonts w:hint="eastAsia" w:ascii="仿宋_GB2312" w:hAnsi="仿宋_GB2312" w:eastAsia="仿宋_GB2312" w:cs="仿宋_GB2312"/>
          <w:kern w:val="0"/>
          <w:sz w:val="36"/>
          <w:szCs w:val="36"/>
          <w:lang w:eastAsia="zh-CN"/>
        </w:rPr>
      </w:pPr>
      <w:r>
        <w:rPr>
          <w:rFonts w:hint="eastAsia" w:ascii="仿宋_GB2312" w:hAnsi="仿宋_GB2312" w:eastAsia="仿宋_GB2312" w:cs="仿宋_GB2312"/>
          <w:kern w:val="0"/>
          <w:sz w:val="36"/>
          <w:szCs w:val="36"/>
        </w:rPr>
        <w:t>项目名称：动物防疫</w:t>
      </w:r>
      <w:r>
        <w:rPr>
          <w:rFonts w:hint="eastAsia" w:ascii="仿宋_GB2312" w:hAnsi="仿宋_GB2312" w:eastAsia="仿宋_GB2312" w:cs="仿宋_GB2312"/>
          <w:kern w:val="0"/>
          <w:sz w:val="36"/>
          <w:szCs w:val="36"/>
          <w:lang w:eastAsia="zh-CN"/>
        </w:rPr>
        <w:t>检疫工作补助经费</w:t>
      </w:r>
    </w:p>
    <w:p>
      <w:pPr>
        <w:spacing w:line="540" w:lineRule="exact"/>
        <w:ind w:firstLine="720" w:firstLineChars="200"/>
        <w:jc w:val="center"/>
        <w:rPr>
          <w:rFonts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xml:space="preserve">    实施单位（公章）：塔城地区动物卫生监督所</w:t>
      </w:r>
    </w:p>
    <w:p>
      <w:pPr>
        <w:spacing w:line="540" w:lineRule="exact"/>
        <w:ind w:firstLine="720" w:firstLineChars="200"/>
        <w:jc w:val="center"/>
        <w:rPr>
          <w:rFonts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主管部门（公章）：塔城地区畜牧兽医局</w:t>
      </w:r>
    </w:p>
    <w:p>
      <w:pPr>
        <w:spacing w:line="540" w:lineRule="exact"/>
        <w:ind w:firstLine="1440" w:firstLineChars="400"/>
        <w:rPr>
          <w:rFonts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项目负责人（签章）：李国强</w:t>
      </w:r>
    </w:p>
    <w:p>
      <w:pPr>
        <w:spacing w:line="540" w:lineRule="exact"/>
        <w:ind w:firstLine="1440" w:firstLineChars="400"/>
        <w:rPr>
          <w:rFonts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填报时间：2021年4月12日</w:t>
      </w:r>
    </w:p>
    <w:p>
      <w:pPr>
        <w:spacing w:line="540" w:lineRule="exact"/>
        <w:jc w:val="center"/>
        <w:rPr>
          <w:rFonts w:hAnsi="宋体" w:eastAsia="仿宋_GB2312" w:cs="宋体"/>
          <w:kern w:val="0"/>
          <w:sz w:val="30"/>
          <w:szCs w:val="30"/>
        </w:rPr>
      </w:pPr>
    </w:p>
    <w:p>
      <w:pPr>
        <w:spacing w:line="540" w:lineRule="exact"/>
        <w:rPr>
          <w:rStyle w:val="22"/>
          <w:rFonts w:ascii="黑体" w:hAnsi="黑体" w:eastAsia="黑体"/>
          <w:b w:val="0"/>
          <w:spacing w:val="-4"/>
          <w:sz w:val="32"/>
          <w:szCs w:val="32"/>
        </w:rPr>
      </w:pPr>
    </w:p>
    <w:p>
      <w:pPr>
        <w:spacing w:line="540" w:lineRule="exact"/>
        <w:ind w:firstLine="640"/>
        <w:rPr>
          <w:rStyle w:val="22"/>
          <w:rFonts w:ascii="黑体" w:hAnsi="黑体" w:eastAsia="黑体"/>
          <w:b w:val="0"/>
          <w:spacing w:val="-4"/>
          <w:sz w:val="32"/>
          <w:szCs w:val="32"/>
        </w:rPr>
      </w:pPr>
    </w:p>
    <w:p>
      <w:pPr>
        <w:spacing w:line="540" w:lineRule="exact"/>
        <w:rPr>
          <w:rStyle w:val="22"/>
          <w:rFonts w:ascii="黑体" w:hAnsi="黑体" w:eastAsia="黑体"/>
          <w:b w:val="0"/>
          <w:spacing w:val="-4"/>
          <w:sz w:val="32"/>
          <w:szCs w:val="32"/>
        </w:rPr>
      </w:pPr>
    </w:p>
    <w:p>
      <w:pPr>
        <w:spacing w:line="540" w:lineRule="exact"/>
        <w:jc w:val="center"/>
        <w:rPr>
          <w:rFonts w:ascii="黑体" w:hAnsi="黑体" w:eastAsia="黑体" w:cs="黑体"/>
          <w:bCs/>
          <w:sz w:val="32"/>
          <w:szCs w:val="32"/>
        </w:rPr>
      </w:pPr>
    </w:p>
    <w:p>
      <w:pPr>
        <w:pStyle w:val="54"/>
        <w:tabs>
          <w:tab w:val="right" w:leader="dot" w:pos="8548"/>
        </w:tabs>
        <w:spacing w:line="560" w:lineRule="exact"/>
        <w:rPr>
          <w:rFonts w:ascii="黑体" w:hAnsi="黑体" w:eastAsia="黑体" w:cs="黑体"/>
          <w:b/>
          <w:sz w:val="32"/>
          <w:szCs w:val="32"/>
        </w:rPr>
      </w:pPr>
      <w:r>
        <w:rPr>
          <w:rFonts w:hint="eastAsia" w:ascii="黑体" w:hAnsi="黑体" w:eastAsia="黑体" w:cs="黑体"/>
          <w:b/>
          <w:sz w:val="32"/>
          <w:szCs w:val="32"/>
        </w:rPr>
        <w:t>一、基本情况</w:t>
      </w:r>
    </w:p>
    <w:p>
      <w:pPr>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为积极有效地控制和消灭动物疫病，保障人民身体健康，提高动物产品质量安全水平和竞争力，促进塔城地区社会经济全面、协调、可持续发展，依法实施动物防疫、动物及动物产品检疫、动物及动物产品安全和兽药、饲料、奶业监管等行政执法工作。地区本级财政配套3万元资金，用于开展以上工作。</w:t>
      </w:r>
    </w:p>
    <w:p>
      <w:pPr>
        <w:pStyle w:val="18"/>
        <w:numPr>
          <w:ilvl w:val="0"/>
          <w:numId w:val="1"/>
        </w:numPr>
        <w:spacing w:before="0" w:after="0" w:line="560" w:lineRule="exact"/>
        <w:ind w:firstLine="640" w:firstLineChars="200"/>
        <w:jc w:val="both"/>
        <w:rPr>
          <w:rFonts w:ascii="仿宋_GB2312" w:hAnsi="仿宋_GB2312" w:eastAsia="仿宋_GB2312" w:cs="仿宋_GB2312"/>
          <w:b w:val="0"/>
          <w:bCs w:val="0"/>
          <w:kern w:val="0"/>
        </w:rPr>
      </w:pPr>
      <w:bookmarkStart w:id="0" w:name="_Toc27922"/>
      <w:r>
        <w:rPr>
          <w:rFonts w:hint="eastAsia" w:ascii="仿宋_GB2312" w:hAnsi="仿宋_GB2312" w:eastAsia="仿宋_GB2312" w:cs="仿宋_GB2312"/>
          <w:b w:val="0"/>
          <w:bCs w:val="0"/>
          <w:kern w:val="0"/>
        </w:rPr>
        <w:t>项目实施的历史概况</w:t>
      </w:r>
      <w:bookmarkEnd w:id="0"/>
    </w:p>
    <w:p>
      <w:pPr>
        <w:spacing w:line="560" w:lineRule="exact"/>
        <w:rPr>
          <w:rStyle w:val="22"/>
          <w:rFonts w:ascii="黑体" w:hAnsi="黑体" w:eastAsia="黑体"/>
          <w:bCs w:val="0"/>
          <w:spacing w:val="-4"/>
          <w:sz w:val="32"/>
          <w:szCs w:val="32"/>
        </w:rPr>
      </w:pPr>
      <w:r>
        <w:rPr>
          <w:rStyle w:val="22"/>
          <w:rFonts w:hint="eastAsia" w:ascii="黑体" w:hAnsi="黑体" w:eastAsia="黑体"/>
          <w:bCs w:val="0"/>
          <w:spacing w:val="-4"/>
          <w:sz w:val="32"/>
          <w:szCs w:val="32"/>
        </w:rPr>
        <w:t xml:space="preserve">    </w:t>
      </w:r>
      <w:r>
        <w:rPr>
          <w:rFonts w:hint="eastAsia" w:ascii="仿宋_GB2312" w:hAnsi="仿宋_GB2312" w:eastAsia="仿宋_GB2312" w:cs="仿宋_GB2312"/>
          <w:sz w:val="32"/>
          <w:szCs w:val="32"/>
        </w:rPr>
        <w:t>该项目于2010年实施，为地区本级财政配套的专项工作经费，为连续性项目。</w:t>
      </w:r>
    </w:p>
    <w:p>
      <w:pPr>
        <w:numPr>
          <w:ilvl w:val="0"/>
          <w:numId w:val="2"/>
        </w:numPr>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spacing w:line="560" w:lineRule="exact"/>
        <w:ind w:firstLine="640" w:firstLineChars="200"/>
        <w:rPr>
          <w:rFonts w:ascii="仿宋_GB2312" w:hAnsi="仿宋_GB2312" w:eastAsia="仿宋_GB2312" w:cs="仿宋_GB2312"/>
          <w:sz w:val="32"/>
          <w:szCs w:val="32"/>
        </w:rPr>
      </w:pPr>
      <w:bookmarkStart w:id="1" w:name="_Toc8537"/>
      <w:r>
        <w:rPr>
          <w:rFonts w:hint="eastAsia" w:ascii="仿宋_GB2312" w:hAnsi="仿宋_GB2312" w:eastAsia="仿宋_GB2312" w:cs="仿宋_GB2312"/>
          <w:sz w:val="32"/>
          <w:szCs w:val="32"/>
        </w:rPr>
        <w:t>项目主要内容：</w:t>
      </w:r>
      <w:bookmarkEnd w:id="1"/>
      <w:r>
        <w:rPr>
          <w:rFonts w:hint="eastAsia" w:ascii="仿宋_GB2312" w:hAnsi="仿宋_GB2312" w:eastAsia="仿宋_GB2312" w:cs="仿宋_GB2312"/>
          <w:sz w:val="32"/>
          <w:szCs w:val="32"/>
        </w:rPr>
        <w:t>布病、瘦肉精检测数量≧100份，屠宰检疫数量≧100万头/只，对7县市动物卫生监督工作督查，每季度一次，每年四次；屠宰企业、兽药饲料生产经营业主、农牧民满意率≧85%，资金使用无重大违规问题。</w:t>
      </w:r>
    </w:p>
    <w:p>
      <w:pPr>
        <w:spacing w:line="560" w:lineRule="exact"/>
        <w:ind w:firstLine="640" w:firstLineChars="200"/>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本项目总投资3万元，其中：财政本级资金3万元。项目实际支出2.03万元，支出率为68%。</w:t>
      </w:r>
    </w:p>
    <w:p>
      <w:pPr>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spacing w:line="560" w:lineRule="exact"/>
        <w:ind w:firstLine="641"/>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spacing w:line="56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3万元，按照《动物防疫补助资金管理办法》及单位财务制度等相关规定，资金支出符合动物防疫补助专项资金费用范围，做到了专款专用。在项目资金拨付和使用过程中，为确保项目资金的安全性，提高项目资金使用效率，严格遵循动物防疫补助资金的拨付程序，认真审核项目实施各阶段的相关材料和手续，根据项目实施进展情况拨付资金。</w:t>
      </w:r>
    </w:p>
    <w:p>
      <w:p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2" w:name="page10"/>
      <w:bookmarkEnd w:id="2"/>
    </w:p>
    <w:p>
      <w:pPr>
        <w:pStyle w:val="18"/>
        <w:spacing w:before="0" w:after="0" w:line="560" w:lineRule="exact"/>
        <w:ind w:firstLine="640" w:firstLineChars="200"/>
        <w:jc w:val="both"/>
        <w:rPr>
          <w:rFonts w:ascii="仿宋_GB2312" w:hAnsi="仿宋_GB2312" w:eastAsia="仿宋_GB2312" w:cs="仿宋_GB2312"/>
          <w:b w:val="0"/>
          <w:bCs w:val="0"/>
          <w:kern w:val="2"/>
        </w:rPr>
      </w:pPr>
      <w:bookmarkStart w:id="3" w:name="_Toc18609"/>
      <w:r>
        <w:rPr>
          <w:rFonts w:hint="eastAsia" w:ascii="仿宋_GB2312" w:hAnsi="仿宋_GB2312" w:eastAsia="仿宋_GB2312" w:cs="仿宋_GB2312"/>
          <w:b w:val="0"/>
          <w:bCs w:val="0"/>
          <w:kern w:val="2"/>
        </w:rPr>
        <w:t>项目预算资金来源于地区本级财政拨付资金，项目资金到位3万元，</w:t>
      </w:r>
      <w:r>
        <w:rPr>
          <w:rFonts w:hint="eastAsia" w:ascii="仿宋_GB2312" w:hAnsi="仿宋_GB2312" w:eastAsia="仿宋_GB2312" w:cs="仿宋_GB2312"/>
          <w:b w:val="0"/>
          <w:bCs w:val="0"/>
          <w:color w:val="000000" w:themeColor="text1"/>
          <w:kern w:val="2"/>
          <w:highlight w:val="none"/>
        </w:rPr>
        <w:t>实际支出2.0</w:t>
      </w:r>
      <w:r>
        <w:rPr>
          <w:rFonts w:hint="eastAsia" w:ascii="仿宋_GB2312" w:hAnsi="仿宋_GB2312" w:eastAsia="仿宋_GB2312" w:cs="仿宋_GB2312"/>
          <w:b w:val="0"/>
          <w:bCs w:val="0"/>
          <w:color w:val="000000" w:themeColor="text1"/>
          <w:kern w:val="2"/>
          <w:highlight w:val="none"/>
          <w:lang w:val="en-US" w:eastAsia="zh-CN"/>
        </w:rPr>
        <w:t>3</w:t>
      </w:r>
      <w:r>
        <w:rPr>
          <w:rFonts w:hint="eastAsia" w:ascii="仿宋_GB2312" w:hAnsi="仿宋_GB2312" w:eastAsia="仿宋_GB2312" w:cs="仿宋_GB2312"/>
          <w:b w:val="0"/>
          <w:bCs w:val="0"/>
          <w:color w:val="000000" w:themeColor="text1"/>
          <w:kern w:val="2"/>
          <w:highlight w:val="none"/>
        </w:rPr>
        <w:t>万元</w:t>
      </w:r>
      <w:r>
        <w:rPr>
          <w:rFonts w:hint="eastAsia" w:ascii="仿宋_GB2312" w:hAnsi="仿宋_GB2312" w:eastAsia="仿宋_GB2312" w:cs="仿宋_GB2312"/>
          <w:b w:val="0"/>
          <w:bCs w:val="0"/>
          <w:kern w:val="2"/>
        </w:rPr>
        <w:t>，用于支付项目实施进程中的各项费用。</w:t>
      </w:r>
      <w:bookmarkEnd w:id="3"/>
    </w:p>
    <w:p>
      <w:pPr>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2020年地区对各县市督导4次；屠宰环节瘦肉精检测超过1000份；瘦肉精类违禁物快速检测合格率100%；全区屠宰畜禽100万以上；无害化处理率100%；</w:t>
      </w:r>
    </w:p>
    <w:p>
      <w:p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2、阶段性目标</w:t>
      </w:r>
    </w:p>
    <w:p>
      <w:p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（1）前期准备：根据《动物防疫监督补助资金方案》，通过制定项目实施方案，经项目负责人审核通过后，有序开展后续工程。</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（2）组织实施：资金一到位，立即根据项目要求实施项目。项目责任人按照《动物防疫补助方案》要求逐一进行项目部署安排，提高项目质量及效率性。</w:t>
      </w:r>
    </w:p>
    <w:p>
      <w:pPr>
        <w:spacing w:line="560" w:lineRule="exact"/>
        <w:ind w:firstLine="641"/>
        <w:outlineLvl w:val="0"/>
        <w:rPr>
          <w:rFonts w:ascii="黑体" w:hAnsi="黑体" w:eastAsia="黑体"/>
          <w:b/>
          <w:bCs/>
          <w:sz w:val="32"/>
          <w:szCs w:val="32"/>
        </w:rPr>
      </w:pPr>
      <w:bookmarkStart w:id="4" w:name="_Toc21206"/>
      <w:r>
        <w:rPr>
          <w:rFonts w:hint="eastAsia" w:ascii="黑体" w:hAnsi="黑体" w:eastAsia="黑体"/>
          <w:b/>
          <w:bCs/>
          <w:sz w:val="32"/>
          <w:szCs w:val="32"/>
        </w:rPr>
        <w:t>二、绩效评价工作开展情况</w:t>
      </w:r>
      <w:bookmarkEnd w:id="4"/>
    </w:p>
    <w:p>
      <w:pPr>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18"/>
        <w:widowControl w:val="0"/>
        <w:spacing w:before="0" w:after="0" w:line="560" w:lineRule="exact"/>
        <w:ind w:firstLine="641"/>
        <w:jc w:val="both"/>
        <w:outlineLvl w:val="1"/>
        <w:rPr>
          <w:rFonts w:ascii="仿宋_GB2312" w:hAnsi="仿宋_GB2312" w:eastAsia="仿宋_GB2312" w:cs="仿宋_GB2312"/>
        </w:rPr>
      </w:pPr>
      <w:bookmarkStart w:id="5" w:name="_Toc3534"/>
      <w:r>
        <w:rPr>
          <w:rFonts w:hint="eastAsia" w:ascii="仿宋_GB2312" w:hAnsi="仿宋_GB2312" w:eastAsia="仿宋_GB2312" w:cs="仿宋_GB2312"/>
        </w:rPr>
        <w:t>1、绩效评价的目的</w:t>
      </w:r>
      <w:bookmarkEnd w:id="5"/>
    </w:p>
    <w:p>
      <w:p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3"/>
        </w:num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spacing w:line="560" w:lineRule="exact"/>
        <w:ind w:left="641"/>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18"/>
        <w:widowControl w:val="0"/>
        <w:spacing w:before="0" w:after="0" w:line="560" w:lineRule="exact"/>
        <w:ind w:firstLine="641"/>
        <w:jc w:val="both"/>
        <w:outlineLvl w:val="1"/>
        <w:rPr>
          <w:rFonts w:ascii="仿宋_GB2312" w:hAnsi="仿宋_GB2312" w:eastAsia="仿宋_GB2312" w:cs="仿宋_GB2312"/>
        </w:rPr>
      </w:pPr>
      <w:bookmarkStart w:id="6" w:name="_Toc736"/>
      <w:r>
        <w:rPr>
          <w:rFonts w:hint="eastAsia" w:ascii="仿宋_GB2312" w:hAnsi="仿宋_GB2312" w:eastAsia="仿宋_GB2312" w:cs="仿宋_GB2312"/>
        </w:rPr>
        <w:t>2、绩效评价的对象</w:t>
      </w:r>
      <w:bookmarkEnd w:id="6"/>
    </w:p>
    <w:p>
      <w:p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动物防疫</w:t>
      </w:r>
      <w:r>
        <w:rPr>
          <w:rFonts w:hint="eastAsia" w:ascii="仿宋_GB2312" w:hAnsi="仿宋_GB2312" w:eastAsia="仿宋_GB2312" w:cs="仿宋_GB2312"/>
          <w:kern w:val="0"/>
          <w:sz w:val="32"/>
          <w:szCs w:val="32"/>
          <w:lang w:eastAsia="zh-CN"/>
        </w:rPr>
        <w:t>检疫工作补助经费</w:t>
      </w:r>
      <w:r>
        <w:rPr>
          <w:rFonts w:hint="eastAsia" w:ascii="仿宋_GB2312" w:hAnsi="仿宋_GB2312" w:eastAsia="仿宋_GB2312" w:cs="仿宋_GB2312"/>
          <w:sz w:val="32"/>
          <w:szCs w:val="32"/>
        </w:rPr>
        <w:t>项目。</w:t>
      </w:r>
    </w:p>
    <w:p>
      <w:pPr>
        <w:pStyle w:val="18"/>
        <w:widowControl w:val="0"/>
        <w:spacing w:before="0" w:after="0" w:line="560" w:lineRule="exact"/>
        <w:ind w:firstLine="641"/>
        <w:jc w:val="both"/>
        <w:outlineLvl w:val="1"/>
        <w:rPr>
          <w:rFonts w:ascii="仿宋_GB2312" w:hAnsi="仿宋_GB2312" w:eastAsia="仿宋_GB2312" w:cs="仿宋_GB2312"/>
        </w:rPr>
      </w:pPr>
      <w:bookmarkStart w:id="7" w:name="_Toc23336"/>
      <w:r>
        <w:rPr>
          <w:rFonts w:hint="eastAsia" w:ascii="仿宋_GB2312" w:hAnsi="仿宋_GB2312" w:eastAsia="仿宋_GB2312" w:cs="仿宋_GB2312"/>
        </w:rPr>
        <w:t>3、绩效评价的范围</w:t>
      </w:r>
      <w:bookmarkEnd w:id="7"/>
    </w:p>
    <w:p>
      <w:p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从</w:t>
      </w:r>
      <w:r>
        <w:rPr>
          <w:rFonts w:hint="eastAsia" w:ascii="仿宋_GB2312" w:hAnsi="仿宋_GB2312" w:eastAsia="仿宋_GB2312" w:cs="仿宋_GB2312"/>
          <w:kern w:val="0"/>
          <w:sz w:val="32"/>
          <w:szCs w:val="32"/>
        </w:rPr>
        <w:t>动物防疫</w:t>
      </w:r>
      <w:r>
        <w:rPr>
          <w:rFonts w:hint="eastAsia" w:ascii="仿宋_GB2312" w:hAnsi="仿宋_GB2312" w:eastAsia="仿宋_GB2312" w:cs="仿宋_GB2312"/>
          <w:kern w:val="0"/>
          <w:sz w:val="32"/>
          <w:szCs w:val="32"/>
          <w:lang w:eastAsia="zh-CN"/>
        </w:rPr>
        <w:t>检疫工作补助经费</w:t>
      </w:r>
      <w:r>
        <w:rPr>
          <w:rFonts w:hint="eastAsia" w:ascii="仿宋_GB2312" w:hAnsi="仿宋_GB2312" w:eastAsia="仿宋_GB2312" w:cs="仿宋_GB2312"/>
          <w:sz w:val="32"/>
          <w:szCs w:val="32"/>
        </w:rPr>
        <w:t>项目的决策、过程、产出、效益等方面进行评价。</w:t>
      </w:r>
    </w:p>
    <w:p>
      <w:pPr>
        <w:spacing w:line="560" w:lineRule="exact"/>
        <w:ind w:firstLine="641"/>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18"/>
        <w:widowControl w:val="0"/>
        <w:spacing w:before="0" w:after="0" w:line="560" w:lineRule="exact"/>
        <w:ind w:firstLine="641"/>
        <w:jc w:val="both"/>
        <w:outlineLvl w:val="2"/>
        <w:rPr>
          <w:rFonts w:ascii="仿宋_GB2312" w:hAnsi="仿宋_GB2312" w:eastAsia="仿宋_GB2312" w:cs="仿宋_GB2312"/>
        </w:rPr>
      </w:pPr>
      <w:bookmarkStart w:id="8" w:name="_Toc28551"/>
      <w:r>
        <w:rPr>
          <w:rFonts w:hint="eastAsia" w:ascii="仿宋_GB2312" w:hAnsi="仿宋_GB2312" w:eastAsia="仿宋_GB2312" w:cs="仿宋_GB2312"/>
        </w:rPr>
        <w:t>1、绩效评价原则</w:t>
      </w:r>
      <w:bookmarkEnd w:id="8"/>
    </w:p>
    <w:p>
      <w:pPr>
        <w:spacing w:line="560" w:lineRule="exact"/>
        <w:ind w:firstLine="641"/>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18"/>
        <w:spacing w:before="0" w:after="0" w:line="560" w:lineRule="exact"/>
        <w:ind w:firstLine="641"/>
        <w:jc w:val="both"/>
        <w:outlineLvl w:val="9"/>
        <w:rPr>
          <w:rFonts w:ascii="仿宋_GB2312" w:hAnsi="仿宋_GB2312" w:eastAsia="仿宋_GB2312" w:cs="仿宋_GB2312"/>
          <w:b w:val="0"/>
          <w:bCs w:val="0"/>
        </w:rPr>
      </w:pPr>
      <w:bookmarkStart w:id="9" w:name="_Toc20402"/>
      <w:r>
        <w:rPr>
          <w:rFonts w:hint="eastAsia" w:ascii="仿宋_GB2312" w:hAnsi="仿宋_GB2312" w:eastAsia="仿宋_GB2312" w:cs="仿宋_GB2312"/>
          <w:b w:val="0"/>
          <w:bCs w:val="0"/>
        </w:rPr>
        <w:t>（1）科学公正。绩效评价应当运用科学合理的方法，按照规范的程序，对项目绩效进行客观、公正的反映。</w:t>
      </w:r>
      <w:bookmarkEnd w:id="9"/>
    </w:p>
    <w:p>
      <w:pPr>
        <w:pStyle w:val="18"/>
        <w:spacing w:before="0" w:after="0" w:line="560" w:lineRule="exact"/>
        <w:ind w:firstLine="641"/>
        <w:jc w:val="both"/>
        <w:outlineLvl w:val="9"/>
        <w:rPr>
          <w:rFonts w:ascii="仿宋_GB2312" w:hAnsi="仿宋_GB2312" w:eastAsia="仿宋_GB2312" w:cs="仿宋_GB2312"/>
          <w:b w:val="0"/>
          <w:bCs w:val="0"/>
        </w:rPr>
      </w:pPr>
      <w:bookmarkStart w:id="10" w:name="_Toc14478"/>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bookmarkEnd w:id="10"/>
    </w:p>
    <w:p>
      <w:pPr>
        <w:pStyle w:val="18"/>
        <w:spacing w:before="0" w:after="0" w:line="560" w:lineRule="exact"/>
        <w:ind w:firstLine="641"/>
        <w:jc w:val="both"/>
        <w:outlineLvl w:val="9"/>
        <w:rPr>
          <w:rFonts w:ascii="仿宋_GB2312" w:hAnsi="仿宋_GB2312" w:eastAsia="仿宋_GB2312" w:cs="仿宋_GB2312"/>
          <w:b w:val="0"/>
          <w:bCs w:val="0"/>
        </w:rPr>
      </w:pPr>
      <w:bookmarkStart w:id="11" w:name="_Toc32339"/>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bookmarkEnd w:id="11"/>
    </w:p>
    <w:p>
      <w:pPr>
        <w:pStyle w:val="18"/>
        <w:spacing w:before="0" w:after="0" w:line="560" w:lineRule="exact"/>
        <w:ind w:firstLine="641"/>
        <w:jc w:val="both"/>
        <w:outlineLvl w:val="9"/>
        <w:rPr>
          <w:rFonts w:ascii="仿宋_GB2312" w:hAnsi="仿宋_GB2312" w:eastAsia="仿宋_GB2312" w:cs="仿宋_GB2312"/>
          <w:b w:val="0"/>
          <w:bCs w:val="0"/>
        </w:rPr>
      </w:pPr>
      <w:bookmarkStart w:id="12" w:name="_Toc5795"/>
      <w:r>
        <w:rPr>
          <w:rFonts w:hint="eastAsia" w:ascii="仿宋_GB2312" w:hAnsi="仿宋_GB2312" w:eastAsia="仿宋_GB2312" w:cs="仿宋_GB2312"/>
          <w:b w:val="0"/>
          <w:bCs w:val="0"/>
        </w:rPr>
        <w:t>（4）公开透明。绩效评价结果应依法依规公开，并自觉接受社会监督。</w:t>
      </w:r>
      <w:bookmarkEnd w:id="12"/>
    </w:p>
    <w:p>
      <w:pPr>
        <w:pStyle w:val="18"/>
        <w:widowControl w:val="0"/>
        <w:spacing w:before="0" w:after="0" w:line="560" w:lineRule="exact"/>
        <w:ind w:firstLine="641"/>
        <w:jc w:val="both"/>
        <w:outlineLvl w:val="2"/>
        <w:rPr>
          <w:rFonts w:ascii="仿宋_GB2312" w:hAnsi="仿宋_GB2312" w:eastAsia="仿宋_GB2312" w:cs="仿宋_GB2312"/>
        </w:rPr>
      </w:pPr>
      <w:bookmarkStart w:id="13" w:name="_Toc4293"/>
      <w:r>
        <w:rPr>
          <w:rFonts w:hint="eastAsia" w:ascii="仿宋_GB2312" w:hAnsi="仿宋_GB2312" w:eastAsia="仿宋_GB2312" w:cs="仿宋_GB2312"/>
        </w:rPr>
        <w:t>2、评价指标体系</w:t>
      </w:r>
      <w:bookmarkEnd w:id="13"/>
    </w:p>
    <w:p>
      <w:pPr>
        <w:spacing w:line="560" w:lineRule="exac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确定各个指标相对于项目总体绩效的权重分值。在绩效评价指标体系中，项目决策权重占5，项目过程权重占5，项目产出权重值占50，项目效益权重值占40。</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8"/>
        <w:spacing w:before="0" w:after="0" w:line="560" w:lineRule="exact"/>
        <w:ind w:firstLine="708" w:firstLineChars="200"/>
        <w:jc w:val="both"/>
        <w:rPr>
          <w:rFonts w:ascii="仿宋_GB2312" w:hAnsi="仿宋_GB2312" w:eastAsia="仿宋_GB2312" w:cs="仿宋_GB2312"/>
          <w:b w:val="0"/>
          <w:bCs w:val="0"/>
          <w:color w:val="000000"/>
          <w:spacing w:val="17"/>
          <w:kern w:val="2"/>
        </w:rPr>
      </w:pPr>
      <w:bookmarkStart w:id="14" w:name="_Toc6489"/>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bookmarkEnd w:id="14"/>
    </w:p>
    <w:p>
      <w:pPr>
        <w:pStyle w:val="18"/>
        <w:widowControl w:val="0"/>
        <w:spacing w:before="0" w:after="0" w:line="560" w:lineRule="exact"/>
        <w:ind w:firstLine="354" w:firstLineChars="100"/>
        <w:jc w:val="both"/>
        <w:outlineLvl w:val="9"/>
        <w:rPr>
          <w:rFonts w:ascii="仿宋_GB2312" w:hAnsi="仿宋_GB2312" w:eastAsia="仿宋_GB2312" w:cs="仿宋_GB2312"/>
          <w:b w:val="0"/>
          <w:bCs w:val="0"/>
          <w:color w:val="000000"/>
          <w:spacing w:val="17"/>
        </w:rPr>
      </w:pPr>
      <w:bookmarkStart w:id="15" w:name="_Toc6691"/>
      <w:r>
        <w:rPr>
          <w:rFonts w:hint="eastAsia" w:ascii="仿宋_GB2312" w:hAnsi="仿宋_GB2312" w:eastAsia="仿宋_GB2312" w:cs="仿宋_GB2312"/>
          <w:b w:val="0"/>
          <w:bCs w:val="0"/>
          <w:color w:val="000000"/>
          <w:spacing w:val="17"/>
        </w:rPr>
        <w:t>具体评价指标体系详情见附件1</w:t>
      </w:r>
      <w:bookmarkEnd w:id="15"/>
    </w:p>
    <w:p>
      <w:pPr>
        <w:pStyle w:val="18"/>
        <w:widowControl w:val="0"/>
        <w:spacing w:before="0" w:after="0" w:line="560" w:lineRule="exact"/>
        <w:ind w:firstLine="641"/>
        <w:jc w:val="both"/>
        <w:outlineLvl w:val="9"/>
        <w:rPr>
          <w:rFonts w:ascii="仿宋_GB2312" w:hAnsi="仿宋_GB2312" w:eastAsia="仿宋_GB2312" w:cs="仿宋_GB2312"/>
        </w:rPr>
      </w:pPr>
      <w:bookmarkStart w:id="16" w:name="_Toc2535"/>
      <w:r>
        <w:rPr>
          <w:rFonts w:hint="eastAsia" w:ascii="仿宋_GB2312" w:hAnsi="仿宋_GB2312" w:eastAsia="仿宋_GB2312" w:cs="仿宋_GB2312"/>
        </w:rPr>
        <w:t>3、绩效评价方法</w:t>
      </w:r>
      <w:bookmarkEnd w:id="16"/>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18"/>
        <w:widowControl w:val="0"/>
        <w:spacing w:before="0" w:after="0" w:line="560" w:lineRule="exact"/>
        <w:ind w:firstLine="641"/>
        <w:jc w:val="both"/>
        <w:outlineLvl w:val="9"/>
        <w:rPr>
          <w:rFonts w:ascii="仿宋_GB2312" w:hAnsi="仿宋_GB2312" w:eastAsia="仿宋_GB2312" w:cs="仿宋_GB2312"/>
        </w:rPr>
      </w:pPr>
      <w:r>
        <w:rPr>
          <w:rFonts w:hint="eastAsia" w:ascii="仿宋_GB2312" w:hAnsi="仿宋_GB2312" w:eastAsia="仿宋_GB2312" w:cs="仿宋_GB2312"/>
        </w:rPr>
        <w:t>4、绩效评价标准</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绩效评价标准通常包括计划标准、行业标准、历史标准等，用于对绩效指标完成情况进行比较。本次评价主要采用了计划标准和行业标准。</w:t>
      </w:r>
    </w:p>
    <w:p>
      <w:pPr>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（三）绩效评价工作过程</w:t>
      </w:r>
    </w:p>
    <w:p>
      <w:pPr>
        <w:spacing w:line="560" w:lineRule="exact"/>
        <w:ind w:firstLine="641"/>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560" w:lineRule="exact"/>
        <w:ind w:firstLine="641"/>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560" w:lineRule="exact"/>
        <w:ind w:firstLine="641"/>
      </w:pPr>
      <w:r>
        <w:rPr>
          <w:rFonts w:ascii="仿宋_GB2312" w:hAnsi="仿宋_GB2312" w:eastAsia="仿宋_GB2312" w:cs="仿宋_GB2312"/>
          <w:color w:val="000000"/>
          <w:spacing w:val="17"/>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560" w:lineRule="exact"/>
        <w:ind w:firstLine="641"/>
        <w:outlineLvl w:val="0"/>
        <w:rPr>
          <w:rFonts w:ascii="黑体" w:hAnsi="黑体" w:eastAsia="黑体" w:cs="黑体"/>
          <w:b/>
          <w:bCs/>
          <w:sz w:val="32"/>
          <w:szCs w:val="32"/>
        </w:rPr>
      </w:pPr>
      <w:bookmarkStart w:id="17" w:name="_Toc24355"/>
      <w:r>
        <w:rPr>
          <w:rFonts w:hint="eastAsia" w:ascii="黑体" w:hAnsi="黑体" w:eastAsia="黑体" w:cs="黑体"/>
          <w:b/>
          <w:bCs/>
          <w:sz w:val="32"/>
          <w:szCs w:val="32"/>
        </w:rPr>
        <w:t>综合评价情况及评价结论（附相关评分表）</w:t>
      </w:r>
      <w:bookmarkEnd w:id="17"/>
    </w:p>
    <w:p>
      <w:pPr>
        <w:pStyle w:val="18"/>
        <w:widowControl w:val="0"/>
        <w:spacing w:before="0" w:after="0" w:line="560" w:lineRule="exact"/>
        <w:ind w:firstLine="641"/>
        <w:jc w:val="both"/>
        <w:outlineLvl w:val="9"/>
        <w:rPr>
          <w:rFonts w:ascii="仿宋_GB2312" w:hAnsi="仿宋_GB2312" w:eastAsia="仿宋_GB2312" w:cs="仿宋_GB2312"/>
          <w:b w:val="0"/>
          <w:bCs w:val="0"/>
        </w:rPr>
      </w:pPr>
      <w:bookmarkStart w:id="18" w:name="_Toc16641"/>
      <w:r>
        <w:rPr>
          <w:rFonts w:hint="eastAsia" w:ascii="仿宋_GB2312" w:hAnsi="仿宋_GB2312" w:eastAsia="仿宋_GB2312" w:cs="仿宋_GB2312"/>
          <w:b w:val="0"/>
          <w:bCs w:val="0"/>
        </w:rPr>
        <w:t>对</w:t>
      </w:r>
      <w:r>
        <w:rPr>
          <w:rFonts w:hint="eastAsia" w:ascii="仿宋_GB2312" w:hAnsi="仿宋_GB2312" w:eastAsia="仿宋_GB2312" w:cs="仿宋_GB2312"/>
          <w:b w:val="0"/>
          <w:bCs w:val="0"/>
          <w:kern w:val="0"/>
          <w:sz w:val="32"/>
          <w:szCs w:val="32"/>
        </w:rPr>
        <w:t>动物防疫</w:t>
      </w:r>
      <w:r>
        <w:rPr>
          <w:rFonts w:hint="eastAsia" w:ascii="仿宋_GB2312" w:hAnsi="仿宋_GB2312" w:eastAsia="仿宋_GB2312" w:cs="仿宋_GB2312"/>
          <w:b w:val="0"/>
          <w:bCs w:val="0"/>
          <w:kern w:val="0"/>
          <w:sz w:val="32"/>
          <w:szCs w:val="32"/>
          <w:lang w:eastAsia="zh-CN"/>
        </w:rPr>
        <w:t>检疫工作补助经费</w:t>
      </w:r>
      <w:r>
        <w:rPr>
          <w:rFonts w:hint="eastAsia" w:ascii="仿宋_GB2312" w:hAnsi="仿宋_GB2312" w:eastAsia="仿宋_GB2312" w:cs="仿宋_GB2312"/>
          <w:b w:val="0"/>
          <w:bCs w:val="0"/>
        </w:rPr>
        <w:t>项目进行客观评价，最终评分结果：总得分为93.02分，属于“优”。其中，项目决策类指标权重为5分，得分为 3分，得分率为 60%。项目过程类指标权重为5分，得分为3.7 分，得分率为 74%。项目产出类指标权重为50分，得分为46.32分，得分率为 93%。项目效益类指标权重为40分，得分为40分，得分率为100%。</w:t>
      </w:r>
      <w:bookmarkEnd w:id="18"/>
    </w:p>
    <w:p>
      <w:pPr>
        <w:pStyle w:val="18"/>
        <w:spacing w:before="0" w:after="0" w:line="560" w:lineRule="exact"/>
      </w:pPr>
      <w:bookmarkStart w:id="19" w:name="_Toc18723"/>
      <w:r>
        <w:rPr>
          <w:rFonts w:hint="eastAsia" w:ascii="仿宋_GB2312" w:hAnsi="仿宋_GB2312" w:eastAsia="仿宋_GB2312" w:cs="仿宋_GB2312"/>
          <w:sz w:val="30"/>
          <w:szCs w:val="30"/>
        </w:rPr>
        <w:t>表1综合评分表</w:t>
      </w:r>
      <w:bookmarkEnd w:id="19"/>
    </w:p>
    <w:tbl>
      <w:tblPr>
        <w:tblStyle w:val="20"/>
        <w:tblW w:w="9518" w:type="dxa"/>
        <w:tblInd w:w="-437"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69"/>
        <w:gridCol w:w="959"/>
        <w:gridCol w:w="1241"/>
        <w:gridCol w:w="1497"/>
        <w:gridCol w:w="744"/>
        <w:gridCol w:w="1368"/>
        <w:gridCol w:w="912"/>
        <w:gridCol w:w="948"/>
        <w:gridCol w:w="78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069" w:type="dxa"/>
            <w:shd w:val="clear" w:color="auto" w:fill="BFBFBF"/>
            <w:vAlign w:val="center"/>
          </w:tcPr>
          <w:p>
            <w:pPr>
              <w:widowControl/>
              <w:spacing w:line="560" w:lineRule="exac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59" w:type="dxa"/>
            <w:shd w:val="clear" w:color="auto" w:fill="BFBFBF"/>
            <w:vAlign w:val="center"/>
          </w:tcPr>
          <w:p>
            <w:pPr>
              <w:widowControl/>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41" w:type="dxa"/>
            <w:shd w:val="clear" w:color="auto" w:fill="BFBFBF"/>
            <w:vAlign w:val="center"/>
          </w:tcPr>
          <w:p>
            <w:pPr>
              <w:widowControl/>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497" w:type="dxa"/>
            <w:shd w:val="clear" w:color="auto" w:fill="BFBFBF"/>
            <w:vAlign w:val="center"/>
          </w:tcPr>
          <w:p>
            <w:pPr>
              <w:widowControl/>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44" w:type="dxa"/>
            <w:shd w:val="clear" w:color="auto" w:fill="BFBFBF"/>
            <w:vAlign w:val="center"/>
          </w:tcPr>
          <w:p>
            <w:pPr>
              <w:widowControl/>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368" w:type="dxa"/>
            <w:shd w:val="clear" w:color="auto" w:fill="BFBFBF"/>
            <w:vAlign w:val="center"/>
          </w:tcPr>
          <w:p>
            <w:pPr>
              <w:widowControl/>
              <w:tabs>
                <w:tab w:val="left" w:pos="1333"/>
                <w:tab w:val="center" w:pos="3623"/>
              </w:tabs>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12" w:type="dxa"/>
            <w:shd w:val="clear" w:color="auto" w:fill="BFBFBF"/>
            <w:vAlign w:val="center"/>
          </w:tcPr>
          <w:p>
            <w:pPr>
              <w:widowControl/>
              <w:tabs>
                <w:tab w:val="left" w:pos="1333"/>
                <w:tab w:val="center" w:pos="3623"/>
              </w:tabs>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948" w:type="dxa"/>
            <w:shd w:val="clear" w:color="auto" w:fill="BFBFBF"/>
            <w:vAlign w:val="center"/>
          </w:tcPr>
          <w:p>
            <w:pPr>
              <w:widowControl/>
              <w:tabs>
                <w:tab w:val="left" w:pos="1333"/>
                <w:tab w:val="center" w:pos="3623"/>
              </w:tabs>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780" w:type="dxa"/>
            <w:shd w:val="clear" w:color="auto" w:fill="BFBFBF"/>
            <w:vAlign w:val="center"/>
          </w:tcPr>
          <w:p>
            <w:pPr>
              <w:widowControl/>
              <w:tabs>
                <w:tab w:val="left" w:pos="1333"/>
                <w:tab w:val="center" w:pos="3623"/>
              </w:tabs>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restart"/>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决策　</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p>
            <w:pPr>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59" w:type="dxa"/>
            <w:vMerge w:val="restart"/>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kern w:val="0"/>
                <w:sz w:val="18"/>
                <w:szCs w:val="18"/>
              </w:rPr>
              <w:t>5分</w:t>
            </w:r>
          </w:p>
        </w:tc>
        <w:tc>
          <w:tcPr>
            <w:tcW w:w="1241" w:type="dxa"/>
            <w:vMerge w:val="restart"/>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立项依据</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44"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368"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立项是否有依据</w:t>
            </w:r>
          </w:p>
        </w:tc>
        <w:tc>
          <w:tcPr>
            <w:tcW w:w="912"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是</w:t>
            </w:r>
          </w:p>
        </w:tc>
        <w:tc>
          <w:tcPr>
            <w:tcW w:w="948"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780"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continue"/>
            <w:shd w:val="clear" w:color="auto" w:fill="FFFFFF"/>
            <w:vAlign w:val="center"/>
          </w:tcPr>
          <w:p>
            <w:pPr>
              <w:spacing w:line="560" w:lineRule="exact"/>
              <w:jc w:val="center"/>
              <w:rPr>
                <w:rFonts w:ascii="宋体" w:hAnsi="宋体" w:cs="宋体"/>
                <w:color w:val="000000"/>
                <w:kern w:val="0"/>
                <w:sz w:val="18"/>
                <w:szCs w:val="18"/>
              </w:rPr>
            </w:pPr>
          </w:p>
        </w:tc>
        <w:tc>
          <w:tcPr>
            <w:tcW w:w="95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241"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立项程序</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44"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368"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立项程序是否规范</w:t>
            </w:r>
          </w:p>
        </w:tc>
        <w:tc>
          <w:tcPr>
            <w:tcW w:w="912"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是</w:t>
            </w:r>
          </w:p>
        </w:tc>
        <w:tc>
          <w:tcPr>
            <w:tcW w:w="948"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780"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continue"/>
            <w:shd w:val="clear" w:color="auto" w:fill="FFFFFF"/>
            <w:vAlign w:val="center"/>
          </w:tcPr>
          <w:p>
            <w:pPr>
              <w:spacing w:line="560" w:lineRule="exact"/>
              <w:jc w:val="center"/>
              <w:rPr>
                <w:rFonts w:ascii="宋体" w:hAnsi="宋体" w:cs="宋体"/>
                <w:color w:val="000000"/>
                <w:kern w:val="0"/>
                <w:sz w:val="18"/>
                <w:szCs w:val="18"/>
              </w:rPr>
            </w:pPr>
          </w:p>
        </w:tc>
        <w:tc>
          <w:tcPr>
            <w:tcW w:w="95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241" w:type="dxa"/>
            <w:vMerge w:val="restart"/>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绩效目标</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44"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36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绩效目标是否合理</w:t>
            </w:r>
          </w:p>
        </w:tc>
        <w:tc>
          <w:tcPr>
            <w:tcW w:w="912"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合理</w:t>
            </w:r>
          </w:p>
        </w:tc>
        <w:tc>
          <w:tcPr>
            <w:tcW w:w="94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780"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95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241"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绩效指标</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44"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36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绩效指标是否</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明确</w:t>
            </w:r>
          </w:p>
        </w:tc>
        <w:tc>
          <w:tcPr>
            <w:tcW w:w="912"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明确</w:t>
            </w:r>
          </w:p>
        </w:tc>
        <w:tc>
          <w:tcPr>
            <w:tcW w:w="94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780"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continue"/>
            <w:shd w:val="clear" w:color="auto" w:fill="FFFFFF"/>
            <w:vAlign w:val="center"/>
          </w:tcPr>
          <w:p>
            <w:pPr>
              <w:spacing w:line="560" w:lineRule="exact"/>
              <w:jc w:val="center"/>
              <w:rPr>
                <w:rFonts w:ascii="宋体" w:hAnsi="宋体" w:cs="宋体"/>
                <w:color w:val="000000"/>
                <w:kern w:val="0"/>
                <w:sz w:val="18"/>
                <w:szCs w:val="18"/>
              </w:rPr>
            </w:pPr>
          </w:p>
        </w:tc>
        <w:tc>
          <w:tcPr>
            <w:tcW w:w="959" w:type="dxa"/>
            <w:vMerge w:val="continue"/>
            <w:shd w:val="clear" w:color="auto" w:fill="FFFFFF"/>
            <w:vAlign w:val="center"/>
          </w:tcPr>
          <w:p>
            <w:pPr>
              <w:spacing w:line="560" w:lineRule="exact"/>
              <w:jc w:val="center"/>
              <w:rPr>
                <w:rFonts w:ascii="宋体" w:hAnsi="宋体" w:cs="宋体"/>
                <w:color w:val="000000"/>
                <w:kern w:val="0"/>
                <w:sz w:val="18"/>
                <w:szCs w:val="18"/>
              </w:rPr>
            </w:pPr>
          </w:p>
        </w:tc>
        <w:tc>
          <w:tcPr>
            <w:tcW w:w="1241" w:type="dxa"/>
            <w:vMerge w:val="restart"/>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预算编制</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44"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368"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预算编制是否</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科学</w:t>
            </w:r>
          </w:p>
        </w:tc>
        <w:tc>
          <w:tcPr>
            <w:tcW w:w="912"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是</w:t>
            </w:r>
          </w:p>
        </w:tc>
        <w:tc>
          <w:tcPr>
            <w:tcW w:w="948"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780"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95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241"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资金分配</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44"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368"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资金分配是否合理</w:t>
            </w:r>
          </w:p>
        </w:tc>
        <w:tc>
          <w:tcPr>
            <w:tcW w:w="912"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是</w:t>
            </w:r>
          </w:p>
        </w:tc>
        <w:tc>
          <w:tcPr>
            <w:tcW w:w="948"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780"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restart"/>
            <w:shd w:val="clear" w:color="auto" w:fill="FFFFFF"/>
            <w:vAlign w:val="center"/>
          </w:tcPr>
          <w:p>
            <w:pPr>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过程</w:t>
            </w:r>
          </w:p>
          <w:p>
            <w:pPr>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59" w:type="dxa"/>
            <w:vMerge w:val="restart"/>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kern w:val="0"/>
                <w:sz w:val="18"/>
                <w:szCs w:val="18"/>
              </w:rPr>
              <w:t>5分</w:t>
            </w:r>
          </w:p>
        </w:tc>
        <w:tc>
          <w:tcPr>
            <w:tcW w:w="1241" w:type="dxa"/>
            <w:vMerge w:val="restart"/>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44"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36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12"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4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80"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continue"/>
            <w:shd w:val="clear" w:color="auto" w:fill="FFFFFF"/>
            <w:vAlign w:val="center"/>
          </w:tcPr>
          <w:p>
            <w:pPr>
              <w:spacing w:line="560" w:lineRule="exact"/>
              <w:jc w:val="center"/>
              <w:rPr>
                <w:rFonts w:ascii="宋体" w:hAnsi="宋体" w:cs="宋体"/>
                <w:color w:val="000000"/>
                <w:kern w:val="0"/>
                <w:sz w:val="18"/>
                <w:szCs w:val="18"/>
              </w:rPr>
            </w:pPr>
          </w:p>
        </w:tc>
        <w:tc>
          <w:tcPr>
            <w:tcW w:w="959" w:type="dxa"/>
            <w:vMerge w:val="continue"/>
            <w:shd w:val="clear" w:color="auto" w:fill="FFFFFF"/>
            <w:vAlign w:val="center"/>
          </w:tcPr>
          <w:p>
            <w:pPr>
              <w:spacing w:line="560" w:lineRule="exact"/>
              <w:jc w:val="center"/>
              <w:rPr>
                <w:rFonts w:ascii="宋体" w:hAnsi="宋体" w:cs="宋体"/>
                <w:color w:val="000000"/>
                <w:kern w:val="0"/>
                <w:sz w:val="18"/>
                <w:szCs w:val="18"/>
              </w:rPr>
            </w:pPr>
          </w:p>
        </w:tc>
        <w:tc>
          <w:tcPr>
            <w:tcW w:w="1241" w:type="dxa"/>
            <w:vMerge w:val="continue"/>
            <w:shd w:val="clear" w:color="auto" w:fill="FFFFFF"/>
            <w:vAlign w:val="center"/>
          </w:tcPr>
          <w:p>
            <w:pPr>
              <w:spacing w:line="560" w:lineRule="exact"/>
              <w:jc w:val="center"/>
              <w:rPr>
                <w:rFonts w:ascii="宋体" w:hAnsi="宋体" w:cs="宋体"/>
                <w:color w:val="000000"/>
                <w:kern w:val="0"/>
                <w:sz w:val="18"/>
                <w:szCs w:val="18"/>
              </w:rPr>
            </w:pP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44"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368"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12"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67%</w:t>
            </w:r>
          </w:p>
        </w:tc>
        <w:tc>
          <w:tcPr>
            <w:tcW w:w="948"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67%</w:t>
            </w:r>
          </w:p>
        </w:tc>
        <w:tc>
          <w:tcPr>
            <w:tcW w:w="780"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continue"/>
            <w:shd w:val="clear" w:color="auto" w:fill="FFFFFF"/>
            <w:vAlign w:val="center"/>
          </w:tcPr>
          <w:p>
            <w:pPr>
              <w:spacing w:line="560" w:lineRule="exact"/>
              <w:jc w:val="center"/>
              <w:rPr>
                <w:rFonts w:ascii="宋体" w:hAnsi="宋体" w:cs="宋体"/>
                <w:color w:val="000000"/>
                <w:kern w:val="0"/>
                <w:sz w:val="18"/>
                <w:szCs w:val="18"/>
              </w:rPr>
            </w:pPr>
          </w:p>
        </w:tc>
        <w:tc>
          <w:tcPr>
            <w:tcW w:w="95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241"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资金使用</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44"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36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是否符合财政要求</w:t>
            </w:r>
          </w:p>
        </w:tc>
        <w:tc>
          <w:tcPr>
            <w:tcW w:w="912"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符合</w:t>
            </w:r>
          </w:p>
        </w:tc>
        <w:tc>
          <w:tcPr>
            <w:tcW w:w="94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80"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continue"/>
            <w:shd w:val="clear" w:color="auto" w:fill="FFFFFF"/>
            <w:vAlign w:val="center"/>
          </w:tcPr>
          <w:p>
            <w:pPr>
              <w:spacing w:line="560" w:lineRule="exact"/>
              <w:jc w:val="center"/>
              <w:rPr>
                <w:rFonts w:ascii="宋体" w:hAnsi="宋体" w:cs="宋体"/>
                <w:color w:val="000000"/>
                <w:kern w:val="0"/>
                <w:sz w:val="18"/>
                <w:szCs w:val="18"/>
              </w:rPr>
            </w:pPr>
          </w:p>
        </w:tc>
        <w:tc>
          <w:tcPr>
            <w:tcW w:w="959" w:type="dxa"/>
            <w:vMerge w:val="continue"/>
            <w:shd w:val="clear" w:color="auto" w:fill="FFFFFF"/>
            <w:vAlign w:val="center"/>
          </w:tcPr>
          <w:p>
            <w:pPr>
              <w:spacing w:line="560" w:lineRule="exact"/>
              <w:jc w:val="center"/>
              <w:rPr>
                <w:rFonts w:ascii="宋体" w:hAnsi="宋体" w:cs="宋体"/>
                <w:color w:val="000000"/>
                <w:kern w:val="0"/>
                <w:sz w:val="18"/>
                <w:szCs w:val="18"/>
              </w:rPr>
            </w:pPr>
          </w:p>
        </w:tc>
        <w:tc>
          <w:tcPr>
            <w:tcW w:w="1241" w:type="dxa"/>
            <w:vMerge w:val="restart"/>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管理制度</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44"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36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是否健全管理制度</w:t>
            </w:r>
          </w:p>
        </w:tc>
        <w:tc>
          <w:tcPr>
            <w:tcW w:w="912"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是</w:t>
            </w:r>
          </w:p>
        </w:tc>
        <w:tc>
          <w:tcPr>
            <w:tcW w:w="94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780"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95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241"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制度执行</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44"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36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是否按制度执行</w:t>
            </w:r>
          </w:p>
        </w:tc>
        <w:tc>
          <w:tcPr>
            <w:tcW w:w="912"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是</w:t>
            </w:r>
          </w:p>
        </w:tc>
        <w:tc>
          <w:tcPr>
            <w:tcW w:w="94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780"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restart"/>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w:t>
            </w:r>
          </w:p>
        </w:tc>
        <w:tc>
          <w:tcPr>
            <w:tcW w:w="959" w:type="dxa"/>
            <w:vMerge w:val="restart"/>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kern w:val="0"/>
                <w:sz w:val="18"/>
                <w:szCs w:val="18"/>
              </w:rPr>
              <w:t>50分</w:t>
            </w:r>
          </w:p>
        </w:tc>
        <w:tc>
          <w:tcPr>
            <w:tcW w:w="1241"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44"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25</w:t>
            </w:r>
          </w:p>
        </w:tc>
        <w:tc>
          <w:tcPr>
            <w:tcW w:w="136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实际产出数与计划产出数的比率</w:t>
            </w:r>
          </w:p>
        </w:tc>
        <w:tc>
          <w:tcPr>
            <w:tcW w:w="912"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94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80"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23.66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95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241"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44"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8.33</w:t>
            </w:r>
          </w:p>
        </w:tc>
        <w:tc>
          <w:tcPr>
            <w:tcW w:w="136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质量达标产出数与实际产出数的比率</w:t>
            </w:r>
          </w:p>
        </w:tc>
        <w:tc>
          <w:tcPr>
            <w:tcW w:w="912"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4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80"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8.33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continue"/>
            <w:shd w:val="clear" w:color="auto" w:fill="FFFFFF"/>
            <w:vAlign w:val="center"/>
          </w:tcPr>
          <w:p>
            <w:pPr>
              <w:spacing w:line="560" w:lineRule="exact"/>
              <w:jc w:val="center"/>
              <w:rPr>
                <w:rFonts w:ascii="宋体" w:hAnsi="宋体" w:cs="宋体"/>
                <w:color w:val="000000"/>
                <w:kern w:val="0"/>
                <w:sz w:val="18"/>
                <w:szCs w:val="18"/>
              </w:rPr>
            </w:pPr>
          </w:p>
        </w:tc>
        <w:tc>
          <w:tcPr>
            <w:tcW w:w="959" w:type="dxa"/>
            <w:vMerge w:val="continue"/>
            <w:shd w:val="clear" w:color="auto" w:fill="FFFFFF"/>
            <w:vAlign w:val="center"/>
          </w:tcPr>
          <w:p>
            <w:pPr>
              <w:spacing w:line="560" w:lineRule="exact"/>
              <w:jc w:val="center"/>
              <w:rPr>
                <w:rFonts w:ascii="宋体" w:hAnsi="宋体" w:cs="宋体"/>
                <w:color w:val="000000"/>
                <w:kern w:val="0"/>
                <w:sz w:val="18"/>
                <w:szCs w:val="18"/>
              </w:rPr>
            </w:pPr>
          </w:p>
        </w:tc>
        <w:tc>
          <w:tcPr>
            <w:tcW w:w="1241" w:type="dxa"/>
            <w:shd w:val="clear" w:color="auto" w:fill="FFFFFF"/>
            <w:vAlign w:val="center"/>
          </w:tcPr>
          <w:p>
            <w:pPr>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44"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8.33</w:t>
            </w:r>
          </w:p>
        </w:tc>
        <w:tc>
          <w:tcPr>
            <w:tcW w:w="136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2020年12月30日之前完</w:t>
            </w:r>
          </w:p>
        </w:tc>
        <w:tc>
          <w:tcPr>
            <w:tcW w:w="912"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4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80"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8.33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95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241"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44"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8.35</w:t>
            </w:r>
          </w:p>
        </w:tc>
        <w:tc>
          <w:tcPr>
            <w:tcW w:w="136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≤3万元</w:t>
            </w:r>
          </w:p>
        </w:tc>
        <w:tc>
          <w:tcPr>
            <w:tcW w:w="912"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2.02万元</w:t>
            </w:r>
          </w:p>
        </w:tc>
        <w:tc>
          <w:tcPr>
            <w:tcW w:w="94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72%</w:t>
            </w:r>
          </w:p>
        </w:tc>
        <w:tc>
          <w:tcPr>
            <w:tcW w:w="780"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restart"/>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效益　</w:t>
            </w:r>
          </w:p>
        </w:tc>
        <w:tc>
          <w:tcPr>
            <w:tcW w:w="959" w:type="dxa"/>
            <w:vMerge w:val="restart"/>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40分</w:t>
            </w:r>
          </w:p>
        </w:tc>
        <w:tc>
          <w:tcPr>
            <w:tcW w:w="1241" w:type="dxa"/>
            <w:vMerge w:val="restart"/>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实施效益</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44"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368"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项目实施所产生的效益</w:t>
            </w:r>
          </w:p>
        </w:tc>
        <w:tc>
          <w:tcPr>
            <w:tcW w:w="912"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显著</w:t>
            </w:r>
          </w:p>
        </w:tc>
        <w:tc>
          <w:tcPr>
            <w:tcW w:w="948"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80"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6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959"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241" w:type="dxa"/>
            <w:vMerge w:val="continue"/>
            <w:shd w:val="clear" w:color="auto" w:fill="FFFFFF"/>
            <w:vAlign w:val="center"/>
          </w:tcPr>
          <w:p>
            <w:pPr>
              <w:widowControl/>
              <w:spacing w:line="560" w:lineRule="exact"/>
              <w:jc w:val="center"/>
              <w:rPr>
                <w:rFonts w:ascii="宋体" w:hAnsi="宋体" w:cs="宋体"/>
                <w:color w:val="000000"/>
                <w:kern w:val="0"/>
                <w:sz w:val="18"/>
                <w:szCs w:val="18"/>
              </w:rPr>
            </w:pPr>
          </w:p>
        </w:tc>
        <w:tc>
          <w:tcPr>
            <w:tcW w:w="1497" w:type="dxa"/>
            <w:shd w:val="clear" w:color="auto"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44"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36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农牧民满意度≥80%</w:t>
            </w:r>
          </w:p>
        </w:tc>
        <w:tc>
          <w:tcPr>
            <w:tcW w:w="912"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85%</w:t>
            </w:r>
          </w:p>
        </w:tc>
        <w:tc>
          <w:tcPr>
            <w:tcW w:w="948"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80" w:type="dxa"/>
            <w:shd w:val="clear" w:color="000000" w:fill="FFFFFF"/>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r>
    </w:tbl>
    <w:p>
      <w:pPr>
        <w:spacing w:line="560" w:lineRule="exact"/>
        <w:ind w:firstLine="360" w:firstLineChars="200"/>
        <w:outlineLvl w:val="0"/>
        <w:rPr>
          <w:rFonts w:ascii="宋体" w:hAnsi="宋体" w:cs="宋体"/>
          <w:sz w:val="18"/>
          <w:szCs w:val="18"/>
        </w:rPr>
      </w:pPr>
      <w:bookmarkStart w:id="20" w:name="_Toc28733"/>
    </w:p>
    <w:p>
      <w:pPr>
        <w:spacing w:line="560" w:lineRule="exact"/>
        <w:ind w:firstLine="640" w:firstLineChars="200"/>
        <w:outlineLvl w:val="0"/>
        <w:rPr>
          <w:rFonts w:ascii="黑体" w:hAnsi="黑体" w:eastAsia="黑体"/>
          <w:sz w:val="32"/>
          <w:szCs w:val="32"/>
        </w:rPr>
      </w:pPr>
    </w:p>
    <w:p>
      <w:pPr>
        <w:spacing w:line="560" w:lineRule="exact"/>
        <w:ind w:firstLine="643" w:firstLineChars="200"/>
        <w:outlineLvl w:val="0"/>
        <w:rPr>
          <w:rFonts w:ascii="黑体" w:hAnsi="黑体" w:eastAsia="黑体"/>
          <w:b/>
          <w:bCs/>
          <w:sz w:val="32"/>
          <w:szCs w:val="32"/>
        </w:rPr>
      </w:pPr>
      <w:r>
        <w:rPr>
          <w:rFonts w:hint="eastAsia" w:ascii="黑体" w:hAnsi="黑体" w:eastAsia="黑体"/>
          <w:b/>
          <w:bCs/>
          <w:sz w:val="32"/>
          <w:szCs w:val="32"/>
        </w:rPr>
        <w:t>四、绩效评价指标分析</w:t>
      </w:r>
      <w:bookmarkEnd w:id="20"/>
    </w:p>
    <w:p>
      <w:pPr>
        <w:pStyle w:val="18"/>
        <w:spacing w:before="0" w:after="0" w:line="560" w:lineRule="exact"/>
        <w:ind w:firstLine="643" w:firstLineChars="200"/>
        <w:jc w:val="both"/>
        <w:rPr>
          <w:rFonts w:ascii="楷体_GB2312" w:hAnsi="楷体_GB2312" w:eastAsia="楷体_GB2312" w:cs="楷体_GB2312"/>
        </w:rPr>
      </w:pPr>
      <w:bookmarkStart w:id="21" w:name="_Toc8796"/>
      <w:r>
        <w:rPr>
          <w:rFonts w:hint="eastAsia" w:ascii="楷体_GB2312" w:hAnsi="楷体_GB2312" w:eastAsia="楷体_GB2312" w:cs="楷体_GB2312"/>
        </w:rPr>
        <w:t>（一）项目决策情况</w:t>
      </w:r>
      <w:bookmarkEnd w:id="21"/>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18"/>
        <w:spacing w:before="0" w:after="0" w:line="560" w:lineRule="exact"/>
        <w:ind w:firstLine="643" w:firstLineChars="200"/>
        <w:jc w:val="both"/>
        <w:rPr>
          <w:rFonts w:ascii="楷体_GB2312" w:hAnsi="楷体_GB2312" w:eastAsia="楷体_GB2312" w:cs="楷体_GB2312"/>
        </w:rPr>
      </w:pPr>
      <w:bookmarkStart w:id="22" w:name="_Toc9192"/>
      <w:r>
        <w:rPr>
          <w:rFonts w:hint="eastAsia" w:ascii="楷体_GB2312" w:hAnsi="楷体_GB2312" w:eastAsia="楷体_GB2312" w:cs="楷体_GB2312"/>
        </w:rPr>
        <w:t>（二）项目过程情况</w:t>
      </w:r>
      <w:bookmarkEnd w:id="22"/>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资金的到位率100%，执行率68%，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自评价项目启动以来，项目组通过前期与财务、项目管理人员及设计者进行沟通访谈调研等充分准备，了解项目的实施情况、资金使用情况，对该项目的满意情况作出相应的解答，完成了项目绩效评价工作方案，明确了评价的目的、方法、原则、指标、标准、调查方案等。项目评价期间，本单位严格按照工作方案，经过数据采集和报告撰写等环节，顺利完成了地区动物卫生监督所《动物防疫补助资金》项目的绩效评价工作。</w:t>
      </w:r>
    </w:p>
    <w:p>
      <w:pPr>
        <w:pStyle w:val="19"/>
        <w:spacing w:line="560" w:lineRule="exact"/>
        <w:ind w:firstLine="643"/>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（三）项目产出</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数量指标方面：</w:t>
      </w:r>
      <w:r>
        <w:rPr>
          <w:rFonts w:hint="eastAsia" w:ascii="仿宋_GB2312" w:hAnsi="仿宋_GB2312" w:eastAsia="仿宋_GB2312" w:cs="仿宋_GB2312"/>
          <w:sz w:val="32"/>
          <w:szCs w:val="32"/>
        </w:rPr>
        <w:tab/>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屠宰检疫数量（评价目标值：≥100万头/只，业绩值：100.79万头/只）;</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按季对县（市）开展业务监督检查度（评价目标值：=4次，业绩值：3次）;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屠宰环节瘦肉精检测（评价目标值：≥1000份，业绩值：1000份）;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质量指标方面：</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瘦肉精抽样合格率（=100%，业绩值：100%);</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时效指标方面：完成时间 （评价目标值：2020年12月，业绩值：2020年12月）；</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成本指标方面：项目资金投入（评价目标值：≦3万元，业绩值：2.02万元）。</w:t>
      </w:r>
    </w:p>
    <w:p>
      <w:pPr>
        <w:pStyle w:val="19"/>
        <w:spacing w:line="560" w:lineRule="exact"/>
        <w:ind w:firstLine="643"/>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（四）效益情况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社会效益指标方面：畜产品食品安全事件发生率（评价目标值：=0次，业绩值：0次）;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生态效益指标：疫病畜禽无害化处理（评价目标值：有效提高，业绩值：有效提高);</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满意度指标方面：屠宰企业、规模养殖企业、农牧民满意度（评价目标值：≥80%，业绩值：85%）。</w:t>
      </w:r>
    </w:p>
    <w:p>
      <w:pPr>
        <w:spacing w:line="560" w:lineRule="exact"/>
        <w:ind w:firstLine="641"/>
        <w:outlineLvl w:val="0"/>
        <w:rPr>
          <w:rStyle w:val="51"/>
          <w:b/>
          <w:bCs/>
          <w:color w:val="auto"/>
        </w:rPr>
      </w:pPr>
      <w:bookmarkStart w:id="23" w:name="_Toc27904"/>
      <w:r>
        <w:rPr>
          <w:rFonts w:hint="eastAsia" w:ascii="黑体" w:hAnsi="黑体" w:eastAsia="黑体"/>
          <w:b/>
          <w:bCs/>
          <w:sz w:val="32"/>
          <w:szCs w:val="32"/>
        </w:rPr>
        <w:t>五、主要经验及做法、存在的问题及原因分析</w:t>
      </w:r>
      <w:bookmarkEnd w:id="23"/>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8"/>
        <w:spacing w:before="0" w:after="0" w:line="560" w:lineRule="exact"/>
        <w:ind w:firstLine="640" w:firstLineChars="200"/>
        <w:rPr>
          <w:rFonts w:ascii="仿宋_GB2312" w:hAnsi="仿宋_GB2312" w:eastAsia="仿宋_GB2312" w:cs="仿宋_GB2312"/>
          <w:b w:val="0"/>
          <w:bCs w:val="0"/>
          <w:kern w:val="2"/>
        </w:rPr>
      </w:pPr>
      <w:bookmarkStart w:id="24" w:name="_Toc10291"/>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bookmarkEnd w:id="24"/>
    </w:p>
    <w:p>
      <w:pPr>
        <w:keepNext/>
        <w:keepLines/>
        <w:numPr>
          <w:ilvl w:val="0"/>
          <w:numId w:val="5"/>
        </w:numPr>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19"/>
        <w:spacing w:line="560" w:lineRule="exact"/>
        <w:ind w:firstLine="643"/>
        <w:rPr>
          <w:rFonts w:ascii="仿宋_GB2312" w:hAnsi="仿宋_GB2312" w:eastAsia="仿宋_GB2312" w:cs="仿宋_GB2312"/>
          <w:b/>
          <w:bCs/>
          <w:sz w:val="32"/>
          <w:szCs w:val="32"/>
        </w:rPr>
      </w:pPr>
      <w:bookmarkStart w:id="25" w:name="_Toc29719"/>
      <w:r>
        <w:rPr>
          <w:rFonts w:hint="eastAsia" w:ascii="仿宋_GB2312" w:hAnsi="仿宋_GB2312" w:eastAsia="仿宋_GB2312" w:cs="仿宋_GB2312"/>
          <w:b/>
          <w:bCs/>
          <w:sz w:val="32"/>
          <w:szCs w:val="32"/>
        </w:rPr>
        <w:t>1、存在的问题</w:t>
      </w:r>
      <w:bookmarkEnd w:id="25"/>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一是项目资金没有按时使用完，二是部分项目目标没有100%实现；三是项目资金使用的不及时。</w:t>
      </w:r>
    </w:p>
    <w:p>
      <w:pPr>
        <w:pStyle w:val="19"/>
        <w:spacing w:line="560" w:lineRule="exact"/>
        <w:ind w:firstLine="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2、原因分析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动物卫生监督工作涉及点位多、量大面宽、工作难度大；人员紧缺，且动监所各项任务繁多，对资金项目实施有一定的影响；二是2020两个地州际公路临时消毒检查站中因为牲畜运输道路改变和机构改革人员变动等影响，暂时处于停检状态，目前只有一个公路消毒检查站正常运行；三是</w:t>
      </w:r>
      <w:r>
        <w:rPr>
          <w:rFonts w:hint="eastAsia" w:ascii="仿宋" w:hAnsi="仿宋" w:eastAsia="仿宋" w:cs="仿宋"/>
          <w:sz w:val="32"/>
          <w:szCs w:val="32"/>
          <w:lang w:val="en-US" w:eastAsia="zh-CN"/>
        </w:rPr>
        <w:t>传染病防控</w:t>
      </w:r>
      <w:r>
        <w:rPr>
          <w:rFonts w:hint="eastAsia" w:ascii="仿宋_GB2312" w:hAnsi="仿宋_GB2312" w:eastAsia="仿宋_GB2312" w:cs="仿宋_GB2312"/>
          <w:sz w:val="32"/>
          <w:szCs w:val="32"/>
        </w:rPr>
        <w:t>防控期间牲畜停止疆内疆外的调运，全区26家屠宰场除8个保供企业外其余停止屠宰。</w:t>
      </w:r>
    </w:p>
    <w:p>
      <w:pPr>
        <w:numPr>
          <w:ilvl w:val="0"/>
          <w:numId w:val="6"/>
        </w:numPr>
        <w:spacing w:line="560" w:lineRule="exact"/>
        <w:ind w:firstLine="641"/>
        <w:outlineLvl w:val="0"/>
        <w:rPr>
          <w:rFonts w:ascii="黑体" w:hAnsi="黑体" w:eastAsia="黑体"/>
          <w:b/>
          <w:bCs/>
          <w:sz w:val="32"/>
          <w:szCs w:val="32"/>
        </w:rPr>
      </w:pPr>
      <w:bookmarkStart w:id="26" w:name="_Toc5411"/>
      <w:r>
        <w:rPr>
          <w:rFonts w:hint="eastAsia" w:ascii="黑体" w:hAnsi="黑体" w:eastAsia="黑体"/>
          <w:b/>
          <w:bCs/>
          <w:sz w:val="32"/>
          <w:szCs w:val="32"/>
        </w:rPr>
        <w:t>有关建议</w:t>
      </w:r>
      <w:bookmarkEnd w:id="26"/>
    </w:p>
    <w:p>
      <w:pPr>
        <w:numPr>
          <w:ilvl w:val="0"/>
          <w:numId w:val="7"/>
        </w:num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numPr>
          <w:ilvl w:val="0"/>
          <w:numId w:val="7"/>
        </w:num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账，从而确保专项资金专款专用，有效地防止了截留、挤占和挪用。</w:t>
      </w:r>
    </w:p>
    <w:p>
      <w:pPr>
        <w:numPr>
          <w:ilvl w:val="0"/>
          <w:numId w:val="6"/>
        </w:numPr>
        <w:spacing w:line="560" w:lineRule="exact"/>
        <w:ind w:firstLine="641"/>
        <w:outlineLvl w:val="0"/>
        <w:rPr>
          <w:rFonts w:ascii="黑体" w:hAnsi="黑体" w:eastAsia="黑体"/>
          <w:b/>
          <w:bCs/>
          <w:sz w:val="32"/>
          <w:szCs w:val="32"/>
        </w:rPr>
      </w:pPr>
      <w:bookmarkStart w:id="27" w:name="_Toc27720"/>
      <w:r>
        <w:rPr>
          <w:rFonts w:hint="eastAsia" w:ascii="黑体" w:hAnsi="黑体" w:eastAsia="黑体"/>
          <w:b/>
          <w:bCs/>
          <w:sz w:val="32"/>
          <w:szCs w:val="32"/>
        </w:rPr>
        <w:t>其他需要说</w:t>
      </w:r>
      <w:bookmarkStart w:id="28" w:name="page8"/>
      <w:bookmarkEnd w:id="28"/>
      <w:r>
        <w:rPr>
          <w:rFonts w:hint="eastAsia" w:ascii="黑体" w:hAnsi="黑体" w:eastAsia="黑体"/>
          <w:b/>
          <w:bCs/>
          <w:sz w:val="32"/>
          <w:szCs w:val="32"/>
        </w:rPr>
        <w:t>明的问题</w:t>
      </w:r>
      <w:bookmarkEnd w:id="27"/>
    </w:p>
    <w:p>
      <w:pPr>
        <w:spacing w:line="560" w:lineRule="exact"/>
        <w:ind w:firstLine="640" w:firstLineChars="200"/>
        <w:rPr>
          <w:rFonts w:ascii="仿宋_GB2312" w:eastAsia="仿宋_GB2312"/>
          <w:sz w:val="32"/>
          <w:szCs w:val="32"/>
        </w:rPr>
      </w:pPr>
      <w:r>
        <w:rPr>
          <w:rFonts w:hint="eastAsia" w:ascii="仿宋_GB2312" w:eastAsia="仿宋_GB2312"/>
          <w:sz w:val="32"/>
          <w:szCs w:val="32"/>
        </w:rPr>
        <w:t>下一步我们将做好以下工作；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1、强化动物产地检疫工作的规定实施产地检疫。各县市产地检疫必须由检疫人员到场到户查验，了解免</w:t>
      </w:r>
      <w:r>
        <w:rPr>
          <w:rFonts w:hint="eastAsia" w:ascii="仿宋_GB2312" w:eastAsia="仿宋_GB2312"/>
          <w:sz w:val="32"/>
          <w:szCs w:val="32"/>
          <w:lang w:val="en-US" w:eastAsia="zh-CN"/>
        </w:rPr>
        <w:t>传染病防控</w:t>
      </w:r>
      <w:r>
        <w:rPr>
          <w:rFonts w:hint="eastAsia" w:ascii="仿宋_GB2312" w:eastAsia="仿宋_GB2312"/>
          <w:sz w:val="32"/>
          <w:szCs w:val="32"/>
        </w:rPr>
        <w:t>况和佩戴畜禽标识后，方可出具检疫票证，坚决杜绝“隔山开证”等行为。对跨省调运的乳用、种用动物，应经地区动物卫生监督所审核同意，方可调进，并由所在地动物卫生监督人员监督其进行隔离观察。</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规范屠宰检疫工作。按照《关于利用畜牧兽医大数据平台做好检疫监督相关工作的通知》（新牧医检字〔2021〕1号）文件要求，一是做好平台升级工作，熟练使用新增功能，做到动物检疫电子出证系统与无纸化防疫系统无缝对接和数据共享；二是做好前期宣传工作，引导承运人按照规程开展动物的落地工作，确保5月1日起在全区开展应用；三是加强屠宰场进场动物查验和检疫出证管理，督促屠宰场（点）加强动物进场工作，落实主体责任，按照《关于进一步加强动物卫生监管相关工作的通知》（新牧医检字（2020）4号）要求，运用动物检疫电子出证系统手机查验端开展进场的查证验物，严格核对《动物检疫合格证明》的电子信息与实际到场动物种类、数量是否相符，进场的种类须在屠宰许可范围之内，驻场官方兽医要及时回收产地检疫证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3、开展养殖环节用药检查，重点检查畜禽养殖环节使用盐酸克伦特罗、莱克多巴胺、等禁用兽药的行为，构建“瘦肉精”监管长效机制，坚决杜绝问题畜禽产品流入市场。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加强兽药监管。一是开展兽药经营环节专项检查，以禁用兽药为重点，杜绝兽药经营企业销售禁用兽药，持续推进兽药追溯体系建设，督促兽药经营企业做好出库，入库录入工作，保证我区兽药经营户入网注册率100%，出库入库100%。二是做好兽药减量化试点企业的试点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5、强化动物检疫培训，有针对性举办动物检疫员培训班。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6、加强公路消毒检查站的工作，严格规范检查站监督执法行为，严格监督检查程序，严格执行六条禁令，严禁越权执法，严禁以补检代替行政处罚，发现问题一律移交农业行政执法部门处理。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7、对各县（市）开展第二季度动物卫生监督督察工作。</w:t>
      </w:r>
    </w:p>
    <w:p>
      <w:pPr>
        <w:spacing w:line="540" w:lineRule="exact"/>
        <w:ind w:firstLine="800" w:firstLineChars="250"/>
        <w:rPr>
          <w:rFonts w:ascii="仿宋_GB2312" w:eastAsia="仿宋_GB2312"/>
          <w:sz w:val="32"/>
          <w:szCs w:val="32"/>
        </w:rPr>
      </w:pPr>
    </w:p>
    <w:p>
      <w:pPr>
        <w:spacing w:line="540" w:lineRule="exact"/>
        <w:rPr>
          <w:rFonts w:ascii="黑体" w:hAnsi="黑体" w:eastAsia="黑体"/>
          <w:sz w:val="32"/>
          <w:szCs w:val="32"/>
        </w:rPr>
        <w:sectPr>
          <w:footerReference r:id="rId3" w:type="default"/>
          <w:pgSz w:w="11906" w:h="16838"/>
          <w:pgMar w:top="1440" w:right="1558" w:bottom="1440" w:left="1800" w:header="851" w:footer="992" w:gutter="0"/>
          <w:cols w:space="425" w:num="1"/>
          <w:docGrid w:type="lines" w:linePitch="312" w:charSpace="0"/>
        </w:sectPr>
      </w:pPr>
    </w:p>
    <w:tbl>
      <w:tblPr>
        <w:tblStyle w:val="20"/>
        <w:tblW w:w="5000" w:type="pct"/>
        <w:tblInd w:w="0" w:type="dxa"/>
        <w:tblLayout w:type="autofit"/>
        <w:tblCellMar>
          <w:top w:w="0" w:type="dxa"/>
          <w:left w:w="0" w:type="dxa"/>
          <w:bottom w:w="0" w:type="dxa"/>
          <w:right w:w="0" w:type="dxa"/>
        </w:tblCellMar>
      </w:tblPr>
      <w:tblGrid>
        <w:gridCol w:w="720"/>
        <w:gridCol w:w="722"/>
        <w:gridCol w:w="721"/>
        <w:gridCol w:w="721"/>
        <w:gridCol w:w="721"/>
        <w:gridCol w:w="722"/>
        <w:gridCol w:w="1661"/>
        <w:gridCol w:w="420"/>
        <w:gridCol w:w="722"/>
        <w:gridCol w:w="721"/>
        <w:gridCol w:w="727"/>
      </w:tblGrid>
      <w:tr>
        <w:tblPrEx>
          <w:tblCellMar>
            <w:top w:w="0" w:type="dxa"/>
            <w:left w:w="0" w:type="dxa"/>
            <w:bottom w:w="0" w:type="dxa"/>
            <w:right w:w="0" w:type="dxa"/>
          </w:tblCellMar>
        </w:tblPrEx>
        <w:trPr>
          <w:trHeight w:val="409" w:hRule="atLeast"/>
        </w:trPr>
        <w:tc>
          <w:tcPr>
            <w:tcW w:w="5000" w:type="pct"/>
            <w:gridSpan w:val="11"/>
            <w:tcBorders>
              <w:top w:val="nil"/>
              <w:left w:val="nil"/>
              <w:bottom w:val="nil"/>
              <w:right w:val="nil"/>
            </w:tcBorders>
            <w:shd w:val="clear" w:color="auto" w:fill="auto"/>
            <w:tcMar>
              <w:top w:w="15" w:type="dxa"/>
              <w:left w:w="15" w:type="dxa"/>
              <w:right w:w="15" w:type="dxa"/>
            </w:tcMa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44"/>
                <w:szCs w:val="44"/>
              </w:rPr>
              <w:t>项目支出绩效自评表</w:t>
            </w:r>
          </w:p>
        </w:tc>
      </w:tr>
      <w:tr>
        <w:tblPrEx>
          <w:tblCellMar>
            <w:top w:w="0" w:type="dxa"/>
            <w:left w:w="0" w:type="dxa"/>
            <w:bottom w:w="0" w:type="dxa"/>
            <w:right w:w="0" w:type="dxa"/>
          </w:tblCellMar>
        </w:tblPrEx>
        <w:trPr>
          <w:trHeight w:val="409" w:hRule="atLeast"/>
        </w:trPr>
        <w:tc>
          <w:tcPr>
            <w:tcW w:w="5000" w:type="pct"/>
            <w:gridSpan w:val="11"/>
            <w:tcBorders>
              <w:top w:val="nil"/>
              <w:left w:val="nil"/>
              <w:bottom w:val="nil"/>
              <w:right w:val="nil"/>
            </w:tcBorders>
            <w:shd w:val="clear" w:color="auto" w:fill="auto"/>
            <w:tcMar>
              <w:top w:w="15" w:type="dxa"/>
              <w:left w:w="15" w:type="dxa"/>
              <w:right w:w="15" w:type="dxa"/>
            </w:tcMar>
          </w:tcPr>
          <w:p>
            <w:pPr>
              <w:widowControl/>
              <w:jc w:val="center"/>
              <w:textAlignment w:val="center"/>
              <w:rPr>
                <w:rFonts w:ascii="宋体" w:hAnsi="宋体" w:cs="宋体"/>
                <w:color w:val="000000"/>
                <w:sz w:val="32"/>
                <w:szCs w:val="32"/>
              </w:rPr>
            </w:pPr>
            <w:r>
              <w:rPr>
                <w:rFonts w:hint="eastAsia" w:ascii="宋体" w:hAnsi="宋体" w:cs="宋体"/>
                <w:color w:val="000000"/>
                <w:kern w:val="0"/>
                <w:sz w:val="32"/>
                <w:szCs w:val="32"/>
              </w:rPr>
              <w:t>（   2020 年度）</w:t>
            </w:r>
          </w:p>
        </w:tc>
      </w:tr>
      <w:tr>
        <w:tblPrEx>
          <w:tblCellMar>
            <w:top w:w="0" w:type="dxa"/>
            <w:left w:w="0" w:type="dxa"/>
            <w:bottom w:w="0" w:type="dxa"/>
            <w:right w:w="0" w:type="dxa"/>
          </w:tblCellMar>
        </w:tblPrEx>
        <w:trPr>
          <w:trHeight w:val="270" w:hRule="atLeast"/>
        </w:trPr>
        <w:tc>
          <w:tcPr>
            <w:tcW w:w="5000" w:type="pct"/>
            <w:gridSpan w:val="11"/>
            <w:tcBorders>
              <w:top w:val="nil"/>
              <w:left w:val="nil"/>
              <w:bottom w:val="nil"/>
              <w:right w:val="nil"/>
            </w:tcBorders>
            <w:shd w:val="clear" w:color="auto" w:fill="auto"/>
            <w:tcMar>
              <w:top w:w="15" w:type="dxa"/>
              <w:left w:w="15" w:type="dxa"/>
              <w:right w:w="15" w:type="dxa"/>
            </w:tcMa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270" w:hRule="atLeast"/>
        </w:trPr>
        <w:tc>
          <w:tcPr>
            <w:tcW w:w="8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项目名称</w:t>
            </w:r>
          </w:p>
        </w:tc>
        <w:tc>
          <w:tcPr>
            <w:tcW w:w="4158" w:type="pct"/>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动物防疫检疫工作补助经费</w:t>
            </w:r>
          </w:p>
        </w:tc>
      </w:tr>
      <w:tr>
        <w:tblPrEx>
          <w:tblCellMar>
            <w:top w:w="0" w:type="dxa"/>
            <w:left w:w="0" w:type="dxa"/>
            <w:bottom w:w="0" w:type="dxa"/>
            <w:right w:w="0" w:type="dxa"/>
          </w:tblCellMar>
        </w:tblPrEx>
        <w:trPr>
          <w:trHeight w:val="270" w:hRule="atLeast"/>
        </w:trPr>
        <w:tc>
          <w:tcPr>
            <w:tcW w:w="8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主管部门</w:t>
            </w:r>
          </w:p>
        </w:tc>
        <w:tc>
          <w:tcPr>
            <w:tcW w:w="2649"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666" w:type="pct"/>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实施单位</w:t>
            </w:r>
          </w:p>
        </w:tc>
        <w:tc>
          <w:tcPr>
            <w:tcW w:w="842" w:type="pct"/>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r>
              <w:rPr>
                <w:rFonts w:hint="eastAsia" w:ascii="宋体" w:hAnsi="宋体" w:cs="宋体"/>
                <w:color w:val="000000"/>
                <w:sz w:val="18"/>
                <w:szCs w:val="18"/>
              </w:rPr>
              <w:t>塔城地区动物卫生监督所</w:t>
            </w:r>
          </w:p>
        </w:tc>
      </w:tr>
      <w:tr>
        <w:tblPrEx>
          <w:tblCellMar>
            <w:top w:w="0" w:type="dxa"/>
            <w:left w:w="0" w:type="dxa"/>
            <w:bottom w:w="0" w:type="dxa"/>
            <w:right w:w="0" w:type="dxa"/>
          </w:tblCellMar>
        </w:tblPrEx>
        <w:trPr>
          <w:trHeight w:val="392" w:hRule="atLeast"/>
        </w:trPr>
        <w:tc>
          <w:tcPr>
            <w:tcW w:w="8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项目资金</w:t>
            </w:r>
          </w:p>
        </w:tc>
        <w:tc>
          <w:tcPr>
            <w:tcW w:w="420" w:type="pct"/>
            <w:tcBorders>
              <w:top w:val="nil"/>
              <w:left w:val="nil"/>
              <w:bottom w:val="nil"/>
              <w:right w:val="nil"/>
            </w:tcBorders>
            <w:shd w:val="clear" w:color="auto" w:fill="auto"/>
            <w:noWrap/>
            <w:tcMar>
              <w:top w:w="15" w:type="dxa"/>
              <w:left w:w="15" w:type="dxa"/>
              <w:right w:w="15" w:type="dxa"/>
            </w:tcMar>
          </w:tcPr>
          <w:p>
            <w:pPr>
              <w:jc w:val="center"/>
              <w:rPr>
                <w:rFonts w:ascii="Arial" w:hAnsi="Arial" w:cs="Arial"/>
                <w:color w:val="000000"/>
                <w:sz w:val="20"/>
                <w:szCs w:val="20"/>
              </w:rPr>
            </w:pPr>
          </w:p>
        </w:tc>
        <w:tc>
          <w:tcPr>
            <w:tcW w:w="420" w:type="pct"/>
            <w:tcBorders>
              <w:top w:val="nil"/>
              <w:left w:val="nil"/>
              <w:bottom w:val="nil"/>
              <w:right w:val="nil"/>
            </w:tcBorders>
            <w:shd w:val="clear" w:color="auto" w:fill="auto"/>
            <w:noWrap/>
            <w:tcMar>
              <w:top w:w="15" w:type="dxa"/>
              <w:left w:w="15" w:type="dxa"/>
              <w:right w:w="15" w:type="dxa"/>
            </w:tcMar>
          </w:tcPr>
          <w:p>
            <w:pPr>
              <w:jc w:val="center"/>
              <w:rPr>
                <w:rFonts w:ascii="Arial" w:hAnsi="Arial" w:cs="Arial"/>
                <w:color w:val="000000"/>
                <w:sz w:val="20"/>
                <w:szCs w:val="20"/>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年初预算数</w:t>
            </w:r>
          </w:p>
        </w:tc>
        <w:tc>
          <w:tcPr>
            <w:tcW w:w="138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全年预算数</w:t>
            </w:r>
          </w:p>
        </w:tc>
        <w:tc>
          <w:tcPr>
            <w:tcW w:w="666" w:type="pct"/>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全年执行数</w:t>
            </w:r>
          </w:p>
        </w:tc>
        <w:tc>
          <w:tcPr>
            <w:tcW w:w="420"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执行率</w:t>
            </w:r>
          </w:p>
        </w:tc>
      </w:tr>
      <w:tr>
        <w:tblPrEx>
          <w:tblCellMar>
            <w:top w:w="0" w:type="dxa"/>
            <w:left w:w="0" w:type="dxa"/>
            <w:bottom w:w="0" w:type="dxa"/>
            <w:right w:w="0" w:type="dxa"/>
          </w:tblCellMar>
        </w:tblPrEx>
        <w:trPr>
          <w:trHeight w:val="270" w:hRule="atLeast"/>
        </w:trPr>
        <w:tc>
          <w:tcPr>
            <w:tcW w:w="8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（万元）</w:t>
            </w:r>
          </w:p>
        </w:tc>
        <w:tc>
          <w:tcPr>
            <w:tcW w:w="84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138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666" w:type="pct"/>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2.03</w:t>
            </w:r>
          </w:p>
        </w:tc>
        <w:tc>
          <w:tcPr>
            <w:tcW w:w="420"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68%</w:t>
            </w:r>
          </w:p>
        </w:tc>
      </w:tr>
      <w:tr>
        <w:tblPrEx>
          <w:tblCellMar>
            <w:top w:w="0" w:type="dxa"/>
            <w:left w:w="0" w:type="dxa"/>
            <w:bottom w:w="0" w:type="dxa"/>
            <w:right w:w="0" w:type="dxa"/>
          </w:tblCellMar>
        </w:tblPrEx>
        <w:trPr>
          <w:trHeight w:val="372" w:hRule="atLeast"/>
        </w:trPr>
        <w:tc>
          <w:tcPr>
            <w:tcW w:w="8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22"/>
                <w:szCs w:val="22"/>
              </w:rPr>
            </w:pPr>
          </w:p>
        </w:tc>
        <w:tc>
          <w:tcPr>
            <w:tcW w:w="84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其中：当年财政拨款</w:t>
            </w: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138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666" w:type="pct"/>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2.03</w:t>
            </w:r>
          </w:p>
        </w:tc>
        <w:tc>
          <w:tcPr>
            <w:tcW w:w="420"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68%</w:t>
            </w:r>
          </w:p>
        </w:tc>
      </w:tr>
      <w:tr>
        <w:tblPrEx>
          <w:tblCellMar>
            <w:top w:w="0" w:type="dxa"/>
            <w:left w:w="0" w:type="dxa"/>
            <w:bottom w:w="0" w:type="dxa"/>
            <w:right w:w="0" w:type="dxa"/>
          </w:tblCellMar>
        </w:tblPrEx>
        <w:trPr>
          <w:trHeight w:val="433" w:hRule="atLeast"/>
        </w:trPr>
        <w:tc>
          <w:tcPr>
            <w:tcW w:w="8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22"/>
                <w:szCs w:val="22"/>
              </w:rPr>
            </w:pPr>
          </w:p>
        </w:tc>
        <w:tc>
          <w:tcPr>
            <w:tcW w:w="84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上年结转资金</w:t>
            </w: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138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666" w:type="pct"/>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420"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tblPrEx>
          <w:tblCellMar>
            <w:top w:w="0" w:type="dxa"/>
            <w:left w:w="0" w:type="dxa"/>
            <w:bottom w:w="0" w:type="dxa"/>
            <w:right w:w="0" w:type="dxa"/>
          </w:tblCellMar>
        </w:tblPrEx>
        <w:trPr>
          <w:trHeight w:val="270" w:hRule="atLeast"/>
        </w:trPr>
        <w:tc>
          <w:tcPr>
            <w:tcW w:w="8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22"/>
                <w:szCs w:val="22"/>
              </w:rPr>
            </w:pPr>
          </w:p>
        </w:tc>
        <w:tc>
          <w:tcPr>
            <w:tcW w:w="84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38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666" w:type="pct"/>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420"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tblPrEx>
          <w:tblCellMar>
            <w:top w:w="0" w:type="dxa"/>
            <w:left w:w="0" w:type="dxa"/>
            <w:bottom w:w="0" w:type="dxa"/>
            <w:right w:w="0" w:type="dxa"/>
          </w:tblCellMar>
        </w:tblPrEx>
        <w:trPr>
          <w:trHeight w:val="433" w:hRule="atLeast"/>
        </w:trPr>
        <w:tc>
          <w:tcPr>
            <w:tcW w:w="4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年度总体目标</w:t>
            </w:r>
          </w:p>
        </w:tc>
        <w:tc>
          <w:tcPr>
            <w:tcW w:w="3070"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预期目标</w:t>
            </w:r>
          </w:p>
        </w:tc>
        <w:tc>
          <w:tcPr>
            <w:tcW w:w="1509"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实际完成情况</w:t>
            </w:r>
          </w:p>
        </w:tc>
      </w:tr>
      <w:tr>
        <w:tblPrEx>
          <w:tblCellMar>
            <w:top w:w="0" w:type="dxa"/>
            <w:left w:w="0" w:type="dxa"/>
            <w:bottom w:w="0" w:type="dxa"/>
            <w:right w:w="0" w:type="dxa"/>
          </w:tblCellMar>
        </w:tblPrEx>
        <w:trPr>
          <w:trHeight w:val="1972" w:hRule="atLeast"/>
        </w:trPr>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3070"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通过加强监管达到以下目标：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1、2020年地区对各县市督导4次；</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2、屠宰环节瘦肉精检测超过1000份；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3、瘦肉精类违禁物快速检测合格率100%；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4、全区屠宰畜禽100万以上；</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5、无害化处理率100%；</w:t>
            </w:r>
          </w:p>
        </w:tc>
        <w:tc>
          <w:tcPr>
            <w:tcW w:w="1509"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通过加强监管达到以下目标：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1、2020年地区对各县市督导4次；</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2、屠宰环节瘦肉精检测超过1000份；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3、瘦肉精类违禁物快速检测合格率100%；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4、全区屠宰畜禽100万以上；</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5、无害化处理率100%；</w:t>
            </w:r>
          </w:p>
        </w:tc>
      </w:tr>
      <w:tr>
        <w:tblPrEx>
          <w:tblCellMar>
            <w:top w:w="0" w:type="dxa"/>
            <w:left w:w="0" w:type="dxa"/>
            <w:bottom w:w="0" w:type="dxa"/>
            <w:right w:w="0" w:type="dxa"/>
          </w:tblCellMar>
        </w:tblPrEx>
        <w:trPr>
          <w:trHeight w:val="412" w:hRule="atLeast"/>
        </w:trPr>
        <w:tc>
          <w:tcPr>
            <w:tcW w:w="4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一级指标</w:t>
            </w:r>
          </w:p>
        </w:tc>
        <w:tc>
          <w:tcPr>
            <w:tcW w:w="4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二级指标</w:t>
            </w:r>
          </w:p>
        </w:tc>
        <w:tc>
          <w:tcPr>
            <w:tcW w:w="1261"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三级指标</w:t>
            </w:r>
          </w:p>
        </w:tc>
        <w:tc>
          <w:tcPr>
            <w:tcW w:w="96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年度指标值</w:t>
            </w:r>
          </w:p>
        </w:tc>
        <w:tc>
          <w:tcPr>
            <w:tcW w:w="6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实际完成值</w:t>
            </w:r>
          </w:p>
        </w:tc>
        <w:tc>
          <w:tcPr>
            <w:tcW w:w="84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偏差原因分析及改进措施</w:t>
            </w:r>
          </w:p>
        </w:tc>
      </w:tr>
      <w:tr>
        <w:tblPrEx>
          <w:tblCellMar>
            <w:top w:w="0" w:type="dxa"/>
            <w:left w:w="0" w:type="dxa"/>
            <w:bottom w:w="0" w:type="dxa"/>
            <w:right w:w="0" w:type="dxa"/>
          </w:tblCellMar>
        </w:tblPrEx>
        <w:trPr>
          <w:trHeight w:val="312" w:hRule="atLeast"/>
        </w:trPr>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126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6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8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795" w:hRule="atLeast"/>
        </w:trPr>
        <w:tc>
          <w:tcPr>
            <w:tcW w:w="4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年度绩效指标完成情况</w:t>
            </w:r>
          </w:p>
        </w:tc>
        <w:tc>
          <w:tcPr>
            <w:tcW w:w="4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4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126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屠宰检疫数量</w:t>
            </w:r>
          </w:p>
        </w:tc>
        <w:tc>
          <w:tcPr>
            <w:tcW w:w="96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≥100万头/只</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100.79万头/只</w:t>
            </w:r>
          </w:p>
        </w:tc>
        <w:tc>
          <w:tcPr>
            <w:tcW w:w="84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693" w:hRule="atLeast"/>
        </w:trPr>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126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屠宰环节瘦肉精检测</w:t>
            </w:r>
          </w:p>
        </w:tc>
        <w:tc>
          <w:tcPr>
            <w:tcW w:w="96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≥1000份</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1000份</w:t>
            </w:r>
          </w:p>
        </w:tc>
        <w:tc>
          <w:tcPr>
            <w:tcW w:w="84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pPr>
          </w:p>
          <w:p>
            <w:pPr>
              <w:bidi w:val="0"/>
              <w:jc w:val="center"/>
              <w:rPr>
                <w:rFonts w:ascii="Times New Roman" w:hAnsi="Times New Roman" w:eastAsia="宋体" w:cs="Times New Roman"/>
                <w:kern w:val="2"/>
                <w:sz w:val="21"/>
                <w:szCs w:val="24"/>
                <w:lang w:val="en-US" w:eastAsia="zh-CN" w:bidi="ar-SA"/>
              </w:rPr>
            </w:pPr>
            <w:bookmarkStart w:id="30" w:name="_GoBack"/>
            <w:bookmarkEnd w:id="30"/>
          </w:p>
        </w:tc>
      </w:tr>
      <w:tr>
        <w:tblPrEx>
          <w:tblCellMar>
            <w:top w:w="0" w:type="dxa"/>
            <w:left w:w="0" w:type="dxa"/>
            <w:bottom w:w="0" w:type="dxa"/>
            <w:right w:w="0" w:type="dxa"/>
          </w:tblCellMar>
        </w:tblPrEx>
        <w:trPr>
          <w:trHeight w:val="825" w:hRule="atLeast"/>
        </w:trPr>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126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对县（市）开展业务监督检查</w:t>
            </w:r>
          </w:p>
        </w:tc>
        <w:tc>
          <w:tcPr>
            <w:tcW w:w="96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=4次</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3次</w:t>
            </w:r>
          </w:p>
        </w:tc>
        <w:tc>
          <w:tcPr>
            <w:tcW w:w="84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highlight w:val="yellow"/>
              </w:rPr>
            </w:pPr>
            <w:r>
              <w:rPr>
                <w:rFonts w:hint="eastAsia" w:ascii="宋体" w:hAnsi="宋体" w:cs="宋体"/>
                <w:color w:val="000000"/>
                <w:sz w:val="18"/>
                <w:szCs w:val="18"/>
                <w:highlight w:val="none"/>
              </w:rPr>
              <w:t>专项业务督查，因</w:t>
            </w:r>
            <w:r>
              <w:rPr>
                <w:rFonts w:hint="eastAsia" w:asciiTheme="majorEastAsia" w:hAnsiTheme="majorEastAsia" w:eastAsiaTheme="majorEastAsia" w:cstheme="majorEastAsia"/>
                <w:sz w:val="18"/>
                <w:szCs w:val="18"/>
                <w:highlight w:val="none"/>
                <w:lang w:val="en-US" w:eastAsia="zh-CN"/>
              </w:rPr>
              <w:t>传染病防控</w:t>
            </w:r>
            <w:r>
              <w:rPr>
                <w:rFonts w:hint="eastAsia" w:ascii="宋体" w:hAnsi="宋体" w:cs="宋体"/>
                <w:color w:val="000000"/>
                <w:sz w:val="18"/>
                <w:szCs w:val="18"/>
                <w:highlight w:val="none"/>
              </w:rPr>
              <w:t>影响开展3次</w:t>
            </w:r>
          </w:p>
        </w:tc>
      </w:tr>
      <w:tr>
        <w:tblPrEx>
          <w:tblCellMar>
            <w:top w:w="0" w:type="dxa"/>
            <w:left w:w="0" w:type="dxa"/>
            <w:bottom w:w="0" w:type="dxa"/>
            <w:right w:w="0" w:type="dxa"/>
          </w:tblCellMar>
        </w:tblPrEx>
        <w:trPr>
          <w:trHeight w:val="697" w:hRule="atLeast"/>
        </w:trPr>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126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瘦肉精抽样合格率</w:t>
            </w:r>
          </w:p>
        </w:tc>
        <w:tc>
          <w:tcPr>
            <w:tcW w:w="96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84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609" w:hRule="atLeast"/>
        </w:trPr>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126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完成时间</w:t>
            </w:r>
          </w:p>
        </w:tc>
        <w:tc>
          <w:tcPr>
            <w:tcW w:w="96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2020年12月</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2020年12月</w:t>
            </w:r>
          </w:p>
        </w:tc>
        <w:tc>
          <w:tcPr>
            <w:tcW w:w="84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1549" w:hRule="atLeast"/>
        </w:trPr>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2229"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项目投入</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≤3万元</w:t>
            </w: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2.02655万元</w:t>
            </w:r>
          </w:p>
        </w:tc>
        <w:tc>
          <w:tcPr>
            <w:tcW w:w="84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因</w:t>
            </w:r>
            <w:r>
              <w:rPr>
                <w:rFonts w:hint="eastAsia" w:asciiTheme="majorEastAsia" w:hAnsiTheme="majorEastAsia" w:eastAsiaTheme="majorEastAsia" w:cstheme="majorEastAsia"/>
                <w:sz w:val="18"/>
                <w:szCs w:val="18"/>
                <w:lang w:val="en-US" w:eastAsia="zh-CN"/>
              </w:rPr>
              <w:t>传染病防控</w:t>
            </w:r>
            <w:r>
              <w:rPr>
                <w:rFonts w:hint="eastAsia" w:ascii="宋体" w:hAnsi="宋体" w:cs="宋体"/>
                <w:color w:val="000000"/>
                <w:kern w:val="0"/>
                <w:sz w:val="18"/>
                <w:szCs w:val="18"/>
              </w:rPr>
              <w:t>原因，我单位业务工作开展受影响，下县（市）督查次数少，没有使用完该费用。</w:t>
            </w:r>
          </w:p>
        </w:tc>
      </w:tr>
      <w:tr>
        <w:tblPrEx>
          <w:tblCellMar>
            <w:top w:w="0" w:type="dxa"/>
            <w:left w:w="0" w:type="dxa"/>
            <w:bottom w:w="0" w:type="dxa"/>
            <w:right w:w="0" w:type="dxa"/>
          </w:tblCellMar>
        </w:tblPrEx>
        <w:trPr>
          <w:trHeight w:val="738" w:hRule="atLeast"/>
        </w:trPr>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2229"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畜产品食品安全事件发生率</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=0次</w:t>
            </w: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0次</w:t>
            </w:r>
          </w:p>
        </w:tc>
        <w:tc>
          <w:tcPr>
            <w:tcW w:w="84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678" w:hRule="atLeast"/>
        </w:trPr>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2229"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疫病畜禽无害化处理</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w:t>
            </w: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w:t>
            </w:r>
          </w:p>
        </w:tc>
        <w:tc>
          <w:tcPr>
            <w:tcW w:w="84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869" w:hRule="atLeast"/>
        </w:trPr>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2229"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屠宰企业、规模养殖企业、农牧民满意度</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≥80%</w:t>
            </w: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85%</w:t>
            </w:r>
          </w:p>
        </w:tc>
        <w:tc>
          <w:tcPr>
            <w:tcW w:w="84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jc w:val="center"/>
              <w:rPr>
                <w:rFonts w:ascii="宋体" w:hAnsi="宋体" w:cs="宋体"/>
                <w:color w:val="000000"/>
                <w:sz w:val="18"/>
                <w:szCs w:val="18"/>
              </w:rPr>
            </w:pPr>
          </w:p>
        </w:tc>
      </w:tr>
    </w:tbl>
    <w:p>
      <w:pPr>
        <w:pStyle w:val="18"/>
        <w:spacing w:before="0" w:after="0" w:line="540" w:lineRule="exact"/>
        <w:jc w:val="both"/>
        <w:outlineLvl w:val="9"/>
        <w:sectPr>
          <w:pgSz w:w="11906" w:h="16838"/>
          <w:pgMar w:top="1440" w:right="1558" w:bottom="1440" w:left="1800" w:header="851" w:footer="992" w:gutter="0"/>
          <w:cols w:space="425" w:num="1"/>
          <w:docGrid w:type="lines" w:linePitch="312" w:charSpace="0"/>
        </w:sectPr>
      </w:pPr>
    </w:p>
    <w:p>
      <w:pPr>
        <w:spacing w:line="540" w:lineRule="exact"/>
        <w:outlineLvl w:val="0"/>
        <w:rPr>
          <w:rFonts w:ascii="仿宋_GB2312"/>
          <w:bCs/>
          <w:sz w:val="32"/>
          <w:szCs w:val="32"/>
        </w:rPr>
      </w:pPr>
      <w:bookmarkStart w:id="29" w:name="_Toc7851"/>
      <w:r>
        <w:rPr>
          <w:rFonts w:hint="eastAsia" w:ascii="仿宋_GB2312"/>
          <w:bCs/>
          <w:sz w:val="32"/>
          <w:szCs w:val="32"/>
        </w:rPr>
        <w:t>附件1</w:t>
      </w:r>
      <w:bookmarkEnd w:id="29"/>
    </w:p>
    <w:tbl>
      <w:tblPr>
        <w:tblStyle w:val="20"/>
        <w:tblW w:w="4996"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76"/>
        <w:gridCol w:w="576"/>
        <w:gridCol w:w="583"/>
        <w:gridCol w:w="4614"/>
        <w:gridCol w:w="7033"/>
        <w:gridCol w:w="396"/>
        <w:gridCol w:w="39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290" w:type="pct"/>
            <w:shd w:val="clear" w:color="auto" w:fill="FFFFFF"/>
            <w:noWrap/>
            <w:vAlign w:val="center"/>
          </w:tcPr>
          <w:p>
            <w:pPr>
              <w:widowControl/>
              <w:spacing w:line="40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284" w:type="pct"/>
            <w:shd w:val="clear" w:color="auto" w:fill="FFFFFF"/>
            <w:noWrap/>
            <w:vAlign w:val="center"/>
          </w:tcPr>
          <w:p>
            <w:pPr>
              <w:widowControl/>
              <w:spacing w:line="40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399" w:type="pct"/>
            <w:shd w:val="clear" w:color="auto" w:fill="FFFFFF"/>
            <w:noWrap/>
            <w:vAlign w:val="center"/>
          </w:tcPr>
          <w:p>
            <w:pPr>
              <w:widowControl/>
              <w:spacing w:line="40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927" w:type="pct"/>
            <w:shd w:val="clear" w:color="auto" w:fill="FFFFFF"/>
            <w:noWrap/>
            <w:vAlign w:val="center"/>
          </w:tcPr>
          <w:p>
            <w:pPr>
              <w:widowControl/>
              <w:spacing w:line="40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2346" w:type="pct"/>
            <w:shd w:val="clear" w:color="auto" w:fill="FFFFFF"/>
            <w:noWrap/>
            <w:vAlign w:val="center"/>
          </w:tcPr>
          <w:p>
            <w:pPr>
              <w:widowControl/>
              <w:spacing w:line="40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371" w:type="pct"/>
            <w:shd w:val="clear" w:color="auto" w:fill="FFFFFF"/>
            <w:noWrap/>
            <w:vAlign w:val="center"/>
          </w:tcPr>
          <w:p>
            <w:pPr>
              <w:widowControl/>
              <w:spacing w:line="40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380" w:type="pct"/>
            <w:shd w:val="clear" w:color="auto" w:fill="FFFFFF"/>
            <w:noWrap/>
            <w:vAlign w:val="center"/>
          </w:tcPr>
          <w:p>
            <w:pPr>
              <w:widowControl/>
              <w:spacing w:line="40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290" w:type="pct"/>
            <w:vMerge w:val="restar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决策　</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84" w:type="pct"/>
            <w:vMerge w:val="restar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立项依据</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927" w:type="pct"/>
            <w:shd w:val="clear" w:color="auto"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项目立项是否符合法律法规、相关政策、发展规划以及部门职责，用以反映和考核项目立项依据情况。</w:t>
            </w:r>
          </w:p>
        </w:tc>
        <w:tc>
          <w:tcPr>
            <w:tcW w:w="2346" w:type="pct"/>
            <w:shd w:val="clear" w:color="auto" w:fill="FFFFFF"/>
            <w:noWrap/>
            <w:vAlign w:val="center"/>
          </w:tcPr>
          <w:p>
            <w:pPr>
              <w:widowControl/>
              <w:spacing w:line="560" w:lineRule="exact"/>
              <w:jc w:val="left"/>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①项目立项是否符合国家法律法规、国民经济发展规划和相关政策；</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②项目立项是否符合行业发展规划和政策要求；</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③项目立项是否与部门职责范围相符，属于部门履职所需；</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④项目是否属于公共财政支持范围，是否符合中央、地方事权支出责任划分原则；</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⑤项目是否与相关部门同类项目或部门内部相关项目重复。</w:t>
            </w:r>
          </w:p>
        </w:tc>
        <w:tc>
          <w:tcPr>
            <w:tcW w:w="371"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380"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90"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284"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立项程序</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927" w:type="pct"/>
            <w:shd w:val="clear" w:color="auto"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项目申请、设立过程是否符合相关要求，用以反映和考核项目立项的规范情况。</w:t>
            </w:r>
          </w:p>
        </w:tc>
        <w:tc>
          <w:tcPr>
            <w:tcW w:w="2346" w:type="pct"/>
            <w:shd w:val="clear" w:color="auto" w:fill="FFFFFF"/>
            <w:noWrap/>
            <w:vAlign w:val="center"/>
          </w:tcPr>
          <w:p>
            <w:pPr>
              <w:widowControl/>
              <w:spacing w:line="560" w:lineRule="exact"/>
              <w:jc w:val="left"/>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①项目是否按照规定的程序申请设立；</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②审批文件、材料是否符合相关要求；</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③事前是否已经过必要的可行性研究、专家论证、风险评估、绩效评估、集体决策。</w:t>
            </w:r>
          </w:p>
        </w:tc>
        <w:tc>
          <w:tcPr>
            <w:tcW w:w="371"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380"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290"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284"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绩效目标</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927"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项目所设定的绩效目标是否依据充分，是否符合客观实际，用以反映和考核项目绩效目标与项目实施的相符情况。</w:t>
            </w:r>
          </w:p>
        </w:tc>
        <w:tc>
          <w:tcPr>
            <w:tcW w:w="2346" w:type="pct"/>
            <w:shd w:val="clear" w:color="000000" w:fill="FFFFFF"/>
            <w:noWrap/>
            <w:vAlign w:val="center"/>
          </w:tcPr>
          <w:p>
            <w:pPr>
              <w:widowControl/>
              <w:spacing w:line="560" w:lineRule="exact"/>
              <w:jc w:val="left"/>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（如未设定预算绩效目标，也可考核其他工作任务目标）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①项目是否有绩效目标；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②项目绩效目标与实际工作内容是否具有相关性；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③项目预期产出效益和效果是否符合正常的业绩水平；</w:t>
            </w:r>
          </w:p>
          <w:p>
            <w:pPr>
              <w:widowControl/>
              <w:spacing w:line="560" w:lineRule="exact"/>
              <w:jc w:val="left"/>
              <w:rPr>
                <w:rFonts w:ascii="宋体" w:hAnsi="宋体" w:cs="宋体"/>
                <w:color w:val="000000"/>
                <w:kern w:val="0"/>
                <w:sz w:val="18"/>
                <w:szCs w:val="18"/>
              </w:rPr>
            </w:pPr>
            <w:r>
              <w:rPr>
                <w:rFonts w:hint="eastAsia" w:ascii="宋体" w:hAnsi="宋体" w:cs="宋体"/>
                <w:color w:val="000000"/>
                <w:kern w:val="0"/>
                <w:sz w:val="18"/>
                <w:szCs w:val="18"/>
              </w:rPr>
              <w:t>④是否与预算确定的项目投资额或资金量相匹配。</w:t>
            </w:r>
          </w:p>
        </w:tc>
        <w:tc>
          <w:tcPr>
            <w:tcW w:w="371"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80"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90" w:type="pct"/>
            <w:vMerge w:val="restar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决策　</w:t>
            </w:r>
          </w:p>
        </w:tc>
        <w:tc>
          <w:tcPr>
            <w:tcW w:w="284"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绩效目标</w:t>
            </w: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绩效指标</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927"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依据绩效目标设定的绩效指标是否清晰、细化、可衡量等，用以反映和考核项目绩效目标的明细化情况。</w:t>
            </w:r>
          </w:p>
        </w:tc>
        <w:tc>
          <w:tcPr>
            <w:tcW w:w="2346"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①是否将项目绩效目标细化分解为具体的绩效指标；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②是否通过清晰、可衡量的指标值予以体现；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③是否与项目目标任务数或计划数相对应。</w:t>
            </w:r>
            <w:r>
              <w:rPr>
                <w:rFonts w:hint="eastAsia" w:ascii="宋体" w:hAnsi="宋体" w:cs="宋体"/>
                <w:color w:val="000000"/>
                <w:kern w:val="0"/>
                <w:sz w:val="18"/>
                <w:szCs w:val="18"/>
              </w:rPr>
              <w:br w:type="textWrapping"/>
            </w:r>
          </w:p>
        </w:tc>
        <w:tc>
          <w:tcPr>
            <w:tcW w:w="371"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80"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90"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284" w:type="pct"/>
            <w:vMerge w:val="restar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资金投入</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预算编制</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927" w:type="pct"/>
            <w:shd w:val="clear" w:color="auto"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项目预算编制是否经过科学论证、有明确标准，资金额度与年度目标是否相适应，用以反映和考核项目预算编制的科学性、合理性情况。</w:t>
            </w:r>
          </w:p>
        </w:tc>
        <w:tc>
          <w:tcPr>
            <w:tcW w:w="2346" w:type="pct"/>
            <w:shd w:val="clear" w:color="auto"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①预算编制是否经过科学论证；</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②预算内容与项目内容是否匹配；</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③预算额度测算依据是否充分，是否按照标准编制；</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④预算确定的项目投资额或资金量是否与工作任务相匹配。</w:t>
            </w:r>
          </w:p>
        </w:tc>
        <w:tc>
          <w:tcPr>
            <w:tcW w:w="371"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80"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90"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284"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资金分配</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927" w:type="pct"/>
            <w:shd w:val="clear" w:color="auto"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项目预算资金分配是否有测算依据，与补助单位或地方实际是否相适应，用以反映和考核项目预算资金分配的科学性、合理性情况。</w:t>
            </w:r>
          </w:p>
        </w:tc>
        <w:tc>
          <w:tcPr>
            <w:tcW w:w="2346" w:type="pct"/>
            <w:shd w:val="clear" w:color="auto"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①预算资金分配依据是否充分；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②资金分配额度是否合理，与项目单位或地方实际是否相适应。</w:t>
            </w:r>
          </w:p>
        </w:tc>
        <w:tc>
          <w:tcPr>
            <w:tcW w:w="371"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80"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290" w:type="pct"/>
            <w:vMerge w:val="restar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过程</w:t>
            </w:r>
          </w:p>
        </w:tc>
        <w:tc>
          <w:tcPr>
            <w:tcW w:w="284" w:type="pct"/>
            <w:vMerge w:val="restar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927"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实际到位资金与预算资金的比率，用以反映和考核资金落实情况对项目实施的总体保障程度。</w:t>
            </w:r>
          </w:p>
        </w:tc>
        <w:tc>
          <w:tcPr>
            <w:tcW w:w="2346"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资金到位率=（实际到位资金/预算资金）×100%。</w:t>
            </w:r>
          </w:p>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实际到位资金：一定时期（本年度或项目期）内落实到具体项目的资金。</w:t>
            </w:r>
          </w:p>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预算资金：一定时期（本年度或项目期）内预算安排到具体项目的资金。</w:t>
            </w:r>
          </w:p>
        </w:tc>
        <w:tc>
          <w:tcPr>
            <w:tcW w:w="371"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80"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90"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284"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927" w:type="pct"/>
            <w:shd w:val="clear" w:color="auto"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项目预算资金是否按照计划执行，用以反映或考核项目预算执行情况。</w:t>
            </w:r>
          </w:p>
        </w:tc>
        <w:tc>
          <w:tcPr>
            <w:tcW w:w="2346" w:type="pct"/>
            <w:shd w:val="clear" w:color="auto"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预算执行率=（实际支出资金/实际到位资金）×100%。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实际支出资金：一定时期（本年度或项目期）内项目实际拨付的资金。</w:t>
            </w:r>
          </w:p>
        </w:tc>
        <w:tc>
          <w:tcPr>
            <w:tcW w:w="371"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80"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290" w:type="pct"/>
            <w:vMerge w:val="restar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过程　</w:t>
            </w:r>
          </w:p>
        </w:tc>
        <w:tc>
          <w:tcPr>
            <w:tcW w:w="284"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资金使用</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927"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项目资金使用是否符合相关的财务管理制度规定，用以反映和考核项目资金的规范运行情况。</w:t>
            </w:r>
          </w:p>
        </w:tc>
        <w:tc>
          <w:tcPr>
            <w:tcW w:w="2346"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①是否符合国家财经法规和财务管理制度以及有关专项资金管理办法的规定；</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②资金的拨付是否有完整的审批程序和手续；</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③是否符合项目预算批复或合同规定的用途；</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④是否存在截留、挤占、挪用、虚列支出等情况。</w:t>
            </w:r>
          </w:p>
        </w:tc>
        <w:tc>
          <w:tcPr>
            <w:tcW w:w="371"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80"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290"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284" w:type="pct"/>
            <w:vMerge w:val="restar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组织实施</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管理制度</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927"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项目实施单位的财务和业务管理制度是否健全，用以反映和考核财务和业务管理制度对项目顺利实施的保障情况。</w:t>
            </w:r>
          </w:p>
        </w:tc>
        <w:tc>
          <w:tcPr>
            <w:tcW w:w="2346"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①是否已制定或具有相应的财务和业务管理制度；</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②财务和业务管理制度是否合法、合规、完整。</w:t>
            </w:r>
          </w:p>
        </w:tc>
        <w:tc>
          <w:tcPr>
            <w:tcW w:w="371"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80"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290"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284"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制度执行</w:t>
            </w:r>
          </w:p>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927"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项目实施是否符合相关管理规定，用以反映和考核相关管理制度的有效执行情况。</w:t>
            </w:r>
          </w:p>
        </w:tc>
        <w:tc>
          <w:tcPr>
            <w:tcW w:w="2346"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①是否遵守相关法律法规和相关管理规定；</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②项目调整及支出调整手续是否完备；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③项目合同书、验收报告、技术鉴定等资料是否齐全并及时归档；</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④项目实施的人员条件、场地设备、信息支撑等是否落实到位。</w:t>
            </w:r>
          </w:p>
        </w:tc>
        <w:tc>
          <w:tcPr>
            <w:tcW w:w="371"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80"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290"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w:t>
            </w:r>
          </w:p>
        </w:tc>
        <w:tc>
          <w:tcPr>
            <w:tcW w:w="284"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927"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项目实施的实际产出数与计划产出数的比率，用以反映和考核项目产出数量目标的实现程度。</w:t>
            </w:r>
          </w:p>
        </w:tc>
        <w:tc>
          <w:tcPr>
            <w:tcW w:w="2346"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实际完成率=（实际产出数/计划产出数）×100%。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实际产出数：一定时期（本年度或项目期）内项目实际产出的产品或提供的服务数量。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计划产出数：项目绩效目标确定的在一定时期（本年度或项目期）内计划产出的产品或提供的服务数量。</w:t>
            </w:r>
          </w:p>
        </w:tc>
        <w:tc>
          <w:tcPr>
            <w:tcW w:w="371"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380"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8" w:hRule="atLeast"/>
          <w:jc w:val="center"/>
        </w:trPr>
        <w:tc>
          <w:tcPr>
            <w:tcW w:w="290" w:type="pct"/>
            <w:vMerge w:val="restar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w:t>
            </w:r>
          </w:p>
        </w:tc>
        <w:tc>
          <w:tcPr>
            <w:tcW w:w="284"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927"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项目完成的质量达标产出数与实际产出数的比率，用以反映和考核项目产出质量目标的实现程度。</w:t>
            </w:r>
          </w:p>
        </w:tc>
        <w:tc>
          <w:tcPr>
            <w:tcW w:w="2346"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质量达标率=（质量达标产出数/实际产出数）×100%。</w:t>
            </w:r>
          </w:p>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71"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80"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290"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284"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927"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项目实际完成时间与计划完成时间的比较，用以反映和考核项目产出时效目标的实现程度。</w:t>
            </w:r>
          </w:p>
        </w:tc>
        <w:tc>
          <w:tcPr>
            <w:tcW w:w="2346"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实际完成时间：项目实施单位完成该项目实际所耗用的时间。</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计划完成时间：按照项目实施计划或相关规定完成该项目所需的时间。</w:t>
            </w:r>
          </w:p>
        </w:tc>
        <w:tc>
          <w:tcPr>
            <w:tcW w:w="371"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380"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290"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284"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927"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完成项目计划工作目标的实际节约成本与计划成本的比率，用以反映和考核项目的成本节约程度。</w:t>
            </w:r>
          </w:p>
        </w:tc>
        <w:tc>
          <w:tcPr>
            <w:tcW w:w="2346"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成本节约率=[（计划成本－实际成本）/计划成本]×100%。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实际成本：项目实施单位如期、保质、保量完成既定工作目标实际所耗费的支出。</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计划成本：项目实施单位为完成工作目标计划安排的支出，一般以项目预算为参考。</w:t>
            </w:r>
          </w:p>
        </w:tc>
        <w:tc>
          <w:tcPr>
            <w:tcW w:w="371"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80"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290" w:type="pct"/>
            <w:vMerge w:val="restar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效益　</w:t>
            </w:r>
          </w:p>
        </w:tc>
        <w:tc>
          <w:tcPr>
            <w:tcW w:w="284" w:type="pct"/>
            <w:vMerge w:val="restar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实施效益</w:t>
            </w:r>
          </w:p>
        </w:tc>
        <w:tc>
          <w:tcPr>
            <w:tcW w:w="927" w:type="pct"/>
            <w:shd w:val="clear" w:color="auto" w:fill="FFFFFF"/>
            <w:noWrap/>
            <w:vAlign w:val="center"/>
          </w:tcPr>
          <w:p>
            <w:pPr>
              <w:widowControl/>
              <w:spacing w:line="560" w:lineRule="exact"/>
              <w:jc w:val="left"/>
              <w:rPr>
                <w:rFonts w:ascii="宋体" w:hAnsi="宋体" w:cs="宋体"/>
                <w:color w:val="000000"/>
                <w:kern w:val="0"/>
                <w:sz w:val="18"/>
                <w:szCs w:val="18"/>
              </w:rPr>
            </w:pPr>
            <w:r>
              <w:rPr>
                <w:rFonts w:hint="eastAsia" w:ascii="宋体" w:hAnsi="宋体" w:cs="宋体"/>
                <w:color w:val="000000"/>
                <w:kern w:val="0"/>
                <w:sz w:val="18"/>
                <w:szCs w:val="18"/>
              </w:rPr>
              <w:t>项目实施所产生的效益。</w:t>
            </w:r>
          </w:p>
        </w:tc>
        <w:tc>
          <w:tcPr>
            <w:tcW w:w="2346" w:type="pct"/>
            <w:shd w:val="clear" w:color="auto"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项目实施所产生的社会效益、经济效益、生态效益、可持续影响等。可根据项目实际情况有选择地设置和细化。</w:t>
            </w:r>
          </w:p>
        </w:tc>
        <w:tc>
          <w:tcPr>
            <w:tcW w:w="371"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380"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56" w:hRule="atLeast"/>
          <w:jc w:val="center"/>
        </w:trPr>
        <w:tc>
          <w:tcPr>
            <w:tcW w:w="290"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284" w:type="pct"/>
            <w:vMerge w:val="continue"/>
            <w:shd w:val="clear" w:color="auto" w:fill="FFFFFF"/>
            <w:noWrap/>
            <w:vAlign w:val="center"/>
          </w:tcPr>
          <w:p>
            <w:pPr>
              <w:widowControl/>
              <w:spacing w:line="560" w:lineRule="exact"/>
              <w:jc w:val="center"/>
              <w:rPr>
                <w:rFonts w:ascii="宋体" w:hAnsi="宋体" w:cs="宋体"/>
                <w:color w:val="000000"/>
                <w:kern w:val="0"/>
                <w:sz w:val="18"/>
                <w:szCs w:val="18"/>
              </w:rPr>
            </w:pPr>
          </w:p>
        </w:tc>
        <w:tc>
          <w:tcPr>
            <w:tcW w:w="399" w:type="pct"/>
            <w:shd w:val="clear" w:color="auto"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927"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社会公众或服务对象对项目实施效果的满意程度。</w:t>
            </w:r>
          </w:p>
        </w:tc>
        <w:tc>
          <w:tcPr>
            <w:tcW w:w="2346" w:type="pct"/>
            <w:shd w:val="clear" w:color="000000" w:fill="FFFFFF"/>
            <w:noWrap/>
            <w:vAlign w:val="center"/>
          </w:tcPr>
          <w:p>
            <w:pPr>
              <w:widowControl/>
              <w:spacing w:line="560" w:lineRule="exact"/>
              <w:rPr>
                <w:rFonts w:ascii="宋体" w:hAnsi="宋体" w:cs="宋体"/>
                <w:color w:val="000000"/>
                <w:kern w:val="0"/>
                <w:sz w:val="18"/>
                <w:szCs w:val="18"/>
              </w:rPr>
            </w:pPr>
            <w:r>
              <w:rPr>
                <w:rFonts w:hint="eastAsia" w:ascii="宋体" w:hAnsi="宋体" w:cs="宋体"/>
                <w:color w:val="000000"/>
                <w:kern w:val="0"/>
                <w:sz w:val="18"/>
                <w:szCs w:val="18"/>
              </w:rPr>
              <w:t>社会公众或服务对象是指因该项目实施而受到影响的部门（单位）、群体或个人。一般采取社会调查的方式。</w:t>
            </w:r>
          </w:p>
        </w:tc>
        <w:tc>
          <w:tcPr>
            <w:tcW w:w="371"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80" w:type="pct"/>
            <w:shd w:val="clear" w:color="000000" w:fill="FFFFFF"/>
            <w:noWrap/>
            <w:vAlign w:val="center"/>
          </w:tcPr>
          <w:p>
            <w:pPr>
              <w:widowControl/>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r>
    </w:tbl>
    <w:p>
      <w:pPr>
        <w:spacing w:line="560" w:lineRule="exact"/>
        <w:rPr>
          <w:rFonts w:ascii="宋体" w:hAnsi="宋体" w:cs="宋体"/>
          <w:sz w:val="18"/>
          <w:szCs w:val="18"/>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微软雅黑"/>
    <w:panose1 w:val="00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3730CCE4"/>
    <w:multiLevelType w:val="singleLevel"/>
    <w:tmpl w:val="3730CCE4"/>
    <w:lvl w:ilvl="0" w:tentative="0">
      <w:start w:val="2"/>
      <w:numFmt w:val="decimal"/>
      <w:suff w:val="nothing"/>
      <w:lvlText w:val="（%1）"/>
      <w:lvlJc w:val="left"/>
    </w:lvl>
  </w:abstractNum>
  <w:num w:numId="1">
    <w:abstractNumId w:val="6"/>
  </w:num>
  <w:num w:numId="2">
    <w:abstractNumId w:val="2"/>
  </w:num>
  <w:num w:numId="3">
    <w:abstractNumId w:val="1"/>
  </w:num>
  <w:num w:numId="4">
    <w:abstractNumId w:val="5"/>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E50F0"/>
    <w:rsid w:val="000E586C"/>
    <w:rsid w:val="00121AE4"/>
    <w:rsid w:val="00146AAD"/>
    <w:rsid w:val="001B3A40"/>
    <w:rsid w:val="00297748"/>
    <w:rsid w:val="003C18BC"/>
    <w:rsid w:val="004366A8"/>
    <w:rsid w:val="00464900"/>
    <w:rsid w:val="00502BA7"/>
    <w:rsid w:val="005162F1"/>
    <w:rsid w:val="00535153"/>
    <w:rsid w:val="005544B7"/>
    <w:rsid w:val="00554F82"/>
    <w:rsid w:val="0056390D"/>
    <w:rsid w:val="005719B0"/>
    <w:rsid w:val="005D10D6"/>
    <w:rsid w:val="00722932"/>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66D6EAA"/>
    <w:rsid w:val="07BB3F8C"/>
    <w:rsid w:val="08986E99"/>
    <w:rsid w:val="08C662D4"/>
    <w:rsid w:val="09BD4D95"/>
    <w:rsid w:val="0F8D41CB"/>
    <w:rsid w:val="0FE5355E"/>
    <w:rsid w:val="109971C8"/>
    <w:rsid w:val="11C75270"/>
    <w:rsid w:val="12637CC3"/>
    <w:rsid w:val="12E657C5"/>
    <w:rsid w:val="167C7687"/>
    <w:rsid w:val="168B3546"/>
    <w:rsid w:val="181425C9"/>
    <w:rsid w:val="1A2374E0"/>
    <w:rsid w:val="1C317CE2"/>
    <w:rsid w:val="1DD45808"/>
    <w:rsid w:val="1DED42AC"/>
    <w:rsid w:val="20005763"/>
    <w:rsid w:val="20FB313D"/>
    <w:rsid w:val="220B4804"/>
    <w:rsid w:val="282475E3"/>
    <w:rsid w:val="28A3245C"/>
    <w:rsid w:val="2ADF76D6"/>
    <w:rsid w:val="2C6100C1"/>
    <w:rsid w:val="2D9427BA"/>
    <w:rsid w:val="2EBE106B"/>
    <w:rsid w:val="2FA42B09"/>
    <w:rsid w:val="30103266"/>
    <w:rsid w:val="32531A04"/>
    <w:rsid w:val="3264220D"/>
    <w:rsid w:val="35357E07"/>
    <w:rsid w:val="35A46111"/>
    <w:rsid w:val="366D51E1"/>
    <w:rsid w:val="36D316B4"/>
    <w:rsid w:val="3783613D"/>
    <w:rsid w:val="3963178C"/>
    <w:rsid w:val="3FE048F2"/>
    <w:rsid w:val="41CC2676"/>
    <w:rsid w:val="43BA7B63"/>
    <w:rsid w:val="46B21672"/>
    <w:rsid w:val="4A1F32C8"/>
    <w:rsid w:val="4F552460"/>
    <w:rsid w:val="4FCC6863"/>
    <w:rsid w:val="500A214A"/>
    <w:rsid w:val="522D604D"/>
    <w:rsid w:val="5297585E"/>
    <w:rsid w:val="52AD7D6F"/>
    <w:rsid w:val="5549519D"/>
    <w:rsid w:val="5557596B"/>
    <w:rsid w:val="5B596DFC"/>
    <w:rsid w:val="5D0A006C"/>
    <w:rsid w:val="5DF03945"/>
    <w:rsid w:val="637C2815"/>
    <w:rsid w:val="687C30C6"/>
    <w:rsid w:val="785751B1"/>
    <w:rsid w:val="793257F7"/>
    <w:rsid w:val="79C04EFE"/>
    <w:rsid w:val="7A353D0B"/>
    <w:rsid w:val="7B3529C9"/>
    <w:rsid w:val="7BBB39F8"/>
    <w:rsid w:val="7D3A5E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Body Text"/>
    <w:basedOn w:val="1"/>
    <w:qFormat/>
    <w:uiPriority w:val="0"/>
    <w:pPr>
      <w:spacing w:after="120"/>
    </w:pPr>
  </w:style>
  <w:style w:type="paragraph" w:styleId="13">
    <w:name w:val="Balloon Text"/>
    <w:basedOn w:val="1"/>
    <w:link w:val="49"/>
    <w:semiHidden/>
    <w:unhideWhenUsed/>
    <w:qFormat/>
    <w:uiPriority w:val="99"/>
    <w:rPr>
      <w:sz w:val="18"/>
      <w:szCs w:val="18"/>
    </w:rPr>
  </w:style>
  <w:style w:type="paragraph" w:styleId="14">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unhideWhenUsed/>
    <w:qFormat/>
    <w:uiPriority w:val="0"/>
    <w:pPr>
      <w:widowControl/>
      <w:spacing w:before="100" w:beforeAutospacing="1" w:after="100" w:afterAutospacing="1"/>
    </w:pPr>
    <w:rPr>
      <w:rFonts w:ascii="宋体" w:hAnsi="宋体" w:cs="宋体"/>
      <w:color w:val="000000"/>
      <w:kern w:val="0"/>
      <w:sz w:val="24"/>
    </w:rPr>
  </w:style>
  <w:style w:type="paragraph" w:styleId="18">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9">
    <w:name w:val="Body Text First Indent"/>
    <w:basedOn w:val="12"/>
    <w:qFormat/>
    <w:uiPriority w:val="0"/>
    <w:pPr>
      <w:spacing w:after="0"/>
      <w:ind w:firstLine="20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Char"/>
    <w:basedOn w:val="21"/>
    <w:link w:val="3"/>
    <w:qFormat/>
    <w:uiPriority w:val="9"/>
    <w:rPr>
      <w:rFonts w:asciiTheme="majorHAnsi" w:hAnsiTheme="majorHAnsi" w:eastAsiaTheme="majorEastAsia"/>
      <w:b/>
      <w:bCs/>
      <w:kern w:val="32"/>
      <w:sz w:val="32"/>
      <w:szCs w:val="32"/>
    </w:rPr>
  </w:style>
  <w:style w:type="character" w:customStyle="1" w:styleId="25">
    <w:name w:val="标题 2 Char"/>
    <w:basedOn w:val="21"/>
    <w:link w:val="4"/>
    <w:semiHidden/>
    <w:qFormat/>
    <w:uiPriority w:val="9"/>
    <w:rPr>
      <w:rFonts w:asciiTheme="majorHAnsi" w:hAnsiTheme="majorHAnsi" w:eastAsiaTheme="majorEastAsia"/>
      <w:b/>
      <w:bCs/>
      <w:i/>
      <w:iCs/>
      <w:sz w:val="28"/>
      <w:szCs w:val="28"/>
    </w:rPr>
  </w:style>
  <w:style w:type="character" w:customStyle="1" w:styleId="26">
    <w:name w:val="标题 3 Char"/>
    <w:basedOn w:val="21"/>
    <w:link w:val="2"/>
    <w:semiHidden/>
    <w:qFormat/>
    <w:uiPriority w:val="9"/>
    <w:rPr>
      <w:rFonts w:asciiTheme="majorHAnsi" w:hAnsiTheme="majorHAnsi" w:eastAsiaTheme="majorEastAsia"/>
      <w:b/>
      <w:bCs/>
      <w:sz w:val="26"/>
      <w:szCs w:val="26"/>
    </w:rPr>
  </w:style>
  <w:style w:type="character" w:customStyle="1" w:styleId="27">
    <w:name w:val="标题 4 Char"/>
    <w:basedOn w:val="21"/>
    <w:link w:val="5"/>
    <w:semiHidden/>
    <w:qFormat/>
    <w:uiPriority w:val="9"/>
    <w:rPr>
      <w:b/>
      <w:bCs/>
      <w:sz w:val="28"/>
      <w:szCs w:val="28"/>
    </w:rPr>
  </w:style>
  <w:style w:type="character" w:customStyle="1" w:styleId="28">
    <w:name w:val="标题 5 Char"/>
    <w:basedOn w:val="21"/>
    <w:link w:val="6"/>
    <w:semiHidden/>
    <w:qFormat/>
    <w:uiPriority w:val="9"/>
    <w:rPr>
      <w:b/>
      <w:bCs/>
      <w:i/>
      <w:iCs/>
      <w:sz w:val="26"/>
      <w:szCs w:val="26"/>
    </w:rPr>
  </w:style>
  <w:style w:type="character" w:customStyle="1" w:styleId="29">
    <w:name w:val="标题 6 Char"/>
    <w:basedOn w:val="21"/>
    <w:link w:val="7"/>
    <w:semiHidden/>
    <w:qFormat/>
    <w:uiPriority w:val="9"/>
    <w:rPr>
      <w:b/>
      <w:bCs/>
    </w:rPr>
  </w:style>
  <w:style w:type="character" w:customStyle="1" w:styleId="30">
    <w:name w:val="标题 7 Char"/>
    <w:basedOn w:val="21"/>
    <w:link w:val="8"/>
    <w:semiHidden/>
    <w:qFormat/>
    <w:uiPriority w:val="9"/>
    <w:rPr>
      <w:sz w:val="24"/>
      <w:szCs w:val="24"/>
    </w:rPr>
  </w:style>
  <w:style w:type="character" w:customStyle="1" w:styleId="31">
    <w:name w:val="标题 8 Char"/>
    <w:basedOn w:val="21"/>
    <w:link w:val="9"/>
    <w:semiHidden/>
    <w:qFormat/>
    <w:uiPriority w:val="9"/>
    <w:rPr>
      <w:i/>
      <w:iCs/>
      <w:sz w:val="24"/>
      <w:szCs w:val="24"/>
    </w:rPr>
  </w:style>
  <w:style w:type="character" w:customStyle="1" w:styleId="32">
    <w:name w:val="标题 9 Char"/>
    <w:basedOn w:val="21"/>
    <w:link w:val="10"/>
    <w:semiHidden/>
    <w:qFormat/>
    <w:uiPriority w:val="9"/>
    <w:rPr>
      <w:rFonts w:asciiTheme="majorHAnsi" w:hAnsiTheme="majorHAnsi" w:eastAsiaTheme="majorEastAsia"/>
    </w:rPr>
  </w:style>
  <w:style w:type="character" w:customStyle="1" w:styleId="33">
    <w:name w:val="标题 Char"/>
    <w:basedOn w:val="21"/>
    <w:link w:val="18"/>
    <w:qFormat/>
    <w:uiPriority w:val="10"/>
    <w:rPr>
      <w:rFonts w:asciiTheme="majorHAnsi" w:hAnsiTheme="majorHAnsi" w:eastAsiaTheme="majorEastAsia"/>
      <w:b/>
      <w:bCs/>
      <w:kern w:val="28"/>
      <w:sz w:val="32"/>
      <w:szCs w:val="32"/>
    </w:rPr>
  </w:style>
  <w:style w:type="character" w:customStyle="1" w:styleId="34">
    <w:name w:val="副标题 Char"/>
    <w:basedOn w:val="21"/>
    <w:link w:val="16"/>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Char"/>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Char"/>
    <w:basedOn w:val="21"/>
    <w:link w:val="39"/>
    <w:qFormat/>
    <w:uiPriority w:val="30"/>
    <w:rPr>
      <w:b/>
      <w:i/>
      <w:sz w:val="24"/>
    </w:rPr>
  </w:style>
  <w:style w:type="character" w:customStyle="1" w:styleId="41">
    <w:name w:val="不明显强调1"/>
    <w:qFormat/>
    <w:uiPriority w:val="19"/>
    <w:rPr>
      <w:i/>
      <w:color w:val="585858" w:themeColor="text1" w:themeTint="A6"/>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Char"/>
    <w:basedOn w:val="21"/>
    <w:link w:val="15"/>
    <w:qFormat/>
    <w:uiPriority w:val="99"/>
    <w:rPr>
      <w:rFonts w:ascii="Calibri" w:hAnsi="Calibri" w:eastAsia="宋体"/>
      <w:kern w:val="2"/>
      <w:sz w:val="18"/>
      <w:szCs w:val="18"/>
    </w:rPr>
  </w:style>
  <w:style w:type="character" w:customStyle="1" w:styleId="48">
    <w:name w:val="页脚 Char"/>
    <w:basedOn w:val="21"/>
    <w:link w:val="14"/>
    <w:qFormat/>
    <w:uiPriority w:val="99"/>
    <w:rPr>
      <w:rFonts w:ascii="Calibri" w:hAnsi="Calibri" w:eastAsia="宋体"/>
      <w:kern w:val="2"/>
      <w:sz w:val="18"/>
      <w:szCs w:val="18"/>
    </w:rPr>
  </w:style>
  <w:style w:type="character" w:customStyle="1" w:styleId="49">
    <w:name w:val="批注框文本 Char"/>
    <w:basedOn w:val="21"/>
    <w:link w:val="13"/>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 w:type="paragraph" w:customStyle="1" w:styleId="52">
    <w:name w:val="闻政正文"/>
    <w:basedOn w:val="1"/>
    <w:qFormat/>
    <w:uiPriority w:val="99"/>
    <w:pPr>
      <w:spacing w:line="500" w:lineRule="exact"/>
      <w:ind w:firstLine="560" w:firstLineChars="200"/>
    </w:pPr>
    <w:rPr>
      <w:rFonts w:eastAsia="仿宋_GB2312"/>
      <w:kern w:val="0"/>
      <w:sz w:val="28"/>
      <w:szCs w:val="20"/>
    </w:rPr>
  </w:style>
  <w:style w:type="paragraph" w:customStyle="1" w:styleId="53">
    <w:name w:val="闻政-正文段落文字"/>
    <w:basedOn w:val="1"/>
    <w:qFormat/>
    <w:uiPriority w:val="3"/>
    <w:pPr>
      <w:spacing w:line="500" w:lineRule="exact"/>
      <w:ind w:firstLine="200"/>
    </w:pPr>
    <w:rPr>
      <w:kern w:val="0"/>
      <w:szCs w:val="28"/>
    </w:rPr>
  </w:style>
  <w:style w:type="paragraph" w:customStyle="1" w:styleId="54">
    <w:name w:val="WPSOffice手动目录 1"/>
    <w:qFormat/>
    <w:uiPriority w:val="0"/>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1466</Words>
  <Characters>8357</Characters>
  <Lines>69</Lines>
  <Paragraphs>19</Paragraphs>
  <TotalTime>1</TotalTime>
  <ScaleCrop>false</ScaleCrop>
  <LinksUpToDate>false</LinksUpToDate>
  <CharactersWithSpaces>9804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2021-06-07T02:28:00Z</cp:lastPrinted>
  <dcterms:modified xsi:type="dcterms:W3CDTF">2025-09-09T05:43:37Z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CB958D6815B34FC5B04BA004C7E4C80C</vt:lpwstr>
  </property>
</Properties>
</file>