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方正小标宋简体" w:hAnsi="方正小标宋简体" w:eastAsia="方正小标宋简体" w:cs="方正小标宋简体"/>
          <w:b/>
          <w:kern w:val="0"/>
          <w:sz w:val="44"/>
          <w:szCs w:val="44"/>
        </w:rPr>
      </w:pPr>
    </w:p>
    <w:p>
      <w:pPr>
        <w:spacing w:line="540" w:lineRule="exact"/>
        <w:jc w:val="center"/>
        <w:rPr>
          <w:rFonts w:hint="eastAsia" w:ascii="方正小标宋简体" w:hAnsi="方正小标宋简体" w:eastAsia="方正小标宋简体" w:cs="方正小标宋简体"/>
          <w:kern w:val="0"/>
          <w:sz w:val="44"/>
          <w:szCs w:val="44"/>
        </w:rPr>
      </w:pPr>
      <w:r>
        <w:rPr>
          <w:rFonts w:hint="eastAsia" w:ascii="方正小标宋简体" w:hAnsi="方正小标宋简体" w:eastAsia="方正小标宋简体" w:cs="方正小标宋简体"/>
          <w:kern w:val="0"/>
          <w:sz w:val="44"/>
          <w:szCs w:val="44"/>
        </w:rPr>
        <w:t>孤儿生活补助资金项目支出</w:t>
      </w:r>
    </w:p>
    <w:p>
      <w:pPr>
        <w:spacing w:line="540" w:lineRule="exact"/>
        <w:jc w:val="center"/>
        <w:rPr>
          <w:rFonts w:hint="eastAsia" w:ascii="方正小标宋简体" w:hAnsi="方正小标宋简体" w:eastAsia="方正小标宋简体" w:cs="方正小标宋简体"/>
          <w:kern w:val="0"/>
          <w:sz w:val="44"/>
          <w:szCs w:val="44"/>
        </w:rPr>
      </w:pPr>
      <w:r>
        <w:rPr>
          <w:rFonts w:hint="eastAsia" w:ascii="方正小标宋简体" w:hAnsi="方正小标宋简体" w:eastAsia="方正小标宋简体" w:cs="方正小标宋简体"/>
          <w:kern w:val="0"/>
          <w:sz w:val="44"/>
          <w:szCs w:val="44"/>
        </w:rPr>
        <w:t>绩效评价报告</w:t>
      </w: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rPr>
        <w:t>（ 2020年度）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int="eastAsia" w:ascii="仿宋_GB2312" w:hAnsi="仿宋_GB2312" w:eastAsia="仿宋_GB2312" w:cs="仿宋_GB2312"/>
          <w:kern w:val="0"/>
          <w:sz w:val="30"/>
          <w:szCs w:val="30"/>
        </w:rPr>
      </w:pPr>
    </w:p>
    <w:p>
      <w:pPr>
        <w:spacing w:line="700" w:lineRule="exact"/>
        <w:ind w:firstLine="1800" w:firstLineChars="500"/>
        <w:jc w:val="both"/>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rPr>
        <w:t>项目名称：孤儿生活补助项目</w:t>
      </w:r>
    </w:p>
    <w:p>
      <w:pPr>
        <w:spacing w:line="700" w:lineRule="exact"/>
        <w:ind w:firstLine="720" w:firstLineChars="200"/>
        <w:jc w:val="center"/>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lang w:val="en-US" w:eastAsia="zh-CN"/>
        </w:rPr>
        <w:t xml:space="preserve">    </w:t>
      </w:r>
      <w:r>
        <w:rPr>
          <w:rFonts w:hint="eastAsia" w:ascii="仿宋_GB2312" w:hAnsi="仿宋_GB2312" w:eastAsia="仿宋_GB2312" w:cs="仿宋_GB2312"/>
          <w:kern w:val="0"/>
          <w:sz w:val="36"/>
          <w:szCs w:val="36"/>
        </w:rPr>
        <w:t>实施单位（公章）：塔城地区儿童福利院</w:t>
      </w:r>
    </w:p>
    <w:p>
      <w:pPr>
        <w:spacing w:line="700" w:lineRule="exact"/>
        <w:ind w:firstLine="720" w:firstLineChars="200"/>
        <w:jc w:val="center"/>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lang w:val="en-US" w:eastAsia="zh-CN"/>
        </w:rPr>
        <w:t xml:space="preserve">    </w:t>
      </w:r>
      <w:r>
        <w:rPr>
          <w:rFonts w:hint="eastAsia" w:ascii="仿宋_GB2312" w:hAnsi="仿宋_GB2312" w:eastAsia="仿宋_GB2312" w:cs="仿宋_GB2312"/>
          <w:kern w:val="0"/>
          <w:sz w:val="36"/>
          <w:szCs w:val="36"/>
        </w:rPr>
        <w:t>主管部门（公章）：塔城地区儿童福利院</w:t>
      </w:r>
    </w:p>
    <w:p>
      <w:pPr>
        <w:spacing w:line="700" w:lineRule="exact"/>
        <w:ind w:firstLine="1800" w:firstLineChars="500"/>
        <w:jc w:val="both"/>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rPr>
        <w:t>项目负责人（签章）：李莉</w:t>
      </w:r>
    </w:p>
    <w:p>
      <w:pPr>
        <w:spacing w:line="700" w:lineRule="exact"/>
        <w:ind w:firstLine="1800" w:firstLineChars="500"/>
        <w:jc w:val="both"/>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rPr>
        <w:t>填报时间：2021年04月06日</w:t>
      </w:r>
    </w:p>
    <w:p>
      <w:pPr>
        <w:spacing w:line="540" w:lineRule="exact"/>
        <w:jc w:val="center"/>
        <w:rPr>
          <w:rFonts w:hAnsi="宋体" w:eastAsia="仿宋_GB2312" w:cs="宋体"/>
          <w:kern w:val="0"/>
          <w:sz w:val="30"/>
          <w:szCs w:val="30"/>
        </w:rPr>
      </w:pPr>
    </w:p>
    <w:p>
      <w:pPr>
        <w:spacing w:line="540" w:lineRule="exact"/>
        <w:rPr>
          <w:rStyle w:val="20"/>
          <w:rFonts w:ascii="黑体" w:hAnsi="黑体" w:eastAsia="黑体"/>
          <w:b w:val="0"/>
          <w:spacing w:val="-4"/>
          <w:sz w:val="32"/>
          <w:szCs w:val="32"/>
        </w:rPr>
      </w:pPr>
    </w:p>
    <w:p>
      <w:pPr>
        <w:spacing w:line="540" w:lineRule="exact"/>
        <w:ind w:firstLine="640"/>
        <w:rPr>
          <w:rStyle w:val="20"/>
          <w:rFonts w:ascii="黑体" w:hAnsi="黑体" w:eastAsia="黑体"/>
          <w:b w:val="0"/>
          <w:spacing w:val="-4"/>
          <w:sz w:val="32"/>
          <w:szCs w:val="32"/>
        </w:rPr>
      </w:pPr>
    </w:p>
    <w:p>
      <w:pPr>
        <w:spacing w:line="540" w:lineRule="exact"/>
        <w:rPr>
          <w:rStyle w:val="20"/>
          <w:rFonts w:ascii="黑体" w:hAnsi="黑体" w:eastAsia="黑体"/>
          <w:b w:val="0"/>
          <w:spacing w:val="-4"/>
          <w:sz w:val="32"/>
          <w:szCs w:val="32"/>
        </w:rPr>
      </w:pPr>
    </w:p>
    <w:p>
      <w:pPr>
        <w:pageBreakBefore w:val="0"/>
        <w:kinsoku/>
        <w:wordWrap/>
        <w:overflowPunct/>
        <w:topLinePunct w:val="0"/>
        <w:autoSpaceDE/>
        <w:autoSpaceDN/>
        <w:bidi w:val="0"/>
        <w:adjustRightInd/>
        <w:snapToGrid/>
        <w:spacing w:line="560" w:lineRule="exact"/>
        <w:textAlignment w:val="auto"/>
        <w:rPr>
          <w:rFonts w:ascii="黑体" w:hAnsi="黑体" w:eastAsia="黑体" w:cs="黑体"/>
          <w:b/>
          <w:bCs w:val="0"/>
          <w:sz w:val="32"/>
          <w:szCs w:val="32"/>
        </w:rPr>
      </w:pPr>
      <w:r>
        <w:rPr>
          <w:rFonts w:hint="eastAsia" w:ascii="黑体" w:hAnsi="黑体" w:eastAsia="黑体" w:cs="黑体"/>
          <w:b/>
          <w:bCs w:val="0"/>
          <w:sz w:val="32"/>
          <w:szCs w:val="32"/>
        </w:rPr>
        <w:t>一、基本情况</w:t>
      </w:r>
    </w:p>
    <w:p>
      <w:pPr>
        <w:pageBreakBefore w:val="0"/>
        <w:kinsoku/>
        <w:wordWrap/>
        <w:overflowPunct/>
        <w:topLinePunct w:val="0"/>
        <w:autoSpaceDE/>
        <w:autoSpaceDN/>
        <w:bidi w:val="0"/>
        <w:adjustRightInd/>
        <w:snapToGrid/>
        <w:spacing w:line="560" w:lineRule="exact"/>
        <w:ind w:firstLine="641"/>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（一）项目概况</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1、项目背景</w:t>
      </w:r>
    </w:p>
    <w:p>
      <w:pPr>
        <w:pageBreakBefore w:val="0"/>
        <w:kinsoku/>
        <w:wordWrap/>
        <w:overflowPunct/>
        <w:topLinePunct w:val="0"/>
        <w:autoSpaceDE/>
        <w:autoSpaceDN/>
        <w:bidi w:val="0"/>
        <w:adjustRightInd/>
        <w:snapToGrid/>
        <w:spacing w:line="560" w:lineRule="exact"/>
        <w:ind w:firstLine="640" w:firstLineChars="200"/>
        <w:textAlignment w:val="auto"/>
      </w:pPr>
      <w:r>
        <w:rPr>
          <w:rFonts w:hint="eastAsia" w:ascii="仿宋_GB2312" w:hAnsi="仿宋_GB2312" w:eastAsia="仿宋_GB2312" w:cs="仿宋_GB2312"/>
          <w:sz w:val="32"/>
          <w:szCs w:val="32"/>
        </w:rPr>
        <w:t>助县市、乡镇两级儿童福利院（困境儿童保护中心）新建、改扩建或维修等设施建设，加强必要的设施设备配置；提升儿童福利机构内儿童养治教康项目，试点农村留守儿童和困境儿童开展关爱保护、保障工作。</w:t>
      </w:r>
    </w:p>
    <w:p>
      <w:pPr>
        <w:pageBreakBefore w:val="0"/>
        <w:numPr>
          <w:ilvl w:val="0"/>
          <w:numId w:val="1"/>
        </w:numPr>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项目主要内容及实施情况</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项目主要内容：塔城地区儿童福利院儿童福利支出主要用于儿童院孤残儿童的最低生活保障，塔城地区儿童福利院目前孤残儿童最低生活标准</w:t>
      </w:r>
      <w:r>
        <w:rPr>
          <w:rFonts w:ascii="仿宋_GB2312" w:hAnsi="仿宋_GB2312" w:eastAsia="仿宋_GB2312" w:cs="仿宋_GB2312"/>
          <w:sz w:val="32"/>
          <w:szCs w:val="32"/>
        </w:rPr>
        <w:t>1100</w:t>
      </w:r>
      <w:r>
        <w:rPr>
          <w:rFonts w:hint="eastAsia" w:ascii="仿宋_GB2312" w:hAnsi="仿宋_GB2312" w:eastAsia="仿宋_GB2312" w:cs="仿宋_GB2312"/>
          <w:sz w:val="32"/>
          <w:szCs w:val="32"/>
        </w:rPr>
        <w:t>元/月。塔城地区儿童福利院主管单位是塔城地区民政局，儿童院为综合服务、教育、医疗、康复、和寄养。为全地区</w:t>
      </w:r>
      <w:r>
        <w:rPr>
          <w:rFonts w:ascii="仿宋_GB2312" w:hAnsi="仿宋_GB2312" w:eastAsia="仿宋_GB2312" w:cs="仿宋_GB2312"/>
          <w:sz w:val="32"/>
          <w:szCs w:val="32"/>
        </w:rPr>
        <w:t>42</w:t>
      </w:r>
      <w:r>
        <w:rPr>
          <w:rFonts w:hint="eastAsia" w:ascii="仿宋_GB2312" w:hAnsi="仿宋_GB2312" w:eastAsia="仿宋_GB2312" w:cs="仿宋_GB2312"/>
          <w:sz w:val="32"/>
          <w:szCs w:val="32"/>
        </w:rPr>
        <w:t>个孤残儿童服务。</w:t>
      </w:r>
    </w:p>
    <w:p>
      <w:pPr>
        <w:pageBreakBefore w:val="0"/>
        <w:kinsoku/>
        <w:wordWrap/>
        <w:overflowPunct/>
        <w:topLinePunct w:val="0"/>
        <w:autoSpaceDE/>
        <w:autoSpaceDN/>
        <w:bidi w:val="0"/>
        <w:adjustRightInd/>
        <w:snapToGrid/>
        <w:spacing w:line="560" w:lineRule="exact"/>
        <w:ind w:firstLine="640" w:firstLineChars="200"/>
        <w:textAlignment w:val="auto"/>
      </w:pPr>
      <w:r>
        <w:rPr>
          <w:rFonts w:hint="eastAsia" w:ascii="仿宋_GB2312" w:hAnsi="仿宋_GB2312" w:eastAsia="仿宋_GB2312" w:cs="仿宋_GB2312"/>
          <w:sz w:val="32"/>
          <w:szCs w:val="32"/>
        </w:rPr>
        <w:t>项目实施情况：项目目前已经完成实际设立的目标，项目在实施过程中严格按照目标设立的各阶段任务进行开展工作，在前期立项过程中严格把质量关，建立安全防护机制，保证项目实施各阶段安全顺利进行。</w:t>
      </w:r>
    </w:p>
    <w:p>
      <w:pPr>
        <w:pageBreakBefore w:val="0"/>
        <w:kinsoku/>
        <w:wordWrap/>
        <w:overflowPunct/>
        <w:topLinePunct w:val="0"/>
        <w:autoSpaceDE/>
        <w:autoSpaceDN/>
        <w:bidi w:val="0"/>
        <w:adjustRightInd/>
        <w:snapToGrid/>
        <w:spacing w:line="560" w:lineRule="exact"/>
        <w:ind w:firstLine="579" w:firstLineChars="18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本项目总投资</w:t>
      </w:r>
      <w:r>
        <w:rPr>
          <w:rFonts w:ascii="仿宋_GB2312" w:hAnsi="仿宋_GB2312" w:eastAsia="仿宋_GB2312" w:cs="仿宋_GB2312"/>
          <w:sz w:val="32"/>
          <w:szCs w:val="32"/>
        </w:rPr>
        <w:t>24.696</w:t>
      </w:r>
      <w:r>
        <w:rPr>
          <w:rFonts w:hint="eastAsia" w:ascii="仿宋_GB2312" w:hAnsi="仿宋_GB2312" w:eastAsia="仿宋_GB2312" w:cs="仿宋_GB2312"/>
          <w:sz w:val="32"/>
          <w:szCs w:val="32"/>
        </w:rPr>
        <w:t>万元，其中：财政本级资金</w:t>
      </w:r>
      <w:r>
        <w:rPr>
          <w:rFonts w:ascii="仿宋_GB2312" w:hAnsi="仿宋_GB2312" w:eastAsia="仿宋_GB2312" w:cs="仿宋_GB2312"/>
          <w:sz w:val="32"/>
          <w:szCs w:val="32"/>
        </w:rPr>
        <w:t>24.696</w:t>
      </w:r>
      <w:r>
        <w:rPr>
          <w:rFonts w:hint="eastAsia" w:ascii="仿宋_GB2312" w:hAnsi="仿宋_GB2312" w:eastAsia="仿宋_GB2312" w:cs="仿宋_GB2312"/>
          <w:sz w:val="32"/>
          <w:szCs w:val="32"/>
        </w:rPr>
        <w:t>万元。项目实际支出</w:t>
      </w:r>
      <w:r>
        <w:rPr>
          <w:rFonts w:ascii="仿宋_GB2312" w:hAnsi="仿宋_GB2312" w:eastAsia="仿宋_GB2312" w:cs="仿宋_GB2312"/>
          <w:sz w:val="32"/>
          <w:szCs w:val="32"/>
        </w:rPr>
        <w:t>24.66</w:t>
      </w:r>
      <w:r>
        <w:rPr>
          <w:rFonts w:hint="eastAsia" w:ascii="仿宋_GB2312" w:hAnsi="仿宋_GB2312" w:eastAsia="仿宋_GB2312" w:cs="仿宋_GB2312"/>
          <w:sz w:val="32"/>
          <w:szCs w:val="32"/>
        </w:rPr>
        <w:t>万元，支出率为</w:t>
      </w:r>
      <w:r>
        <w:rPr>
          <w:rFonts w:ascii="仿宋_GB2312" w:hAnsi="仿宋_GB2312" w:eastAsia="仿宋_GB2312" w:cs="仿宋_GB2312"/>
          <w:sz w:val="32"/>
          <w:szCs w:val="32"/>
        </w:rPr>
        <w:t>99.85</w:t>
      </w:r>
      <w:r>
        <w:rPr>
          <w:rFonts w:hint="eastAsia" w:ascii="仿宋_GB2312" w:hAnsi="仿宋_GB2312" w:eastAsia="仿宋_GB2312" w:cs="仿宋_GB2312"/>
          <w:sz w:val="32"/>
          <w:szCs w:val="32"/>
        </w:rPr>
        <w:t>%。</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3、资金投入和使用情况</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sz w:val="20"/>
          <w:szCs w:val="20"/>
        </w:rPr>
      </w:pPr>
      <w:r>
        <w:rPr>
          <w:rFonts w:hint="eastAsia" w:ascii="仿宋_GB2312" w:hAnsi="仿宋_GB2312" w:eastAsia="仿宋_GB2312" w:cs="仿宋_GB2312"/>
          <w:sz w:val="32"/>
          <w:szCs w:val="32"/>
        </w:rPr>
        <w:t>（1）资金安排</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项目总投资</w:t>
      </w:r>
      <w:r>
        <w:rPr>
          <w:rFonts w:ascii="仿宋_GB2312" w:hAnsi="仿宋_GB2312" w:eastAsia="仿宋_GB2312" w:cs="仿宋_GB2312"/>
          <w:sz w:val="32"/>
          <w:szCs w:val="32"/>
        </w:rPr>
        <w:t>24.696</w:t>
      </w:r>
      <w:r>
        <w:rPr>
          <w:rFonts w:hint="eastAsia" w:ascii="仿宋_GB2312" w:hAnsi="仿宋_GB2312" w:eastAsia="仿宋_GB2312" w:cs="仿宋_GB2312"/>
          <w:sz w:val="32"/>
          <w:szCs w:val="32"/>
        </w:rPr>
        <w:t>万元，用于集中供养孤儿日常生活开销，其中包括每月按时发放大中专学生的生活费1100元，在院儿童的饮食起居：支付米面粮油、蔬菜、牛羊肉、教辅用书费、学费书本费、衣服鞋子等费用。</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（2）预算资金来源及使用情况</w:t>
      </w:r>
      <w:bookmarkStart w:id="0" w:name="page10"/>
      <w:bookmarkEnd w:id="0"/>
    </w:p>
    <w:p>
      <w:pPr>
        <w:pStyle w:val="2"/>
        <w:pageBreakBefore w:val="0"/>
        <w:kinsoku/>
        <w:wordWrap/>
        <w:overflowPunct/>
        <w:topLinePunct w:val="0"/>
        <w:autoSpaceDE/>
        <w:autoSpaceDN/>
        <w:bidi w:val="0"/>
        <w:adjustRightInd/>
        <w:snapToGrid/>
        <w:spacing w:before="0" w:after="0" w:line="560" w:lineRule="exact"/>
        <w:ind w:firstLine="640" w:firstLineChars="200"/>
        <w:jc w:val="both"/>
        <w:textAlignment w:val="auto"/>
        <w:rPr>
          <w:rFonts w:ascii="仿宋_GB2312" w:hAnsi="仿宋_GB2312" w:eastAsia="仿宋_GB2312" w:cs="仿宋_GB2312"/>
          <w:b w:val="0"/>
          <w:bCs w:val="0"/>
          <w:kern w:val="2"/>
        </w:rPr>
      </w:pPr>
      <w:r>
        <w:rPr>
          <w:rFonts w:hint="eastAsia" w:ascii="仿宋_GB2312" w:hAnsi="仿宋_GB2312" w:eastAsia="仿宋_GB2312" w:cs="仿宋_GB2312"/>
          <w:b w:val="0"/>
          <w:bCs w:val="0"/>
          <w:kern w:val="2"/>
        </w:rPr>
        <w:t>项目资金到位</w:t>
      </w:r>
      <w:r>
        <w:rPr>
          <w:rFonts w:ascii="仿宋_GB2312" w:hAnsi="仿宋_GB2312" w:eastAsia="仿宋_GB2312" w:cs="仿宋_GB2312"/>
          <w:b w:val="0"/>
          <w:bCs w:val="0"/>
          <w:kern w:val="2"/>
        </w:rPr>
        <w:t>24.696</w:t>
      </w:r>
      <w:r>
        <w:rPr>
          <w:rFonts w:hint="eastAsia" w:ascii="仿宋_GB2312" w:hAnsi="仿宋_GB2312" w:eastAsia="仿宋_GB2312" w:cs="仿宋_GB2312"/>
          <w:b w:val="0"/>
          <w:bCs w:val="0"/>
          <w:kern w:val="2"/>
        </w:rPr>
        <w:t>万元，用于支付项目实施进程中的各项费用。</w:t>
      </w:r>
    </w:p>
    <w:p>
      <w:pPr>
        <w:pageBreakBefore w:val="0"/>
        <w:kinsoku/>
        <w:wordWrap/>
        <w:overflowPunct/>
        <w:topLinePunct w:val="0"/>
        <w:autoSpaceDE/>
        <w:autoSpaceDN/>
        <w:bidi w:val="0"/>
        <w:adjustRightInd/>
        <w:snapToGrid/>
        <w:spacing w:line="560" w:lineRule="exact"/>
        <w:ind w:firstLine="641"/>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（二）项目绩效目标</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1、总体目标</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完成</w:t>
      </w:r>
      <w:r>
        <w:rPr>
          <w:rFonts w:hint="eastAsia" w:ascii="仿宋_GB2312" w:hAnsi="仿宋_GB2312" w:eastAsia="仿宋_GB2312" w:cs="仿宋_GB2312"/>
          <w:sz w:val="32"/>
          <w:szCs w:val="32"/>
        </w:rPr>
        <w:t>全地区</w:t>
      </w:r>
      <w:r>
        <w:rPr>
          <w:rFonts w:ascii="仿宋_GB2312" w:hAnsi="仿宋_GB2312" w:eastAsia="仿宋_GB2312" w:cs="仿宋_GB2312"/>
          <w:sz w:val="32"/>
          <w:szCs w:val="32"/>
        </w:rPr>
        <w:t>42</w:t>
      </w:r>
      <w:r>
        <w:rPr>
          <w:rFonts w:hint="eastAsia" w:ascii="仿宋_GB2312" w:hAnsi="仿宋_GB2312" w:eastAsia="仿宋_GB2312" w:cs="仿宋_GB2312"/>
          <w:sz w:val="32"/>
          <w:szCs w:val="32"/>
        </w:rPr>
        <w:t>个孤残儿童服务。</w:t>
      </w:r>
      <w:r>
        <w:rPr>
          <w:rFonts w:hint="eastAsia" w:ascii="仿宋_GB2312" w:hAnsi="仿宋_GB2312" w:eastAsia="仿宋_GB2312" w:cs="仿宋_GB2312"/>
          <w:sz w:val="32"/>
          <w:szCs w:val="32"/>
          <w:lang w:val="en-US" w:eastAsia="zh-CN"/>
        </w:rPr>
        <w:t>按照</w:t>
      </w:r>
      <w:r>
        <w:rPr>
          <w:rFonts w:hint="eastAsia" w:ascii="仿宋_GB2312" w:hAnsi="仿宋_GB2312" w:eastAsia="仿宋_GB2312" w:cs="仿宋_GB2312"/>
          <w:sz w:val="32"/>
          <w:szCs w:val="32"/>
        </w:rPr>
        <w:t>孤残儿童最低生活标准</w:t>
      </w:r>
      <w:r>
        <w:rPr>
          <w:rFonts w:ascii="仿宋_GB2312" w:hAnsi="仿宋_GB2312" w:eastAsia="仿宋_GB2312" w:cs="仿宋_GB2312"/>
          <w:sz w:val="32"/>
          <w:szCs w:val="32"/>
        </w:rPr>
        <w:t>1100</w:t>
      </w:r>
      <w:r>
        <w:rPr>
          <w:rFonts w:hint="eastAsia" w:ascii="仿宋_GB2312" w:hAnsi="仿宋_GB2312" w:eastAsia="仿宋_GB2312" w:cs="仿宋_GB2312"/>
          <w:sz w:val="32"/>
          <w:szCs w:val="32"/>
        </w:rPr>
        <w:t>元/月</w:t>
      </w:r>
      <w:r>
        <w:rPr>
          <w:rFonts w:hint="eastAsia" w:ascii="仿宋_GB2312" w:hAnsi="仿宋_GB2312" w:eastAsia="仿宋_GB2312" w:cs="仿宋_GB2312"/>
          <w:sz w:val="32"/>
          <w:szCs w:val="32"/>
          <w:lang w:val="en-US" w:eastAsia="zh-CN"/>
        </w:rPr>
        <w:t>发放生活补助</w:t>
      </w:r>
      <w:r>
        <w:rPr>
          <w:rFonts w:hint="eastAsia" w:ascii="仿宋_GB2312" w:hAnsi="仿宋_GB2312" w:eastAsia="仿宋_GB2312" w:cs="仿宋_GB2312"/>
          <w:sz w:val="32"/>
          <w:szCs w:val="32"/>
        </w:rPr>
        <w:t>。</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2、阶段性目标</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（1）前期准备：</w:t>
      </w:r>
      <w:bookmarkStart w:id="2" w:name="_GoBack"/>
      <w:bookmarkEnd w:id="2"/>
      <w:r>
        <w:rPr>
          <w:rFonts w:hint="eastAsia" w:ascii="仿宋_GB2312" w:hAnsi="仿宋_GB2312" w:eastAsia="仿宋_GB2312" w:cs="仿宋_GB2312"/>
          <w:sz w:val="32"/>
          <w:szCs w:val="32"/>
        </w:rPr>
        <w:t>通过制定项目实施方案，经项目负责人审核通过后，有序开展后续工程。</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（2）组织实施：资金一到位，立即根据项目要求实施项目。项目责任人按照《关于提高全区困难群众救助补助标准的通知》要求逐一进行项目部署安排，提高项目质量及效率性。</w:t>
      </w:r>
    </w:p>
    <w:p>
      <w:pPr>
        <w:pageBreakBefore w:val="0"/>
        <w:kinsoku/>
        <w:wordWrap/>
        <w:overflowPunct/>
        <w:topLinePunct w:val="0"/>
        <w:autoSpaceDE/>
        <w:autoSpaceDN/>
        <w:bidi w:val="0"/>
        <w:adjustRightInd/>
        <w:snapToGrid/>
        <w:spacing w:line="560" w:lineRule="exact"/>
        <w:ind w:firstLine="641"/>
        <w:textAlignment w:val="auto"/>
        <w:rPr>
          <w:rFonts w:ascii="黑体" w:hAnsi="黑体" w:eastAsia="黑体"/>
          <w:b/>
          <w:bCs/>
          <w:sz w:val="32"/>
          <w:szCs w:val="32"/>
        </w:rPr>
      </w:pPr>
      <w:r>
        <w:rPr>
          <w:rFonts w:hint="eastAsia" w:ascii="黑体" w:hAnsi="黑体" w:eastAsia="黑体"/>
          <w:b/>
          <w:bCs/>
          <w:sz w:val="32"/>
          <w:szCs w:val="32"/>
        </w:rPr>
        <w:t>二、绩效评价工作开展情况</w:t>
      </w:r>
    </w:p>
    <w:p>
      <w:pPr>
        <w:pageBreakBefore w:val="0"/>
        <w:kinsoku/>
        <w:wordWrap/>
        <w:overflowPunct/>
        <w:topLinePunct w:val="0"/>
        <w:autoSpaceDE/>
        <w:autoSpaceDN/>
        <w:bidi w:val="0"/>
        <w:adjustRightInd/>
        <w:snapToGrid/>
        <w:spacing w:line="560" w:lineRule="exact"/>
        <w:ind w:firstLine="641"/>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（一）绩效评价目的、对象和范围</w:t>
      </w:r>
    </w:p>
    <w:p>
      <w:pPr>
        <w:pStyle w:val="2"/>
        <w:pageBreakBefore w:val="0"/>
        <w:widowControl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1、绩效评价的目的</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pageBreakBefore w:val="0"/>
        <w:numPr>
          <w:ilvl w:val="0"/>
          <w:numId w:val="2"/>
        </w:numPr>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项目在实施前向项目负责人提供财政支出绩效方面的资金管理信息，促进项目支出严格按照资金管理规定进行。</w:t>
      </w:r>
    </w:p>
    <w:p>
      <w:pPr>
        <w:pageBreakBefore w:val="0"/>
        <w:kinsoku/>
        <w:wordWrap/>
        <w:overflowPunct/>
        <w:topLinePunct w:val="0"/>
        <w:autoSpaceDE/>
        <w:autoSpaceDN/>
        <w:bidi w:val="0"/>
        <w:adjustRightInd/>
        <w:snapToGrid/>
        <w:spacing w:line="560" w:lineRule="exact"/>
        <w:ind w:left="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（2）项目绩效管理财政支出运行提供及时、有效的信息。</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综合来看，通过开展有效的财政支出绩效评价管理，达到改进预算管理、控制节约成本，提高预算资金使用效益的目的。</w:t>
      </w:r>
    </w:p>
    <w:p>
      <w:pPr>
        <w:pStyle w:val="2"/>
        <w:pageBreakBefore w:val="0"/>
        <w:widowControl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2、绩效评价的对象</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sz w:val="32"/>
          <w:szCs w:val="32"/>
        </w:rPr>
      </w:pPr>
      <w:r>
        <w:rPr>
          <w:rFonts w:hint="eastAsia" w:hAnsi="宋体" w:eastAsia="仿宋_GB2312" w:cs="宋体"/>
          <w:kern w:val="0"/>
          <w:sz w:val="32"/>
          <w:szCs w:val="32"/>
          <w:lang w:val="en-US" w:eastAsia="zh-CN"/>
        </w:rPr>
        <w:t>评价对象为</w:t>
      </w:r>
      <w:r>
        <w:rPr>
          <w:rFonts w:hint="eastAsia" w:hAnsi="宋体" w:eastAsia="仿宋_GB2312" w:cs="宋体"/>
          <w:kern w:val="0"/>
          <w:sz w:val="32"/>
          <w:szCs w:val="32"/>
        </w:rPr>
        <w:t>孤儿生活补助项目。</w:t>
      </w:r>
    </w:p>
    <w:p>
      <w:pPr>
        <w:pStyle w:val="2"/>
        <w:pageBreakBefore w:val="0"/>
        <w:widowControl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3、绩效评价的范围</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本次绩效评价范围从决策、过程、产出、效益4个一级指标评价。其中：决策下项目立项、绩效目标、资金投入3个二级指标；过程下设资金管理和组织实施2个二级指标。产出下设产出数量、产出质量、产出时效、产出成本4个2级指标，效益下设项目效益</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个二级指标。</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个二级指标下设到</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个三级指标综合评价。</w:t>
      </w:r>
    </w:p>
    <w:p>
      <w:pPr>
        <w:pageBreakBefore w:val="0"/>
        <w:kinsoku/>
        <w:wordWrap/>
        <w:overflowPunct/>
        <w:topLinePunct w:val="0"/>
        <w:autoSpaceDE/>
        <w:autoSpaceDN/>
        <w:bidi w:val="0"/>
        <w:adjustRightInd/>
        <w:snapToGrid/>
        <w:spacing w:line="560" w:lineRule="exact"/>
        <w:ind w:firstLine="641"/>
        <w:textAlignment w:val="auto"/>
        <w:rPr>
          <w:rFonts w:ascii="仿宋_GB2312"/>
        </w:rPr>
      </w:pPr>
      <w:r>
        <w:rPr>
          <w:rFonts w:hint="eastAsia" w:ascii="楷体_GB2312" w:hAnsi="楷体_GB2312" w:eastAsia="楷体_GB2312" w:cs="楷体_GB2312"/>
          <w:b/>
          <w:bCs/>
          <w:sz w:val="32"/>
          <w:szCs w:val="32"/>
        </w:rPr>
        <w:t>（二）绩效评价原则、评价指标体系（详情见表1）、评价方法、评价标准。</w:t>
      </w:r>
    </w:p>
    <w:p>
      <w:pPr>
        <w:pStyle w:val="2"/>
        <w:pageBreakBefore w:val="0"/>
        <w:widowControl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1、绩效评价原则</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本次项目绩效评价遵循以下基本原则：</w:t>
      </w:r>
    </w:p>
    <w:p>
      <w:pPr>
        <w:pStyle w:val="2"/>
        <w:pageBreakBefore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hAnsi="仿宋_GB2312" w:eastAsia="仿宋_GB2312" w:cs="仿宋_GB2312"/>
          <w:b w:val="0"/>
          <w:bCs w:val="0"/>
        </w:rPr>
      </w:pPr>
      <w:r>
        <w:rPr>
          <w:rFonts w:hint="eastAsia" w:ascii="仿宋_GB2312" w:hAnsi="仿宋_GB2312" w:eastAsia="仿宋_GB2312" w:cs="仿宋_GB2312"/>
          <w:b w:val="0"/>
          <w:bCs w:val="0"/>
        </w:rPr>
        <w:t>（1）科学公正。绩效评价应当运用科学合理的方法，按照规范的程序，对项目绩效进行客观、公正的反映。</w:t>
      </w:r>
    </w:p>
    <w:p>
      <w:pPr>
        <w:pStyle w:val="2"/>
        <w:pageBreakBefore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hAnsi="仿宋_GB2312" w:eastAsia="仿宋_GB2312" w:cs="仿宋_GB2312"/>
          <w:b w:val="0"/>
          <w:bCs w:val="0"/>
        </w:rPr>
      </w:pPr>
      <w:r>
        <w:rPr>
          <w:rFonts w:hint="eastAsia" w:ascii="仿宋_GB2312" w:hAnsi="仿宋_GB2312" w:eastAsia="仿宋_GB2312" w:cs="仿宋_GB2312"/>
          <w:b w:val="0"/>
          <w:bCs w:val="0"/>
        </w:rPr>
        <w:t>（2）统筹兼顾。单位自评、部门评价和财政评价应职责明确，各有侧重，相互衔接。单位自评应由项目单位自主实施，即“谁支出、谁自评”。部门评价和财政评价应在单位自评的基础上开展。</w:t>
      </w:r>
    </w:p>
    <w:p>
      <w:pPr>
        <w:pStyle w:val="2"/>
        <w:pageBreakBefore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hAnsi="仿宋_GB2312" w:eastAsia="仿宋_GB2312" w:cs="仿宋_GB2312"/>
          <w:b w:val="0"/>
          <w:bCs w:val="0"/>
        </w:rPr>
      </w:pPr>
      <w:r>
        <w:rPr>
          <w:rFonts w:hint="eastAsia" w:ascii="仿宋_GB2312" w:hAnsi="仿宋_GB2312" w:eastAsia="仿宋_GB2312" w:cs="仿宋_GB2312"/>
          <w:b w:val="0"/>
          <w:bCs w:val="0"/>
        </w:rPr>
        <w:t>（3）激励约束。绩效评价结果应与预算安排、政策调整、改进管理实质性挂钩，体现奖优罚劣和激励相容导向，有效要安排、低效要压减、无效要问责。</w:t>
      </w:r>
    </w:p>
    <w:p>
      <w:pPr>
        <w:pStyle w:val="2"/>
        <w:pageBreakBefore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hAnsi="仿宋_GB2312" w:eastAsia="仿宋_GB2312" w:cs="仿宋_GB2312"/>
          <w:b w:val="0"/>
          <w:bCs w:val="0"/>
        </w:rPr>
      </w:pPr>
      <w:r>
        <w:rPr>
          <w:rFonts w:hint="eastAsia" w:ascii="仿宋_GB2312" w:hAnsi="仿宋_GB2312" w:eastAsia="仿宋_GB2312" w:cs="仿宋_GB2312"/>
          <w:b w:val="0"/>
          <w:bCs w:val="0"/>
        </w:rPr>
        <w:t>（4）公开透明。绩效评价结果应依法依规公开，并自觉接受社会监督。</w:t>
      </w:r>
    </w:p>
    <w:p>
      <w:pPr>
        <w:pStyle w:val="2"/>
        <w:pageBreakBefore w:val="0"/>
        <w:widowControl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2、评价指标体系</w:t>
      </w:r>
    </w:p>
    <w:p>
      <w:pPr>
        <w:pageBreakBefore w:val="0"/>
        <w:kinsoku/>
        <w:wordWrap/>
        <w:overflowPunct/>
        <w:topLinePunct w:val="0"/>
        <w:autoSpaceDE/>
        <w:autoSpaceDN/>
        <w:bidi w:val="0"/>
        <w:adjustRightInd/>
        <w:snapToGrid/>
        <w:spacing w:line="560" w:lineRule="exact"/>
        <w:ind w:firstLine="641"/>
        <w:textAlignment w:val="auto"/>
        <w:rPr>
          <w:rFonts w:ascii="宋体" w:hAnsi="宋体" w:cs="宋体"/>
          <w:color w:val="000000"/>
          <w:spacing w:val="17"/>
          <w:sz w:val="32"/>
          <w:szCs w:val="32"/>
        </w:rPr>
      </w:pPr>
      <w:r>
        <w:rPr>
          <w:rFonts w:hint="eastAsia" w:ascii="仿宋_GB2312" w:hAnsi="仿宋_GB2312" w:eastAsia="仿宋_GB2312" w:cs="仿宋_GB2312"/>
          <w:color w:val="000000"/>
          <w:spacing w:val="17"/>
          <w:sz w:val="32"/>
          <w:szCs w:val="32"/>
        </w:rPr>
        <w:t>绩效评价框架是开展绩效评价的核心。绩效评价框架包括评价准则、关键评价问题、评价指标、数据来源、数据收集方法等。指标体系建立过程如下：</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（1）确定评价指标</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采用层次分析法，建立评价指标体系。绩效评价将指标分为项目决策、项目产出、项目效益、项目过程四个维度，最终形成一个由多个相互联系的指标组成的多层次指标体系。</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（2）确定权重</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确定各个指标相对于项目总体绩效的权重分值。在绩效评价指标体系中，项目决策权重为5</w:t>
      </w:r>
      <w:r>
        <w:rPr>
          <w:rFonts w:ascii="仿宋_GB2312" w:hAnsi="仿宋_GB2312" w:eastAsia="仿宋_GB2312" w:cs="仿宋_GB2312"/>
          <w:color w:val="000000"/>
          <w:spacing w:val="17"/>
          <w:sz w:val="32"/>
          <w:szCs w:val="32"/>
        </w:rPr>
        <w:t>%</w:t>
      </w:r>
      <w:r>
        <w:rPr>
          <w:rFonts w:hint="eastAsia" w:ascii="仿宋_GB2312" w:hAnsi="仿宋_GB2312" w:eastAsia="仿宋_GB2312" w:cs="仿宋_GB2312"/>
          <w:color w:val="000000"/>
          <w:spacing w:val="17"/>
          <w:sz w:val="32"/>
          <w:szCs w:val="32"/>
        </w:rPr>
        <w:t>，项目过程权重值占5</w:t>
      </w:r>
      <w:r>
        <w:rPr>
          <w:rFonts w:ascii="仿宋_GB2312" w:hAnsi="仿宋_GB2312" w:eastAsia="仿宋_GB2312" w:cs="仿宋_GB2312"/>
          <w:color w:val="000000"/>
          <w:spacing w:val="17"/>
          <w:sz w:val="32"/>
          <w:szCs w:val="32"/>
        </w:rPr>
        <w:t>%</w:t>
      </w:r>
      <w:r>
        <w:rPr>
          <w:rFonts w:hint="eastAsia" w:ascii="仿宋_GB2312" w:hAnsi="仿宋_GB2312" w:eastAsia="仿宋_GB2312" w:cs="仿宋_GB2312"/>
          <w:color w:val="000000"/>
          <w:spacing w:val="17"/>
          <w:sz w:val="32"/>
          <w:szCs w:val="32"/>
        </w:rPr>
        <w:t>，项目产出权重值占50</w:t>
      </w:r>
      <w:r>
        <w:rPr>
          <w:rFonts w:ascii="仿宋_GB2312" w:hAnsi="仿宋_GB2312" w:eastAsia="仿宋_GB2312" w:cs="仿宋_GB2312"/>
          <w:color w:val="000000"/>
          <w:spacing w:val="17"/>
          <w:sz w:val="32"/>
          <w:szCs w:val="32"/>
        </w:rPr>
        <w:t>%</w:t>
      </w:r>
      <w:r>
        <w:rPr>
          <w:rFonts w:hint="eastAsia" w:ascii="仿宋_GB2312" w:hAnsi="仿宋_GB2312" w:eastAsia="仿宋_GB2312" w:cs="仿宋_GB2312"/>
          <w:color w:val="000000"/>
          <w:spacing w:val="17"/>
          <w:sz w:val="32"/>
          <w:szCs w:val="32"/>
        </w:rPr>
        <w:t>，项目效益权重占40</w:t>
      </w:r>
      <w:r>
        <w:rPr>
          <w:rFonts w:ascii="仿宋_GB2312" w:hAnsi="仿宋_GB2312" w:eastAsia="仿宋_GB2312" w:cs="仿宋_GB2312"/>
          <w:color w:val="000000"/>
          <w:spacing w:val="17"/>
          <w:sz w:val="32"/>
          <w:szCs w:val="32"/>
        </w:rPr>
        <w:t>%</w:t>
      </w:r>
      <w:r>
        <w:rPr>
          <w:rFonts w:hint="eastAsia" w:ascii="仿宋_GB2312" w:hAnsi="仿宋_GB2312" w:eastAsia="仿宋_GB2312" w:cs="仿宋_GB2312"/>
          <w:color w:val="000000"/>
          <w:spacing w:val="17"/>
          <w:sz w:val="32"/>
          <w:szCs w:val="32"/>
        </w:rPr>
        <w:t>。</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（3）确定指标标准值</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2"/>
        <w:pageBreakBefore w:val="0"/>
        <w:kinsoku/>
        <w:wordWrap/>
        <w:overflowPunct/>
        <w:topLinePunct w:val="0"/>
        <w:autoSpaceDE/>
        <w:autoSpaceDN/>
        <w:bidi w:val="0"/>
        <w:adjustRightInd/>
        <w:snapToGrid/>
        <w:spacing w:before="0" w:after="0" w:line="560" w:lineRule="exact"/>
        <w:ind w:firstLine="708" w:firstLineChars="200"/>
        <w:jc w:val="both"/>
        <w:textAlignment w:val="auto"/>
        <w:rPr>
          <w:rFonts w:ascii="仿宋_GB2312" w:hAnsi="仿宋_GB2312" w:eastAsia="仿宋_GB2312" w:cs="仿宋_GB2312"/>
          <w:b w:val="0"/>
          <w:bCs w:val="0"/>
          <w:color w:val="000000"/>
          <w:spacing w:val="17"/>
          <w:kern w:val="2"/>
        </w:rPr>
      </w:pPr>
      <w:r>
        <w:rPr>
          <w:rFonts w:hint="eastAsia" w:ascii="仿宋_GB2312" w:hAnsi="仿宋_GB2312" w:eastAsia="仿宋_GB2312" w:cs="仿宋_GB2312"/>
          <w:b w:val="0"/>
          <w:bCs w:val="0"/>
          <w:color w:val="000000"/>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2"/>
        <w:pageBreakBefore w:val="0"/>
        <w:widowControl w:val="0"/>
        <w:kinsoku/>
        <w:wordWrap/>
        <w:overflowPunct/>
        <w:topLinePunct w:val="0"/>
        <w:autoSpaceDE/>
        <w:autoSpaceDN/>
        <w:bidi w:val="0"/>
        <w:adjustRightInd/>
        <w:snapToGrid/>
        <w:spacing w:before="0" w:after="0" w:line="560" w:lineRule="exact"/>
        <w:jc w:val="both"/>
        <w:textAlignment w:val="auto"/>
        <w:outlineLvl w:val="9"/>
        <w:rPr>
          <w:rFonts w:ascii="仿宋_GB2312" w:hAnsi="仿宋_GB2312" w:eastAsia="仿宋_GB2312" w:cs="仿宋_GB2312"/>
          <w:b w:val="0"/>
          <w:bCs w:val="0"/>
          <w:color w:val="000000"/>
          <w:spacing w:val="17"/>
        </w:rPr>
      </w:pPr>
      <w:r>
        <w:rPr>
          <w:rFonts w:hint="eastAsia" w:ascii="仿宋_GB2312" w:hAnsi="仿宋_GB2312" w:eastAsia="仿宋_GB2312" w:cs="仿宋_GB2312"/>
          <w:b w:val="0"/>
          <w:bCs w:val="0"/>
          <w:color w:val="000000"/>
          <w:spacing w:val="17"/>
        </w:rPr>
        <w:t>具体评价指标体系详情见附件1</w:t>
      </w:r>
    </w:p>
    <w:p>
      <w:pPr>
        <w:pStyle w:val="2"/>
        <w:pageBreakBefore w:val="0"/>
        <w:widowControl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3、绩效评价方法</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（1）比较法</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通过对绩效目标与实施效果、历史与当期情况，综合分析绩效目标实现程度。对</w:t>
      </w:r>
      <w:r>
        <w:rPr>
          <w:rFonts w:hint="eastAsia" w:ascii="仿宋_GB2312" w:hAnsi="仿宋_GB2312" w:eastAsia="仿宋_GB2312" w:cs="仿宋_GB2312"/>
          <w:sz w:val="32"/>
          <w:szCs w:val="32"/>
        </w:rPr>
        <w:t>项目</w:t>
      </w:r>
      <w:r>
        <w:rPr>
          <w:rFonts w:hint="eastAsia" w:ascii="仿宋_GB2312" w:hAnsi="仿宋_GB2312" w:eastAsia="仿宋_GB2312" w:cs="仿宋_GB2312"/>
          <w:color w:val="000000"/>
          <w:spacing w:val="17"/>
          <w:sz w:val="32"/>
          <w:szCs w:val="32"/>
        </w:rPr>
        <w:t>最终验收情况与年度绩效目标对比、预算资金执行情况等相关因素进行比较。</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（2）因素分析法</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通过综合分析影响绩效目标实现、实施效果的内外因素，评价绩效目标实现程度。通过对</w:t>
      </w:r>
      <w:r>
        <w:rPr>
          <w:rFonts w:hint="eastAsia" w:ascii="仿宋_GB2312" w:hAnsi="仿宋_GB2312" w:eastAsia="仿宋_GB2312" w:cs="仿宋_GB2312"/>
          <w:sz w:val="32"/>
          <w:szCs w:val="32"/>
        </w:rPr>
        <w:t>项目</w:t>
      </w:r>
      <w:r>
        <w:rPr>
          <w:rFonts w:hint="eastAsia" w:ascii="仿宋_GB2312" w:hAnsi="仿宋_GB2312" w:eastAsia="仿宋_GB2312" w:cs="仿宋_GB2312"/>
          <w:color w:val="000000"/>
          <w:spacing w:val="17"/>
          <w:sz w:val="32"/>
          <w:szCs w:val="32"/>
        </w:rPr>
        <w:t>的开展情况、项目产出数量、成本控制、资金拨付文件及自评报告等相关资料的收集和审核，综合分析各因素对绩效目标实现的影响。</w:t>
      </w:r>
    </w:p>
    <w:p>
      <w:pPr>
        <w:pStyle w:val="2"/>
        <w:pageBreakBefore w:val="0"/>
        <w:widowControl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4、评价标准</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ascii="仿宋_GB2312" w:hAnsi="仿宋_GB2312" w:eastAsia="仿宋_GB2312" w:cs="仿宋_GB2312"/>
          <w:color w:val="000000"/>
          <w:spacing w:val="17"/>
          <w:sz w:val="32"/>
          <w:szCs w:val="32"/>
        </w:rPr>
        <w:t>绩效评价标准通常包括计划标准、行业标准、历史标准等，用于对绩效指标完成情况进行比较。本次评价主要采用了计划标准和行业标准。</w:t>
      </w:r>
    </w:p>
    <w:p>
      <w:pPr>
        <w:pageBreakBefore w:val="0"/>
        <w:kinsoku/>
        <w:wordWrap/>
        <w:overflowPunct/>
        <w:topLinePunct w:val="0"/>
        <w:autoSpaceDE/>
        <w:autoSpaceDN/>
        <w:bidi w:val="0"/>
        <w:adjustRightInd/>
        <w:snapToGrid/>
        <w:spacing w:line="560" w:lineRule="exact"/>
        <w:ind w:firstLine="641"/>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（三）绩效评价工作过程</w:t>
      </w:r>
    </w:p>
    <w:p>
      <w:pPr>
        <w:pageBreakBefore w:val="0"/>
        <w:numPr>
          <w:ilvl w:val="0"/>
          <w:numId w:val="3"/>
        </w:numPr>
        <w:kinsoku/>
        <w:wordWrap/>
        <w:overflowPunct/>
        <w:topLinePunct w:val="0"/>
        <w:autoSpaceDE/>
        <w:autoSpaceDN/>
        <w:bidi w:val="0"/>
        <w:adjustRightInd/>
        <w:snapToGrid/>
        <w:spacing w:line="560" w:lineRule="exact"/>
        <w:ind w:firstLine="708" w:firstLineChars="200"/>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前期准备。首先成立评价工作组，开展前期调研；其次明确项目绩效目标，设计绩效评价指标体系并确定绩效评价方法；接着确定现场和非现场评价范围，设计资料清单；最后制定评价实施方案并进行论证。</w:t>
      </w:r>
    </w:p>
    <w:p>
      <w:pPr>
        <w:pageBreakBefore w:val="0"/>
        <w:numPr>
          <w:ilvl w:val="0"/>
          <w:numId w:val="3"/>
        </w:numPr>
        <w:kinsoku/>
        <w:wordWrap/>
        <w:overflowPunct/>
        <w:topLinePunct w:val="0"/>
        <w:autoSpaceDE/>
        <w:autoSpaceDN/>
        <w:bidi w:val="0"/>
        <w:adjustRightInd/>
        <w:snapToGrid/>
        <w:spacing w:line="560" w:lineRule="exact"/>
        <w:ind w:firstLine="708" w:firstLineChars="200"/>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组织实施。制定绩效评价工作方案，具体包括项目概况、评价思路、方法手段、组织实施、进度安排等。收集项目立项依据、相关会议纪要、实施方案、财政资金分配方案、支付管理情况等相关评价资料并进行梳理。</w:t>
      </w:r>
    </w:p>
    <w:p>
      <w:pPr>
        <w:pageBreakBefore w:val="0"/>
        <w:numPr>
          <w:ilvl w:val="0"/>
          <w:numId w:val="3"/>
        </w:numPr>
        <w:kinsoku/>
        <w:wordWrap/>
        <w:overflowPunct/>
        <w:topLinePunct w:val="0"/>
        <w:autoSpaceDE/>
        <w:autoSpaceDN/>
        <w:bidi w:val="0"/>
        <w:adjustRightInd/>
        <w:snapToGrid/>
        <w:spacing w:line="560" w:lineRule="exact"/>
        <w:ind w:firstLine="708" w:firstLineChars="200"/>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分析评价。根据收集梳理的资料围绕项目立项、资金落实、业务管理、财务管理、项目产出、项目效益等内容，对照已确定的绩效评价指标进行详细全面的分析评价，逐项打分并形成绩效评价最终结果。</w:t>
      </w:r>
    </w:p>
    <w:p>
      <w:pPr>
        <w:pageBreakBefore w:val="0"/>
        <w:numPr>
          <w:ilvl w:val="0"/>
          <w:numId w:val="4"/>
        </w:numPr>
        <w:kinsoku/>
        <w:wordWrap/>
        <w:overflowPunct/>
        <w:topLinePunct w:val="0"/>
        <w:autoSpaceDE/>
        <w:autoSpaceDN/>
        <w:bidi w:val="0"/>
        <w:adjustRightInd/>
        <w:snapToGrid/>
        <w:spacing w:line="560" w:lineRule="exact"/>
        <w:ind w:firstLine="641"/>
        <w:textAlignment w:val="auto"/>
        <w:rPr>
          <w:rFonts w:ascii="黑体" w:hAnsi="黑体" w:eastAsia="黑体" w:cs="黑体"/>
          <w:b/>
          <w:bCs/>
          <w:sz w:val="32"/>
          <w:szCs w:val="32"/>
        </w:rPr>
      </w:pPr>
      <w:r>
        <w:rPr>
          <w:rFonts w:hint="eastAsia" w:ascii="黑体" w:hAnsi="黑体" w:eastAsia="黑体" w:cs="黑体"/>
          <w:b/>
          <w:bCs/>
          <w:sz w:val="32"/>
          <w:szCs w:val="32"/>
        </w:rPr>
        <w:t>综合评价情况及评价结论（附相关评分表）</w:t>
      </w:r>
    </w:p>
    <w:p>
      <w:pPr>
        <w:pStyle w:val="2"/>
        <w:pageBreakBefore w:val="0"/>
        <w:widowControl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b w:val="0"/>
          <w:bCs w:val="0"/>
        </w:rPr>
        <w:t xml:space="preserve">对孤儿生活补助项目进行客观评价，最终评分结果：总得分为 </w:t>
      </w:r>
      <w:r>
        <w:rPr>
          <w:rFonts w:ascii="仿宋_GB2312" w:hAnsi="仿宋_GB2312" w:eastAsia="仿宋_GB2312" w:cs="仿宋_GB2312"/>
          <w:b w:val="0"/>
          <w:bCs w:val="0"/>
        </w:rPr>
        <w:t>9</w:t>
      </w:r>
      <w:r>
        <w:rPr>
          <w:rFonts w:hint="eastAsia" w:ascii="仿宋_GB2312" w:hAnsi="仿宋_GB2312" w:eastAsia="仿宋_GB2312" w:cs="仿宋_GB2312"/>
          <w:b w:val="0"/>
          <w:bCs w:val="0"/>
        </w:rPr>
        <w:t>8</w:t>
      </w:r>
      <w:r>
        <w:rPr>
          <w:rFonts w:ascii="仿宋_GB2312" w:hAnsi="仿宋_GB2312" w:eastAsia="仿宋_GB2312" w:cs="仿宋_GB2312"/>
          <w:b w:val="0"/>
          <w:bCs w:val="0"/>
        </w:rPr>
        <w:t>.8</w:t>
      </w:r>
      <w:r>
        <w:rPr>
          <w:rFonts w:hint="eastAsia" w:ascii="仿宋_GB2312" w:hAnsi="仿宋_GB2312" w:eastAsia="仿宋_GB2312" w:cs="仿宋_GB2312"/>
          <w:b w:val="0"/>
          <w:bCs w:val="0"/>
        </w:rPr>
        <w:t>分，属于“优”。其中，项目决策类指标权重为5分，得分为</w:t>
      </w:r>
      <w:r>
        <w:rPr>
          <w:rFonts w:ascii="仿宋_GB2312" w:hAnsi="仿宋_GB2312" w:eastAsia="仿宋_GB2312" w:cs="仿宋_GB2312"/>
          <w:b w:val="0"/>
          <w:bCs w:val="0"/>
        </w:rPr>
        <w:t>5</w:t>
      </w:r>
      <w:r>
        <w:rPr>
          <w:rFonts w:hint="eastAsia" w:ascii="仿宋_GB2312" w:hAnsi="仿宋_GB2312" w:eastAsia="仿宋_GB2312" w:cs="仿宋_GB2312"/>
          <w:b w:val="0"/>
          <w:bCs w:val="0"/>
        </w:rPr>
        <w:t>分，得分率为</w:t>
      </w:r>
      <w:r>
        <w:rPr>
          <w:rFonts w:ascii="仿宋_GB2312" w:hAnsi="仿宋_GB2312" w:eastAsia="仿宋_GB2312" w:cs="仿宋_GB2312"/>
          <w:b w:val="0"/>
          <w:bCs w:val="0"/>
        </w:rPr>
        <w:t>100</w:t>
      </w:r>
      <w:r>
        <w:rPr>
          <w:rFonts w:hint="eastAsia" w:ascii="仿宋_GB2312" w:hAnsi="仿宋_GB2312" w:eastAsia="仿宋_GB2312" w:cs="仿宋_GB2312"/>
          <w:b w:val="0"/>
          <w:bCs w:val="0"/>
        </w:rPr>
        <w:t>%。项目过程类指标权重为5分，得分为</w:t>
      </w:r>
      <w:r>
        <w:rPr>
          <w:rFonts w:ascii="仿宋_GB2312" w:hAnsi="仿宋_GB2312" w:eastAsia="仿宋_GB2312" w:cs="仿宋_GB2312"/>
          <w:b w:val="0"/>
          <w:bCs w:val="0"/>
        </w:rPr>
        <w:t>4.8</w:t>
      </w:r>
      <w:r>
        <w:rPr>
          <w:rFonts w:hint="eastAsia" w:ascii="仿宋_GB2312" w:hAnsi="仿宋_GB2312" w:eastAsia="仿宋_GB2312" w:cs="仿宋_GB2312"/>
          <w:b w:val="0"/>
          <w:bCs w:val="0"/>
        </w:rPr>
        <w:t>分，得分率为</w:t>
      </w:r>
      <w:r>
        <w:rPr>
          <w:rFonts w:ascii="仿宋_GB2312" w:hAnsi="仿宋_GB2312" w:eastAsia="仿宋_GB2312" w:cs="仿宋_GB2312"/>
          <w:b w:val="0"/>
          <w:bCs w:val="0"/>
        </w:rPr>
        <w:t>96</w:t>
      </w:r>
      <w:r>
        <w:rPr>
          <w:rFonts w:hint="eastAsia" w:ascii="仿宋_GB2312" w:hAnsi="仿宋_GB2312" w:eastAsia="仿宋_GB2312" w:cs="仿宋_GB2312"/>
          <w:b w:val="0"/>
          <w:bCs w:val="0"/>
        </w:rPr>
        <w:t>%。项目产出类指标权重为50分，得分为50分，得分率为100%。项目效益类指标权重为40分，得分为3</w:t>
      </w:r>
      <w:r>
        <w:rPr>
          <w:rFonts w:ascii="仿宋_GB2312" w:hAnsi="仿宋_GB2312" w:eastAsia="仿宋_GB2312" w:cs="仿宋_GB2312"/>
          <w:b w:val="0"/>
          <w:bCs w:val="0"/>
        </w:rPr>
        <w:t>9</w:t>
      </w:r>
      <w:r>
        <w:rPr>
          <w:rFonts w:hint="eastAsia" w:ascii="仿宋_GB2312" w:hAnsi="仿宋_GB2312" w:eastAsia="仿宋_GB2312" w:cs="仿宋_GB2312"/>
          <w:b w:val="0"/>
          <w:bCs w:val="0"/>
        </w:rPr>
        <w:t>分，得分率为</w:t>
      </w:r>
      <w:r>
        <w:rPr>
          <w:rFonts w:ascii="仿宋_GB2312" w:hAnsi="仿宋_GB2312" w:eastAsia="仿宋_GB2312" w:cs="仿宋_GB2312"/>
          <w:b w:val="0"/>
          <w:bCs w:val="0"/>
        </w:rPr>
        <w:t>97.5</w:t>
      </w:r>
      <w:r>
        <w:rPr>
          <w:rFonts w:hint="eastAsia" w:ascii="仿宋_GB2312" w:hAnsi="仿宋_GB2312" w:eastAsia="仿宋_GB2312" w:cs="仿宋_GB2312"/>
          <w:b w:val="0"/>
          <w:bCs w:val="0"/>
        </w:rPr>
        <w:t>%。</w:t>
      </w:r>
    </w:p>
    <w:p>
      <w:pPr>
        <w:pStyle w:val="2"/>
        <w:pageBreakBefore w:val="0"/>
        <w:kinsoku/>
        <w:wordWrap/>
        <w:overflowPunct/>
        <w:topLinePunct w:val="0"/>
        <w:autoSpaceDE/>
        <w:autoSpaceDN/>
        <w:bidi w:val="0"/>
        <w:adjustRightInd/>
        <w:snapToGrid/>
        <w:spacing w:before="0" w:after="0" w:line="560" w:lineRule="exact"/>
        <w:textAlignment w:val="auto"/>
        <w:rPr>
          <w:rFonts w:ascii="仿宋_GB2312" w:hAnsi="仿宋_GB2312" w:eastAsia="仿宋_GB2312" w:cs="仿宋_GB2312"/>
          <w:sz w:val="30"/>
          <w:szCs w:val="30"/>
        </w:rPr>
      </w:pPr>
      <w:r>
        <w:rPr>
          <w:rFonts w:hint="eastAsia" w:ascii="仿宋_GB2312" w:hAnsi="仿宋_GB2312" w:eastAsia="仿宋_GB2312" w:cs="仿宋_GB2312"/>
          <w:sz w:val="30"/>
          <w:szCs w:val="30"/>
        </w:rPr>
        <w:t>表1综合评分表</w:t>
      </w:r>
    </w:p>
    <w:p>
      <w:pPr>
        <w:pageBreakBefore w:val="0"/>
        <w:kinsoku/>
        <w:wordWrap/>
        <w:overflowPunct/>
        <w:topLinePunct w:val="0"/>
        <w:autoSpaceDE/>
        <w:autoSpaceDN/>
        <w:bidi w:val="0"/>
        <w:adjustRightInd/>
        <w:snapToGrid/>
        <w:spacing w:line="560" w:lineRule="exact"/>
        <w:textAlignment w:val="auto"/>
      </w:pPr>
    </w:p>
    <w:p>
      <w:pPr>
        <w:pageBreakBefore w:val="0"/>
        <w:kinsoku/>
        <w:wordWrap/>
        <w:overflowPunct/>
        <w:topLinePunct w:val="0"/>
        <w:autoSpaceDE/>
        <w:autoSpaceDN/>
        <w:bidi w:val="0"/>
        <w:adjustRightInd/>
        <w:snapToGrid/>
        <w:spacing w:line="560" w:lineRule="exact"/>
        <w:textAlignment w:val="auto"/>
      </w:pPr>
    </w:p>
    <w:p>
      <w:pPr>
        <w:bidi w:val="0"/>
        <w:jc w:val="left"/>
        <w:rPr>
          <w:rFonts w:ascii="Times New Roman" w:hAnsi="Times New Roman" w:eastAsia="宋体" w:cs="Times New Roman"/>
          <w:kern w:val="2"/>
          <w:sz w:val="21"/>
          <w:szCs w:val="24"/>
          <w:lang w:val="en-US" w:eastAsia="zh-CN" w:bidi="ar-SA"/>
        </w:rPr>
      </w:pPr>
    </w:p>
    <w:tbl>
      <w:tblPr>
        <w:tblStyle w:val="18"/>
        <w:tblpPr w:leftFromText="180" w:rightFromText="180" w:vertAnchor="text" w:horzAnchor="page" w:tblpX="1268" w:tblpY="-67"/>
        <w:tblOverlap w:val="never"/>
        <w:tblW w:w="9236"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236"/>
        <w:gridCol w:w="864"/>
        <w:gridCol w:w="1224"/>
        <w:gridCol w:w="1659"/>
        <w:gridCol w:w="851"/>
        <w:gridCol w:w="1275"/>
        <w:gridCol w:w="1134"/>
        <w:gridCol w:w="99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0" w:hRule="atLeast"/>
          <w:tblHeader/>
        </w:trPr>
        <w:tc>
          <w:tcPr>
            <w:tcW w:w="1236" w:type="dxa"/>
            <w:shd w:val="clear" w:color="auto" w:fill="BFBFBF"/>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一级指标</w:t>
            </w:r>
          </w:p>
        </w:tc>
        <w:tc>
          <w:tcPr>
            <w:tcW w:w="864" w:type="dxa"/>
            <w:shd w:val="clear" w:color="auto" w:fill="BFBFB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分值</w:t>
            </w:r>
          </w:p>
        </w:tc>
        <w:tc>
          <w:tcPr>
            <w:tcW w:w="1224" w:type="dxa"/>
            <w:shd w:val="clear" w:color="auto" w:fill="BFBFB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二级指标</w:t>
            </w:r>
          </w:p>
        </w:tc>
        <w:tc>
          <w:tcPr>
            <w:tcW w:w="1659" w:type="dxa"/>
            <w:shd w:val="clear" w:color="auto" w:fill="BFBFB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三级指标</w:t>
            </w:r>
          </w:p>
        </w:tc>
        <w:tc>
          <w:tcPr>
            <w:tcW w:w="851" w:type="dxa"/>
            <w:shd w:val="clear" w:color="auto" w:fill="BFBFB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权重</w:t>
            </w:r>
          </w:p>
        </w:tc>
        <w:tc>
          <w:tcPr>
            <w:tcW w:w="1275"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目标值</w:t>
            </w:r>
          </w:p>
        </w:tc>
        <w:tc>
          <w:tcPr>
            <w:tcW w:w="1134"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得分率</w:t>
            </w:r>
          </w:p>
        </w:tc>
        <w:tc>
          <w:tcPr>
            <w:tcW w:w="993"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236"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决策　</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　</w:t>
            </w:r>
          </w:p>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　</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　</w:t>
            </w:r>
          </w:p>
        </w:tc>
        <w:tc>
          <w:tcPr>
            <w:tcW w:w="864"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kern w:val="0"/>
                <w:sz w:val="18"/>
                <w:szCs w:val="18"/>
              </w:rPr>
              <w:t>5分</w:t>
            </w:r>
          </w:p>
        </w:tc>
        <w:tc>
          <w:tcPr>
            <w:tcW w:w="1224"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项目立项　</w:t>
            </w:r>
          </w:p>
        </w:tc>
        <w:tc>
          <w:tcPr>
            <w:tcW w:w="1659"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立项依据</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充分性</w:t>
            </w:r>
          </w:p>
        </w:tc>
        <w:tc>
          <w:tcPr>
            <w:tcW w:w="851"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0.5</w:t>
            </w:r>
          </w:p>
        </w:tc>
        <w:tc>
          <w:tcPr>
            <w:tcW w:w="1275"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0.5</w:t>
            </w:r>
          </w:p>
        </w:tc>
        <w:tc>
          <w:tcPr>
            <w:tcW w:w="113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r>
              <w:rPr>
                <w:rFonts w:ascii="宋体" w:hAnsi="宋体" w:cs="宋体"/>
                <w:color w:val="000000"/>
                <w:kern w:val="0"/>
                <w:sz w:val="18"/>
                <w:szCs w:val="18"/>
              </w:rPr>
              <w:t>00%</w:t>
            </w:r>
          </w:p>
        </w:tc>
        <w:tc>
          <w:tcPr>
            <w:tcW w:w="99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0</w:t>
            </w:r>
            <w:r>
              <w:rPr>
                <w:rFonts w:ascii="宋体" w:hAnsi="宋体" w:cs="宋体"/>
                <w:color w:val="000000"/>
                <w:kern w:val="0"/>
                <w:sz w:val="18"/>
                <w:szCs w:val="18"/>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236"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86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2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659"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立项程序</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规范性</w:t>
            </w:r>
          </w:p>
        </w:tc>
        <w:tc>
          <w:tcPr>
            <w:tcW w:w="851"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0.5</w:t>
            </w:r>
          </w:p>
        </w:tc>
        <w:tc>
          <w:tcPr>
            <w:tcW w:w="1275"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0.5</w:t>
            </w:r>
          </w:p>
        </w:tc>
        <w:tc>
          <w:tcPr>
            <w:tcW w:w="113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r>
              <w:rPr>
                <w:rFonts w:ascii="宋体" w:hAnsi="宋体" w:cs="宋体"/>
                <w:color w:val="000000"/>
                <w:kern w:val="0"/>
                <w:sz w:val="18"/>
                <w:szCs w:val="18"/>
              </w:rPr>
              <w:t>00%</w:t>
            </w:r>
          </w:p>
        </w:tc>
        <w:tc>
          <w:tcPr>
            <w:tcW w:w="99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0</w:t>
            </w:r>
            <w:r>
              <w:rPr>
                <w:rFonts w:ascii="宋体" w:hAnsi="宋体" w:cs="宋体"/>
                <w:color w:val="000000"/>
                <w:kern w:val="0"/>
                <w:sz w:val="18"/>
                <w:szCs w:val="18"/>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236"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86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24"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绩效目标　</w:t>
            </w:r>
          </w:p>
        </w:tc>
        <w:tc>
          <w:tcPr>
            <w:tcW w:w="1659"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绩效目标</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合理性</w:t>
            </w:r>
          </w:p>
        </w:tc>
        <w:tc>
          <w:tcPr>
            <w:tcW w:w="851"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27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13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r>
              <w:rPr>
                <w:rFonts w:ascii="宋体" w:hAnsi="宋体" w:cs="宋体"/>
                <w:color w:val="000000"/>
                <w:kern w:val="0"/>
                <w:sz w:val="18"/>
                <w:szCs w:val="18"/>
              </w:rPr>
              <w:t>00%</w:t>
            </w:r>
          </w:p>
        </w:tc>
        <w:tc>
          <w:tcPr>
            <w:tcW w:w="993"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236"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86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2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659"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绩效指标</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明确性</w:t>
            </w:r>
          </w:p>
        </w:tc>
        <w:tc>
          <w:tcPr>
            <w:tcW w:w="851"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27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13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r>
              <w:rPr>
                <w:rFonts w:ascii="宋体" w:hAnsi="宋体" w:cs="宋体"/>
                <w:color w:val="000000"/>
                <w:kern w:val="0"/>
                <w:sz w:val="18"/>
                <w:szCs w:val="18"/>
              </w:rPr>
              <w:t>00%</w:t>
            </w:r>
          </w:p>
        </w:tc>
        <w:tc>
          <w:tcPr>
            <w:tcW w:w="993"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236"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86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24"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资金投入</w:t>
            </w:r>
          </w:p>
        </w:tc>
        <w:tc>
          <w:tcPr>
            <w:tcW w:w="1659"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预算编制</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科学性</w:t>
            </w:r>
          </w:p>
        </w:tc>
        <w:tc>
          <w:tcPr>
            <w:tcW w:w="851"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275"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13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r>
              <w:rPr>
                <w:rFonts w:ascii="宋体" w:hAnsi="宋体" w:cs="宋体"/>
                <w:color w:val="000000"/>
                <w:kern w:val="0"/>
                <w:sz w:val="18"/>
                <w:szCs w:val="18"/>
              </w:rPr>
              <w:t>00%</w:t>
            </w:r>
          </w:p>
        </w:tc>
        <w:tc>
          <w:tcPr>
            <w:tcW w:w="99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236"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86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2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659"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资金分配</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合理性</w:t>
            </w:r>
          </w:p>
        </w:tc>
        <w:tc>
          <w:tcPr>
            <w:tcW w:w="851"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275"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13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r>
              <w:rPr>
                <w:rFonts w:ascii="宋体" w:hAnsi="宋体" w:cs="宋体"/>
                <w:color w:val="000000"/>
                <w:kern w:val="0"/>
                <w:sz w:val="18"/>
                <w:szCs w:val="18"/>
              </w:rPr>
              <w:t>00%</w:t>
            </w:r>
          </w:p>
        </w:tc>
        <w:tc>
          <w:tcPr>
            <w:tcW w:w="99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236" w:type="dxa"/>
            <w:vMerge w:val="restart"/>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过程</w:t>
            </w:r>
          </w:p>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　</w:t>
            </w:r>
          </w:p>
        </w:tc>
        <w:tc>
          <w:tcPr>
            <w:tcW w:w="864"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kern w:val="0"/>
                <w:sz w:val="18"/>
                <w:szCs w:val="18"/>
              </w:rPr>
              <w:t>5分</w:t>
            </w:r>
          </w:p>
        </w:tc>
        <w:tc>
          <w:tcPr>
            <w:tcW w:w="1224"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资金管理</w:t>
            </w:r>
          </w:p>
        </w:tc>
        <w:tc>
          <w:tcPr>
            <w:tcW w:w="1659"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资金到位率</w:t>
            </w:r>
          </w:p>
        </w:tc>
        <w:tc>
          <w:tcPr>
            <w:tcW w:w="851"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27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13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r>
              <w:rPr>
                <w:rFonts w:ascii="宋体" w:hAnsi="宋体" w:cs="宋体"/>
                <w:color w:val="000000"/>
                <w:kern w:val="0"/>
                <w:sz w:val="18"/>
                <w:szCs w:val="18"/>
              </w:rPr>
              <w:t>00%</w:t>
            </w:r>
          </w:p>
        </w:tc>
        <w:tc>
          <w:tcPr>
            <w:tcW w:w="993"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236"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86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2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659"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851"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275"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13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ascii="宋体" w:hAnsi="宋体" w:cs="宋体"/>
                <w:color w:val="000000"/>
                <w:kern w:val="0"/>
                <w:sz w:val="18"/>
                <w:szCs w:val="18"/>
              </w:rPr>
              <w:t>80%</w:t>
            </w:r>
          </w:p>
        </w:tc>
        <w:tc>
          <w:tcPr>
            <w:tcW w:w="99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0</w:t>
            </w:r>
            <w:r>
              <w:rPr>
                <w:rFonts w:ascii="宋体" w:hAnsi="宋体" w:cs="宋体"/>
                <w:color w:val="000000"/>
                <w:kern w:val="0"/>
                <w:sz w:val="18"/>
                <w:szCs w:val="18"/>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236"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86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2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资金管理</w:t>
            </w:r>
          </w:p>
        </w:tc>
        <w:tc>
          <w:tcPr>
            <w:tcW w:w="1659"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资金使用</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合规性</w:t>
            </w:r>
          </w:p>
        </w:tc>
        <w:tc>
          <w:tcPr>
            <w:tcW w:w="851"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27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13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r>
              <w:rPr>
                <w:rFonts w:ascii="宋体" w:hAnsi="宋体" w:cs="宋体"/>
                <w:color w:val="000000"/>
                <w:kern w:val="0"/>
                <w:sz w:val="18"/>
                <w:szCs w:val="18"/>
              </w:rPr>
              <w:t>00%</w:t>
            </w:r>
          </w:p>
        </w:tc>
        <w:tc>
          <w:tcPr>
            <w:tcW w:w="993"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236"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86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24"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组织实施</w:t>
            </w:r>
          </w:p>
        </w:tc>
        <w:tc>
          <w:tcPr>
            <w:tcW w:w="1659"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管理制度</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健全性</w:t>
            </w:r>
          </w:p>
        </w:tc>
        <w:tc>
          <w:tcPr>
            <w:tcW w:w="851"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27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13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r>
              <w:rPr>
                <w:rFonts w:ascii="宋体" w:hAnsi="宋体" w:cs="宋体"/>
                <w:color w:val="000000"/>
                <w:kern w:val="0"/>
                <w:sz w:val="18"/>
                <w:szCs w:val="18"/>
              </w:rPr>
              <w:t>00%</w:t>
            </w:r>
          </w:p>
        </w:tc>
        <w:tc>
          <w:tcPr>
            <w:tcW w:w="993"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236"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86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2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659"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制度执行</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有效性</w:t>
            </w:r>
          </w:p>
        </w:tc>
        <w:tc>
          <w:tcPr>
            <w:tcW w:w="851"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27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13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r>
              <w:rPr>
                <w:rFonts w:ascii="宋体" w:hAnsi="宋体" w:cs="宋体"/>
                <w:color w:val="000000"/>
                <w:kern w:val="0"/>
                <w:sz w:val="18"/>
                <w:szCs w:val="18"/>
              </w:rPr>
              <w:t>00%</w:t>
            </w:r>
          </w:p>
        </w:tc>
        <w:tc>
          <w:tcPr>
            <w:tcW w:w="993"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236"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产出</w:t>
            </w:r>
          </w:p>
        </w:tc>
        <w:tc>
          <w:tcPr>
            <w:tcW w:w="864"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kern w:val="0"/>
                <w:sz w:val="18"/>
                <w:szCs w:val="18"/>
              </w:rPr>
              <w:t>50分</w:t>
            </w:r>
          </w:p>
        </w:tc>
        <w:tc>
          <w:tcPr>
            <w:tcW w:w="122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产出数量</w:t>
            </w:r>
          </w:p>
        </w:tc>
        <w:tc>
          <w:tcPr>
            <w:tcW w:w="1659"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实际完成率</w:t>
            </w:r>
          </w:p>
        </w:tc>
        <w:tc>
          <w:tcPr>
            <w:tcW w:w="851"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15</w:t>
            </w:r>
          </w:p>
        </w:tc>
        <w:tc>
          <w:tcPr>
            <w:tcW w:w="127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15</w:t>
            </w:r>
          </w:p>
        </w:tc>
        <w:tc>
          <w:tcPr>
            <w:tcW w:w="113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r>
              <w:rPr>
                <w:rFonts w:ascii="宋体" w:hAnsi="宋体" w:cs="宋体"/>
                <w:color w:val="000000"/>
                <w:kern w:val="0"/>
                <w:sz w:val="18"/>
                <w:szCs w:val="18"/>
              </w:rPr>
              <w:t>00%</w:t>
            </w:r>
          </w:p>
        </w:tc>
        <w:tc>
          <w:tcPr>
            <w:tcW w:w="993"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236"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86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2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产出质量</w:t>
            </w:r>
          </w:p>
        </w:tc>
        <w:tc>
          <w:tcPr>
            <w:tcW w:w="1659"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质量达标率</w:t>
            </w:r>
          </w:p>
        </w:tc>
        <w:tc>
          <w:tcPr>
            <w:tcW w:w="851"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w:t>
            </w:r>
          </w:p>
        </w:tc>
        <w:tc>
          <w:tcPr>
            <w:tcW w:w="127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w:t>
            </w:r>
          </w:p>
        </w:tc>
        <w:tc>
          <w:tcPr>
            <w:tcW w:w="113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r>
              <w:rPr>
                <w:rFonts w:ascii="宋体" w:hAnsi="宋体" w:cs="宋体"/>
                <w:color w:val="000000"/>
                <w:kern w:val="0"/>
                <w:sz w:val="18"/>
                <w:szCs w:val="18"/>
              </w:rPr>
              <w:t>00%</w:t>
            </w:r>
          </w:p>
        </w:tc>
        <w:tc>
          <w:tcPr>
            <w:tcW w:w="993"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r>
              <w:rPr>
                <w:rFonts w:ascii="宋体" w:hAnsi="宋体" w:cs="宋体"/>
                <w:color w:val="000000"/>
                <w:kern w:val="0"/>
                <w:sz w:val="18"/>
                <w:szCs w:val="18"/>
              </w:rPr>
              <w:t>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236"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86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24" w:type="dxa"/>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产出时效</w:t>
            </w:r>
          </w:p>
        </w:tc>
        <w:tc>
          <w:tcPr>
            <w:tcW w:w="1659"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完成及时性</w:t>
            </w:r>
          </w:p>
        </w:tc>
        <w:tc>
          <w:tcPr>
            <w:tcW w:w="851"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15</w:t>
            </w:r>
          </w:p>
        </w:tc>
        <w:tc>
          <w:tcPr>
            <w:tcW w:w="127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15</w:t>
            </w:r>
          </w:p>
        </w:tc>
        <w:tc>
          <w:tcPr>
            <w:tcW w:w="113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r>
              <w:rPr>
                <w:rFonts w:ascii="宋体" w:hAnsi="宋体" w:cs="宋体"/>
                <w:color w:val="000000"/>
                <w:kern w:val="0"/>
                <w:sz w:val="18"/>
                <w:szCs w:val="18"/>
              </w:rPr>
              <w:t>00%</w:t>
            </w:r>
          </w:p>
        </w:tc>
        <w:tc>
          <w:tcPr>
            <w:tcW w:w="993"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236"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86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2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产出成本</w:t>
            </w:r>
          </w:p>
        </w:tc>
        <w:tc>
          <w:tcPr>
            <w:tcW w:w="1659"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成本节约率</w:t>
            </w:r>
          </w:p>
        </w:tc>
        <w:tc>
          <w:tcPr>
            <w:tcW w:w="851"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w:t>
            </w:r>
          </w:p>
        </w:tc>
        <w:tc>
          <w:tcPr>
            <w:tcW w:w="127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w:t>
            </w:r>
          </w:p>
        </w:tc>
        <w:tc>
          <w:tcPr>
            <w:tcW w:w="113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r>
              <w:rPr>
                <w:rFonts w:ascii="宋体" w:hAnsi="宋体" w:cs="宋体"/>
                <w:color w:val="000000"/>
                <w:kern w:val="0"/>
                <w:sz w:val="18"/>
                <w:szCs w:val="18"/>
              </w:rPr>
              <w:t>00%</w:t>
            </w:r>
          </w:p>
        </w:tc>
        <w:tc>
          <w:tcPr>
            <w:tcW w:w="993"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r>
              <w:rPr>
                <w:rFonts w:ascii="宋体" w:hAnsi="宋体" w:cs="宋体"/>
                <w:color w:val="000000"/>
                <w:kern w:val="0"/>
                <w:sz w:val="18"/>
                <w:szCs w:val="18"/>
              </w:rPr>
              <w:t>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236"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效益　</w:t>
            </w:r>
          </w:p>
        </w:tc>
        <w:tc>
          <w:tcPr>
            <w:tcW w:w="864"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40分</w:t>
            </w:r>
          </w:p>
        </w:tc>
        <w:tc>
          <w:tcPr>
            <w:tcW w:w="1224"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项目效益　</w:t>
            </w:r>
          </w:p>
        </w:tc>
        <w:tc>
          <w:tcPr>
            <w:tcW w:w="1659"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实施效益</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（社会效益、经济效益、可持续效益）</w:t>
            </w:r>
          </w:p>
        </w:tc>
        <w:tc>
          <w:tcPr>
            <w:tcW w:w="851"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30</w:t>
            </w:r>
          </w:p>
        </w:tc>
        <w:tc>
          <w:tcPr>
            <w:tcW w:w="1275"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30</w:t>
            </w:r>
          </w:p>
        </w:tc>
        <w:tc>
          <w:tcPr>
            <w:tcW w:w="113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ascii="宋体" w:hAnsi="宋体" w:cs="宋体"/>
                <w:color w:val="000000"/>
                <w:kern w:val="0"/>
                <w:sz w:val="18"/>
                <w:szCs w:val="18"/>
              </w:rPr>
              <w:t>93.33%</w:t>
            </w:r>
          </w:p>
        </w:tc>
        <w:tc>
          <w:tcPr>
            <w:tcW w:w="99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ascii="宋体" w:hAnsi="宋体" w:cs="宋体"/>
                <w:color w:val="000000"/>
                <w:kern w:val="0"/>
                <w:sz w:val="18"/>
                <w:szCs w:val="18"/>
              </w:rPr>
              <w:t>28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236"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86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2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659"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满意度</w:t>
            </w:r>
          </w:p>
        </w:tc>
        <w:tc>
          <w:tcPr>
            <w:tcW w:w="851"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w:t>
            </w:r>
          </w:p>
        </w:tc>
        <w:tc>
          <w:tcPr>
            <w:tcW w:w="127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w:t>
            </w:r>
          </w:p>
        </w:tc>
        <w:tc>
          <w:tcPr>
            <w:tcW w:w="113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ascii="宋体" w:hAnsi="宋体" w:cs="宋体"/>
                <w:color w:val="000000"/>
                <w:kern w:val="0"/>
                <w:sz w:val="18"/>
                <w:szCs w:val="18"/>
              </w:rPr>
              <w:t>100%</w:t>
            </w:r>
          </w:p>
        </w:tc>
        <w:tc>
          <w:tcPr>
            <w:tcW w:w="993"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ascii="宋体" w:hAnsi="宋体" w:cs="宋体"/>
                <w:color w:val="000000"/>
                <w:kern w:val="0"/>
                <w:sz w:val="18"/>
                <w:szCs w:val="18"/>
              </w:rPr>
              <w:t>10</w:t>
            </w:r>
          </w:p>
        </w:tc>
      </w:tr>
    </w:tbl>
    <w:p>
      <w:pPr>
        <w:pageBreakBefore w:val="0"/>
        <w:kinsoku/>
        <w:wordWrap/>
        <w:overflowPunct/>
        <w:topLinePunct w:val="0"/>
        <w:autoSpaceDE/>
        <w:autoSpaceDN/>
        <w:bidi w:val="0"/>
        <w:adjustRightInd/>
        <w:snapToGrid/>
        <w:spacing w:line="560" w:lineRule="exact"/>
        <w:ind w:firstLine="321" w:firstLineChars="100"/>
        <w:textAlignment w:val="auto"/>
        <w:rPr>
          <w:rFonts w:ascii="黑体" w:hAnsi="黑体" w:eastAsia="黑体"/>
          <w:b/>
          <w:bCs/>
          <w:sz w:val="32"/>
          <w:szCs w:val="32"/>
        </w:rPr>
      </w:pPr>
      <w:r>
        <w:rPr>
          <w:rFonts w:hint="eastAsia" w:ascii="黑体" w:hAnsi="黑体" w:eastAsia="黑体"/>
          <w:b/>
          <w:bCs/>
          <w:sz w:val="32"/>
          <w:szCs w:val="32"/>
        </w:rPr>
        <w:t>四、绩效评价指标分析</w:t>
      </w:r>
    </w:p>
    <w:p>
      <w:pPr>
        <w:pStyle w:val="2"/>
        <w:pageBreakBefore w:val="0"/>
        <w:kinsoku/>
        <w:wordWrap/>
        <w:overflowPunct/>
        <w:topLinePunct w:val="0"/>
        <w:autoSpaceDE/>
        <w:autoSpaceDN/>
        <w:bidi w:val="0"/>
        <w:adjustRightInd/>
        <w:snapToGrid/>
        <w:spacing w:before="0" w:after="0" w:line="560" w:lineRule="exact"/>
        <w:ind w:firstLine="321" w:firstLineChars="100"/>
        <w:jc w:val="both"/>
        <w:textAlignment w:val="auto"/>
        <w:rPr>
          <w:rFonts w:ascii="楷体_GB2312" w:hAnsi="楷体_GB2312" w:eastAsia="楷体_GB2312" w:cs="楷体_GB2312"/>
        </w:rPr>
      </w:pPr>
      <w:r>
        <w:rPr>
          <w:rFonts w:hint="eastAsia" w:ascii="楷体_GB2312" w:hAnsi="楷体_GB2312" w:eastAsia="楷体_GB2312" w:cs="楷体_GB2312"/>
        </w:rPr>
        <w:t>（一）项目决策情况</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项目决策指标从绩效目标、资金投入2个方面对项目的决策进行考察，项目决策类指标分值</w:t>
      </w:r>
      <w:r>
        <w:rPr>
          <w:rFonts w:ascii="仿宋_GB2312" w:hAnsi="仿宋_GB2312" w:eastAsia="仿宋_GB2312" w:cs="仿宋_GB2312"/>
          <w:sz w:val="32"/>
          <w:szCs w:val="32"/>
        </w:rPr>
        <w:t>5</w:t>
      </w:r>
      <w:r>
        <w:rPr>
          <w:rFonts w:hint="eastAsia" w:ascii="仿宋_GB2312" w:hAnsi="仿宋_GB2312" w:eastAsia="仿宋_GB2312" w:cs="仿宋_GB2312"/>
          <w:sz w:val="32"/>
          <w:szCs w:val="32"/>
        </w:rPr>
        <w:t>分，实际得分</w:t>
      </w:r>
      <w:r>
        <w:rPr>
          <w:rFonts w:ascii="仿宋_GB2312" w:hAnsi="仿宋_GB2312" w:eastAsia="仿宋_GB2312" w:cs="仿宋_GB2312"/>
          <w:sz w:val="32"/>
          <w:szCs w:val="32"/>
        </w:rPr>
        <w:t>5</w:t>
      </w:r>
      <w:r>
        <w:rPr>
          <w:rFonts w:hint="eastAsia" w:ascii="仿宋_GB2312" w:hAnsi="仿宋_GB2312" w:eastAsia="仿宋_GB2312" w:cs="仿宋_GB2312"/>
          <w:sz w:val="32"/>
          <w:szCs w:val="32"/>
        </w:rPr>
        <w:t>分，得分率100</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。项目决策指标得分情况如表所示。</w:t>
      </w:r>
    </w:p>
    <w:p>
      <w:pPr>
        <w:pStyle w:val="5"/>
        <w:keepNext w:val="0"/>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hAnsi="仿宋_GB2312" w:eastAsia="仿宋_GB2312" w:cs="仿宋_GB2312"/>
          <w:b w:val="0"/>
          <w:bCs w:val="0"/>
          <w:kern w:val="2"/>
          <w:sz w:val="32"/>
          <w:szCs w:val="32"/>
        </w:rPr>
      </w:pPr>
      <w:r>
        <w:rPr>
          <w:rFonts w:hint="eastAsia" w:ascii="仿宋_GB2312" w:hAnsi="仿宋_GB2312" w:eastAsia="仿宋_GB2312" w:cs="仿宋_GB2312"/>
          <w:b w:val="0"/>
          <w:bCs w:val="0"/>
          <w:kern w:val="2"/>
          <w:sz w:val="32"/>
          <w:szCs w:val="32"/>
        </w:rPr>
        <w:t>对于“绩效目标”，地区儿童福利院针对20</w:t>
      </w:r>
      <w:r>
        <w:rPr>
          <w:rFonts w:ascii="仿宋_GB2312" w:hAnsi="仿宋_GB2312" w:eastAsia="仿宋_GB2312" w:cs="仿宋_GB2312"/>
          <w:b w:val="0"/>
          <w:bCs w:val="0"/>
          <w:kern w:val="2"/>
          <w:sz w:val="32"/>
          <w:szCs w:val="32"/>
        </w:rPr>
        <w:t>20</w:t>
      </w:r>
      <w:r>
        <w:rPr>
          <w:rFonts w:hint="eastAsia" w:ascii="仿宋_GB2312" w:hAnsi="仿宋_GB2312" w:eastAsia="仿宋_GB2312" w:cs="仿宋_GB2312"/>
          <w:b w:val="0"/>
          <w:bCs w:val="0"/>
          <w:kern w:val="2"/>
          <w:sz w:val="32"/>
          <w:szCs w:val="32"/>
        </w:rPr>
        <w:t>年孤儿生活补助项目，设置了较为详细的项目支出绩效目标，项目绩效目标的设置，满足合理性和明确性的要求。</w:t>
      </w:r>
    </w:p>
    <w:p>
      <w:pPr>
        <w:pStyle w:val="5"/>
        <w:keepNext w:val="0"/>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hAnsi="仿宋_GB2312" w:eastAsia="仿宋_GB2312" w:cs="仿宋_GB2312"/>
          <w:b w:val="0"/>
          <w:bCs w:val="0"/>
          <w:kern w:val="2"/>
          <w:sz w:val="32"/>
          <w:szCs w:val="32"/>
        </w:rPr>
      </w:pPr>
      <w:r>
        <w:rPr>
          <w:rFonts w:hint="eastAsia" w:ascii="仿宋_GB2312" w:hAnsi="仿宋_GB2312" w:eastAsia="仿宋_GB2312" w:cs="仿宋_GB2312"/>
          <w:b w:val="0"/>
          <w:bCs w:val="0"/>
          <w:kern w:val="2"/>
          <w:sz w:val="32"/>
          <w:szCs w:val="32"/>
        </w:rPr>
        <w:t>对于“资金投入”，儿童福利院针对20</w:t>
      </w:r>
      <w:r>
        <w:rPr>
          <w:rFonts w:ascii="仿宋_GB2312" w:hAnsi="仿宋_GB2312" w:eastAsia="仿宋_GB2312" w:cs="仿宋_GB2312"/>
          <w:b w:val="0"/>
          <w:bCs w:val="0"/>
          <w:kern w:val="2"/>
          <w:sz w:val="32"/>
          <w:szCs w:val="32"/>
        </w:rPr>
        <w:t>20</w:t>
      </w:r>
      <w:r>
        <w:rPr>
          <w:rFonts w:hint="eastAsia" w:ascii="仿宋_GB2312" w:hAnsi="仿宋_GB2312" w:eastAsia="仿宋_GB2312" w:cs="仿宋_GB2312"/>
          <w:b w:val="0"/>
          <w:bCs w:val="0"/>
          <w:kern w:val="2"/>
          <w:sz w:val="32"/>
          <w:szCs w:val="32"/>
        </w:rPr>
        <w:t>年孤儿生活补助项目，资金全部投入到位，总到位资</w:t>
      </w:r>
      <w:r>
        <w:rPr>
          <w:rFonts w:ascii="仿宋_GB2312" w:hAnsi="仿宋_GB2312" w:eastAsia="仿宋_GB2312" w:cs="仿宋_GB2312"/>
          <w:b w:val="0"/>
          <w:bCs w:val="0"/>
          <w:kern w:val="2"/>
          <w:sz w:val="32"/>
          <w:szCs w:val="32"/>
        </w:rPr>
        <w:t>24.696</w:t>
      </w:r>
      <w:r>
        <w:rPr>
          <w:rFonts w:hint="eastAsia" w:ascii="仿宋_GB2312" w:hAnsi="仿宋_GB2312" w:eastAsia="仿宋_GB2312" w:cs="仿宋_GB2312"/>
          <w:b w:val="0"/>
          <w:bCs w:val="0"/>
          <w:kern w:val="2"/>
          <w:sz w:val="32"/>
          <w:szCs w:val="32"/>
        </w:rPr>
        <w:t>万元。根据评分标准，该指标实际得分率100%。</w:t>
      </w:r>
    </w:p>
    <w:p>
      <w:pPr>
        <w:pStyle w:val="2"/>
        <w:pageBreakBefore w:val="0"/>
        <w:kinsoku/>
        <w:wordWrap/>
        <w:overflowPunct/>
        <w:topLinePunct w:val="0"/>
        <w:autoSpaceDE/>
        <w:autoSpaceDN/>
        <w:bidi w:val="0"/>
        <w:adjustRightInd/>
        <w:snapToGrid/>
        <w:spacing w:before="0" w:after="0" w:line="560" w:lineRule="exact"/>
        <w:ind w:firstLine="321" w:firstLineChars="100"/>
        <w:jc w:val="both"/>
        <w:textAlignment w:val="auto"/>
        <w:rPr>
          <w:rFonts w:ascii="楷体_GB2312" w:hAnsi="楷体_GB2312" w:eastAsia="楷体_GB2312" w:cs="楷体_GB2312"/>
        </w:rPr>
      </w:pPr>
      <w:r>
        <w:rPr>
          <w:rFonts w:hint="eastAsia" w:ascii="楷体_GB2312" w:hAnsi="楷体_GB2312" w:eastAsia="楷体_GB2312" w:cs="楷体_GB2312"/>
        </w:rPr>
        <w:t>（二）项目过程情况</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项目过程指标从资金到位率、预算执行率、资金使用合规性、管理制度健全性、制度执行有效性5个方面对项目的过程管理情况进行考察。项目过程类指标分值</w:t>
      </w:r>
      <w:r>
        <w:rPr>
          <w:rFonts w:ascii="仿宋_GB2312" w:hAnsi="仿宋_GB2312" w:eastAsia="仿宋_GB2312" w:cs="仿宋_GB2312"/>
          <w:sz w:val="32"/>
          <w:szCs w:val="32"/>
        </w:rPr>
        <w:t>5</w:t>
      </w:r>
      <w:r>
        <w:rPr>
          <w:rFonts w:hint="eastAsia" w:ascii="仿宋_GB2312" w:hAnsi="仿宋_GB2312" w:eastAsia="仿宋_GB2312" w:cs="仿宋_GB2312"/>
          <w:sz w:val="32"/>
          <w:szCs w:val="32"/>
        </w:rPr>
        <w:t>分，实际得分4</w:t>
      </w:r>
      <w:r>
        <w:rPr>
          <w:rFonts w:ascii="仿宋_GB2312" w:hAnsi="仿宋_GB2312" w:eastAsia="仿宋_GB2312" w:cs="仿宋_GB2312"/>
          <w:sz w:val="32"/>
          <w:szCs w:val="32"/>
        </w:rPr>
        <w:t>.8</w:t>
      </w:r>
      <w:r>
        <w:rPr>
          <w:rFonts w:hint="eastAsia" w:ascii="仿宋_GB2312" w:hAnsi="仿宋_GB2312" w:eastAsia="仿宋_GB2312" w:cs="仿宋_GB2312"/>
          <w:sz w:val="32"/>
          <w:szCs w:val="32"/>
        </w:rPr>
        <w:t>分，得分率为</w:t>
      </w:r>
      <w:r>
        <w:rPr>
          <w:rFonts w:ascii="仿宋_GB2312" w:hAnsi="仿宋_GB2312" w:eastAsia="仿宋_GB2312" w:cs="仿宋_GB2312"/>
          <w:sz w:val="32"/>
          <w:szCs w:val="32"/>
        </w:rPr>
        <w:t>9</w:t>
      </w:r>
      <w:r>
        <w:rPr>
          <w:rFonts w:hint="eastAsia" w:ascii="仿宋_GB2312" w:hAnsi="仿宋_GB2312" w:eastAsia="仿宋_GB2312" w:cs="仿宋_GB2312"/>
          <w:sz w:val="32"/>
          <w:szCs w:val="32"/>
        </w:rPr>
        <w:t>6</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。项目管理指标得分情况如表所示。</w:t>
      </w:r>
    </w:p>
    <w:tbl>
      <w:tblPr>
        <w:tblStyle w:val="18"/>
        <w:tblW w:w="5000" w:type="pct"/>
        <w:tblInd w:w="0" w:type="dxa"/>
        <w:tblLayout w:type="autofit"/>
        <w:tblCellMar>
          <w:top w:w="0" w:type="dxa"/>
          <w:left w:w="108" w:type="dxa"/>
          <w:bottom w:w="0" w:type="dxa"/>
          <w:right w:w="108" w:type="dxa"/>
        </w:tblCellMar>
      </w:tblPr>
      <w:tblGrid>
        <w:gridCol w:w="2296"/>
        <w:gridCol w:w="2475"/>
        <w:gridCol w:w="2042"/>
        <w:gridCol w:w="1951"/>
      </w:tblGrid>
      <w:tr>
        <w:tblPrEx>
          <w:tblCellMar>
            <w:top w:w="0" w:type="dxa"/>
            <w:left w:w="108" w:type="dxa"/>
            <w:bottom w:w="0" w:type="dxa"/>
            <w:right w:w="108" w:type="dxa"/>
          </w:tblCellMar>
        </w:tblPrEx>
        <w:trPr>
          <w:trHeight w:val="495" w:hRule="atLeast"/>
          <w:tblHeader/>
        </w:trPr>
        <w:tc>
          <w:tcPr>
            <w:tcW w:w="5000" w:type="pct"/>
            <w:gridSpan w:val="4"/>
            <w:tcBorders>
              <w:top w:val="nil"/>
              <w:left w:val="nil"/>
              <w:bottom w:val="single" w:color="auto" w:sz="8" w:space="0"/>
              <w:right w:val="nil"/>
            </w:tcBorders>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方正仿宋_GBK" w:hAnsi="方正仿宋_GBK" w:eastAsia="方正仿宋_GBK" w:cs="方正仿宋_GBK"/>
                <w:color w:val="000000"/>
                <w:kern w:val="0"/>
                <w:sz w:val="24"/>
              </w:rPr>
            </w:pPr>
            <w:r>
              <w:rPr>
                <w:rFonts w:hint="eastAsia" w:ascii="方正仿宋_GBK" w:hAnsi="方正仿宋_GBK" w:eastAsia="方正仿宋_GBK" w:cs="方正仿宋_GBK"/>
                <w:color w:val="000000"/>
                <w:kern w:val="0"/>
                <w:sz w:val="24"/>
              </w:rPr>
              <w:t>项目过程指标得分情况</w:t>
            </w:r>
          </w:p>
        </w:tc>
      </w:tr>
      <w:tr>
        <w:tblPrEx>
          <w:tblCellMar>
            <w:top w:w="0" w:type="dxa"/>
            <w:left w:w="108" w:type="dxa"/>
            <w:bottom w:w="0" w:type="dxa"/>
            <w:right w:w="108" w:type="dxa"/>
          </w:tblCellMar>
        </w:tblPrEx>
        <w:trPr>
          <w:trHeight w:val="510" w:hRule="exact"/>
          <w:tblHeader/>
        </w:trPr>
        <w:tc>
          <w:tcPr>
            <w:tcW w:w="1310" w:type="pct"/>
            <w:tcBorders>
              <w:top w:val="nil"/>
              <w:left w:val="single" w:color="auto" w:sz="8" w:space="0"/>
              <w:bottom w:val="nil"/>
              <w:right w:val="single" w:color="auto" w:sz="8" w:space="0"/>
            </w:tcBorders>
            <w:shd w:val="clear" w:color="000000" w:fill="A6A6A6"/>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方正仿宋_GBK" w:hAnsi="方正仿宋_GBK" w:eastAsia="方正仿宋_GBK" w:cs="方正仿宋_GBK"/>
                <w:b/>
                <w:bCs/>
                <w:color w:val="000000"/>
                <w:kern w:val="0"/>
                <w:sz w:val="24"/>
              </w:rPr>
            </w:pPr>
            <w:r>
              <w:rPr>
                <w:rFonts w:hint="eastAsia" w:ascii="方正仿宋_GBK" w:hAnsi="方正仿宋_GBK" w:eastAsia="方正仿宋_GBK" w:cs="方正仿宋_GBK"/>
                <w:b/>
                <w:bCs/>
                <w:color w:val="000000"/>
                <w:kern w:val="0"/>
                <w:sz w:val="24"/>
              </w:rPr>
              <w:t>三级指标</w:t>
            </w:r>
          </w:p>
        </w:tc>
        <w:tc>
          <w:tcPr>
            <w:tcW w:w="1412" w:type="pct"/>
            <w:tcBorders>
              <w:top w:val="nil"/>
              <w:left w:val="nil"/>
              <w:bottom w:val="nil"/>
              <w:right w:val="single" w:color="auto" w:sz="8" w:space="0"/>
            </w:tcBorders>
            <w:shd w:val="clear" w:color="000000" w:fill="A6A6A6"/>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方正仿宋_GBK" w:hAnsi="方正仿宋_GBK" w:eastAsia="方正仿宋_GBK" w:cs="方正仿宋_GBK"/>
                <w:b/>
                <w:bCs/>
                <w:color w:val="000000"/>
                <w:kern w:val="0"/>
                <w:sz w:val="24"/>
              </w:rPr>
            </w:pPr>
            <w:r>
              <w:rPr>
                <w:rFonts w:hint="eastAsia" w:ascii="方正仿宋_GBK" w:hAnsi="方正仿宋_GBK" w:eastAsia="方正仿宋_GBK" w:cs="方正仿宋_GBK"/>
                <w:b/>
                <w:bCs/>
                <w:color w:val="000000"/>
                <w:kern w:val="0"/>
                <w:sz w:val="24"/>
              </w:rPr>
              <w:t>权重</w:t>
            </w:r>
          </w:p>
        </w:tc>
        <w:tc>
          <w:tcPr>
            <w:tcW w:w="1165" w:type="pct"/>
            <w:tcBorders>
              <w:top w:val="nil"/>
              <w:left w:val="nil"/>
              <w:bottom w:val="nil"/>
              <w:right w:val="single" w:color="auto" w:sz="8" w:space="0"/>
            </w:tcBorders>
            <w:shd w:val="clear" w:color="000000" w:fill="A6A6A6"/>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方正仿宋_GBK" w:hAnsi="方正仿宋_GBK" w:eastAsia="方正仿宋_GBK" w:cs="方正仿宋_GBK"/>
                <w:b/>
                <w:bCs/>
                <w:color w:val="000000"/>
                <w:kern w:val="0"/>
                <w:sz w:val="24"/>
              </w:rPr>
            </w:pPr>
            <w:r>
              <w:rPr>
                <w:rFonts w:hint="eastAsia" w:ascii="方正仿宋_GBK" w:hAnsi="方正仿宋_GBK" w:eastAsia="方正仿宋_GBK" w:cs="方正仿宋_GBK"/>
                <w:b/>
                <w:bCs/>
                <w:color w:val="000000"/>
                <w:kern w:val="0"/>
                <w:sz w:val="24"/>
              </w:rPr>
              <w:t>得分率</w:t>
            </w:r>
          </w:p>
        </w:tc>
        <w:tc>
          <w:tcPr>
            <w:tcW w:w="1111" w:type="pct"/>
            <w:tcBorders>
              <w:top w:val="nil"/>
              <w:left w:val="nil"/>
              <w:bottom w:val="nil"/>
              <w:right w:val="single" w:color="auto" w:sz="8" w:space="0"/>
            </w:tcBorders>
            <w:shd w:val="clear" w:color="000000" w:fill="A6A6A6"/>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方正仿宋_GBK" w:hAnsi="方正仿宋_GBK" w:eastAsia="方正仿宋_GBK" w:cs="方正仿宋_GBK"/>
                <w:b/>
                <w:bCs/>
                <w:color w:val="000000"/>
                <w:kern w:val="0"/>
                <w:sz w:val="24"/>
              </w:rPr>
            </w:pPr>
            <w:r>
              <w:rPr>
                <w:rFonts w:hint="eastAsia" w:ascii="方正仿宋_GBK" w:hAnsi="方正仿宋_GBK" w:eastAsia="方正仿宋_GBK" w:cs="方正仿宋_GBK"/>
                <w:b/>
                <w:bCs/>
                <w:color w:val="000000"/>
                <w:kern w:val="0"/>
                <w:sz w:val="24"/>
              </w:rPr>
              <w:t>实际得分</w:t>
            </w:r>
          </w:p>
        </w:tc>
      </w:tr>
      <w:tr>
        <w:tblPrEx>
          <w:tblCellMar>
            <w:top w:w="0" w:type="dxa"/>
            <w:left w:w="108" w:type="dxa"/>
            <w:bottom w:w="0" w:type="dxa"/>
            <w:right w:w="108" w:type="dxa"/>
          </w:tblCellMar>
        </w:tblPrEx>
        <w:trPr>
          <w:trHeight w:val="510" w:hRule="exact"/>
        </w:trPr>
        <w:tc>
          <w:tcPr>
            <w:tcW w:w="1310" w:type="pct"/>
            <w:tcBorders>
              <w:top w:val="single" w:color="auto" w:sz="4" w:space="0"/>
              <w:left w:val="single" w:color="auto" w:sz="4" w:space="0"/>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rPr>
            </w:pPr>
            <w:r>
              <w:rPr>
                <w:rFonts w:hint="eastAsia" w:ascii="宋体" w:hAnsi="宋体" w:eastAsia="宋体" w:cs="宋体"/>
                <w:sz w:val="18"/>
                <w:szCs w:val="18"/>
              </w:rPr>
              <w:t>预算执行率</w:t>
            </w:r>
          </w:p>
        </w:tc>
        <w:tc>
          <w:tcPr>
            <w:tcW w:w="2475" w:type="dxa"/>
            <w:tcBorders>
              <w:top w:val="single" w:color="auto" w:sz="4" w:space="0"/>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1165" w:type="pct"/>
            <w:tcBorders>
              <w:top w:val="single" w:color="auto" w:sz="4" w:space="0"/>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80%</w:t>
            </w:r>
          </w:p>
        </w:tc>
        <w:tc>
          <w:tcPr>
            <w:tcW w:w="1897" w:type="dxa"/>
            <w:tcBorders>
              <w:top w:val="single" w:color="auto" w:sz="4" w:space="0"/>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0.8</w:t>
            </w:r>
          </w:p>
        </w:tc>
      </w:tr>
      <w:tr>
        <w:tblPrEx>
          <w:tblCellMar>
            <w:top w:w="0" w:type="dxa"/>
            <w:left w:w="108" w:type="dxa"/>
            <w:bottom w:w="0" w:type="dxa"/>
            <w:right w:w="108" w:type="dxa"/>
          </w:tblCellMar>
        </w:tblPrEx>
        <w:trPr>
          <w:trHeight w:val="510" w:hRule="exact"/>
        </w:trPr>
        <w:tc>
          <w:tcPr>
            <w:tcW w:w="1310" w:type="pct"/>
            <w:tcBorders>
              <w:top w:val="nil"/>
              <w:left w:val="single" w:color="auto" w:sz="4" w:space="0"/>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资金到位率</w:t>
            </w:r>
          </w:p>
        </w:tc>
        <w:tc>
          <w:tcPr>
            <w:tcW w:w="2475"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1165" w:type="pct"/>
            <w:tcBorders>
              <w:top w:val="nil"/>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1897"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r>
      <w:tr>
        <w:tblPrEx>
          <w:tblCellMar>
            <w:top w:w="0" w:type="dxa"/>
            <w:left w:w="108" w:type="dxa"/>
            <w:bottom w:w="0" w:type="dxa"/>
            <w:right w:w="108" w:type="dxa"/>
          </w:tblCellMar>
        </w:tblPrEx>
        <w:trPr>
          <w:trHeight w:val="510" w:hRule="exact"/>
        </w:trPr>
        <w:tc>
          <w:tcPr>
            <w:tcW w:w="1310" w:type="pct"/>
            <w:tcBorders>
              <w:top w:val="nil"/>
              <w:left w:val="single" w:color="auto" w:sz="4" w:space="0"/>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rPr>
            </w:pPr>
            <w:r>
              <w:rPr>
                <w:rFonts w:hint="eastAsia" w:ascii="宋体" w:hAnsi="宋体" w:eastAsia="宋体" w:cs="宋体"/>
                <w:sz w:val="18"/>
                <w:szCs w:val="18"/>
              </w:rPr>
              <w:t>资金使用合规性</w:t>
            </w:r>
          </w:p>
        </w:tc>
        <w:tc>
          <w:tcPr>
            <w:tcW w:w="2475"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1165" w:type="pct"/>
            <w:tcBorders>
              <w:top w:val="nil"/>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1897"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r>
      <w:tr>
        <w:tblPrEx>
          <w:tblCellMar>
            <w:top w:w="0" w:type="dxa"/>
            <w:left w:w="108" w:type="dxa"/>
            <w:bottom w:w="0" w:type="dxa"/>
            <w:right w:w="108" w:type="dxa"/>
          </w:tblCellMar>
        </w:tblPrEx>
        <w:trPr>
          <w:trHeight w:val="510" w:hRule="exact"/>
        </w:trPr>
        <w:tc>
          <w:tcPr>
            <w:tcW w:w="1310" w:type="pct"/>
            <w:tcBorders>
              <w:top w:val="nil"/>
              <w:left w:val="single" w:color="auto" w:sz="4" w:space="0"/>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rPr>
            </w:pPr>
            <w:r>
              <w:rPr>
                <w:rFonts w:hint="eastAsia" w:ascii="宋体" w:hAnsi="宋体" w:eastAsia="宋体" w:cs="宋体"/>
                <w:sz w:val="18"/>
                <w:szCs w:val="18"/>
              </w:rPr>
              <w:t>管理制度健全性</w:t>
            </w:r>
          </w:p>
        </w:tc>
        <w:tc>
          <w:tcPr>
            <w:tcW w:w="2475"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1165" w:type="pct"/>
            <w:tcBorders>
              <w:top w:val="nil"/>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1897"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r>
      <w:tr>
        <w:tblPrEx>
          <w:tblCellMar>
            <w:top w:w="0" w:type="dxa"/>
            <w:left w:w="108" w:type="dxa"/>
            <w:bottom w:w="0" w:type="dxa"/>
            <w:right w:w="108" w:type="dxa"/>
          </w:tblCellMar>
        </w:tblPrEx>
        <w:trPr>
          <w:trHeight w:val="510" w:hRule="exact"/>
        </w:trPr>
        <w:tc>
          <w:tcPr>
            <w:tcW w:w="1310" w:type="pct"/>
            <w:tcBorders>
              <w:top w:val="nil"/>
              <w:left w:val="single" w:color="auto" w:sz="4" w:space="0"/>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制度执行有效性</w:t>
            </w:r>
          </w:p>
        </w:tc>
        <w:tc>
          <w:tcPr>
            <w:tcW w:w="2475"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1165" w:type="pct"/>
            <w:tcBorders>
              <w:top w:val="nil"/>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1897"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r>
      <w:tr>
        <w:tblPrEx>
          <w:tblCellMar>
            <w:top w:w="0" w:type="dxa"/>
            <w:left w:w="108" w:type="dxa"/>
            <w:bottom w:w="0" w:type="dxa"/>
            <w:right w:w="108" w:type="dxa"/>
          </w:tblCellMar>
        </w:tblPrEx>
        <w:trPr>
          <w:trHeight w:val="510" w:hRule="exact"/>
        </w:trPr>
        <w:tc>
          <w:tcPr>
            <w:tcW w:w="1310" w:type="pct"/>
            <w:tcBorders>
              <w:top w:val="single" w:color="auto" w:sz="4" w:space="0"/>
              <w:left w:val="single" w:color="auto" w:sz="4" w:space="0"/>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合  计</w:t>
            </w:r>
          </w:p>
        </w:tc>
        <w:tc>
          <w:tcPr>
            <w:tcW w:w="1412" w:type="pct"/>
            <w:tcBorders>
              <w:top w:val="single" w:color="auto" w:sz="4" w:space="0"/>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5</w:t>
            </w:r>
          </w:p>
        </w:tc>
        <w:tc>
          <w:tcPr>
            <w:tcW w:w="1165" w:type="pct"/>
            <w:tcBorders>
              <w:top w:val="single" w:color="auto" w:sz="4" w:space="0"/>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96%</w:t>
            </w:r>
          </w:p>
        </w:tc>
        <w:tc>
          <w:tcPr>
            <w:tcW w:w="1897" w:type="dxa"/>
            <w:tcBorders>
              <w:top w:val="single" w:color="auto" w:sz="4" w:space="0"/>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4.8</w:t>
            </w:r>
          </w:p>
        </w:tc>
      </w:tr>
    </w:tbl>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对于“预算执行率”，项目经过向本级财政申请资金，</w:t>
      </w:r>
      <w:r>
        <w:rPr>
          <w:rFonts w:ascii="仿宋_GB2312" w:hAnsi="仿宋_GB2312" w:eastAsia="仿宋_GB2312" w:cs="仿宋_GB2312"/>
          <w:sz w:val="32"/>
          <w:szCs w:val="32"/>
        </w:rPr>
        <w:t>2020</w:t>
      </w:r>
      <w:r>
        <w:rPr>
          <w:rFonts w:hint="eastAsia" w:ascii="仿宋_GB2312" w:hAnsi="仿宋_GB2312" w:eastAsia="仿宋_GB2312" w:cs="仿宋_GB2312"/>
          <w:sz w:val="32"/>
          <w:szCs w:val="32"/>
        </w:rPr>
        <w:t>年取得财政拨款资金</w:t>
      </w:r>
      <w:r>
        <w:rPr>
          <w:rFonts w:ascii="仿宋_GB2312" w:hAnsi="仿宋_GB2312" w:eastAsia="仿宋_GB2312" w:cs="仿宋_GB2312"/>
          <w:sz w:val="32"/>
          <w:szCs w:val="32"/>
        </w:rPr>
        <w:t>24.696</w:t>
      </w:r>
      <w:r>
        <w:rPr>
          <w:rFonts w:hint="eastAsia" w:ascii="仿宋_GB2312" w:hAnsi="仿宋_GB2312" w:eastAsia="仿宋_GB2312" w:cs="仿宋_GB2312"/>
          <w:sz w:val="32"/>
          <w:szCs w:val="32"/>
        </w:rPr>
        <w:t>万元，项目资金预算经过集体讨论，并经批复。项目预算资金为</w:t>
      </w:r>
      <w:r>
        <w:rPr>
          <w:rFonts w:ascii="仿宋_GB2312" w:hAnsi="仿宋_GB2312" w:eastAsia="仿宋_GB2312" w:cs="仿宋_GB2312"/>
          <w:sz w:val="32"/>
          <w:szCs w:val="32"/>
        </w:rPr>
        <w:t>24.696</w:t>
      </w:r>
      <w:r>
        <w:rPr>
          <w:rFonts w:hint="eastAsia" w:ascii="仿宋_GB2312" w:hAnsi="仿宋_GB2312" w:eastAsia="仿宋_GB2312" w:cs="仿宋_GB2312"/>
          <w:sz w:val="32"/>
          <w:szCs w:val="32"/>
        </w:rPr>
        <w:t>万元，实际使用</w:t>
      </w:r>
      <w:r>
        <w:rPr>
          <w:rFonts w:ascii="仿宋_GB2312" w:hAnsi="仿宋_GB2312" w:eastAsia="仿宋_GB2312" w:cs="仿宋_GB2312"/>
          <w:sz w:val="32"/>
          <w:szCs w:val="32"/>
        </w:rPr>
        <w:t>24.66</w:t>
      </w:r>
      <w:r>
        <w:rPr>
          <w:rFonts w:hint="eastAsia" w:ascii="仿宋_GB2312" w:hAnsi="仿宋_GB2312" w:eastAsia="仿宋_GB2312" w:cs="仿宋_GB2312"/>
          <w:sz w:val="32"/>
          <w:szCs w:val="32"/>
        </w:rPr>
        <w:t>万元。根据评分标准，该指标实际得分率</w:t>
      </w:r>
      <w:r>
        <w:rPr>
          <w:rFonts w:hint="eastAsia" w:ascii="仿宋_GB2312" w:hAnsi="仿宋_GB2312" w:eastAsia="仿宋_GB2312" w:cs="仿宋_GB2312"/>
          <w:sz w:val="32"/>
          <w:szCs w:val="32"/>
          <w:lang w:val="en-US" w:eastAsia="zh-CN"/>
        </w:rPr>
        <w:t>99.85</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，得分</w:t>
      </w:r>
      <w:r>
        <w:rPr>
          <w:rFonts w:hint="eastAsia" w:ascii="仿宋_GB2312" w:hAnsi="仿宋_GB2312" w:eastAsia="仿宋_GB2312" w:cs="仿宋_GB2312"/>
          <w:sz w:val="32"/>
          <w:szCs w:val="32"/>
          <w:lang w:val="en-US" w:eastAsia="zh-CN"/>
        </w:rPr>
        <w:t>9.9</w:t>
      </w:r>
      <w:r>
        <w:rPr>
          <w:rFonts w:hint="eastAsia" w:ascii="仿宋_GB2312" w:hAnsi="仿宋_GB2312" w:eastAsia="仿宋_GB2312" w:cs="仿宋_GB2312"/>
          <w:sz w:val="32"/>
          <w:szCs w:val="32"/>
        </w:rPr>
        <w:t>分。</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对于“资金到位率”，项目资金到位及时，到位率为</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。根据评分标准，该指标不扣分。</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对于“资金使用合规性”20</w:t>
      </w:r>
      <w:r>
        <w:rPr>
          <w:rFonts w:ascii="仿宋_GB2312" w:hAnsi="仿宋_GB2312" w:eastAsia="仿宋_GB2312" w:cs="仿宋_GB2312"/>
          <w:sz w:val="32"/>
          <w:szCs w:val="32"/>
        </w:rPr>
        <w:t>20</w:t>
      </w:r>
      <w:r>
        <w:rPr>
          <w:rFonts w:hint="eastAsia" w:ascii="仿宋_GB2312" w:hAnsi="仿宋_GB2312" w:eastAsia="仿宋_GB2312" w:cs="仿宋_GB2312"/>
          <w:sz w:val="32"/>
          <w:szCs w:val="32"/>
        </w:rPr>
        <w:t>年孤儿生活补助项目塔城地区儿童福利院按照专项资金列支的范围使用资金，支出范围合规；资金支出能按财务制度执行，并能按国库集中支付制度规定执行，不存在资金违纪违规使用情况。按评分标准，指标实际得分率100</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对于“管理制度健全性”，塔城地区儿童福利院20</w:t>
      </w:r>
      <w:r>
        <w:rPr>
          <w:rFonts w:ascii="仿宋_GB2312" w:hAnsi="仿宋_GB2312" w:eastAsia="仿宋_GB2312" w:cs="仿宋_GB2312"/>
          <w:sz w:val="32"/>
          <w:szCs w:val="32"/>
        </w:rPr>
        <w:t>20</w:t>
      </w:r>
      <w:r>
        <w:rPr>
          <w:rFonts w:hint="eastAsia" w:ascii="仿宋_GB2312" w:hAnsi="仿宋_GB2312" w:eastAsia="仿宋_GB2312" w:cs="仿宋_GB2312"/>
          <w:sz w:val="32"/>
          <w:szCs w:val="32"/>
        </w:rPr>
        <w:t>年孤儿生活补助项目儿童福利院机构健全，分工明确，不存在不相容岗位兼任情况。根据评分标准，该指标不扣分。</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对于“制度执行有效性”，塔城地区儿童福利院20</w:t>
      </w:r>
      <w:r>
        <w:rPr>
          <w:rFonts w:ascii="仿宋_GB2312" w:hAnsi="仿宋_GB2312" w:eastAsia="仿宋_GB2312" w:cs="仿宋_GB2312"/>
          <w:sz w:val="32"/>
          <w:szCs w:val="32"/>
        </w:rPr>
        <w:t>20</w:t>
      </w:r>
      <w:r>
        <w:rPr>
          <w:rFonts w:hint="eastAsia" w:ascii="仿宋_GB2312" w:hAnsi="仿宋_GB2312" w:eastAsia="仿宋_GB2312" w:cs="仿宋_GB2312"/>
          <w:sz w:val="32"/>
          <w:szCs w:val="32"/>
        </w:rPr>
        <w:t>年孤儿生活补助项目制定了项目资金管理制度，管理制度包括预算、资产、采购等管理办法.</w:t>
      </w:r>
    </w:p>
    <w:p>
      <w:pPr>
        <w:pStyle w:val="2"/>
        <w:pageBreakBefore w:val="0"/>
        <w:kinsoku/>
        <w:wordWrap/>
        <w:overflowPunct/>
        <w:topLinePunct w:val="0"/>
        <w:autoSpaceDE/>
        <w:autoSpaceDN/>
        <w:bidi w:val="0"/>
        <w:adjustRightInd/>
        <w:snapToGrid/>
        <w:spacing w:before="0" w:after="0" w:line="560" w:lineRule="exact"/>
        <w:ind w:firstLine="321" w:firstLineChars="100"/>
        <w:jc w:val="both"/>
        <w:textAlignment w:val="auto"/>
        <w:rPr>
          <w:rFonts w:ascii="楷体_GB2312" w:hAnsi="楷体_GB2312" w:eastAsia="楷体_GB2312" w:cs="楷体_GB2312"/>
        </w:rPr>
      </w:pPr>
      <w:r>
        <w:rPr>
          <w:rFonts w:hint="eastAsia" w:ascii="楷体_GB2312" w:hAnsi="楷体_GB2312" w:eastAsia="楷体_GB2312" w:cs="楷体_GB2312"/>
        </w:rPr>
        <w:t>（三）项目产出</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项目产出主要从项目的产出数量、产出质量、产出时效、成本情况4个方面对项目的绩效情况进行评价。项目产出类指标分值50分，实际得分50分，得分率为100</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。项目绩效指标得分情况如表所示：</w:t>
      </w:r>
    </w:p>
    <w:tbl>
      <w:tblPr>
        <w:tblStyle w:val="18"/>
        <w:tblW w:w="4971" w:type="pct"/>
        <w:tblInd w:w="0" w:type="dxa"/>
        <w:tblLayout w:type="autofit"/>
        <w:tblCellMar>
          <w:top w:w="0" w:type="dxa"/>
          <w:left w:w="108" w:type="dxa"/>
          <w:bottom w:w="0" w:type="dxa"/>
          <w:right w:w="108" w:type="dxa"/>
        </w:tblCellMar>
      </w:tblPr>
      <w:tblGrid>
        <w:gridCol w:w="2588"/>
        <w:gridCol w:w="2042"/>
        <w:gridCol w:w="2041"/>
        <w:gridCol w:w="2042"/>
      </w:tblGrid>
      <w:tr>
        <w:tblPrEx>
          <w:tblCellMar>
            <w:top w:w="0" w:type="dxa"/>
            <w:left w:w="108" w:type="dxa"/>
            <w:bottom w:w="0" w:type="dxa"/>
            <w:right w:w="108" w:type="dxa"/>
          </w:tblCellMar>
        </w:tblPrEx>
        <w:trPr>
          <w:trHeight w:val="510" w:hRule="exact"/>
          <w:tblHeader/>
        </w:trPr>
        <w:tc>
          <w:tcPr>
            <w:tcW w:w="1485" w:type="pct"/>
            <w:tcBorders>
              <w:top w:val="single" w:color="auto" w:sz="4" w:space="0"/>
              <w:left w:val="single" w:color="auto" w:sz="8" w:space="0"/>
              <w:bottom w:val="single" w:color="auto" w:sz="4" w:space="0"/>
              <w:right w:val="single" w:color="auto" w:sz="8" w:space="0"/>
            </w:tcBorders>
            <w:shd w:val="clear" w:color="000000" w:fill="A6A6A6"/>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方正仿宋_GBK" w:hAnsi="Tahoma" w:eastAsia="方正仿宋_GBK" w:cs="Tahoma"/>
                <w:b/>
                <w:bCs/>
                <w:color w:val="000000"/>
                <w:kern w:val="0"/>
                <w:sz w:val="22"/>
                <w:szCs w:val="22"/>
              </w:rPr>
            </w:pPr>
            <w:r>
              <w:rPr>
                <w:rFonts w:hint="eastAsia" w:ascii="方正仿宋_GBK" w:hAnsi="Tahoma" w:eastAsia="方正仿宋_GBK" w:cs="Tahoma"/>
                <w:b/>
                <w:bCs/>
                <w:color w:val="000000"/>
                <w:kern w:val="0"/>
                <w:sz w:val="22"/>
                <w:szCs w:val="22"/>
              </w:rPr>
              <w:t>三级指标</w:t>
            </w:r>
          </w:p>
        </w:tc>
        <w:tc>
          <w:tcPr>
            <w:tcW w:w="1172" w:type="pct"/>
            <w:tcBorders>
              <w:top w:val="single" w:color="auto" w:sz="4" w:space="0"/>
              <w:left w:val="nil"/>
              <w:bottom w:val="single" w:color="auto" w:sz="4" w:space="0"/>
              <w:right w:val="single" w:color="auto" w:sz="8" w:space="0"/>
            </w:tcBorders>
            <w:shd w:val="clear" w:color="000000" w:fill="A6A6A6"/>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方正仿宋_GBK" w:hAnsi="Tahoma" w:eastAsia="方正仿宋_GBK" w:cs="Tahoma"/>
                <w:b/>
                <w:bCs/>
                <w:color w:val="000000"/>
                <w:kern w:val="0"/>
                <w:sz w:val="22"/>
                <w:szCs w:val="22"/>
              </w:rPr>
            </w:pPr>
            <w:r>
              <w:rPr>
                <w:rFonts w:hint="eastAsia" w:ascii="方正仿宋_GBK" w:hAnsi="Tahoma" w:eastAsia="方正仿宋_GBK" w:cs="Tahoma"/>
                <w:b/>
                <w:bCs/>
                <w:color w:val="000000"/>
                <w:kern w:val="0"/>
                <w:sz w:val="22"/>
                <w:szCs w:val="22"/>
              </w:rPr>
              <w:t>权重</w:t>
            </w:r>
          </w:p>
        </w:tc>
        <w:tc>
          <w:tcPr>
            <w:tcW w:w="1171" w:type="pct"/>
            <w:tcBorders>
              <w:top w:val="single" w:color="auto" w:sz="4" w:space="0"/>
              <w:left w:val="nil"/>
              <w:bottom w:val="single" w:color="auto" w:sz="4" w:space="0"/>
              <w:right w:val="single" w:color="auto" w:sz="8" w:space="0"/>
            </w:tcBorders>
            <w:shd w:val="clear" w:color="000000" w:fill="A6A6A6"/>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方正仿宋_GBK" w:hAnsi="Tahoma" w:eastAsia="方正仿宋_GBK" w:cs="Tahoma"/>
                <w:b/>
                <w:bCs/>
                <w:color w:val="000000"/>
                <w:kern w:val="0"/>
                <w:sz w:val="22"/>
                <w:szCs w:val="22"/>
              </w:rPr>
            </w:pPr>
            <w:r>
              <w:rPr>
                <w:rFonts w:hint="eastAsia" w:ascii="方正仿宋_GBK" w:hAnsi="Tahoma" w:eastAsia="方正仿宋_GBK" w:cs="Tahoma"/>
                <w:b/>
                <w:bCs/>
                <w:color w:val="000000"/>
                <w:kern w:val="0"/>
                <w:sz w:val="22"/>
                <w:szCs w:val="22"/>
              </w:rPr>
              <w:t>得分率</w:t>
            </w:r>
          </w:p>
        </w:tc>
        <w:tc>
          <w:tcPr>
            <w:tcW w:w="1172" w:type="pct"/>
            <w:tcBorders>
              <w:top w:val="single" w:color="auto" w:sz="4" w:space="0"/>
              <w:left w:val="nil"/>
              <w:bottom w:val="single" w:color="auto" w:sz="4" w:space="0"/>
              <w:right w:val="single" w:color="auto" w:sz="8" w:space="0"/>
            </w:tcBorders>
            <w:shd w:val="clear" w:color="000000" w:fill="A6A6A6"/>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方正仿宋_GBK" w:hAnsi="Tahoma" w:eastAsia="方正仿宋_GBK" w:cs="Tahoma"/>
                <w:b/>
                <w:bCs/>
                <w:color w:val="000000"/>
                <w:kern w:val="0"/>
                <w:sz w:val="22"/>
                <w:szCs w:val="22"/>
              </w:rPr>
            </w:pPr>
            <w:r>
              <w:rPr>
                <w:rFonts w:hint="eastAsia" w:ascii="方正仿宋_GBK" w:hAnsi="Tahoma" w:eastAsia="方正仿宋_GBK" w:cs="Tahoma"/>
                <w:b/>
                <w:bCs/>
                <w:color w:val="000000"/>
                <w:kern w:val="0"/>
                <w:sz w:val="22"/>
                <w:szCs w:val="22"/>
              </w:rPr>
              <w:t>实际得分</w:t>
            </w:r>
          </w:p>
        </w:tc>
      </w:tr>
      <w:tr>
        <w:tblPrEx>
          <w:tblCellMar>
            <w:top w:w="0" w:type="dxa"/>
            <w:left w:w="108" w:type="dxa"/>
            <w:bottom w:w="0" w:type="dxa"/>
            <w:right w:w="108" w:type="dxa"/>
          </w:tblCellMar>
        </w:tblPrEx>
        <w:trPr>
          <w:trHeight w:val="510" w:hRule="exact"/>
        </w:trPr>
        <w:tc>
          <w:tcPr>
            <w:tcW w:w="1485" w:type="pct"/>
            <w:tcBorders>
              <w:top w:val="single" w:color="auto" w:sz="4" w:space="0"/>
              <w:left w:val="single" w:color="auto" w:sz="4" w:space="0"/>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产出数量</w:t>
            </w:r>
          </w:p>
        </w:tc>
        <w:tc>
          <w:tcPr>
            <w:tcW w:w="1172" w:type="pct"/>
            <w:tcBorders>
              <w:top w:val="single" w:color="auto" w:sz="4" w:space="0"/>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15</w:t>
            </w:r>
          </w:p>
        </w:tc>
        <w:tc>
          <w:tcPr>
            <w:tcW w:w="1171" w:type="pct"/>
            <w:tcBorders>
              <w:top w:val="single" w:color="auto" w:sz="4" w:space="0"/>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2042" w:type="dxa"/>
            <w:tcBorders>
              <w:top w:val="single" w:color="auto" w:sz="4" w:space="0"/>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15</w:t>
            </w:r>
          </w:p>
        </w:tc>
      </w:tr>
      <w:tr>
        <w:tblPrEx>
          <w:tblCellMar>
            <w:top w:w="0" w:type="dxa"/>
            <w:left w:w="108" w:type="dxa"/>
            <w:bottom w:w="0" w:type="dxa"/>
            <w:right w:w="108" w:type="dxa"/>
          </w:tblCellMar>
        </w:tblPrEx>
        <w:trPr>
          <w:trHeight w:val="510" w:hRule="exact"/>
        </w:trPr>
        <w:tc>
          <w:tcPr>
            <w:tcW w:w="1485" w:type="pct"/>
            <w:tcBorders>
              <w:top w:val="single" w:color="auto" w:sz="4" w:space="0"/>
              <w:left w:val="single" w:color="auto" w:sz="4" w:space="0"/>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产出质量</w:t>
            </w:r>
          </w:p>
        </w:tc>
        <w:tc>
          <w:tcPr>
            <w:tcW w:w="1172" w:type="pct"/>
            <w:tcBorders>
              <w:top w:val="single" w:color="auto" w:sz="4" w:space="0"/>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1171" w:type="pct"/>
            <w:tcBorders>
              <w:top w:val="single" w:color="auto" w:sz="4" w:space="0"/>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2042" w:type="dxa"/>
            <w:tcBorders>
              <w:top w:val="single" w:color="auto" w:sz="4" w:space="0"/>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r>
      <w:tr>
        <w:tblPrEx>
          <w:tblCellMar>
            <w:top w:w="0" w:type="dxa"/>
            <w:left w:w="108" w:type="dxa"/>
            <w:bottom w:w="0" w:type="dxa"/>
            <w:right w:w="108" w:type="dxa"/>
          </w:tblCellMar>
        </w:tblPrEx>
        <w:trPr>
          <w:trHeight w:val="510" w:hRule="exact"/>
        </w:trPr>
        <w:tc>
          <w:tcPr>
            <w:tcW w:w="1485" w:type="pct"/>
            <w:tcBorders>
              <w:top w:val="nil"/>
              <w:left w:val="single" w:color="auto" w:sz="4" w:space="0"/>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产出时效</w:t>
            </w:r>
          </w:p>
        </w:tc>
        <w:tc>
          <w:tcPr>
            <w:tcW w:w="1172" w:type="pct"/>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15</w:t>
            </w:r>
          </w:p>
        </w:tc>
        <w:tc>
          <w:tcPr>
            <w:tcW w:w="1171" w:type="pct"/>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2042"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15</w:t>
            </w:r>
          </w:p>
        </w:tc>
      </w:tr>
      <w:tr>
        <w:tblPrEx>
          <w:tblCellMar>
            <w:top w:w="0" w:type="dxa"/>
            <w:left w:w="108" w:type="dxa"/>
            <w:bottom w:w="0" w:type="dxa"/>
            <w:right w:w="108" w:type="dxa"/>
          </w:tblCellMar>
        </w:tblPrEx>
        <w:trPr>
          <w:trHeight w:val="510" w:hRule="exact"/>
        </w:trPr>
        <w:tc>
          <w:tcPr>
            <w:tcW w:w="1485" w:type="pct"/>
            <w:tcBorders>
              <w:top w:val="nil"/>
              <w:left w:val="single" w:color="auto" w:sz="4" w:space="0"/>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成本情况</w:t>
            </w:r>
          </w:p>
        </w:tc>
        <w:tc>
          <w:tcPr>
            <w:tcW w:w="1172" w:type="pct"/>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1171" w:type="pct"/>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2042"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r>
      <w:tr>
        <w:tblPrEx>
          <w:tblCellMar>
            <w:top w:w="0" w:type="dxa"/>
            <w:left w:w="108" w:type="dxa"/>
            <w:bottom w:w="0" w:type="dxa"/>
            <w:right w:w="108" w:type="dxa"/>
          </w:tblCellMar>
        </w:tblPrEx>
        <w:trPr>
          <w:trHeight w:val="510" w:hRule="exact"/>
        </w:trPr>
        <w:tc>
          <w:tcPr>
            <w:tcW w:w="1485" w:type="pct"/>
            <w:tcBorders>
              <w:top w:val="nil"/>
              <w:left w:val="single" w:color="auto" w:sz="4" w:space="0"/>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合计</w:t>
            </w:r>
          </w:p>
        </w:tc>
        <w:tc>
          <w:tcPr>
            <w:tcW w:w="1172" w:type="pct"/>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50</w:t>
            </w:r>
          </w:p>
        </w:tc>
        <w:tc>
          <w:tcPr>
            <w:tcW w:w="1171" w:type="pct"/>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1172" w:type="pct"/>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50</w:t>
            </w:r>
          </w:p>
        </w:tc>
      </w:tr>
    </w:tbl>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数量指标：集中供养儿童的覆盖面，年度指标值=</w:t>
      </w:r>
      <w:r>
        <w:rPr>
          <w:rFonts w:ascii="仿宋_GB2312" w:hAnsi="仿宋_GB2312" w:eastAsia="仿宋_GB2312" w:cs="仿宋_GB2312"/>
          <w:sz w:val="32"/>
          <w:szCs w:val="32"/>
          <w:highlight w:val="none"/>
        </w:rPr>
        <w:t>42</w:t>
      </w:r>
      <w:r>
        <w:rPr>
          <w:rFonts w:hint="eastAsia" w:ascii="仿宋_GB2312" w:hAnsi="仿宋_GB2312" w:eastAsia="仿宋_GB2312" w:cs="仿宋_GB2312"/>
          <w:sz w:val="32"/>
          <w:szCs w:val="32"/>
          <w:highlight w:val="none"/>
        </w:rPr>
        <w:t>人实际完成值</w:t>
      </w:r>
      <w:r>
        <w:rPr>
          <w:rFonts w:ascii="仿宋_GB2312" w:hAnsi="仿宋_GB2312" w:eastAsia="仿宋_GB2312" w:cs="仿宋_GB2312"/>
          <w:sz w:val="32"/>
          <w:szCs w:val="32"/>
          <w:highlight w:val="none"/>
        </w:rPr>
        <w:t>42</w:t>
      </w:r>
      <w:r>
        <w:rPr>
          <w:rFonts w:hint="eastAsia" w:ascii="仿宋_GB2312" w:hAnsi="仿宋_GB2312" w:eastAsia="仿宋_GB2312" w:cs="仿宋_GB2312"/>
          <w:sz w:val="32"/>
          <w:szCs w:val="32"/>
          <w:highlight w:val="none"/>
        </w:rPr>
        <w:t>人，完成率</w:t>
      </w:r>
      <w:r>
        <w:rPr>
          <w:rFonts w:ascii="仿宋_GB2312" w:hAnsi="仿宋_GB2312" w:eastAsia="仿宋_GB2312" w:cs="仿宋_GB2312"/>
          <w:sz w:val="32"/>
          <w:szCs w:val="32"/>
          <w:highlight w:val="none"/>
        </w:rPr>
        <w:t>100</w:t>
      </w:r>
      <w:r>
        <w:rPr>
          <w:rFonts w:hint="eastAsia" w:ascii="仿宋_GB2312" w:hAnsi="仿宋_GB2312" w:eastAsia="仿宋_GB2312" w:cs="仿宋_GB2312"/>
          <w:sz w:val="32"/>
          <w:szCs w:val="32"/>
          <w:highlight w:val="none"/>
        </w:rPr>
        <w:t>%。</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集中供养儿童基本生活费按时发放次数，年度指标值</w:t>
      </w:r>
      <w:r>
        <w:rPr>
          <w:rFonts w:ascii="仿宋_GB2312" w:hAnsi="仿宋_GB2312" w:eastAsia="仿宋_GB2312" w:cs="仿宋_GB2312"/>
          <w:sz w:val="32"/>
          <w:szCs w:val="32"/>
          <w:highlight w:val="none"/>
        </w:rPr>
        <w:t>=12</w:t>
      </w:r>
      <w:r>
        <w:rPr>
          <w:rFonts w:hint="eastAsia" w:ascii="仿宋_GB2312" w:hAnsi="仿宋_GB2312" w:eastAsia="仿宋_GB2312" w:cs="仿宋_GB2312"/>
          <w:sz w:val="32"/>
          <w:szCs w:val="32"/>
          <w:highlight w:val="none"/>
        </w:rPr>
        <w:t>次，实际完成值</w:t>
      </w:r>
      <w:r>
        <w:rPr>
          <w:rFonts w:ascii="仿宋_GB2312" w:hAnsi="仿宋_GB2312" w:eastAsia="仿宋_GB2312" w:cs="仿宋_GB2312"/>
          <w:sz w:val="32"/>
          <w:szCs w:val="32"/>
          <w:highlight w:val="none"/>
        </w:rPr>
        <w:t>12</w:t>
      </w:r>
      <w:r>
        <w:rPr>
          <w:rFonts w:hint="eastAsia" w:ascii="仿宋_GB2312" w:hAnsi="仿宋_GB2312" w:eastAsia="仿宋_GB2312" w:cs="仿宋_GB2312"/>
          <w:sz w:val="32"/>
          <w:szCs w:val="32"/>
          <w:highlight w:val="none"/>
        </w:rPr>
        <w:t>次，完成率</w:t>
      </w:r>
      <w:r>
        <w:rPr>
          <w:rFonts w:ascii="仿宋_GB2312" w:hAnsi="仿宋_GB2312" w:eastAsia="仿宋_GB2312" w:cs="仿宋_GB2312"/>
          <w:sz w:val="32"/>
          <w:szCs w:val="32"/>
          <w:highlight w:val="none"/>
        </w:rPr>
        <w:t>100</w:t>
      </w:r>
      <w:r>
        <w:rPr>
          <w:rFonts w:hint="eastAsia" w:ascii="仿宋_GB2312" w:hAnsi="仿宋_GB2312" w:eastAsia="仿宋_GB2312" w:cs="仿宋_GB2312"/>
          <w:sz w:val="32"/>
          <w:szCs w:val="32"/>
          <w:highlight w:val="none"/>
        </w:rPr>
        <w:t>%。</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集中照料护理人数，年度指标值</w:t>
      </w:r>
      <w:r>
        <w:rPr>
          <w:rFonts w:ascii="仿宋_GB2312" w:hAnsi="仿宋_GB2312" w:eastAsia="仿宋_GB2312" w:cs="仿宋_GB2312"/>
          <w:sz w:val="32"/>
          <w:szCs w:val="32"/>
          <w:highlight w:val="none"/>
        </w:rPr>
        <w:t>=5</w:t>
      </w:r>
      <w:r>
        <w:rPr>
          <w:rFonts w:hint="eastAsia" w:ascii="仿宋_GB2312" w:hAnsi="仿宋_GB2312" w:eastAsia="仿宋_GB2312" w:cs="仿宋_GB2312"/>
          <w:sz w:val="32"/>
          <w:szCs w:val="32"/>
          <w:highlight w:val="none"/>
        </w:rPr>
        <w:t>人，实际完成值</w:t>
      </w:r>
      <w:r>
        <w:rPr>
          <w:rFonts w:ascii="仿宋_GB2312" w:hAnsi="仿宋_GB2312" w:eastAsia="仿宋_GB2312" w:cs="仿宋_GB2312"/>
          <w:sz w:val="32"/>
          <w:szCs w:val="32"/>
          <w:highlight w:val="none"/>
        </w:rPr>
        <w:t>5</w:t>
      </w:r>
      <w:r>
        <w:rPr>
          <w:rFonts w:hint="eastAsia" w:ascii="仿宋_GB2312" w:hAnsi="仿宋_GB2312" w:eastAsia="仿宋_GB2312" w:cs="仿宋_GB2312"/>
          <w:sz w:val="32"/>
          <w:szCs w:val="32"/>
          <w:highlight w:val="none"/>
        </w:rPr>
        <w:t>人，完成率</w:t>
      </w:r>
      <w:r>
        <w:rPr>
          <w:rFonts w:ascii="仿宋_GB2312" w:hAnsi="仿宋_GB2312" w:eastAsia="仿宋_GB2312" w:cs="仿宋_GB2312"/>
          <w:sz w:val="32"/>
          <w:szCs w:val="32"/>
          <w:highlight w:val="none"/>
        </w:rPr>
        <w:t>100</w:t>
      </w:r>
      <w:r>
        <w:rPr>
          <w:rFonts w:hint="eastAsia" w:ascii="仿宋_GB2312" w:hAnsi="仿宋_GB2312" w:eastAsia="仿宋_GB2312" w:cs="仿宋_GB2312"/>
          <w:sz w:val="32"/>
          <w:szCs w:val="32"/>
          <w:highlight w:val="none"/>
        </w:rPr>
        <w:t>%。</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质量指标：孤残儿童生活费发放率，年度指标值</w:t>
      </w:r>
      <w:r>
        <w:rPr>
          <w:rFonts w:ascii="仿宋_GB2312" w:hAnsi="仿宋_GB2312" w:eastAsia="仿宋_GB2312" w:cs="仿宋_GB2312"/>
          <w:sz w:val="32"/>
          <w:szCs w:val="32"/>
          <w:highlight w:val="none"/>
        </w:rPr>
        <w:t>=100%</w:t>
      </w:r>
      <w:r>
        <w:rPr>
          <w:rFonts w:hint="eastAsia" w:ascii="仿宋_GB2312" w:hAnsi="仿宋_GB2312" w:eastAsia="仿宋_GB2312" w:cs="仿宋_GB2312"/>
          <w:sz w:val="32"/>
          <w:szCs w:val="32"/>
          <w:highlight w:val="none"/>
        </w:rPr>
        <w:t>，实际完成值</w:t>
      </w:r>
      <w:r>
        <w:rPr>
          <w:rFonts w:ascii="仿宋_GB2312" w:hAnsi="仿宋_GB2312" w:eastAsia="仿宋_GB2312" w:cs="仿宋_GB2312"/>
          <w:sz w:val="32"/>
          <w:szCs w:val="32"/>
          <w:highlight w:val="none"/>
        </w:rPr>
        <w:t>100</w:t>
      </w:r>
      <w:r>
        <w:rPr>
          <w:rFonts w:hint="eastAsia" w:ascii="仿宋_GB2312" w:hAnsi="仿宋_GB2312" w:eastAsia="仿宋_GB2312" w:cs="仿宋_GB2312"/>
          <w:sz w:val="32"/>
          <w:szCs w:val="32"/>
          <w:highlight w:val="none"/>
        </w:rPr>
        <w:t>，完成率</w:t>
      </w:r>
      <w:r>
        <w:rPr>
          <w:rFonts w:ascii="仿宋_GB2312" w:hAnsi="仿宋_GB2312" w:eastAsia="仿宋_GB2312" w:cs="仿宋_GB2312"/>
          <w:sz w:val="32"/>
          <w:szCs w:val="32"/>
          <w:highlight w:val="none"/>
        </w:rPr>
        <w:t>100</w:t>
      </w:r>
      <w:r>
        <w:rPr>
          <w:rFonts w:hint="eastAsia" w:ascii="仿宋_GB2312" w:hAnsi="仿宋_GB2312" w:eastAsia="仿宋_GB2312" w:cs="仿宋_GB2312"/>
          <w:sz w:val="32"/>
          <w:szCs w:val="32"/>
          <w:highlight w:val="none"/>
        </w:rPr>
        <w:t>%。</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护理人员与孤儿比例，年度指标值≥1</w:t>
      </w:r>
      <w:r>
        <w:rPr>
          <w:rFonts w:ascii="仿宋_GB2312" w:hAnsi="仿宋_GB2312" w:eastAsia="仿宋_GB2312" w:cs="仿宋_GB2312"/>
          <w:sz w:val="32"/>
          <w:szCs w:val="32"/>
          <w:highlight w:val="none"/>
        </w:rPr>
        <w:t>5</w:t>
      </w:r>
      <w:r>
        <w:rPr>
          <w:rFonts w:hint="eastAsia" w:ascii="仿宋_GB2312" w:hAnsi="仿宋_GB2312" w:eastAsia="仿宋_GB2312" w:cs="仿宋_GB2312"/>
          <w:sz w:val="32"/>
          <w:szCs w:val="32"/>
          <w:highlight w:val="none"/>
        </w:rPr>
        <w:t>，实际完成值</w:t>
      </w:r>
      <w:r>
        <w:rPr>
          <w:rFonts w:ascii="仿宋_GB2312" w:hAnsi="仿宋_GB2312" w:eastAsia="仿宋_GB2312" w:cs="仿宋_GB2312"/>
          <w:sz w:val="32"/>
          <w:szCs w:val="32"/>
          <w:highlight w:val="none"/>
        </w:rPr>
        <w:t>=15</w:t>
      </w:r>
      <w:r>
        <w:rPr>
          <w:rFonts w:hint="eastAsia" w:ascii="仿宋_GB2312" w:hAnsi="仿宋_GB2312" w:eastAsia="仿宋_GB2312" w:cs="仿宋_GB2312"/>
          <w:sz w:val="32"/>
          <w:szCs w:val="32"/>
          <w:highlight w:val="none"/>
        </w:rPr>
        <w:t>，完成率</w:t>
      </w:r>
      <w:r>
        <w:rPr>
          <w:rFonts w:ascii="仿宋_GB2312" w:hAnsi="仿宋_GB2312" w:eastAsia="仿宋_GB2312" w:cs="仿宋_GB2312"/>
          <w:sz w:val="32"/>
          <w:szCs w:val="32"/>
          <w:highlight w:val="none"/>
        </w:rPr>
        <w:t>100</w:t>
      </w:r>
      <w:r>
        <w:rPr>
          <w:rFonts w:hint="eastAsia" w:ascii="仿宋_GB2312" w:hAnsi="仿宋_GB2312" w:eastAsia="仿宋_GB2312" w:cs="仿宋_GB2312"/>
          <w:sz w:val="32"/>
          <w:szCs w:val="32"/>
          <w:highlight w:val="none"/>
        </w:rPr>
        <w:t>%。</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时效指标：孤残儿童生活费发放及时率，年度指标值=</w:t>
      </w:r>
      <w:r>
        <w:rPr>
          <w:rFonts w:ascii="仿宋_GB2312" w:hAnsi="仿宋_GB2312" w:eastAsia="仿宋_GB2312" w:cs="仿宋_GB2312"/>
          <w:sz w:val="32"/>
          <w:szCs w:val="32"/>
          <w:highlight w:val="none"/>
        </w:rPr>
        <w:t>100%</w:t>
      </w:r>
      <w:r>
        <w:rPr>
          <w:rFonts w:hint="eastAsia" w:ascii="仿宋_GB2312" w:hAnsi="仿宋_GB2312" w:eastAsia="仿宋_GB2312" w:cs="仿宋_GB2312"/>
          <w:sz w:val="32"/>
          <w:szCs w:val="32"/>
          <w:highlight w:val="none"/>
        </w:rPr>
        <w:t>，实际完成值1</w:t>
      </w:r>
      <w:r>
        <w:rPr>
          <w:rFonts w:ascii="仿宋_GB2312" w:hAnsi="仿宋_GB2312" w:eastAsia="仿宋_GB2312" w:cs="仿宋_GB2312"/>
          <w:sz w:val="32"/>
          <w:szCs w:val="32"/>
          <w:highlight w:val="none"/>
        </w:rPr>
        <w:t>00%</w:t>
      </w:r>
      <w:r>
        <w:rPr>
          <w:rFonts w:hint="eastAsia" w:ascii="仿宋_GB2312" w:hAnsi="仿宋_GB2312" w:eastAsia="仿宋_GB2312" w:cs="仿宋_GB2312"/>
          <w:sz w:val="32"/>
          <w:szCs w:val="32"/>
          <w:highlight w:val="none"/>
        </w:rPr>
        <w:t>，完成率</w:t>
      </w:r>
      <w:r>
        <w:rPr>
          <w:rFonts w:ascii="仿宋_GB2312" w:hAnsi="仿宋_GB2312" w:eastAsia="仿宋_GB2312" w:cs="仿宋_GB2312"/>
          <w:sz w:val="32"/>
          <w:szCs w:val="32"/>
          <w:highlight w:val="none"/>
        </w:rPr>
        <w:t>100</w:t>
      </w:r>
      <w:r>
        <w:rPr>
          <w:rFonts w:hint="eastAsia" w:ascii="仿宋_GB2312" w:hAnsi="仿宋_GB2312" w:eastAsia="仿宋_GB2312" w:cs="仿宋_GB2312"/>
          <w:sz w:val="32"/>
          <w:szCs w:val="32"/>
          <w:highlight w:val="none"/>
        </w:rPr>
        <w:t>%。</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成本指标：孤儿生活标准，年度指标值≥</w:t>
      </w:r>
      <w:r>
        <w:rPr>
          <w:rFonts w:ascii="仿宋_GB2312" w:hAnsi="仿宋_GB2312" w:eastAsia="仿宋_GB2312" w:cs="仿宋_GB2312"/>
          <w:sz w:val="32"/>
          <w:szCs w:val="32"/>
          <w:highlight w:val="none"/>
        </w:rPr>
        <w:t>1100</w:t>
      </w:r>
      <w:r>
        <w:rPr>
          <w:rFonts w:hint="eastAsia" w:ascii="仿宋_GB2312" w:hAnsi="仿宋_GB2312" w:eastAsia="仿宋_GB2312" w:cs="仿宋_GB2312"/>
          <w:sz w:val="32"/>
          <w:szCs w:val="32"/>
          <w:highlight w:val="none"/>
        </w:rPr>
        <w:t>元，实际完成值</w:t>
      </w:r>
      <w:r>
        <w:rPr>
          <w:rFonts w:ascii="仿宋_GB2312" w:hAnsi="仿宋_GB2312" w:eastAsia="仿宋_GB2312" w:cs="仿宋_GB2312"/>
          <w:sz w:val="32"/>
          <w:szCs w:val="32"/>
          <w:highlight w:val="none"/>
        </w:rPr>
        <w:t>1100</w:t>
      </w:r>
      <w:r>
        <w:rPr>
          <w:rFonts w:hint="eastAsia" w:ascii="仿宋_GB2312" w:hAnsi="仿宋_GB2312" w:eastAsia="仿宋_GB2312" w:cs="仿宋_GB2312"/>
          <w:sz w:val="32"/>
          <w:szCs w:val="32"/>
          <w:highlight w:val="none"/>
        </w:rPr>
        <w:t>元，完成率</w:t>
      </w:r>
      <w:r>
        <w:rPr>
          <w:rFonts w:ascii="仿宋_GB2312" w:hAnsi="仿宋_GB2312" w:eastAsia="仿宋_GB2312" w:cs="仿宋_GB2312"/>
          <w:sz w:val="32"/>
          <w:szCs w:val="32"/>
          <w:highlight w:val="none"/>
        </w:rPr>
        <w:t>100</w:t>
      </w:r>
      <w:r>
        <w:rPr>
          <w:rFonts w:hint="eastAsia" w:ascii="仿宋_GB2312" w:hAnsi="仿宋_GB2312" w:eastAsia="仿宋_GB2312" w:cs="仿宋_GB2312"/>
          <w:sz w:val="32"/>
          <w:szCs w:val="32"/>
          <w:highlight w:val="none"/>
        </w:rPr>
        <w:t>%。</w:t>
      </w:r>
    </w:p>
    <w:p>
      <w:pPr>
        <w:pStyle w:val="2"/>
        <w:pageBreakBefore w:val="0"/>
        <w:kinsoku/>
        <w:wordWrap/>
        <w:overflowPunct/>
        <w:topLinePunct w:val="0"/>
        <w:autoSpaceDE/>
        <w:autoSpaceDN/>
        <w:bidi w:val="0"/>
        <w:adjustRightInd/>
        <w:snapToGrid/>
        <w:spacing w:before="0" w:after="0" w:line="560" w:lineRule="exact"/>
        <w:ind w:firstLine="321" w:firstLineChars="100"/>
        <w:jc w:val="both"/>
        <w:textAlignment w:val="auto"/>
        <w:rPr>
          <w:rFonts w:ascii="楷体_GB2312" w:hAnsi="楷体_GB2312" w:eastAsia="楷体_GB2312" w:cs="楷体_GB2312"/>
        </w:rPr>
      </w:pPr>
      <w:r>
        <w:rPr>
          <w:rFonts w:hint="eastAsia" w:ascii="楷体_GB2312" w:hAnsi="楷体_GB2312" w:eastAsia="楷体_GB2312" w:cs="楷体_GB2312"/>
        </w:rPr>
        <w:t>（四）项目效益情况</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rPr>
        <w:t>项目绩效主要从项目的实施效益（社会效益、生态效益）、满意度</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个方面对项目的绩效情况进行评价。项目绩效类指标分值4</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分，</w:t>
      </w:r>
      <w:r>
        <w:rPr>
          <w:rFonts w:hint="eastAsia" w:ascii="仿宋_GB2312" w:hAnsi="仿宋_GB2312" w:eastAsia="仿宋_GB2312" w:cs="仿宋_GB2312"/>
          <w:sz w:val="32"/>
          <w:szCs w:val="32"/>
          <w:highlight w:val="none"/>
        </w:rPr>
        <w:t>实际得分</w:t>
      </w:r>
      <w:r>
        <w:rPr>
          <w:rFonts w:ascii="仿宋_GB2312" w:hAnsi="仿宋_GB2312" w:eastAsia="仿宋_GB2312" w:cs="仿宋_GB2312"/>
          <w:sz w:val="32"/>
          <w:szCs w:val="32"/>
          <w:highlight w:val="none"/>
        </w:rPr>
        <w:t>38</w:t>
      </w:r>
      <w:r>
        <w:rPr>
          <w:rFonts w:hint="eastAsia" w:ascii="仿宋_GB2312" w:hAnsi="仿宋_GB2312" w:eastAsia="仿宋_GB2312" w:cs="仿宋_GB2312"/>
          <w:sz w:val="32"/>
          <w:szCs w:val="32"/>
          <w:highlight w:val="none"/>
        </w:rPr>
        <w:t>分，得分率为</w:t>
      </w:r>
      <w:r>
        <w:rPr>
          <w:rFonts w:ascii="仿宋_GB2312" w:hAnsi="仿宋_GB2312" w:eastAsia="仿宋_GB2312" w:cs="仿宋_GB2312"/>
          <w:sz w:val="32"/>
          <w:szCs w:val="32"/>
          <w:highlight w:val="none"/>
        </w:rPr>
        <w:t>96.67%</w:t>
      </w:r>
      <w:r>
        <w:rPr>
          <w:rFonts w:hint="eastAsia" w:ascii="仿宋_GB2312" w:hAnsi="仿宋_GB2312" w:eastAsia="仿宋_GB2312" w:cs="仿宋_GB2312"/>
          <w:sz w:val="32"/>
          <w:szCs w:val="32"/>
          <w:highlight w:val="none"/>
        </w:rPr>
        <w:t>。项目绩效指标得分情况如表所示：</w:t>
      </w:r>
    </w:p>
    <w:tbl>
      <w:tblPr>
        <w:tblStyle w:val="18"/>
        <w:tblW w:w="5569" w:type="pct"/>
        <w:tblInd w:w="0" w:type="dxa"/>
        <w:tblLayout w:type="autofit"/>
        <w:tblCellMar>
          <w:top w:w="0" w:type="dxa"/>
          <w:left w:w="108" w:type="dxa"/>
          <w:bottom w:w="0" w:type="dxa"/>
          <w:right w:w="108" w:type="dxa"/>
        </w:tblCellMar>
      </w:tblPr>
      <w:tblGrid>
        <w:gridCol w:w="2688"/>
        <w:gridCol w:w="2688"/>
        <w:gridCol w:w="1792"/>
        <w:gridCol w:w="1999"/>
        <w:gridCol w:w="594"/>
      </w:tblGrid>
      <w:tr>
        <w:tblPrEx>
          <w:tblCellMar>
            <w:top w:w="0" w:type="dxa"/>
            <w:left w:w="108" w:type="dxa"/>
            <w:bottom w:w="0" w:type="dxa"/>
            <w:right w:w="108" w:type="dxa"/>
          </w:tblCellMar>
        </w:tblPrEx>
        <w:trPr>
          <w:gridAfter w:val="1"/>
          <w:wAfter w:w="304" w:type="pct"/>
          <w:trHeight w:val="510" w:hRule="exact"/>
          <w:tblHeader/>
        </w:trPr>
        <w:tc>
          <w:tcPr>
            <w:tcW w:w="1377" w:type="pct"/>
            <w:tcBorders>
              <w:top w:val="single" w:color="auto" w:sz="4" w:space="0"/>
              <w:left w:val="single" w:color="auto" w:sz="8" w:space="0"/>
              <w:bottom w:val="single" w:color="auto" w:sz="4" w:space="0"/>
              <w:right w:val="single" w:color="auto" w:sz="8" w:space="0"/>
            </w:tcBorders>
            <w:shd w:val="clear" w:color="000000" w:fill="A6A6A6"/>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方正仿宋_GBK" w:hAnsi="Tahoma" w:eastAsia="方正仿宋_GBK" w:cs="Tahoma"/>
                <w:b/>
                <w:bCs/>
                <w:color w:val="000000"/>
                <w:kern w:val="0"/>
                <w:sz w:val="22"/>
                <w:szCs w:val="22"/>
                <w:highlight w:val="none"/>
              </w:rPr>
            </w:pPr>
            <w:r>
              <w:rPr>
                <w:rFonts w:hint="eastAsia" w:ascii="方正仿宋_GBK" w:hAnsi="Tahoma" w:eastAsia="方正仿宋_GBK" w:cs="Tahoma"/>
                <w:b/>
                <w:bCs/>
                <w:color w:val="000000"/>
                <w:kern w:val="0"/>
                <w:sz w:val="22"/>
                <w:szCs w:val="22"/>
                <w:highlight w:val="none"/>
              </w:rPr>
              <w:t>三级指标</w:t>
            </w:r>
          </w:p>
        </w:tc>
        <w:tc>
          <w:tcPr>
            <w:tcW w:w="1377" w:type="pct"/>
            <w:tcBorders>
              <w:top w:val="single" w:color="auto" w:sz="4" w:space="0"/>
              <w:left w:val="nil"/>
              <w:bottom w:val="single" w:color="auto" w:sz="4" w:space="0"/>
              <w:right w:val="single" w:color="auto" w:sz="8" w:space="0"/>
            </w:tcBorders>
            <w:shd w:val="clear" w:color="000000" w:fill="A6A6A6"/>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方正仿宋_GBK" w:hAnsi="Tahoma" w:eastAsia="方正仿宋_GBK" w:cs="Tahoma"/>
                <w:b/>
                <w:bCs/>
                <w:color w:val="000000"/>
                <w:kern w:val="0"/>
                <w:sz w:val="22"/>
                <w:szCs w:val="22"/>
                <w:highlight w:val="none"/>
              </w:rPr>
            </w:pPr>
            <w:r>
              <w:rPr>
                <w:rFonts w:hint="eastAsia" w:ascii="方正仿宋_GBK" w:hAnsi="Tahoma" w:eastAsia="方正仿宋_GBK" w:cs="Tahoma"/>
                <w:b/>
                <w:bCs/>
                <w:color w:val="000000"/>
                <w:kern w:val="0"/>
                <w:sz w:val="22"/>
                <w:szCs w:val="22"/>
                <w:highlight w:val="none"/>
              </w:rPr>
              <w:t>权重</w:t>
            </w:r>
          </w:p>
        </w:tc>
        <w:tc>
          <w:tcPr>
            <w:tcW w:w="918" w:type="pct"/>
            <w:tcBorders>
              <w:top w:val="single" w:color="auto" w:sz="4" w:space="0"/>
              <w:left w:val="nil"/>
              <w:bottom w:val="single" w:color="auto" w:sz="4" w:space="0"/>
              <w:right w:val="single" w:color="auto" w:sz="8" w:space="0"/>
            </w:tcBorders>
            <w:shd w:val="clear" w:color="000000" w:fill="A6A6A6"/>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方正仿宋_GBK" w:hAnsi="Tahoma" w:eastAsia="方正仿宋_GBK" w:cs="Tahoma"/>
                <w:b/>
                <w:bCs/>
                <w:color w:val="000000"/>
                <w:kern w:val="0"/>
                <w:sz w:val="22"/>
                <w:szCs w:val="22"/>
                <w:highlight w:val="none"/>
              </w:rPr>
            </w:pPr>
            <w:r>
              <w:rPr>
                <w:rFonts w:hint="eastAsia" w:ascii="方正仿宋_GBK" w:hAnsi="Tahoma" w:eastAsia="方正仿宋_GBK" w:cs="Tahoma"/>
                <w:b/>
                <w:bCs/>
                <w:color w:val="000000"/>
                <w:kern w:val="0"/>
                <w:sz w:val="22"/>
                <w:szCs w:val="22"/>
                <w:highlight w:val="none"/>
              </w:rPr>
              <w:t>得分率</w:t>
            </w:r>
          </w:p>
        </w:tc>
        <w:tc>
          <w:tcPr>
            <w:tcW w:w="1024" w:type="pct"/>
            <w:tcBorders>
              <w:top w:val="single" w:color="auto" w:sz="4" w:space="0"/>
              <w:left w:val="nil"/>
              <w:bottom w:val="single" w:color="auto" w:sz="4" w:space="0"/>
              <w:right w:val="single" w:color="auto" w:sz="8" w:space="0"/>
            </w:tcBorders>
            <w:shd w:val="clear" w:color="000000" w:fill="A6A6A6"/>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方正仿宋_GBK" w:hAnsi="Tahoma" w:eastAsia="方正仿宋_GBK" w:cs="Tahoma"/>
                <w:b/>
                <w:bCs/>
                <w:color w:val="000000"/>
                <w:kern w:val="0"/>
                <w:sz w:val="22"/>
                <w:szCs w:val="22"/>
                <w:highlight w:val="none"/>
              </w:rPr>
            </w:pPr>
            <w:r>
              <w:rPr>
                <w:rFonts w:hint="eastAsia" w:ascii="方正仿宋_GBK" w:hAnsi="Tahoma" w:eastAsia="方正仿宋_GBK" w:cs="Tahoma"/>
                <w:b/>
                <w:bCs/>
                <w:color w:val="000000"/>
                <w:kern w:val="0"/>
                <w:sz w:val="22"/>
                <w:szCs w:val="22"/>
                <w:highlight w:val="none"/>
              </w:rPr>
              <w:t>实际得分</w:t>
            </w:r>
          </w:p>
        </w:tc>
      </w:tr>
      <w:tr>
        <w:tblPrEx>
          <w:tblCellMar>
            <w:top w:w="0" w:type="dxa"/>
            <w:left w:w="108" w:type="dxa"/>
            <w:bottom w:w="0" w:type="dxa"/>
            <w:right w:w="108" w:type="dxa"/>
          </w:tblCellMar>
        </w:tblPrEx>
        <w:trPr>
          <w:trHeight w:val="510" w:hRule="exact"/>
        </w:trPr>
        <w:tc>
          <w:tcPr>
            <w:tcW w:w="1377" w:type="pct"/>
            <w:tcBorders>
              <w:top w:val="single" w:color="auto" w:sz="4" w:space="0"/>
              <w:left w:val="single" w:color="auto" w:sz="4" w:space="0"/>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实施效益</w:t>
            </w:r>
          </w:p>
        </w:tc>
        <w:tc>
          <w:tcPr>
            <w:tcW w:w="1377" w:type="pct"/>
            <w:tcBorders>
              <w:top w:val="single" w:color="auto" w:sz="4" w:space="0"/>
              <w:left w:val="nil"/>
              <w:bottom w:val="single" w:color="auto" w:sz="4" w:space="0"/>
              <w:right w:val="single" w:color="auto" w:sz="4" w:space="0"/>
            </w:tcBorders>
            <w:noWrap/>
            <w:vAlign w:val="bottom"/>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sz w:val="18"/>
                <w:szCs w:val="18"/>
                <w:highlight w:val="none"/>
              </w:rPr>
              <w:t>30</w:t>
            </w:r>
          </w:p>
        </w:tc>
        <w:tc>
          <w:tcPr>
            <w:tcW w:w="918" w:type="pct"/>
            <w:tcBorders>
              <w:top w:val="single" w:color="auto" w:sz="4" w:space="0"/>
              <w:left w:val="nil"/>
              <w:bottom w:val="single" w:color="auto" w:sz="4" w:space="0"/>
              <w:right w:val="single" w:color="auto" w:sz="4" w:space="0"/>
            </w:tcBorders>
            <w:noWrap/>
            <w:vAlign w:val="bottom"/>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sz w:val="18"/>
                <w:szCs w:val="18"/>
                <w:highlight w:val="none"/>
              </w:rPr>
              <w:t>93.33%</w:t>
            </w:r>
          </w:p>
        </w:tc>
        <w:tc>
          <w:tcPr>
            <w:tcW w:w="1024" w:type="pct"/>
            <w:tcBorders>
              <w:top w:val="single" w:color="auto" w:sz="4" w:space="0"/>
              <w:left w:val="nil"/>
              <w:bottom w:val="single" w:color="auto" w:sz="4" w:space="0"/>
              <w:right w:val="single" w:color="auto" w:sz="4" w:space="0"/>
            </w:tcBorders>
            <w:noWrap/>
            <w:vAlign w:val="bottom"/>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28</w:t>
            </w:r>
          </w:p>
        </w:tc>
        <w:tc>
          <w:tcPr>
            <w:tcW w:w="304" w:type="pct"/>
            <w:vAlign w:val="bottom"/>
          </w:tcPr>
          <w:p>
            <w:pPr>
              <w:pageBreakBefore w:val="0"/>
              <w:widowControl/>
              <w:kinsoku/>
              <w:wordWrap/>
              <w:overflowPunct/>
              <w:topLinePunct w:val="0"/>
              <w:autoSpaceDE/>
              <w:autoSpaceDN/>
              <w:bidi w:val="0"/>
              <w:adjustRightInd/>
              <w:snapToGrid/>
              <w:spacing w:line="560" w:lineRule="exact"/>
              <w:jc w:val="left"/>
              <w:textAlignment w:val="auto"/>
              <w:rPr>
                <w:highlight w:val="none"/>
              </w:rPr>
            </w:pPr>
          </w:p>
        </w:tc>
      </w:tr>
      <w:tr>
        <w:tblPrEx>
          <w:tblCellMar>
            <w:top w:w="0" w:type="dxa"/>
            <w:left w:w="108" w:type="dxa"/>
            <w:bottom w:w="0" w:type="dxa"/>
            <w:right w:w="108" w:type="dxa"/>
          </w:tblCellMar>
        </w:tblPrEx>
        <w:trPr>
          <w:trHeight w:val="510" w:hRule="exact"/>
        </w:trPr>
        <w:tc>
          <w:tcPr>
            <w:tcW w:w="1377" w:type="pct"/>
            <w:tcBorders>
              <w:top w:val="single" w:color="auto" w:sz="4" w:space="0"/>
              <w:left w:val="single" w:color="auto" w:sz="4" w:space="0"/>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供养孤残儿童的满意度</w:t>
            </w:r>
          </w:p>
        </w:tc>
        <w:tc>
          <w:tcPr>
            <w:tcW w:w="1377" w:type="pct"/>
            <w:tcBorders>
              <w:top w:val="single" w:color="auto" w:sz="4" w:space="0"/>
              <w:left w:val="nil"/>
              <w:bottom w:val="single" w:color="auto" w:sz="4" w:space="0"/>
              <w:right w:val="single" w:color="auto" w:sz="4" w:space="0"/>
            </w:tcBorders>
            <w:noWrap/>
            <w:vAlign w:val="bottom"/>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10</w:t>
            </w:r>
          </w:p>
        </w:tc>
        <w:tc>
          <w:tcPr>
            <w:tcW w:w="918" w:type="pct"/>
            <w:tcBorders>
              <w:top w:val="single" w:color="auto" w:sz="4" w:space="0"/>
              <w:left w:val="nil"/>
              <w:bottom w:val="single" w:color="auto" w:sz="4" w:space="0"/>
              <w:right w:val="single" w:color="auto" w:sz="4" w:space="0"/>
            </w:tcBorders>
            <w:noWrap/>
            <w:vAlign w:val="bottom"/>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100%</w:t>
            </w:r>
          </w:p>
        </w:tc>
        <w:tc>
          <w:tcPr>
            <w:tcW w:w="1024" w:type="pct"/>
            <w:tcBorders>
              <w:top w:val="single" w:color="auto" w:sz="4" w:space="0"/>
              <w:left w:val="nil"/>
              <w:bottom w:val="single" w:color="auto" w:sz="4" w:space="0"/>
              <w:right w:val="single" w:color="auto" w:sz="4" w:space="0"/>
            </w:tcBorders>
            <w:noWrap/>
            <w:vAlign w:val="bottom"/>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10</w:t>
            </w:r>
          </w:p>
        </w:tc>
        <w:tc>
          <w:tcPr>
            <w:tcW w:w="304" w:type="pct"/>
            <w:vAlign w:val="bottom"/>
          </w:tcPr>
          <w:p>
            <w:pPr>
              <w:pageBreakBefore w:val="0"/>
              <w:widowControl/>
              <w:kinsoku/>
              <w:wordWrap/>
              <w:overflowPunct/>
              <w:topLinePunct w:val="0"/>
              <w:autoSpaceDE/>
              <w:autoSpaceDN/>
              <w:bidi w:val="0"/>
              <w:adjustRightInd/>
              <w:snapToGrid/>
              <w:spacing w:line="560" w:lineRule="exact"/>
              <w:jc w:val="left"/>
              <w:textAlignment w:val="auto"/>
              <w:rPr>
                <w:highlight w:val="none"/>
              </w:rPr>
            </w:pPr>
          </w:p>
        </w:tc>
      </w:tr>
      <w:tr>
        <w:tblPrEx>
          <w:tblCellMar>
            <w:top w:w="0" w:type="dxa"/>
            <w:left w:w="108" w:type="dxa"/>
            <w:bottom w:w="0" w:type="dxa"/>
            <w:right w:w="108" w:type="dxa"/>
          </w:tblCellMar>
        </w:tblPrEx>
        <w:trPr>
          <w:gridAfter w:val="1"/>
          <w:wAfter w:w="304" w:type="pct"/>
          <w:trHeight w:val="510" w:hRule="exact"/>
        </w:trPr>
        <w:tc>
          <w:tcPr>
            <w:tcW w:w="1377" w:type="pct"/>
            <w:tcBorders>
              <w:top w:val="nil"/>
              <w:left w:val="single" w:color="auto" w:sz="4" w:space="0"/>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合计</w:t>
            </w:r>
          </w:p>
        </w:tc>
        <w:tc>
          <w:tcPr>
            <w:tcW w:w="1377" w:type="pct"/>
            <w:tcBorders>
              <w:top w:val="nil"/>
              <w:left w:val="nil"/>
              <w:bottom w:val="single" w:color="auto" w:sz="4" w:space="0"/>
              <w:right w:val="single" w:color="auto" w:sz="4" w:space="0"/>
            </w:tcBorders>
            <w:noWrap/>
            <w:vAlign w:val="bottom"/>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40</w:t>
            </w:r>
          </w:p>
        </w:tc>
        <w:tc>
          <w:tcPr>
            <w:tcW w:w="918" w:type="pct"/>
            <w:tcBorders>
              <w:top w:val="nil"/>
              <w:left w:val="nil"/>
              <w:bottom w:val="single" w:color="auto" w:sz="4" w:space="0"/>
              <w:right w:val="single" w:color="auto" w:sz="4" w:space="0"/>
            </w:tcBorders>
            <w:noWrap/>
            <w:vAlign w:val="bottom"/>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96.67%</w:t>
            </w:r>
          </w:p>
        </w:tc>
        <w:tc>
          <w:tcPr>
            <w:tcW w:w="1024" w:type="pct"/>
            <w:tcBorders>
              <w:top w:val="nil"/>
              <w:left w:val="nil"/>
              <w:bottom w:val="single" w:color="auto" w:sz="4" w:space="0"/>
              <w:right w:val="single" w:color="auto" w:sz="4" w:space="0"/>
            </w:tcBorders>
            <w:noWrap/>
            <w:vAlign w:val="bottom"/>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38</w:t>
            </w:r>
          </w:p>
        </w:tc>
      </w:tr>
    </w:tbl>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社会效益指标：确保社会救助制度公平、公正，年度指标值≥</w:t>
      </w:r>
      <w:r>
        <w:rPr>
          <w:rFonts w:ascii="仿宋_GB2312" w:hAnsi="仿宋_GB2312" w:eastAsia="仿宋_GB2312" w:cs="仿宋_GB2312"/>
          <w:sz w:val="32"/>
          <w:szCs w:val="32"/>
          <w:highlight w:val="none"/>
        </w:rPr>
        <w:t>80%</w:t>
      </w:r>
      <w:r>
        <w:rPr>
          <w:rFonts w:hint="eastAsia" w:ascii="仿宋_GB2312" w:hAnsi="仿宋_GB2312" w:eastAsia="仿宋_GB2312" w:cs="仿宋_GB2312"/>
          <w:sz w:val="32"/>
          <w:szCs w:val="32"/>
          <w:highlight w:val="none"/>
        </w:rPr>
        <w:t>，实际完成值</w:t>
      </w:r>
      <w:r>
        <w:rPr>
          <w:rFonts w:ascii="仿宋_GB2312" w:hAnsi="仿宋_GB2312" w:eastAsia="仿宋_GB2312" w:cs="仿宋_GB2312"/>
          <w:sz w:val="32"/>
          <w:szCs w:val="32"/>
          <w:highlight w:val="none"/>
        </w:rPr>
        <w:t>80%</w:t>
      </w:r>
      <w:r>
        <w:rPr>
          <w:rFonts w:hint="eastAsia" w:ascii="仿宋_GB2312" w:hAnsi="仿宋_GB2312" w:eastAsia="仿宋_GB2312" w:cs="仿宋_GB2312"/>
          <w:sz w:val="32"/>
          <w:szCs w:val="32"/>
          <w:highlight w:val="none"/>
        </w:rPr>
        <w:t>，完成率</w:t>
      </w:r>
      <w:r>
        <w:rPr>
          <w:rFonts w:ascii="仿宋_GB2312" w:hAnsi="仿宋_GB2312" w:eastAsia="仿宋_GB2312" w:cs="仿宋_GB2312"/>
          <w:sz w:val="32"/>
          <w:szCs w:val="32"/>
          <w:highlight w:val="none"/>
        </w:rPr>
        <w:t>100</w:t>
      </w:r>
      <w:r>
        <w:rPr>
          <w:rFonts w:hint="eastAsia" w:ascii="仿宋_GB2312" w:hAnsi="仿宋_GB2312" w:eastAsia="仿宋_GB2312" w:cs="仿宋_GB2312"/>
          <w:sz w:val="32"/>
          <w:szCs w:val="32"/>
          <w:highlight w:val="none"/>
        </w:rPr>
        <w:t>%。</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生态效益指标：集中供养孤儿生活保障左右，年度指标值≥</w:t>
      </w:r>
      <w:r>
        <w:rPr>
          <w:rFonts w:ascii="仿宋_GB2312" w:hAnsi="仿宋_GB2312" w:eastAsia="仿宋_GB2312" w:cs="仿宋_GB2312"/>
          <w:sz w:val="32"/>
          <w:szCs w:val="32"/>
          <w:highlight w:val="none"/>
        </w:rPr>
        <w:t>90%</w:t>
      </w:r>
      <w:r>
        <w:rPr>
          <w:rFonts w:hint="eastAsia" w:ascii="仿宋_GB2312" w:hAnsi="仿宋_GB2312" w:eastAsia="仿宋_GB2312" w:cs="仿宋_GB2312"/>
          <w:sz w:val="32"/>
          <w:szCs w:val="32"/>
          <w:highlight w:val="none"/>
        </w:rPr>
        <w:t>，实际完成值</w:t>
      </w:r>
      <w:r>
        <w:rPr>
          <w:rFonts w:ascii="仿宋_GB2312" w:hAnsi="仿宋_GB2312" w:eastAsia="仿宋_GB2312" w:cs="仿宋_GB2312"/>
          <w:sz w:val="32"/>
          <w:szCs w:val="32"/>
          <w:highlight w:val="none"/>
        </w:rPr>
        <w:t>90%</w:t>
      </w:r>
      <w:r>
        <w:rPr>
          <w:rFonts w:hint="eastAsia" w:ascii="仿宋_GB2312" w:hAnsi="仿宋_GB2312" w:eastAsia="仿宋_GB2312" w:cs="仿宋_GB2312"/>
          <w:sz w:val="32"/>
          <w:szCs w:val="32"/>
          <w:highlight w:val="none"/>
        </w:rPr>
        <w:t>，完成率</w:t>
      </w:r>
      <w:r>
        <w:rPr>
          <w:rFonts w:ascii="仿宋_GB2312" w:hAnsi="仿宋_GB2312" w:eastAsia="仿宋_GB2312" w:cs="仿宋_GB2312"/>
          <w:sz w:val="32"/>
          <w:szCs w:val="32"/>
          <w:highlight w:val="none"/>
        </w:rPr>
        <w:t>100</w:t>
      </w:r>
      <w:r>
        <w:rPr>
          <w:rFonts w:hint="eastAsia" w:ascii="仿宋_GB2312" w:hAnsi="仿宋_GB2312" w:eastAsia="仿宋_GB2312" w:cs="仿宋_GB2312"/>
          <w:sz w:val="32"/>
          <w:szCs w:val="32"/>
          <w:highlight w:val="none"/>
        </w:rPr>
        <w:t>%。</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满意度指标：集中供养孤残儿童满意度，年度指标值≥</w:t>
      </w:r>
      <w:r>
        <w:rPr>
          <w:rFonts w:ascii="仿宋_GB2312" w:hAnsi="仿宋_GB2312" w:eastAsia="仿宋_GB2312" w:cs="仿宋_GB2312"/>
          <w:sz w:val="32"/>
          <w:szCs w:val="32"/>
          <w:highlight w:val="none"/>
        </w:rPr>
        <w:t>98%</w:t>
      </w:r>
      <w:r>
        <w:rPr>
          <w:rFonts w:hint="eastAsia" w:ascii="仿宋_GB2312" w:hAnsi="仿宋_GB2312" w:eastAsia="仿宋_GB2312" w:cs="仿宋_GB2312"/>
          <w:sz w:val="32"/>
          <w:szCs w:val="32"/>
          <w:highlight w:val="none"/>
        </w:rPr>
        <w:t>，实际完成值</w:t>
      </w:r>
      <w:r>
        <w:rPr>
          <w:rFonts w:ascii="仿宋_GB2312" w:hAnsi="仿宋_GB2312" w:eastAsia="仿宋_GB2312" w:cs="仿宋_GB2312"/>
          <w:sz w:val="32"/>
          <w:szCs w:val="32"/>
          <w:highlight w:val="none"/>
        </w:rPr>
        <w:t>98%</w:t>
      </w:r>
      <w:r>
        <w:rPr>
          <w:rFonts w:hint="eastAsia" w:ascii="仿宋_GB2312" w:hAnsi="仿宋_GB2312" w:eastAsia="仿宋_GB2312" w:cs="仿宋_GB2312"/>
          <w:sz w:val="32"/>
          <w:szCs w:val="32"/>
          <w:highlight w:val="none"/>
        </w:rPr>
        <w:t>，完成率</w:t>
      </w:r>
      <w:r>
        <w:rPr>
          <w:rFonts w:ascii="仿宋_GB2312" w:hAnsi="仿宋_GB2312" w:eastAsia="仿宋_GB2312" w:cs="仿宋_GB2312"/>
          <w:sz w:val="32"/>
          <w:szCs w:val="32"/>
          <w:highlight w:val="none"/>
        </w:rPr>
        <w:t>100</w:t>
      </w:r>
      <w:r>
        <w:rPr>
          <w:rFonts w:hint="eastAsia" w:ascii="仿宋_GB2312" w:hAnsi="仿宋_GB2312" w:eastAsia="仿宋_GB2312" w:cs="仿宋_GB2312"/>
          <w:sz w:val="32"/>
          <w:szCs w:val="32"/>
          <w:highlight w:val="none"/>
        </w:rPr>
        <w:t>%。</w:t>
      </w:r>
    </w:p>
    <w:p>
      <w:pPr>
        <w:pageBreakBefore w:val="0"/>
        <w:kinsoku/>
        <w:wordWrap/>
        <w:overflowPunct/>
        <w:topLinePunct w:val="0"/>
        <w:autoSpaceDE/>
        <w:autoSpaceDN/>
        <w:bidi w:val="0"/>
        <w:adjustRightInd/>
        <w:snapToGrid/>
        <w:spacing w:line="560" w:lineRule="exact"/>
        <w:ind w:firstLine="641"/>
        <w:textAlignment w:val="auto"/>
        <w:rPr>
          <w:rStyle w:val="49"/>
          <w:b/>
          <w:bCs/>
          <w:color w:val="auto"/>
        </w:rPr>
      </w:pPr>
      <w:r>
        <w:rPr>
          <w:rFonts w:hint="eastAsia" w:ascii="黑体" w:hAnsi="黑体" w:eastAsia="黑体"/>
          <w:b/>
          <w:bCs/>
          <w:sz w:val="32"/>
          <w:szCs w:val="32"/>
        </w:rPr>
        <w:t>五、主要经验及做法、存在的问题及原因分析</w:t>
      </w:r>
    </w:p>
    <w:p>
      <w:pPr>
        <w:pageBreakBefore w:val="0"/>
        <w:kinsoku/>
        <w:wordWrap/>
        <w:overflowPunct/>
        <w:topLinePunct w:val="0"/>
        <w:autoSpaceDE/>
        <w:autoSpaceDN/>
        <w:bidi w:val="0"/>
        <w:adjustRightInd/>
        <w:snapToGrid/>
        <w:spacing w:line="560" w:lineRule="exact"/>
        <w:ind w:firstLine="567" w:firstLineChars="181"/>
        <w:textAlignment w:val="auto"/>
        <w:rPr>
          <w:rFonts w:ascii="楷体" w:hAnsi="楷体" w:eastAsia="楷体"/>
          <w:b/>
          <w:spacing w:val="-4"/>
          <w:sz w:val="32"/>
          <w:szCs w:val="32"/>
        </w:rPr>
      </w:pPr>
      <w:r>
        <w:rPr>
          <w:rFonts w:hint="eastAsia" w:ascii="楷体" w:hAnsi="楷体" w:eastAsia="楷体"/>
          <w:b/>
          <w:spacing w:val="-4"/>
          <w:sz w:val="32"/>
          <w:szCs w:val="32"/>
        </w:rPr>
        <w:t>（一）主要经验及做法</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2"/>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ascii="仿宋_GB2312" w:hAnsi="仿宋_GB2312" w:eastAsia="仿宋_GB2312" w:cs="仿宋_GB2312"/>
          <w:b w:val="0"/>
          <w:bCs w:val="0"/>
          <w:kern w:val="2"/>
        </w:rPr>
      </w:pPr>
      <w:r>
        <w:rPr>
          <w:rFonts w:hint="eastAsia" w:ascii="仿宋_GB2312" w:hAnsi="仿宋_GB2312" w:eastAsia="仿宋_GB2312" w:cs="仿宋_GB2312"/>
          <w:b w:val="0"/>
          <w:bCs w:val="0"/>
          <w:kern w:val="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keepLines/>
        <w:pageBreakBefore w:val="0"/>
        <w:numPr>
          <w:ilvl w:val="0"/>
          <w:numId w:val="5"/>
        </w:numPr>
        <w:kinsoku/>
        <w:wordWrap/>
        <w:overflowPunct/>
        <w:topLinePunct w:val="0"/>
        <w:autoSpaceDE/>
        <w:autoSpaceDN/>
        <w:bidi w:val="0"/>
        <w:adjustRightInd/>
        <w:snapToGrid/>
        <w:spacing w:line="560" w:lineRule="exact"/>
        <w:ind w:firstLine="641"/>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存在的问题及原因分析</w:t>
      </w:r>
    </w:p>
    <w:p>
      <w:pPr>
        <w:pStyle w:val="2"/>
        <w:pageBreakBefore w:val="0"/>
        <w:numPr>
          <w:ilvl w:val="0"/>
          <w:numId w:val="6"/>
        </w:numPr>
        <w:kinsoku/>
        <w:wordWrap/>
        <w:overflowPunct/>
        <w:topLinePunct w:val="0"/>
        <w:autoSpaceDE/>
        <w:autoSpaceDN/>
        <w:bidi w:val="0"/>
        <w:adjustRightInd/>
        <w:snapToGrid/>
        <w:spacing w:before="0" w:after="0" w:line="560" w:lineRule="exact"/>
        <w:ind w:left="1134" w:hanging="493"/>
        <w:jc w:val="both"/>
        <w:textAlignment w:val="auto"/>
        <w:rPr>
          <w:rFonts w:ascii="仿宋_GB2312" w:hAnsi="仿宋_GB2312" w:eastAsia="仿宋_GB2312" w:cs="仿宋_GB2312"/>
          <w:b/>
          <w:bCs/>
          <w:kern w:val="2"/>
        </w:rPr>
      </w:pPr>
      <w:r>
        <w:rPr>
          <w:rFonts w:hint="eastAsia" w:ascii="仿宋_GB2312" w:hAnsi="仿宋_GB2312" w:eastAsia="仿宋_GB2312" w:cs="仿宋_GB2312"/>
          <w:b/>
          <w:bCs/>
          <w:kern w:val="2"/>
        </w:rPr>
        <w:t>存在的问题</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项目前期工作不全面，没有深入细致科学规划地做好各项前期工作，项目实施前期已根据项目建设内容设置绩效目标，但项目绩效目标级绩效指标设置过于笼统，不够细化，在实际实施绩效监控和绩效评价时较为困难。绩效目标的设置应符合量化、细化的要求。</w:t>
      </w:r>
    </w:p>
    <w:p>
      <w:pPr>
        <w:pStyle w:val="34"/>
        <w:pageBreakBefore w:val="0"/>
        <w:numPr>
          <w:ilvl w:val="0"/>
          <w:numId w:val="6"/>
        </w:numPr>
        <w:kinsoku/>
        <w:wordWrap/>
        <w:overflowPunct/>
        <w:topLinePunct w:val="0"/>
        <w:autoSpaceDE/>
        <w:autoSpaceDN/>
        <w:bidi w:val="0"/>
        <w:adjustRightInd/>
        <w:snapToGrid/>
        <w:spacing w:line="560" w:lineRule="exact"/>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原因分析</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基层村队及居委会对入院条件、入院政策的知晓度不够，对入院申请程序了解不够。 </w:t>
      </w:r>
    </w:p>
    <w:p>
      <w:pPr>
        <w:pageBreakBefore w:val="0"/>
        <w:kinsoku/>
        <w:wordWrap/>
        <w:overflowPunct/>
        <w:topLinePunct w:val="0"/>
        <w:autoSpaceDE/>
        <w:autoSpaceDN/>
        <w:bidi w:val="0"/>
        <w:adjustRightInd/>
        <w:snapToGrid/>
        <w:spacing w:line="560" w:lineRule="exact"/>
        <w:ind w:firstLine="641"/>
        <w:textAlignment w:val="auto"/>
        <w:rPr>
          <w:rFonts w:ascii="黑体" w:hAnsi="黑体" w:eastAsia="黑体"/>
          <w:b/>
          <w:bCs/>
          <w:sz w:val="32"/>
          <w:szCs w:val="32"/>
        </w:rPr>
      </w:pPr>
      <w:r>
        <w:rPr>
          <w:rFonts w:hint="eastAsia" w:ascii="黑体" w:hAnsi="黑体" w:eastAsia="黑体"/>
          <w:b/>
          <w:bCs/>
          <w:sz w:val="32"/>
          <w:szCs w:val="32"/>
        </w:rPr>
        <w:t>六、有关建议</w:t>
      </w:r>
    </w:p>
    <w:p>
      <w:pPr>
        <w:pageBreakBefore w:val="0"/>
        <w:numPr>
          <w:ilvl w:val="0"/>
          <w:numId w:val="7"/>
        </w:numPr>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加大项目绩效管理培训力度，贯彻落实相关办法及制度。采取集中学习、讲座、专题会议等方式，加大对参与绩效管理工作的人员培训力度，进一步统一认识，充实业务知识。以提高工作人员素质，以达到预算绩效管理标准化、常态化的要求，最终实现提高绩效管理工作效率及质量的目标。 </w:t>
      </w:r>
    </w:p>
    <w:p>
      <w:pPr>
        <w:pageBreakBefore w:val="0"/>
        <w:numPr>
          <w:ilvl w:val="0"/>
          <w:numId w:val="7"/>
        </w:numPr>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财政和项目实施单位严格实行“三专”管理，即设专户、建专</w:t>
      </w:r>
      <w:r>
        <w:rPr>
          <w:rFonts w:hint="eastAsia" w:ascii="仿宋_GB2312" w:hAnsi="仿宋_GB2312" w:eastAsia="仿宋_GB2312" w:cs="仿宋_GB2312"/>
          <w:sz w:val="32"/>
          <w:szCs w:val="32"/>
          <w:lang w:val="en-US" w:eastAsia="zh-CN"/>
        </w:rPr>
        <w:t>账</w:t>
      </w:r>
      <w:r>
        <w:rPr>
          <w:rFonts w:hint="eastAsia" w:ascii="仿宋_GB2312" w:hAnsi="仿宋_GB2312" w:eastAsia="仿宋_GB2312" w:cs="仿宋_GB2312"/>
          <w:sz w:val="32"/>
          <w:szCs w:val="32"/>
        </w:rPr>
        <w:t>、定专人。同时，资金拨付除坚持按项目计划、工程进度和质量分阶段验收拨款外，还坚持部门联审制，项目单位先做事、后报</w:t>
      </w:r>
      <w:r>
        <w:rPr>
          <w:rFonts w:hint="eastAsia" w:ascii="仿宋_GB2312" w:hAnsi="仿宋_GB2312" w:eastAsia="仿宋_GB2312" w:cs="仿宋_GB2312"/>
          <w:sz w:val="32"/>
          <w:szCs w:val="32"/>
          <w:lang w:val="en-US" w:eastAsia="zh-CN"/>
        </w:rPr>
        <w:t>账</w:t>
      </w:r>
      <w:r>
        <w:rPr>
          <w:rFonts w:hint="eastAsia" w:ascii="仿宋_GB2312" w:hAnsi="仿宋_GB2312" w:eastAsia="仿宋_GB2312" w:cs="仿宋_GB2312"/>
          <w:sz w:val="32"/>
          <w:szCs w:val="32"/>
        </w:rPr>
        <w:t>，从而确保专项资金专款专用，有效地防止了截留、挤占和挪用。</w:t>
      </w:r>
    </w:p>
    <w:p>
      <w:pPr>
        <w:pageBreakBefore w:val="0"/>
        <w:numPr>
          <w:ilvl w:val="0"/>
          <w:numId w:val="7"/>
        </w:numPr>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建议在进行绩效目标设定时，考虑成本指标的设置，社会效益指标的可衡量性，及时对项目运行情况进行监控，真正做到预算编制有目标、预算执行有跟踪监控、预算完成有评价、评价结果有反馈、反馈结果有应用。</w:t>
      </w:r>
    </w:p>
    <w:p>
      <w:pPr>
        <w:pageBreakBefore w:val="0"/>
        <w:numPr>
          <w:ilvl w:val="0"/>
          <w:numId w:val="7"/>
        </w:numPr>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加强对各村队及社区的政策宣传，让基层干部了解入院条件以及国家的福利政策，扩大救助覆盖面，推动孤儿救助体系建设。</w:t>
      </w:r>
    </w:p>
    <w:p>
      <w:pPr>
        <w:pageBreakBefore w:val="0"/>
        <w:kinsoku/>
        <w:wordWrap/>
        <w:overflowPunct/>
        <w:topLinePunct w:val="0"/>
        <w:autoSpaceDE/>
        <w:autoSpaceDN/>
        <w:bidi w:val="0"/>
        <w:adjustRightInd/>
        <w:snapToGrid/>
        <w:spacing w:line="560" w:lineRule="exact"/>
        <w:ind w:firstLine="641"/>
        <w:textAlignment w:val="auto"/>
        <w:rPr>
          <w:rFonts w:ascii="黑体" w:hAnsi="黑体" w:eastAsia="黑体"/>
          <w:b/>
          <w:bCs/>
          <w:sz w:val="32"/>
          <w:szCs w:val="32"/>
        </w:rPr>
      </w:pPr>
      <w:r>
        <w:rPr>
          <w:rFonts w:hint="eastAsia" w:ascii="黑体" w:hAnsi="黑体" w:eastAsia="黑体"/>
          <w:b/>
          <w:bCs/>
          <w:sz w:val="32"/>
          <w:szCs w:val="32"/>
        </w:rPr>
        <w:t>七、其他需要说</w:t>
      </w:r>
      <w:bookmarkStart w:id="1" w:name="page8"/>
      <w:bookmarkEnd w:id="1"/>
      <w:r>
        <w:rPr>
          <w:rFonts w:hint="eastAsia" w:ascii="黑体" w:hAnsi="黑体" w:eastAsia="黑体"/>
          <w:b/>
          <w:bCs/>
          <w:sz w:val="32"/>
          <w:szCs w:val="32"/>
        </w:rPr>
        <w:t>明的问题</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无。</w:t>
      </w:r>
    </w:p>
    <w:p>
      <w:pPr>
        <w:pageBreakBefore w:val="0"/>
        <w:kinsoku/>
        <w:wordWrap/>
        <w:overflowPunct/>
        <w:topLinePunct w:val="0"/>
        <w:autoSpaceDE/>
        <w:autoSpaceDN/>
        <w:bidi w:val="0"/>
        <w:adjustRightInd/>
        <w:snapToGrid/>
        <w:spacing w:line="560" w:lineRule="exact"/>
        <w:textAlignment w:val="auto"/>
        <w:rPr>
          <w:rFonts w:ascii="黑体" w:hAnsi="黑体" w:eastAsia="黑体"/>
        </w:rPr>
      </w:pPr>
      <w:r>
        <w:rPr>
          <w:rFonts w:hint="eastAsia" w:ascii="黑体" w:hAnsi="黑体" w:eastAsia="黑体"/>
        </w:rPr>
        <w:br w:type="page"/>
      </w:r>
    </w:p>
    <w:p>
      <w:pPr>
        <w:pStyle w:val="2"/>
        <w:jc w:val="left"/>
        <w:rPr>
          <w:rStyle w:val="20"/>
          <w:rFonts w:ascii="仿宋_GB2312" w:hAnsi="仿宋_GB2312" w:eastAsia="仿宋_GB2312" w:cs="仿宋_GB2312"/>
          <w:b w:val="0"/>
          <w:bCs/>
          <w:spacing w:val="-4"/>
        </w:rPr>
      </w:pPr>
      <w:r>
        <w:rPr>
          <w:rFonts w:hint="eastAsia" w:ascii="仿宋_GB2312" w:hAnsi="仿宋_GB2312" w:eastAsia="仿宋_GB2312" w:cs="仿宋_GB2312"/>
        </w:rPr>
        <w:t>附件1</w:t>
      </w:r>
    </w:p>
    <w:p>
      <w:pPr>
        <w:spacing w:line="540" w:lineRule="exact"/>
        <w:rPr>
          <w:rStyle w:val="20"/>
          <w:rFonts w:ascii="仿宋" w:hAnsi="仿宋" w:eastAsia="仿宋"/>
          <w:b w:val="0"/>
          <w:spacing w:val="-4"/>
          <w:sz w:val="32"/>
          <w:szCs w:val="32"/>
        </w:rPr>
      </w:pPr>
    </w:p>
    <w:tbl>
      <w:tblPr>
        <w:tblStyle w:val="18"/>
        <w:tblW w:w="9345" w:type="dxa"/>
        <w:tblInd w:w="0" w:type="dxa"/>
        <w:shd w:val="clear" w:color="auto" w:fill="auto"/>
        <w:tblLayout w:type="autofit"/>
        <w:tblCellMar>
          <w:top w:w="0" w:type="dxa"/>
          <w:left w:w="0" w:type="dxa"/>
          <w:bottom w:w="0" w:type="dxa"/>
          <w:right w:w="0" w:type="dxa"/>
        </w:tblCellMar>
      </w:tblPr>
      <w:tblGrid>
        <w:gridCol w:w="840"/>
        <w:gridCol w:w="840"/>
        <w:gridCol w:w="840"/>
        <w:gridCol w:w="840"/>
        <w:gridCol w:w="840"/>
        <w:gridCol w:w="840"/>
        <w:gridCol w:w="840"/>
        <w:gridCol w:w="1485"/>
        <w:gridCol w:w="495"/>
        <w:gridCol w:w="1485"/>
      </w:tblGrid>
      <w:tr>
        <w:tblPrEx>
          <w:shd w:val="clear" w:color="auto" w:fill="auto"/>
          <w:tblCellMar>
            <w:top w:w="0" w:type="dxa"/>
            <w:left w:w="0" w:type="dxa"/>
            <w:bottom w:w="0" w:type="dxa"/>
            <w:right w:w="0" w:type="dxa"/>
          </w:tblCellMar>
        </w:tblPrEx>
        <w:trPr>
          <w:trHeight w:val="409" w:hRule="atLeast"/>
        </w:trPr>
        <w:tc>
          <w:tcPr>
            <w:tcW w:w="9345" w:type="dxa"/>
            <w:gridSpan w:val="10"/>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项目支出绩效自评表</w:t>
            </w:r>
          </w:p>
        </w:tc>
      </w:tr>
      <w:tr>
        <w:tblPrEx>
          <w:shd w:val="clear" w:color="auto" w:fill="auto"/>
          <w:tblCellMar>
            <w:top w:w="0" w:type="dxa"/>
            <w:left w:w="0" w:type="dxa"/>
            <w:bottom w:w="0" w:type="dxa"/>
            <w:right w:w="0" w:type="dxa"/>
          </w:tblCellMar>
        </w:tblPrEx>
        <w:trPr>
          <w:trHeight w:val="409" w:hRule="atLeast"/>
        </w:trPr>
        <w:tc>
          <w:tcPr>
            <w:tcW w:w="9345" w:type="dxa"/>
            <w:gridSpan w:val="10"/>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2"/>
                <w:szCs w:val="32"/>
                <w:u w:val="none"/>
              </w:rPr>
            </w:pPr>
            <w:r>
              <w:rPr>
                <w:rFonts w:hint="eastAsia" w:ascii="宋体" w:hAnsi="宋体" w:eastAsia="宋体" w:cs="宋体"/>
                <w:i w:val="0"/>
                <w:color w:val="000000"/>
                <w:kern w:val="0"/>
                <w:sz w:val="32"/>
                <w:szCs w:val="32"/>
                <w:u w:val="none"/>
                <w:lang w:val="en-US" w:eastAsia="zh-CN" w:bidi="ar"/>
              </w:rPr>
              <w:t>（   2020 年度）</w:t>
            </w:r>
          </w:p>
        </w:tc>
      </w:tr>
      <w:tr>
        <w:tblPrEx>
          <w:shd w:val="clear" w:color="auto" w:fill="auto"/>
          <w:tblCellMar>
            <w:top w:w="0" w:type="dxa"/>
            <w:left w:w="0" w:type="dxa"/>
            <w:bottom w:w="0" w:type="dxa"/>
            <w:right w:w="0" w:type="dxa"/>
          </w:tblCellMar>
        </w:tblPrEx>
        <w:trPr>
          <w:trHeight w:val="270" w:hRule="atLeast"/>
        </w:trPr>
        <w:tc>
          <w:tcPr>
            <w:tcW w:w="9345" w:type="dxa"/>
            <w:gridSpan w:val="10"/>
            <w:tcBorders>
              <w:top w:val="nil"/>
              <w:left w:val="nil"/>
              <w:bottom w:val="nil"/>
              <w:right w:val="nil"/>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shd w:val="clear" w:color="auto" w:fill="auto"/>
          <w:tblCellMar>
            <w:top w:w="0" w:type="dxa"/>
            <w:left w:w="0" w:type="dxa"/>
            <w:bottom w:w="0" w:type="dxa"/>
            <w:right w:w="0" w:type="dxa"/>
          </w:tblCellMar>
        </w:tblPrEx>
        <w:trPr>
          <w:trHeight w:val="270"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项目名称</w:t>
            </w:r>
          </w:p>
        </w:tc>
        <w:tc>
          <w:tcPr>
            <w:tcW w:w="7665"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孤儿生活补助项目</w:t>
            </w:r>
          </w:p>
        </w:tc>
      </w:tr>
      <w:tr>
        <w:tblPrEx>
          <w:shd w:val="clear" w:color="auto" w:fill="auto"/>
          <w:tblCellMar>
            <w:top w:w="0" w:type="dxa"/>
            <w:left w:w="0" w:type="dxa"/>
            <w:bottom w:w="0" w:type="dxa"/>
            <w:right w:w="0" w:type="dxa"/>
          </w:tblCellMar>
        </w:tblPrEx>
        <w:trPr>
          <w:trHeight w:val="540"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主管部门</w:t>
            </w:r>
          </w:p>
        </w:tc>
        <w:tc>
          <w:tcPr>
            <w:tcW w:w="4200" w:type="dxa"/>
            <w:gridSpan w:val="5"/>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实施单位</w:t>
            </w: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塔城地区儿童福利院</w:t>
            </w:r>
          </w:p>
        </w:tc>
      </w:tr>
      <w:tr>
        <w:tblPrEx>
          <w:shd w:val="clear" w:color="auto" w:fill="auto"/>
          <w:tblCellMar>
            <w:top w:w="0" w:type="dxa"/>
            <w:left w:w="0" w:type="dxa"/>
            <w:bottom w:w="0" w:type="dxa"/>
            <w:right w:w="0" w:type="dxa"/>
          </w:tblCellMar>
        </w:tblPrEx>
        <w:trPr>
          <w:trHeight w:val="392"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项目资金</w:t>
            </w:r>
          </w:p>
        </w:tc>
        <w:tc>
          <w:tcPr>
            <w:tcW w:w="0" w:type="auto"/>
            <w:tcBorders>
              <w:top w:val="nil"/>
              <w:left w:val="nil"/>
              <w:bottom w:val="nil"/>
              <w:right w:val="nil"/>
            </w:tcBorders>
            <w:shd w:val="clear" w:color="auto" w:fill="auto"/>
            <w:noWrap/>
            <w:tcMar>
              <w:top w:w="15" w:type="dxa"/>
              <w:left w:w="15" w:type="dxa"/>
              <w:right w:w="15" w:type="dxa"/>
            </w:tcMar>
            <w:vAlign w:val="bottom"/>
          </w:tcPr>
          <w:p>
            <w:pPr>
              <w:rPr>
                <w:rFonts w:hint="eastAsia" w:ascii="Arial" w:hAnsi="Arial" w:cs="Arial"/>
                <w:i w:val="0"/>
                <w:color w:val="000000"/>
                <w:sz w:val="20"/>
                <w:szCs w:val="20"/>
                <w:u w:val="none"/>
              </w:rPr>
            </w:pPr>
          </w:p>
        </w:tc>
        <w:tc>
          <w:tcPr>
            <w:tcW w:w="0" w:type="auto"/>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年初预算数</w:t>
            </w:r>
          </w:p>
        </w:tc>
        <w:tc>
          <w:tcPr>
            <w:tcW w:w="1680"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全年预算数</w:t>
            </w: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全年执行数</w:t>
            </w: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执行率</w:t>
            </w:r>
          </w:p>
        </w:tc>
      </w:tr>
      <w:tr>
        <w:tblPrEx>
          <w:shd w:val="clear" w:color="auto" w:fill="auto"/>
          <w:tblCellMar>
            <w:top w:w="0" w:type="dxa"/>
            <w:left w:w="0" w:type="dxa"/>
            <w:bottom w:w="0" w:type="dxa"/>
            <w:right w:w="0" w:type="dxa"/>
          </w:tblCellMar>
        </w:tblPrEx>
        <w:trPr>
          <w:trHeight w:val="270"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（万元）</w:t>
            </w: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年度资金总额</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24.7</w:t>
            </w: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24.7</w:t>
            </w:r>
          </w:p>
        </w:tc>
        <w:tc>
          <w:tcPr>
            <w:tcW w:w="1980" w:type="dxa"/>
            <w:gridSpan w:val="2"/>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24.66</w:t>
            </w:r>
          </w:p>
        </w:tc>
        <w:tc>
          <w:tcPr>
            <w:tcW w:w="148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99.85%</w:t>
            </w:r>
          </w:p>
        </w:tc>
      </w:tr>
      <w:tr>
        <w:tblPrEx>
          <w:shd w:val="clear" w:color="auto" w:fill="auto"/>
          <w:tblCellMar>
            <w:top w:w="0" w:type="dxa"/>
            <w:left w:w="0" w:type="dxa"/>
            <w:bottom w:w="0" w:type="dxa"/>
            <w:right w:w="0" w:type="dxa"/>
          </w:tblCellMar>
        </w:tblPrEx>
        <w:trPr>
          <w:trHeight w:val="392"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其中：当年财政拨款</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24.70</w:t>
            </w: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24.70</w:t>
            </w: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24.66</w:t>
            </w: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shd w:val="clear" w:color="auto" w:fill="auto"/>
          <w:tblCellMar>
            <w:top w:w="0" w:type="dxa"/>
            <w:left w:w="0" w:type="dxa"/>
            <w:bottom w:w="0" w:type="dxa"/>
            <w:right w:w="0" w:type="dxa"/>
          </w:tblCellMar>
        </w:tblPrEx>
        <w:trPr>
          <w:trHeight w:val="433"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上年结转资金</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shd w:val="clear" w:color="auto" w:fill="auto"/>
          <w:tblCellMar>
            <w:top w:w="0" w:type="dxa"/>
            <w:left w:w="0" w:type="dxa"/>
            <w:bottom w:w="0" w:type="dxa"/>
            <w:right w:w="0" w:type="dxa"/>
          </w:tblCellMar>
        </w:tblPrEx>
        <w:trPr>
          <w:trHeight w:val="270"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其他资金</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shd w:val="clear" w:color="auto" w:fill="auto"/>
          <w:tblCellMar>
            <w:top w:w="0" w:type="dxa"/>
            <w:left w:w="0" w:type="dxa"/>
            <w:bottom w:w="0" w:type="dxa"/>
            <w:right w:w="0" w:type="dxa"/>
          </w:tblCellMar>
        </w:tblPrEx>
        <w:trPr>
          <w:trHeight w:val="433" w:hRule="atLeast"/>
        </w:trPr>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年度总体目标</w:t>
            </w:r>
          </w:p>
        </w:tc>
        <w:tc>
          <w:tcPr>
            <w:tcW w:w="504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预期目标</w:t>
            </w:r>
          </w:p>
        </w:tc>
        <w:tc>
          <w:tcPr>
            <w:tcW w:w="346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实际完成情况</w:t>
            </w:r>
          </w:p>
        </w:tc>
      </w:tr>
      <w:tr>
        <w:tblPrEx>
          <w:shd w:val="clear" w:color="auto" w:fill="auto"/>
          <w:tblCellMar>
            <w:top w:w="0" w:type="dxa"/>
            <w:left w:w="0" w:type="dxa"/>
            <w:bottom w:w="0" w:type="dxa"/>
            <w:right w:w="0" w:type="dxa"/>
          </w:tblCellMar>
        </w:tblPrEx>
        <w:trPr>
          <w:trHeight w:val="156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504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资助县市、乡镇两级儿童福利院（困境儿童保护中心）新建、改扩建或维修等设施建设，加强必要的设施设备配置；提升儿童福利机构内儿童养治教康项目，试点农村留守儿童和困境儿童开展关爱保护、保障工作。    </w:t>
            </w:r>
          </w:p>
        </w:tc>
        <w:tc>
          <w:tcPr>
            <w:tcW w:w="346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资助县市、乡镇两级儿童福利院（困境儿童保护中心）新建、改扩建或维修等设施建设，加强必要的设施设备配置；提升儿童福利机构内儿童养治教康项目，试点农村留守儿童和困境儿童开展关爱保护、保障工作。    </w:t>
            </w:r>
          </w:p>
        </w:tc>
      </w:tr>
      <w:tr>
        <w:tblPrEx>
          <w:shd w:val="clear" w:color="auto" w:fill="auto"/>
          <w:tblCellMar>
            <w:top w:w="0" w:type="dxa"/>
            <w:left w:w="0" w:type="dxa"/>
            <w:bottom w:w="0" w:type="dxa"/>
            <w:right w:w="0" w:type="dxa"/>
          </w:tblCellMar>
        </w:tblPrEx>
        <w:trPr>
          <w:trHeight w:val="412" w:hRule="atLeast"/>
        </w:trPr>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一级指标</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二级指标</w:t>
            </w:r>
          </w:p>
        </w:tc>
        <w:tc>
          <w:tcPr>
            <w:tcW w:w="252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三级指标</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年度指标值</w:t>
            </w:r>
          </w:p>
        </w:tc>
        <w:tc>
          <w:tcPr>
            <w:tcW w:w="14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实际完成值</w:t>
            </w:r>
          </w:p>
        </w:tc>
        <w:tc>
          <w:tcPr>
            <w:tcW w:w="198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偏差原因分析及改进措施</w:t>
            </w:r>
          </w:p>
        </w:tc>
      </w:tr>
      <w:tr>
        <w:tblPrEx>
          <w:shd w:val="clear" w:color="auto" w:fill="auto"/>
          <w:tblCellMar>
            <w:top w:w="0" w:type="dxa"/>
            <w:left w:w="0" w:type="dxa"/>
            <w:bottom w:w="0" w:type="dxa"/>
            <w:right w:w="0" w:type="dxa"/>
          </w:tblCellMar>
        </w:tblPrEx>
        <w:trPr>
          <w:trHeight w:val="27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52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4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98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1165" w:hRule="atLeast"/>
        </w:trPr>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年度绩效指标完成情况</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产出指标</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集中供养孤儿的覆盖面</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=42人</w:t>
            </w: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42人</w:t>
            </w: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989"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集中供养孤儿基本生活费按时发放次数</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=12次</w:t>
            </w: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12次</w:t>
            </w: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84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集中照料护理人数</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=5人</w:t>
            </w: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5人</w:t>
            </w: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962"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质量指标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孤残儿童生活费发放率</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84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护理人员与孤儿比例</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962"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时效指标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孤残儿童生活费发放及时率</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1003"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成本指标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孤儿生活标准</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≥1100元</w:t>
            </w: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1100元</w:t>
            </w: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1003"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restart"/>
            <w:tcBorders>
              <w:top w:val="nil"/>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社会效益指标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确保社会救助制度公平、公正</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≥80%</w:t>
            </w: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80%</w:t>
            </w: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1003"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nil"/>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生态效益指标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集中供养孤儿生活保障作用</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1124"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满意度指标</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服务对象满意度指标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集中供养孤残儿童满意度</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≥98%</w:t>
            </w: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98%</w:t>
            </w: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bl>
    <w:p>
      <w:pPr>
        <w:pStyle w:val="2"/>
        <w:sectPr>
          <w:footerReference r:id="rId3" w:type="default"/>
          <w:pgSz w:w="11906" w:h="16838"/>
          <w:pgMar w:top="1440" w:right="1558" w:bottom="1440" w:left="1800" w:header="851" w:footer="992" w:gutter="0"/>
          <w:cols w:space="425" w:num="1"/>
          <w:docGrid w:type="lines" w:linePitch="312" w:charSpace="0"/>
        </w:sectPr>
      </w:pPr>
    </w:p>
    <w:p>
      <w:pPr>
        <w:spacing w:line="600" w:lineRule="exact"/>
        <w:rPr>
          <w:rFonts w:ascii="仿宋_GB2312"/>
          <w:bCs/>
          <w:sz w:val="32"/>
          <w:szCs w:val="32"/>
        </w:rPr>
      </w:pPr>
      <w:r>
        <w:rPr>
          <w:rFonts w:hint="eastAsia" w:ascii="仿宋_GB2312"/>
          <w:bCs/>
          <w:sz w:val="32"/>
          <w:szCs w:val="32"/>
        </w:rPr>
        <w:t>附件2</w:t>
      </w:r>
    </w:p>
    <w:tbl>
      <w:tblPr>
        <w:tblStyle w:val="18"/>
        <w:tblW w:w="4999"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923"/>
        <w:gridCol w:w="845"/>
        <w:gridCol w:w="963"/>
        <w:gridCol w:w="2596"/>
        <w:gridCol w:w="5724"/>
        <w:gridCol w:w="1437"/>
        <w:gridCol w:w="1507"/>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330" w:type="pct"/>
            <w:shd w:val="clear" w:color="auto" w:fill="FFFFFF"/>
            <w:vAlign w:val="center"/>
          </w:tcPr>
          <w:p>
            <w:pPr>
              <w:widowControl/>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一级指标</w:t>
            </w:r>
          </w:p>
        </w:tc>
        <w:tc>
          <w:tcPr>
            <w:tcW w:w="302" w:type="pct"/>
            <w:shd w:val="clear" w:color="auto" w:fill="FFFFFF"/>
            <w:vAlign w:val="center"/>
          </w:tcPr>
          <w:p>
            <w:pPr>
              <w:widowControl/>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二级指标</w:t>
            </w:r>
          </w:p>
        </w:tc>
        <w:tc>
          <w:tcPr>
            <w:tcW w:w="344" w:type="pct"/>
            <w:shd w:val="clear" w:color="auto" w:fill="FFFFFF"/>
            <w:vAlign w:val="center"/>
          </w:tcPr>
          <w:p>
            <w:pPr>
              <w:widowControl/>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三级指标</w:t>
            </w:r>
          </w:p>
        </w:tc>
        <w:tc>
          <w:tcPr>
            <w:tcW w:w="927" w:type="pct"/>
            <w:shd w:val="clear" w:color="auto" w:fill="FFFFFF"/>
            <w:vAlign w:val="center"/>
          </w:tcPr>
          <w:p>
            <w:pPr>
              <w:widowControl/>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指标解释</w:t>
            </w:r>
          </w:p>
        </w:tc>
        <w:tc>
          <w:tcPr>
            <w:tcW w:w="2044" w:type="pct"/>
            <w:shd w:val="clear" w:color="auto" w:fill="FFFFFF"/>
            <w:vAlign w:val="center"/>
          </w:tcPr>
          <w:p>
            <w:pPr>
              <w:widowControl/>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指标说明</w:t>
            </w:r>
          </w:p>
        </w:tc>
        <w:tc>
          <w:tcPr>
            <w:tcW w:w="513" w:type="pct"/>
            <w:shd w:val="clear" w:color="auto" w:fill="FFFFFF"/>
            <w:vAlign w:val="center"/>
          </w:tcPr>
          <w:p>
            <w:pPr>
              <w:widowControl/>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权重</w:t>
            </w:r>
          </w:p>
        </w:tc>
        <w:tc>
          <w:tcPr>
            <w:tcW w:w="538" w:type="pct"/>
            <w:shd w:val="clear" w:color="auto" w:fill="FFFFFF"/>
            <w:vAlign w:val="center"/>
          </w:tcPr>
          <w:p>
            <w:pPr>
              <w:widowControl/>
              <w:tabs>
                <w:tab w:val="left" w:pos="1333"/>
                <w:tab w:val="center" w:pos="3623"/>
              </w:tabs>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330" w:type="pct"/>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决策　</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302" w:type="pct"/>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项目立项　</w:t>
            </w:r>
          </w:p>
        </w:tc>
        <w:tc>
          <w:tcPr>
            <w:tcW w:w="344"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立项依据</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充分性</w:t>
            </w:r>
          </w:p>
        </w:tc>
        <w:tc>
          <w:tcPr>
            <w:tcW w:w="927"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项目立项是否符合法律法规、相关政策、发展规划以及部门职责，用以反映和考核项目立项依据情况。</w:t>
            </w:r>
          </w:p>
        </w:tc>
        <w:tc>
          <w:tcPr>
            <w:tcW w:w="2044"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①项目立项是否符合国家法律法规、国民经济发展规划和相关政策；</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②项目立项是否符合行业发展规划和政策要求；</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③项目立项是否与部门职责范围相符，属于部门履职所需；</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④项目是否属于公共财政支持范围，是否符合中央、地方事权支出责任划分原则；</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⑤项目是否与相关部门同类项目或部门内部相关项目重复。</w:t>
            </w:r>
          </w:p>
        </w:tc>
        <w:tc>
          <w:tcPr>
            <w:tcW w:w="513"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0.5</w:t>
            </w:r>
          </w:p>
        </w:tc>
        <w:tc>
          <w:tcPr>
            <w:tcW w:w="538"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330" w:type="pct"/>
            <w:vMerge w:val="continue"/>
            <w:shd w:val="clear" w:color="auto" w:fill="FFFFFF"/>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302" w:type="pct"/>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344"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立项程序</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规范性</w:t>
            </w:r>
          </w:p>
        </w:tc>
        <w:tc>
          <w:tcPr>
            <w:tcW w:w="927"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项目申请、设立过程是否符合相关要求，用以反映和考核项目立项的规范情况。</w:t>
            </w:r>
          </w:p>
        </w:tc>
        <w:tc>
          <w:tcPr>
            <w:tcW w:w="2044"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①项目是否按照规定的程序申请设立；</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②审批文件、材料是否符合相关要求；</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③事前是否已经过必要的可行性研究、专家论证、风险评估、绩效评估、集体决策。</w:t>
            </w:r>
          </w:p>
        </w:tc>
        <w:tc>
          <w:tcPr>
            <w:tcW w:w="513"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0.5</w:t>
            </w:r>
          </w:p>
        </w:tc>
        <w:tc>
          <w:tcPr>
            <w:tcW w:w="538"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330" w:type="pct"/>
            <w:vMerge w:val="continue"/>
            <w:shd w:val="clear" w:color="auto" w:fill="FFFFFF"/>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302"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绩效目标　</w:t>
            </w:r>
          </w:p>
        </w:tc>
        <w:tc>
          <w:tcPr>
            <w:tcW w:w="344"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绩效目标</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合理性</w:t>
            </w:r>
          </w:p>
        </w:tc>
        <w:tc>
          <w:tcPr>
            <w:tcW w:w="927" w:type="pct"/>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项目所设定的绩效目标是否依据充分，是否符合客观实际，用以反映和考核项目绩效目标与项目实施的相符情况。</w:t>
            </w:r>
          </w:p>
        </w:tc>
        <w:tc>
          <w:tcPr>
            <w:tcW w:w="2044" w:type="pct"/>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（如未设定预算绩效目标，也可考核其他工作任务目标）</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①项目是否有绩效目标；</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②项目绩效目标与实际工作内容是否具有相关性；</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③项目预期产出效益和效果是否符合正常的业绩水平；</w:t>
            </w:r>
          </w:p>
          <w:p>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④是否与预算确定的项目投资额或资金量相匹配。</w:t>
            </w:r>
          </w:p>
        </w:tc>
        <w:tc>
          <w:tcPr>
            <w:tcW w:w="513" w:type="pct"/>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538" w:type="pct"/>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330" w:type="pct"/>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决策　</w:t>
            </w:r>
          </w:p>
        </w:tc>
        <w:tc>
          <w:tcPr>
            <w:tcW w:w="302"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绩效目标</w:t>
            </w:r>
          </w:p>
        </w:tc>
        <w:tc>
          <w:tcPr>
            <w:tcW w:w="344"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绩效指标</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明确性</w:t>
            </w:r>
          </w:p>
        </w:tc>
        <w:tc>
          <w:tcPr>
            <w:tcW w:w="927" w:type="pct"/>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依据绩效目标设定的绩效指标是否清晰、细化、可衡量等，用以反映和考核项目绩效目标的明细化情况。</w:t>
            </w:r>
          </w:p>
        </w:tc>
        <w:tc>
          <w:tcPr>
            <w:tcW w:w="2044" w:type="pct"/>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①是否将项目绩效目标细化分解为具体的绩效指标；</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②是否通过清晰、可衡量的指标值予以体现；</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③是否与项目目标任务数或计划数相对应。</w:t>
            </w:r>
            <w:r>
              <w:rPr>
                <w:rFonts w:hint="eastAsia" w:ascii="宋体" w:hAnsi="宋体" w:eastAsia="宋体" w:cs="宋体"/>
                <w:color w:val="000000"/>
                <w:kern w:val="0"/>
                <w:sz w:val="18"/>
                <w:szCs w:val="18"/>
              </w:rPr>
              <w:br w:type="textWrapping"/>
            </w:r>
          </w:p>
        </w:tc>
        <w:tc>
          <w:tcPr>
            <w:tcW w:w="513" w:type="pct"/>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538" w:type="pct"/>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330" w:type="pct"/>
            <w:vMerge w:val="continue"/>
            <w:shd w:val="clear" w:color="auto" w:fill="FFFFFF"/>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302" w:type="pct"/>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资金投入</w:t>
            </w: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344"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预算编制</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科学性</w:t>
            </w:r>
          </w:p>
        </w:tc>
        <w:tc>
          <w:tcPr>
            <w:tcW w:w="927"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项目预算编制是否经过科学论证、有明确标准，资金额度与年度目标是否相适应，用以反映和考核项目预算编制的科学性、合理性情况。</w:t>
            </w:r>
          </w:p>
        </w:tc>
        <w:tc>
          <w:tcPr>
            <w:tcW w:w="2044"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①预算编制是否经过科学论证；</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②预算内容与项目内容是否匹配；</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③预算额度测算依据是否充分，是否按照标准编制；</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④预算确定的项目投资额或资金量是否与工作任务相匹配。</w:t>
            </w:r>
          </w:p>
        </w:tc>
        <w:tc>
          <w:tcPr>
            <w:tcW w:w="513"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538"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330" w:type="pct"/>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302" w:type="pct"/>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344"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资金分配</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合理性</w:t>
            </w:r>
          </w:p>
        </w:tc>
        <w:tc>
          <w:tcPr>
            <w:tcW w:w="927"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项目预算资金分配是否有测算依据，与补助单位或地方实际是否相适应，用以反映和考核项目预算资金分配的科学性、合理性情况。</w:t>
            </w:r>
          </w:p>
        </w:tc>
        <w:tc>
          <w:tcPr>
            <w:tcW w:w="2044"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①预算资金分配依据是否充分；</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②资金分配额度是否合理，与项目单位或地方实际是否相适应。</w:t>
            </w:r>
          </w:p>
        </w:tc>
        <w:tc>
          <w:tcPr>
            <w:tcW w:w="513"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538"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330" w:type="pct"/>
            <w:vMerge w:val="restart"/>
            <w:shd w:val="clear" w:color="auto" w:fill="FFFFFF"/>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过程</w:t>
            </w:r>
          </w:p>
        </w:tc>
        <w:tc>
          <w:tcPr>
            <w:tcW w:w="302" w:type="pct"/>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资金管理</w:t>
            </w:r>
          </w:p>
        </w:tc>
        <w:tc>
          <w:tcPr>
            <w:tcW w:w="344"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资金到位率</w:t>
            </w:r>
          </w:p>
        </w:tc>
        <w:tc>
          <w:tcPr>
            <w:tcW w:w="927" w:type="pct"/>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实际到位资金与预算资金的比率，用以反映和考核资金落实情况对项目实施的总体保障程度。</w:t>
            </w:r>
          </w:p>
        </w:tc>
        <w:tc>
          <w:tcPr>
            <w:tcW w:w="2044" w:type="pct"/>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资金到位率=（实际到位资金/预算资金）×100%。</w:t>
            </w:r>
          </w:p>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实际到位资金：一定时期（本年度或项目期）内落实到具体项目的资金。</w:t>
            </w:r>
          </w:p>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预算资金：一定时期（本年度或项目期）内预算安排到具体项目的资金。</w:t>
            </w:r>
          </w:p>
        </w:tc>
        <w:tc>
          <w:tcPr>
            <w:tcW w:w="513" w:type="pct"/>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538" w:type="pct"/>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330" w:type="pct"/>
            <w:vMerge w:val="continue"/>
            <w:shd w:val="clear" w:color="auto" w:fill="FFFFFF"/>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302" w:type="pct"/>
            <w:vMerge w:val="continue"/>
            <w:shd w:val="clear" w:color="auto" w:fill="FFFFFF"/>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344"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预算执行率</w:t>
            </w:r>
          </w:p>
        </w:tc>
        <w:tc>
          <w:tcPr>
            <w:tcW w:w="927"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项目预算资金是否按照计划执行，用以反映或考核项目预算执行情况。</w:t>
            </w:r>
          </w:p>
        </w:tc>
        <w:tc>
          <w:tcPr>
            <w:tcW w:w="2044"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预算执行率=（实际支出资金/实际到位资金）×100%。</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实际支出资金：一定时期（本年度或项目期）内项目实际拨付的资金。</w:t>
            </w:r>
          </w:p>
        </w:tc>
        <w:tc>
          <w:tcPr>
            <w:tcW w:w="513"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538"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0.8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30" w:type="pct"/>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过程　</w:t>
            </w:r>
          </w:p>
        </w:tc>
        <w:tc>
          <w:tcPr>
            <w:tcW w:w="302"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资金管理</w:t>
            </w:r>
          </w:p>
        </w:tc>
        <w:tc>
          <w:tcPr>
            <w:tcW w:w="344"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资金使用</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合规性</w:t>
            </w:r>
          </w:p>
        </w:tc>
        <w:tc>
          <w:tcPr>
            <w:tcW w:w="927" w:type="pct"/>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项目资金使用是否符合相关的财务管理制度规定，用以反映和考核项目资金的规范运行情况。</w:t>
            </w:r>
          </w:p>
        </w:tc>
        <w:tc>
          <w:tcPr>
            <w:tcW w:w="2044" w:type="pct"/>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①是否符合国家财经法规和财务管理制度以及有关专项资金管理办法的规定；</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②资金的拨付是否有完整的审批程序和手续；</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③是否符合项目预算批复或合同规定的用途；</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④是否存在截留、挤占、挪用、虚列支出等情况。</w:t>
            </w:r>
          </w:p>
        </w:tc>
        <w:tc>
          <w:tcPr>
            <w:tcW w:w="513" w:type="pct"/>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538" w:type="pct"/>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330" w:type="pct"/>
            <w:vMerge w:val="continue"/>
            <w:shd w:val="clear" w:color="auto" w:fill="FFFFFF"/>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302" w:type="pct"/>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组织实施</w:t>
            </w: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344"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管理制度</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健全性</w:t>
            </w:r>
          </w:p>
        </w:tc>
        <w:tc>
          <w:tcPr>
            <w:tcW w:w="927" w:type="pct"/>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项目实施单位的财务和业务管理制度是否健全，用以反映和考核财务和业务管理制度对项目顺利实施的保障情况。</w:t>
            </w:r>
          </w:p>
        </w:tc>
        <w:tc>
          <w:tcPr>
            <w:tcW w:w="2044" w:type="pct"/>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①是否已制定或具有相应的财务和业务管理制度；</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②财务和业务管理制度是否合法、合规、完整。</w:t>
            </w:r>
          </w:p>
        </w:tc>
        <w:tc>
          <w:tcPr>
            <w:tcW w:w="513" w:type="pct"/>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538" w:type="pct"/>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330" w:type="pct"/>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302" w:type="pct"/>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344"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制度执行</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有效性</w:t>
            </w:r>
          </w:p>
        </w:tc>
        <w:tc>
          <w:tcPr>
            <w:tcW w:w="927" w:type="pct"/>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项目实施是否符合相关管理规定，用以反映和考核相关管理制度的有效执行情况。</w:t>
            </w:r>
          </w:p>
        </w:tc>
        <w:tc>
          <w:tcPr>
            <w:tcW w:w="2044" w:type="pct"/>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①是否遵守相关法律法规和相关管理规定；</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②项目调整及支出调整手续是否完备；</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③项目合同书、验收报告、技术鉴定等资料是否齐全并及时归档；</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④项目实施的人员条件、场地设备、信息支撑等是否落实到位。</w:t>
            </w:r>
          </w:p>
        </w:tc>
        <w:tc>
          <w:tcPr>
            <w:tcW w:w="513" w:type="pct"/>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538" w:type="pct"/>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330"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w:t>
            </w:r>
          </w:p>
        </w:tc>
        <w:tc>
          <w:tcPr>
            <w:tcW w:w="302"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产出数量</w:t>
            </w:r>
          </w:p>
        </w:tc>
        <w:tc>
          <w:tcPr>
            <w:tcW w:w="344"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实际完成率</w:t>
            </w:r>
          </w:p>
        </w:tc>
        <w:tc>
          <w:tcPr>
            <w:tcW w:w="927" w:type="pct"/>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项目实施的实际产出数与计划产出数的比率，用以反映和考核项目产出数量目标的实现程度。</w:t>
            </w:r>
          </w:p>
        </w:tc>
        <w:tc>
          <w:tcPr>
            <w:tcW w:w="2044" w:type="pct"/>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实际完成率=（实际产出数/计划产出数）×100%。</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实际产出数：一定时期（本年度或项目期）内项目实际产出的产品或提供的服务数量。</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计划产出数：项目绩效目标确定的在一定时期（本年度或项目期）内计划产出的产品或提供的服务数量。</w:t>
            </w:r>
          </w:p>
        </w:tc>
        <w:tc>
          <w:tcPr>
            <w:tcW w:w="513" w:type="pct"/>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15</w:t>
            </w:r>
          </w:p>
        </w:tc>
        <w:tc>
          <w:tcPr>
            <w:tcW w:w="538" w:type="pct"/>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330" w:type="pct"/>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w:t>
            </w:r>
          </w:p>
        </w:tc>
        <w:tc>
          <w:tcPr>
            <w:tcW w:w="302"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产出质量</w:t>
            </w:r>
          </w:p>
        </w:tc>
        <w:tc>
          <w:tcPr>
            <w:tcW w:w="344"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质量达标率</w:t>
            </w:r>
          </w:p>
        </w:tc>
        <w:tc>
          <w:tcPr>
            <w:tcW w:w="927" w:type="pct"/>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项目完成的质量达标产出数与实际产出数的比率，用以反映和考核项目产出质量目标的实现程度。</w:t>
            </w:r>
          </w:p>
        </w:tc>
        <w:tc>
          <w:tcPr>
            <w:tcW w:w="2044" w:type="pct"/>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质量达标率=（质量达标产出数/实际产出数）×100%。</w:t>
            </w:r>
          </w:p>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3" w:type="pct"/>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538" w:type="pct"/>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330" w:type="pct"/>
            <w:vMerge w:val="continue"/>
            <w:shd w:val="clear" w:color="auto" w:fill="FFFFFF"/>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302" w:type="pct"/>
            <w:shd w:val="clear" w:color="auto" w:fill="FFFFFF"/>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产出时效</w:t>
            </w:r>
          </w:p>
        </w:tc>
        <w:tc>
          <w:tcPr>
            <w:tcW w:w="344"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完成及时性</w:t>
            </w:r>
          </w:p>
        </w:tc>
        <w:tc>
          <w:tcPr>
            <w:tcW w:w="927" w:type="pct"/>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项目实际完成时间与计划完成时间的比较，用以反映和考核项目产出时效目标的实现程度。</w:t>
            </w:r>
          </w:p>
        </w:tc>
        <w:tc>
          <w:tcPr>
            <w:tcW w:w="2044" w:type="pct"/>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实际完成时间：项目实施单位完成该项目实际所耗用的时间。</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计划完成时间：按照项目实施计划或相关规定完成该项目所需的时间。</w:t>
            </w:r>
          </w:p>
        </w:tc>
        <w:tc>
          <w:tcPr>
            <w:tcW w:w="513" w:type="pct"/>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15</w:t>
            </w:r>
          </w:p>
        </w:tc>
        <w:tc>
          <w:tcPr>
            <w:tcW w:w="538" w:type="pct"/>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30" w:type="pct"/>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302"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产出成本</w:t>
            </w:r>
          </w:p>
        </w:tc>
        <w:tc>
          <w:tcPr>
            <w:tcW w:w="344"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成本节约率</w:t>
            </w:r>
          </w:p>
        </w:tc>
        <w:tc>
          <w:tcPr>
            <w:tcW w:w="927" w:type="pct"/>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完成项目计划工作目标的实际节约成本与计划成本的比率，用以反映和考核项目的成本节约程度。</w:t>
            </w:r>
          </w:p>
        </w:tc>
        <w:tc>
          <w:tcPr>
            <w:tcW w:w="2044" w:type="pct"/>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成本节约率=[（计划成本-实际成本）/计划成本]×100%。</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实际成本：项目实施单位如期、保质、保量完成既定工作目标实际所耗费的支出。</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计划成本：项目实施单位为完成工作目标计划安排的支出，一般以项目预算为参考。</w:t>
            </w:r>
          </w:p>
        </w:tc>
        <w:tc>
          <w:tcPr>
            <w:tcW w:w="513" w:type="pct"/>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538" w:type="pct"/>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330" w:type="pct"/>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效益　</w:t>
            </w:r>
          </w:p>
        </w:tc>
        <w:tc>
          <w:tcPr>
            <w:tcW w:w="302" w:type="pct"/>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项目效益　</w:t>
            </w:r>
          </w:p>
        </w:tc>
        <w:tc>
          <w:tcPr>
            <w:tcW w:w="344"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实施效益</w:t>
            </w:r>
          </w:p>
        </w:tc>
        <w:tc>
          <w:tcPr>
            <w:tcW w:w="927"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项目实施所产生的效益。</w:t>
            </w:r>
          </w:p>
        </w:tc>
        <w:tc>
          <w:tcPr>
            <w:tcW w:w="2044"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项目实施所产生的社会效益、经济效益、生态效益、可持续影响等。可根据项目实际情况有选择地设置和细化。</w:t>
            </w:r>
          </w:p>
        </w:tc>
        <w:tc>
          <w:tcPr>
            <w:tcW w:w="513"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30</w:t>
            </w:r>
          </w:p>
        </w:tc>
        <w:tc>
          <w:tcPr>
            <w:tcW w:w="538"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330" w:type="pct"/>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302" w:type="pct"/>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344" w:type="pc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满意度</w:t>
            </w:r>
          </w:p>
        </w:tc>
        <w:tc>
          <w:tcPr>
            <w:tcW w:w="927" w:type="pct"/>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社会公众或服务对象对项目实施效果的满意程度。</w:t>
            </w:r>
          </w:p>
        </w:tc>
        <w:tc>
          <w:tcPr>
            <w:tcW w:w="2044" w:type="pct"/>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社会公众或服务对象是指因该项目实施而受到影响的部门（单位）、群体或个人。一般采取社会调查的方式。</w:t>
            </w:r>
          </w:p>
        </w:tc>
        <w:tc>
          <w:tcPr>
            <w:tcW w:w="513" w:type="pct"/>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538" w:type="pct"/>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r>
    </w:tbl>
    <w:p>
      <w:pPr>
        <w:pStyle w:val="2"/>
        <w:keepNext w:val="0"/>
        <w:keepLines w:val="0"/>
        <w:pageBreakBefore w:val="0"/>
        <w:kinsoku/>
        <w:wordWrap/>
        <w:overflowPunct/>
        <w:topLinePunct w:val="0"/>
        <w:autoSpaceDE/>
        <w:autoSpaceDN/>
        <w:bidi w:val="0"/>
        <w:adjustRightInd/>
        <w:snapToGrid/>
        <w:spacing w:before="0" w:after="0" w:line="560" w:lineRule="exact"/>
        <w:textAlignment w:val="auto"/>
        <w:rPr>
          <w:rFonts w:hint="eastAsia" w:ascii="宋体" w:hAnsi="宋体" w:eastAsia="宋体" w:cs="宋体"/>
          <w:sz w:val="18"/>
          <w:szCs w:val="18"/>
        </w:rPr>
      </w:pPr>
    </w:p>
    <w:sectPr>
      <w:pgSz w:w="16838" w:h="11906" w:orient="landscape"/>
      <w:pgMar w:top="1800" w:right="1616"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仿宋_GBK">
    <w:altName w:val="微软雅黑"/>
    <w:panose1 w:val="02000000000000000000"/>
    <w:charset w:val="86"/>
    <w:family w:val="script"/>
    <w:pitch w:val="default"/>
    <w:sig w:usb0="00000000" w:usb1="00000000" w:usb2="00082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简体">
    <w:altName w:val="黑体"/>
    <w:panose1 w:val="02000000000000000000"/>
    <w:charset w:val="86"/>
    <w:family w:val="auto"/>
    <w:pitch w:val="default"/>
    <w:sig w:usb0="00000000" w:usb1="00000000" w:usb2="0000000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4"/>
          <w:jc w:val="center"/>
        </w:pPr>
        <w:r>
          <w:fldChar w:fldCharType="begin"/>
        </w:r>
        <w:r>
          <w:instrText xml:space="preserve">PAGE   \* MERGEFORMAT</w:instrText>
        </w:r>
        <w:r>
          <w:fldChar w:fldCharType="separate"/>
        </w:r>
        <w:r>
          <w:rPr>
            <w:lang w:val="zh-CN"/>
          </w:rPr>
          <w:t>2</w:t>
        </w:r>
        <w:r>
          <w:fldChar w:fldCharType="end"/>
        </w:r>
      </w:p>
    </w:sdtContent>
  </w:sdt>
  <w:p>
    <w:pPr>
      <w:pStyle w:val="1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F60FE1"/>
    <w:multiLevelType w:val="singleLevel"/>
    <w:tmpl w:val="DEF60FE1"/>
    <w:lvl w:ilvl="0" w:tentative="0">
      <w:start w:val="1"/>
      <w:numFmt w:val="decimal"/>
      <w:suff w:val="nothing"/>
      <w:lvlText w:val="（%1）"/>
      <w:lvlJc w:val="left"/>
    </w:lvl>
  </w:abstractNum>
  <w:abstractNum w:abstractNumId="1">
    <w:nsid w:val="EE5C6BF8"/>
    <w:multiLevelType w:val="singleLevel"/>
    <w:tmpl w:val="EE5C6BF8"/>
    <w:lvl w:ilvl="0" w:tentative="0">
      <w:start w:val="2"/>
      <w:numFmt w:val="decimal"/>
      <w:suff w:val="nothing"/>
      <w:lvlText w:val="%1、"/>
      <w:lvlJc w:val="left"/>
    </w:lvl>
  </w:abstractNum>
  <w:abstractNum w:abstractNumId="2">
    <w:nsid w:val="FF4BB6DE"/>
    <w:multiLevelType w:val="singleLevel"/>
    <w:tmpl w:val="FF4BB6DE"/>
    <w:lvl w:ilvl="0" w:tentative="0">
      <w:start w:val="1"/>
      <w:numFmt w:val="decimal"/>
      <w:suff w:val="nothing"/>
      <w:lvlText w:val="%1、"/>
      <w:lvlJc w:val="left"/>
    </w:lvl>
  </w:abstractNum>
  <w:abstractNum w:abstractNumId="3">
    <w:nsid w:val="FF9379A8"/>
    <w:multiLevelType w:val="singleLevel"/>
    <w:tmpl w:val="FF9379A8"/>
    <w:lvl w:ilvl="0" w:tentative="0">
      <w:start w:val="2"/>
      <w:numFmt w:val="chineseCounting"/>
      <w:suff w:val="nothing"/>
      <w:lvlText w:val="（%1）"/>
      <w:lvlJc w:val="left"/>
      <w:rPr>
        <w:rFonts w:hint="eastAsia"/>
      </w:rPr>
    </w:lvl>
  </w:abstractNum>
  <w:abstractNum w:abstractNumId="4">
    <w:nsid w:val="016D6140"/>
    <w:multiLevelType w:val="multilevel"/>
    <w:tmpl w:val="016D6140"/>
    <w:lvl w:ilvl="0" w:tentative="0">
      <w:start w:val="1"/>
      <w:numFmt w:val="decimal"/>
      <w:lvlText w:val="%1、"/>
      <w:lvlJc w:val="left"/>
      <w:pPr>
        <w:ind w:left="1132" w:hanging="492"/>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5">
    <w:nsid w:val="116B29BF"/>
    <w:multiLevelType w:val="singleLevel"/>
    <w:tmpl w:val="116B29BF"/>
    <w:lvl w:ilvl="0" w:tentative="0">
      <w:start w:val="3"/>
      <w:numFmt w:val="chineseCounting"/>
      <w:suff w:val="nothing"/>
      <w:lvlText w:val="%1、"/>
      <w:lvlJc w:val="left"/>
      <w:rPr>
        <w:rFonts w:hint="eastAsia"/>
      </w:rPr>
    </w:lvl>
  </w:abstractNum>
  <w:abstractNum w:abstractNumId="6">
    <w:nsid w:val="38F0C646"/>
    <w:multiLevelType w:val="singleLevel"/>
    <w:tmpl w:val="38F0C646"/>
    <w:lvl w:ilvl="0" w:tentative="0">
      <w:start w:val="1"/>
      <w:numFmt w:val="decimal"/>
      <w:suff w:val="nothing"/>
      <w:lvlText w:val="%1、"/>
      <w:lvlJc w:val="left"/>
    </w:lvl>
  </w:abstractNum>
  <w:num w:numId="1">
    <w:abstractNumId w:val="1"/>
  </w:num>
  <w:num w:numId="2">
    <w:abstractNumId w:val="0"/>
  </w:num>
  <w:num w:numId="3">
    <w:abstractNumId w:val="6"/>
  </w:num>
  <w:num w:numId="4">
    <w:abstractNumId w:val="5"/>
  </w:num>
  <w:num w:numId="5">
    <w:abstractNumId w:val="3"/>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261FE"/>
    <w:rsid w:val="000435AA"/>
    <w:rsid w:val="00056465"/>
    <w:rsid w:val="000E50F0"/>
    <w:rsid w:val="000E586C"/>
    <w:rsid w:val="00121AE4"/>
    <w:rsid w:val="0013783D"/>
    <w:rsid w:val="00146AAD"/>
    <w:rsid w:val="001B3A40"/>
    <w:rsid w:val="00333445"/>
    <w:rsid w:val="00356786"/>
    <w:rsid w:val="00375313"/>
    <w:rsid w:val="00387171"/>
    <w:rsid w:val="003C18BC"/>
    <w:rsid w:val="004366A8"/>
    <w:rsid w:val="00464900"/>
    <w:rsid w:val="00472AB1"/>
    <w:rsid w:val="00474FFA"/>
    <w:rsid w:val="00500CBB"/>
    <w:rsid w:val="00502BA7"/>
    <w:rsid w:val="005162F1"/>
    <w:rsid w:val="00531FBD"/>
    <w:rsid w:val="00535153"/>
    <w:rsid w:val="005475CD"/>
    <w:rsid w:val="00554F82"/>
    <w:rsid w:val="0056390D"/>
    <w:rsid w:val="005639E9"/>
    <w:rsid w:val="005719B0"/>
    <w:rsid w:val="005D10D6"/>
    <w:rsid w:val="00614E7C"/>
    <w:rsid w:val="00687487"/>
    <w:rsid w:val="006969B6"/>
    <w:rsid w:val="0071170B"/>
    <w:rsid w:val="007806A5"/>
    <w:rsid w:val="008173E5"/>
    <w:rsid w:val="00824CF4"/>
    <w:rsid w:val="0083570C"/>
    <w:rsid w:val="00855E3A"/>
    <w:rsid w:val="008801A5"/>
    <w:rsid w:val="00922CB9"/>
    <w:rsid w:val="00973251"/>
    <w:rsid w:val="009904FE"/>
    <w:rsid w:val="009D168E"/>
    <w:rsid w:val="009E5CD9"/>
    <w:rsid w:val="00A26421"/>
    <w:rsid w:val="00A4293B"/>
    <w:rsid w:val="00A67D50"/>
    <w:rsid w:val="00A85B0F"/>
    <w:rsid w:val="00A85D90"/>
    <w:rsid w:val="00A8691A"/>
    <w:rsid w:val="00AC1946"/>
    <w:rsid w:val="00B40063"/>
    <w:rsid w:val="00B41F61"/>
    <w:rsid w:val="00B82114"/>
    <w:rsid w:val="00BA46E6"/>
    <w:rsid w:val="00C56C72"/>
    <w:rsid w:val="00C70B67"/>
    <w:rsid w:val="00CA6457"/>
    <w:rsid w:val="00CD2147"/>
    <w:rsid w:val="00D17F2E"/>
    <w:rsid w:val="00D24717"/>
    <w:rsid w:val="00D30354"/>
    <w:rsid w:val="00D7223D"/>
    <w:rsid w:val="00D91D33"/>
    <w:rsid w:val="00DA1418"/>
    <w:rsid w:val="00DC5E2A"/>
    <w:rsid w:val="00DF42A0"/>
    <w:rsid w:val="00DF7C45"/>
    <w:rsid w:val="00E000CF"/>
    <w:rsid w:val="00E31565"/>
    <w:rsid w:val="00E46C51"/>
    <w:rsid w:val="00E47FCB"/>
    <w:rsid w:val="00E769FE"/>
    <w:rsid w:val="00EA2CBE"/>
    <w:rsid w:val="00EB577C"/>
    <w:rsid w:val="00EB6B36"/>
    <w:rsid w:val="00F32FEE"/>
    <w:rsid w:val="00F71278"/>
    <w:rsid w:val="00F802A9"/>
    <w:rsid w:val="00F94A57"/>
    <w:rsid w:val="00FB10BB"/>
    <w:rsid w:val="017766E1"/>
    <w:rsid w:val="051A56F5"/>
    <w:rsid w:val="066D6EAA"/>
    <w:rsid w:val="06EC4C7D"/>
    <w:rsid w:val="06EE5EF2"/>
    <w:rsid w:val="08C662D4"/>
    <w:rsid w:val="09BD4D95"/>
    <w:rsid w:val="0F8D41CB"/>
    <w:rsid w:val="11C75270"/>
    <w:rsid w:val="12637CC3"/>
    <w:rsid w:val="12E657C5"/>
    <w:rsid w:val="167C7687"/>
    <w:rsid w:val="168B3546"/>
    <w:rsid w:val="178B699E"/>
    <w:rsid w:val="18174BBC"/>
    <w:rsid w:val="1A2374E0"/>
    <w:rsid w:val="1C317CE2"/>
    <w:rsid w:val="1DD45808"/>
    <w:rsid w:val="1DED42AC"/>
    <w:rsid w:val="20005763"/>
    <w:rsid w:val="20FB313D"/>
    <w:rsid w:val="220B4804"/>
    <w:rsid w:val="24770FED"/>
    <w:rsid w:val="25C42F7B"/>
    <w:rsid w:val="282475E3"/>
    <w:rsid w:val="2C6100C1"/>
    <w:rsid w:val="3264220D"/>
    <w:rsid w:val="36B7047B"/>
    <w:rsid w:val="3963178C"/>
    <w:rsid w:val="41CC2676"/>
    <w:rsid w:val="45B12C9F"/>
    <w:rsid w:val="46B21672"/>
    <w:rsid w:val="4BCD69FF"/>
    <w:rsid w:val="4F552460"/>
    <w:rsid w:val="4FCC6863"/>
    <w:rsid w:val="500A214A"/>
    <w:rsid w:val="522D604D"/>
    <w:rsid w:val="5297585E"/>
    <w:rsid w:val="52AD7D6F"/>
    <w:rsid w:val="5549519D"/>
    <w:rsid w:val="5557596B"/>
    <w:rsid w:val="57050A7F"/>
    <w:rsid w:val="5B596DFC"/>
    <w:rsid w:val="5DF03945"/>
    <w:rsid w:val="5F42553E"/>
    <w:rsid w:val="637C2815"/>
    <w:rsid w:val="63B16CD1"/>
    <w:rsid w:val="67D57948"/>
    <w:rsid w:val="6FDA1A11"/>
    <w:rsid w:val="70F66F64"/>
    <w:rsid w:val="714405C7"/>
    <w:rsid w:val="73BA5365"/>
    <w:rsid w:val="7A353D0B"/>
    <w:rsid w:val="7B571191"/>
    <w:rsid w:val="7D3A5E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2"/>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3"/>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5">
    <w:name w:val="heading 3"/>
    <w:basedOn w:val="1"/>
    <w:next w:val="1"/>
    <w:link w:val="24"/>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6">
    <w:name w:val="heading 4"/>
    <w:basedOn w:val="1"/>
    <w:next w:val="1"/>
    <w:link w:val="25"/>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7">
    <w:name w:val="heading 5"/>
    <w:basedOn w:val="1"/>
    <w:next w:val="1"/>
    <w:link w:val="26"/>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8">
    <w:name w:val="heading 6"/>
    <w:basedOn w:val="1"/>
    <w:next w:val="1"/>
    <w:link w:val="27"/>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9">
    <w:name w:val="heading 7"/>
    <w:basedOn w:val="1"/>
    <w:next w:val="1"/>
    <w:link w:val="28"/>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10">
    <w:name w:val="heading 8"/>
    <w:basedOn w:val="1"/>
    <w:next w:val="1"/>
    <w:link w:val="29"/>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1">
    <w:name w:val="heading 9"/>
    <w:basedOn w:val="1"/>
    <w:next w:val="1"/>
    <w:link w:val="30"/>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9">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link w:val="3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2">
    <w:name w:val="Body Text"/>
    <w:basedOn w:val="1"/>
    <w:qFormat/>
    <w:uiPriority w:val="0"/>
    <w:pPr>
      <w:spacing w:after="120"/>
    </w:pPr>
  </w:style>
  <w:style w:type="paragraph" w:styleId="13">
    <w:name w:val="Balloon Text"/>
    <w:basedOn w:val="1"/>
    <w:link w:val="47"/>
    <w:semiHidden/>
    <w:unhideWhenUsed/>
    <w:qFormat/>
    <w:uiPriority w:val="99"/>
    <w:rPr>
      <w:sz w:val="18"/>
      <w:szCs w:val="18"/>
    </w:rPr>
  </w:style>
  <w:style w:type="paragraph" w:styleId="14">
    <w:name w:val="footer"/>
    <w:basedOn w:val="1"/>
    <w:link w:val="46"/>
    <w:unhideWhenUsed/>
    <w:qFormat/>
    <w:uiPriority w:val="99"/>
    <w:pPr>
      <w:tabs>
        <w:tab w:val="center" w:pos="4153"/>
        <w:tab w:val="right" w:pos="8306"/>
      </w:tabs>
      <w:snapToGrid w:val="0"/>
      <w:jc w:val="left"/>
    </w:pPr>
    <w:rPr>
      <w:rFonts w:ascii="Calibri" w:hAnsi="Calibri"/>
      <w:sz w:val="18"/>
      <w:szCs w:val="18"/>
    </w:rPr>
  </w:style>
  <w:style w:type="paragraph" w:styleId="15">
    <w:name w:val="header"/>
    <w:basedOn w:val="1"/>
    <w:link w:val="45"/>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6">
    <w:name w:val="Subtitle"/>
    <w:basedOn w:val="1"/>
    <w:next w:val="1"/>
    <w:link w:val="32"/>
    <w:qFormat/>
    <w:uiPriority w:val="11"/>
    <w:pPr>
      <w:widowControl/>
      <w:spacing w:after="60"/>
      <w:jc w:val="center"/>
      <w:outlineLvl w:val="1"/>
    </w:pPr>
    <w:rPr>
      <w:rFonts w:asciiTheme="majorHAnsi" w:hAnsiTheme="majorHAnsi" w:eastAsiaTheme="majorEastAsia"/>
      <w:kern w:val="0"/>
      <w:sz w:val="24"/>
    </w:rPr>
  </w:style>
  <w:style w:type="paragraph" w:styleId="17">
    <w:name w:val="Body Text First Indent"/>
    <w:basedOn w:val="12"/>
    <w:qFormat/>
    <w:uiPriority w:val="0"/>
    <w:pPr>
      <w:spacing w:after="0"/>
      <w:ind w:firstLine="200" w:firstLineChars="200"/>
    </w:pPr>
  </w:style>
  <w:style w:type="character" w:styleId="20">
    <w:name w:val="Strong"/>
    <w:basedOn w:val="19"/>
    <w:qFormat/>
    <w:uiPriority w:val="0"/>
    <w:rPr>
      <w:b/>
      <w:bCs/>
    </w:rPr>
  </w:style>
  <w:style w:type="character" w:styleId="21">
    <w:name w:val="Emphasis"/>
    <w:basedOn w:val="19"/>
    <w:qFormat/>
    <w:uiPriority w:val="20"/>
    <w:rPr>
      <w:rFonts w:asciiTheme="minorHAnsi" w:hAnsiTheme="minorHAnsi"/>
      <w:b/>
      <w:i/>
      <w:iCs/>
    </w:rPr>
  </w:style>
  <w:style w:type="character" w:customStyle="1" w:styleId="22">
    <w:name w:val="标题 1 字符"/>
    <w:basedOn w:val="19"/>
    <w:link w:val="3"/>
    <w:qFormat/>
    <w:uiPriority w:val="9"/>
    <w:rPr>
      <w:rFonts w:asciiTheme="majorHAnsi" w:hAnsiTheme="majorHAnsi" w:eastAsiaTheme="majorEastAsia"/>
      <w:b/>
      <w:bCs/>
      <w:kern w:val="32"/>
      <w:sz w:val="32"/>
      <w:szCs w:val="32"/>
    </w:rPr>
  </w:style>
  <w:style w:type="character" w:customStyle="1" w:styleId="23">
    <w:name w:val="标题 2 字符"/>
    <w:basedOn w:val="19"/>
    <w:link w:val="4"/>
    <w:semiHidden/>
    <w:qFormat/>
    <w:uiPriority w:val="9"/>
    <w:rPr>
      <w:rFonts w:asciiTheme="majorHAnsi" w:hAnsiTheme="majorHAnsi" w:eastAsiaTheme="majorEastAsia"/>
      <w:b/>
      <w:bCs/>
      <w:i/>
      <w:iCs/>
      <w:sz w:val="28"/>
      <w:szCs w:val="28"/>
    </w:rPr>
  </w:style>
  <w:style w:type="character" w:customStyle="1" w:styleId="24">
    <w:name w:val="标题 3 字符"/>
    <w:basedOn w:val="19"/>
    <w:link w:val="5"/>
    <w:semiHidden/>
    <w:qFormat/>
    <w:uiPriority w:val="9"/>
    <w:rPr>
      <w:rFonts w:asciiTheme="majorHAnsi" w:hAnsiTheme="majorHAnsi" w:eastAsiaTheme="majorEastAsia"/>
      <w:b/>
      <w:bCs/>
      <w:sz w:val="26"/>
      <w:szCs w:val="26"/>
    </w:rPr>
  </w:style>
  <w:style w:type="character" w:customStyle="1" w:styleId="25">
    <w:name w:val="标题 4 字符"/>
    <w:basedOn w:val="19"/>
    <w:link w:val="6"/>
    <w:semiHidden/>
    <w:qFormat/>
    <w:uiPriority w:val="9"/>
    <w:rPr>
      <w:b/>
      <w:bCs/>
      <w:sz w:val="28"/>
      <w:szCs w:val="28"/>
    </w:rPr>
  </w:style>
  <w:style w:type="character" w:customStyle="1" w:styleId="26">
    <w:name w:val="标题 5 字符"/>
    <w:basedOn w:val="19"/>
    <w:link w:val="7"/>
    <w:semiHidden/>
    <w:qFormat/>
    <w:uiPriority w:val="9"/>
    <w:rPr>
      <w:b/>
      <w:bCs/>
      <w:i/>
      <w:iCs/>
      <w:sz w:val="26"/>
      <w:szCs w:val="26"/>
    </w:rPr>
  </w:style>
  <w:style w:type="character" w:customStyle="1" w:styleId="27">
    <w:name w:val="标题 6 字符"/>
    <w:basedOn w:val="19"/>
    <w:link w:val="8"/>
    <w:semiHidden/>
    <w:qFormat/>
    <w:uiPriority w:val="9"/>
    <w:rPr>
      <w:b/>
      <w:bCs/>
    </w:rPr>
  </w:style>
  <w:style w:type="character" w:customStyle="1" w:styleId="28">
    <w:name w:val="标题 7 字符"/>
    <w:basedOn w:val="19"/>
    <w:link w:val="9"/>
    <w:semiHidden/>
    <w:qFormat/>
    <w:uiPriority w:val="9"/>
    <w:rPr>
      <w:sz w:val="24"/>
      <w:szCs w:val="24"/>
    </w:rPr>
  </w:style>
  <w:style w:type="character" w:customStyle="1" w:styleId="29">
    <w:name w:val="标题 8 字符"/>
    <w:basedOn w:val="19"/>
    <w:link w:val="10"/>
    <w:semiHidden/>
    <w:qFormat/>
    <w:uiPriority w:val="9"/>
    <w:rPr>
      <w:i/>
      <w:iCs/>
      <w:sz w:val="24"/>
      <w:szCs w:val="24"/>
    </w:rPr>
  </w:style>
  <w:style w:type="character" w:customStyle="1" w:styleId="30">
    <w:name w:val="标题 9 字符"/>
    <w:basedOn w:val="19"/>
    <w:link w:val="11"/>
    <w:semiHidden/>
    <w:qFormat/>
    <w:uiPriority w:val="9"/>
    <w:rPr>
      <w:rFonts w:asciiTheme="majorHAnsi" w:hAnsiTheme="majorHAnsi" w:eastAsiaTheme="majorEastAsia"/>
    </w:rPr>
  </w:style>
  <w:style w:type="character" w:customStyle="1" w:styleId="31">
    <w:name w:val="标题 字符"/>
    <w:basedOn w:val="19"/>
    <w:link w:val="2"/>
    <w:qFormat/>
    <w:uiPriority w:val="10"/>
    <w:rPr>
      <w:rFonts w:asciiTheme="majorHAnsi" w:hAnsiTheme="majorHAnsi" w:eastAsiaTheme="majorEastAsia"/>
      <w:b/>
      <w:bCs/>
      <w:kern w:val="28"/>
      <w:sz w:val="32"/>
      <w:szCs w:val="32"/>
    </w:rPr>
  </w:style>
  <w:style w:type="character" w:customStyle="1" w:styleId="32">
    <w:name w:val="副标题 字符"/>
    <w:basedOn w:val="19"/>
    <w:link w:val="16"/>
    <w:qFormat/>
    <w:uiPriority w:val="11"/>
    <w:rPr>
      <w:rFonts w:asciiTheme="majorHAnsi" w:hAnsiTheme="majorHAnsi" w:eastAsiaTheme="majorEastAsia"/>
      <w:sz w:val="24"/>
      <w:szCs w:val="24"/>
    </w:rPr>
  </w:style>
  <w:style w:type="paragraph" w:styleId="33">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4">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5">
    <w:name w:val="Quote"/>
    <w:basedOn w:val="1"/>
    <w:next w:val="1"/>
    <w:link w:val="36"/>
    <w:qFormat/>
    <w:uiPriority w:val="29"/>
    <w:pPr>
      <w:widowControl/>
      <w:jc w:val="left"/>
    </w:pPr>
    <w:rPr>
      <w:rFonts w:asciiTheme="minorHAnsi" w:hAnsiTheme="minorHAnsi" w:eastAsiaTheme="minorEastAsia"/>
      <w:i/>
      <w:kern w:val="0"/>
      <w:sz w:val="24"/>
    </w:rPr>
  </w:style>
  <w:style w:type="character" w:customStyle="1" w:styleId="36">
    <w:name w:val="引用 字符"/>
    <w:basedOn w:val="19"/>
    <w:link w:val="35"/>
    <w:qFormat/>
    <w:uiPriority w:val="29"/>
    <w:rPr>
      <w:i/>
      <w:sz w:val="24"/>
      <w:szCs w:val="24"/>
    </w:rPr>
  </w:style>
  <w:style w:type="paragraph" w:styleId="37">
    <w:name w:val="Intense Quote"/>
    <w:basedOn w:val="1"/>
    <w:next w:val="1"/>
    <w:link w:val="38"/>
    <w:qFormat/>
    <w:uiPriority w:val="30"/>
    <w:pPr>
      <w:widowControl/>
      <w:ind w:left="720" w:right="720"/>
      <w:jc w:val="left"/>
    </w:pPr>
    <w:rPr>
      <w:rFonts w:asciiTheme="minorHAnsi" w:hAnsiTheme="minorHAnsi" w:eastAsiaTheme="minorEastAsia"/>
      <w:b/>
      <w:i/>
      <w:kern w:val="0"/>
      <w:sz w:val="24"/>
      <w:szCs w:val="22"/>
    </w:rPr>
  </w:style>
  <w:style w:type="character" w:customStyle="1" w:styleId="38">
    <w:name w:val="明显引用 字符"/>
    <w:basedOn w:val="19"/>
    <w:link w:val="37"/>
    <w:qFormat/>
    <w:uiPriority w:val="30"/>
    <w:rPr>
      <w:b/>
      <w:i/>
      <w:sz w:val="24"/>
    </w:rPr>
  </w:style>
  <w:style w:type="character" w:customStyle="1" w:styleId="39">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40">
    <w:name w:val="明显强调1"/>
    <w:basedOn w:val="19"/>
    <w:qFormat/>
    <w:uiPriority w:val="21"/>
    <w:rPr>
      <w:b/>
      <w:i/>
      <w:sz w:val="24"/>
      <w:szCs w:val="24"/>
      <w:u w:val="single"/>
    </w:rPr>
  </w:style>
  <w:style w:type="character" w:customStyle="1" w:styleId="41">
    <w:name w:val="不明显参考1"/>
    <w:basedOn w:val="19"/>
    <w:qFormat/>
    <w:uiPriority w:val="31"/>
    <w:rPr>
      <w:sz w:val="24"/>
      <w:szCs w:val="24"/>
      <w:u w:val="single"/>
    </w:rPr>
  </w:style>
  <w:style w:type="character" w:customStyle="1" w:styleId="42">
    <w:name w:val="明显参考1"/>
    <w:basedOn w:val="19"/>
    <w:qFormat/>
    <w:uiPriority w:val="32"/>
    <w:rPr>
      <w:b/>
      <w:sz w:val="24"/>
      <w:u w:val="single"/>
    </w:rPr>
  </w:style>
  <w:style w:type="character" w:customStyle="1" w:styleId="43">
    <w:name w:val="书籍标题1"/>
    <w:basedOn w:val="19"/>
    <w:qFormat/>
    <w:uiPriority w:val="33"/>
    <w:rPr>
      <w:rFonts w:asciiTheme="majorHAnsi" w:hAnsiTheme="majorHAnsi" w:eastAsiaTheme="majorEastAsia"/>
      <w:b/>
      <w:i/>
      <w:sz w:val="24"/>
      <w:szCs w:val="24"/>
    </w:rPr>
  </w:style>
  <w:style w:type="paragraph" w:customStyle="1" w:styleId="44">
    <w:name w:val="TOC 标题1"/>
    <w:basedOn w:val="3"/>
    <w:next w:val="1"/>
    <w:semiHidden/>
    <w:unhideWhenUsed/>
    <w:qFormat/>
    <w:uiPriority w:val="39"/>
    <w:pPr>
      <w:outlineLvl w:val="9"/>
    </w:pPr>
    <w:rPr>
      <w:lang w:eastAsia="en-US" w:bidi="en-US"/>
    </w:rPr>
  </w:style>
  <w:style w:type="character" w:customStyle="1" w:styleId="45">
    <w:name w:val="页眉 字符"/>
    <w:basedOn w:val="19"/>
    <w:link w:val="15"/>
    <w:qFormat/>
    <w:uiPriority w:val="99"/>
    <w:rPr>
      <w:rFonts w:ascii="Calibri" w:hAnsi="Calibri" w:eastAsia="宋体"/>
      <w:kern w:val="2"/>
      <w:sz w:val="18"/>
      <w:szCs w:val="18"/>
    </w:rPr>
  </w:style>
  <w:style w:type="character" w:customStyle="1" w:styleId="46">
    <w:name w:val="页脚 字符"/>
    <w:basedOn w:val="19"/>
    <w:link w:val="14"/>
    <w:qFormat/>
    <w:uiPriority w:val="99"/>
    <w:rPr>
      <w:rFonts w:ascii="Calibri" w:hAnsi="Calibri" w:eastAsia="宋体"/>
      <w:kern w:val="2"/>
      <w:sz w:val="18"/>
      <w:szCs w:val="18"/>
    </w:rPr>
  </w:style>
  <w:style w:type="character" w:customStyle="1" w:styleId="47">
    <w:name w:val="批注框文本 字符"/>
    <w:basedOn w:val="19"/>
    <w:link w:val="13"/>
    <w:semiHidden/>
    <w:qFormat/>
    <w:uiPriority w:val="99"/>
    <w:rPr>
      <w:rFonts w:ascii="Times New Roman" w:hAnsi="Times New Roman" w:eastAsia="宋体"/>
      <w:kern w:val="2"/>
      <w:sz w:val="18"/>
      <w:szCs w:val="18"/>
    </w:rPr>
  </w:style>
  <w:style w:type="paragraph" w:customStyle="1" w:styleId="48">
    <w:name w:val="Heading2"/>
    <w:next w:val="1"/>
    <w:qFormat/>
    <w:uiPriority w:val="0"/>
    <w:pPr>
      <w:keepNext/>
      <w:keepLines/>
      <w:widowControl w:val="0"/>
      <w:spacing w:before="260" w:after="260" w:line="413" w:lineRule="auto"/>
      <w:jc w:val="both"/>
    </w:pPr>
    <w:rPr>
      <w:rFonts w:ascii="Arial" w:hAnsi="Arial" w:eastAsia="黑体" w:cs="Times New Roman"/>
      <w:b/>
      <w:kern w:val="2"/>
      <w:sz w:val="32"/>
      <w:szCs w:val="22"/>
      <w:lang w:val="en-US" w:eastAsia="zh-CN" w:bidi="ar-SA"/>
    </w:rPr>
  </w:style>
  <w:style w:type="character" w:customStyle="1" w:styleId="49">
    <w:name w:val="fontstyle01"/>
    <w:qFormat/>
    <w:uiPriority w:val="0"/>
    <w:rPr>
      <w:rFonts w:ascii="仿宋_GB2312" w:hAnsi="仿宋_GB2312" w:eastAsia="仿宋_GB2312" w:cs="仿宋_GB2312"/>
      <w:color w:val="000000"/>
      <w:sz w:val="32"/>
      <w:szCs w:val="32"/>
    </w:rPr>
  </w:style>
  <w:style w:type="character" w:customStyle="1" w:styleId="50">
    <w:name w:val="font31"/>
    <w:basedOn w:val="19"/>
    <w:qFormat/>
    <w:uiPriority w:val="0"/>
    <w:rPr>
      <w:rFonts w:hint="eastAsia" w:ascii="方正仿宋_GBK" w:hAnsi="方正仿宋_GBK" w:eastAsia="方正仿宋_GBK" w:cs="方正仿宋_GBK"/>
      <w:color w:val="000000"/>
      <w:sz w:val="24"/>
      <w:szCs w:val="24"/>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23</Pages>
  <Words>5534</Words>
  <Characters>5940</Characters>
  <Lines>69</Lines>
  <Paragraphs>19</Paragraphs>
  <TotalTime>7</TotalTime>
  <ScaleCrop>false</ScaleCrop>
  <LinksUpToDate>false</LinksUpToDate>
  <CharactersWithSpaces>5969</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2020-07-04T08:35:00Z</dcterms:created>
  <dc:creator>赵 恺（预算处）</dc:creator>
  <cp:lastModifiedBy>Administrator</cp:lastModifiedBy>
  <cp:lastPrinted>2021-04-13T10:54:00Z</cp:lastPrinted>
  <dcterms:modified xsi:type="dcterms:W3CDTF">2025-09-09T04:59:22Z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CE88C2B26EE34AB79607B23FFD793F28</vt:lpwstr>
  </property>
  <property fmtid="{D5CDD505-2E9C-101B-9397-08002B2CF9AE}" pid="4" name="KSOTemplateDocerSaveRecord">
    <vt:lpwstr>eyJoZGlkIjoiN2VjMGM4YTNmZTY1NDFjMWFjNmVmZmU0NDA2ZTk0ZmMiLCJ1c2VySWQiOiI4NjI1NDMxNDkifQ==</vt:lpwstr>
  </property>
</Properties>
</file>