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kern w:val="0"/>
          <w:sz w:val="32"/>
          <w:szCs w:val="32"/>
        </w:rPr>
      </w:pPr>
    </w:p>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kern w:val="0"/>
          <w:sz w:val="32"/>
          <w:szCs w:val="32"/>
        </w:rPr>
      </w:pPr>
    </w:p>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kern w:val="0"/>
          <w:sz w:val="32"/>
          <w:szCs w:val="32"/>
        </w:rPr>
      </w:pPr>
    </w:p>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kern w:val="0"/>
          <w:sz w:val="32"/>
          <w:szCs w:val="32"/>
        </w:rPr>
      </w:pPr>
    </w:p>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kern w:val="0"/>
          <w:sz w:val="32"/>
          <w:szCs w:val="32"/>
        </w:rPr>
      </w:pPr>
    </w:p>
    <w:p>
      <w:pPr>
        <w:pageBreakBefore w:val="0"/>
        <w:kinsoku/>
        <w:wordWrap/>
        <w:overflowPunct/>
        <w:topLinePunct w:val="0"/>
        <w:autoSpaceDE/>
        <w:autoSpaceDN/>
        <w:bidi w:val="0"/>
        <w:adjustRightInd/>
        <w:snapToGrid/>
        <w:spacing w:line="560" w:lineRule="exact"/>
        <w:jc w:val="center"/>
        <w:rPr>
          <w:rFonts w:hint="eastAsia" w:ascii="方正小标宋_GBK" w:hAnsi="方正小标宋_GBK" w:eastAsia="方正小标宋_GBK" w:cs="方正小标宋_GBK"/>
          <w:bCs/>
          <w:kern w:val="0"/>
          <w:sz w:val="44"/>
          <w:szCs w:val="44"/>
        </w:rPr>
      </w:pPr>
    </w:p>
    <w:p>
      <w:pPr>
        <w:pageBreakBefore w:val="0"/>
        <w:kinsoku/>
        <w:wordWrap/>
        <w:overflowPunct/>
        <w:topLinePunct w:val="0"/>
        <w:autoSpaceDE/>
        <w:autoSpaceDN/>
        <w:bidi w:val="0"/>
        <w:adjustRightInd/>
        <w:snapToGrid/>
        <w:spacing w:line="560" w:lineRule="exact"/>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2020年塔城地区体育馆室外游泳池及配套设</w:t>
      </w:r>
      <w:r>
        <w:rPr>
          <w:rFonts w:hint="eastAsia" w:ascii="方正小标宋_GBK" w:hAnsi="方正小标宋_GBK" w:eastAsia="方正小标宋_GBK" w:cs="方正小标宋_GBK"/>
          <w:bCs/>
          <w:sz w:val="44"/>
          <w:szCs w:val="44"/>
        </w:rPr>
        <w:t>施建设</w:t>
      </w:r>
      <w:r>
        <w:rPr>
          <w:rFonts w:hint="eastAsia" w:ascii="方正小标宋_GBK" w:hAnsi="方正小标宋_GBK" w:eastAsia="方正小标宋_GBK" w:cs="方正小标宋_GBK"/>
          <w:kern w:val="0"/>
          <w:sz w:val="44"/>
          <w:szCs w:val="44"/>
        </w:rPr>
        <w:t>项目支出绩效评价报告</w:t>
      </w:r>
    </w:p>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kern w:val="0"/>
          <w:sz w:val="32"/>
          <w:szCs w:val="32"/>
        </w:rPr>
      </w:pPr>
    </w:p>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rPr>
      </w:pPr>
    </w:p>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rPr>
      </w:pPr>
    </w:p>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rPr>
      </w:pPr>
    </w:p>
    <w:p>
      <w:pPr>
        <w:pageBreakBefore w:val="0"/>
        <w:kinsoku/>
        <w:wordWrap/>
        <w:overflowPunct/>
        <w:topLinePunct w:val="0"/>
        <w:autoSpaceDE/>
        <w:autoSpaceDN/>
        <w:bidi w:val="0"/>
        <w:adjustRightInd/>
        <w:snapToGrid/>
        <w:spacing w:line="560" w:lineRule="exact"/>
        <w:ind w:left="2318" w:leftChars="342" w:hanging="1600" w:hangingChars="50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kern w:val="0"/>
          <w:sz w:val="32"/>
          <w:szCs w:val="32"/>
        </w:rPr>
        <w:t>项目名称：</w:t>
      </w:r>
      <w:r>
        <w:rPr>
          <w:rFonts w:hint="eastAsia" w:ascii="仿宋_GB2312" w:hAnsi="仿宋_GB2312" w:eastAsia="仿宋_GB2312" w:cs="仿宋_GB2312"/>
          <w:bCs/>
          <w:spacing w:val="-10"/>
          <w:sz w:val="32"/>
          <w:szCs w:val="32"/>
        </w:rPr>
        <w:t>2020年塔城地区体育馆管理中心室外游泳池维修维护及配套设施建设</w:t>
      </w:r>
    </w:p>
    <w:p>
      <w:pPr>
        <w:pageBreakBefore w:val="0"/>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实施单位（公章）：塔城地区体育馆管理中心</w:t>
      </w:r>
    </w:p>
    <w:p>
      <w:pPr>
        <w:pageBreakBefore w:val="0"/>
        <w:kinsoku/>
        <w:wordWrap/>
        <w:overflowPunct/>
        <w:topLinePunct w:val="0"/>
        <w:autoSpaceDE/>
        <w:autoSpaceDN/>
        <w:bidi w:val="0"/>
        <w:adjustRightInd/>
        <w:snapToGrid/>
        <w:spacing w:line="560" w:lineRule="exact"/>
        <w:ind w:left="3598" w:leftChars="342" w:hanging="2880" w:hangingChars="9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主管部门（公章）：塔城地区文化体育广播电视和旅游局</w:t>
      </w:r>
    </w:p>
    <w:p>
      <w:pPr>
        <w:pageBreakBefore w:val="0"/>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项目负责人（签章）：张建勇</w:t>
      </w:r>
    </w:p>
    <w:p>
      <w:pPr>
        <w:pageBreakBefore w:val="0"/>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填报时间：2021年03月31日</w:t>
      </w:r>
    </w:p>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kern w:val="0"/>
          <w:sz w:val="32"/>
          <w:szCs w:val="32"/>
        </w:rPr>
      </w:pPr>
    </w:p>
    <w:p>
      <w:pPr>
        <w:pageBreakBefore w:val="0"/>
        <w:kinsoku/>
        <w:wordWrap/>
        <w:overflowPunct/>
        <w:topLinePunct w:val="0"/>
        <w:autoSpaceDE/>
        <w:autoSpaceDN/>
        <w:bidi w:val="0"/>
        <w:adjustRightInd/>
        <w:snapToGrid/>
        <w:spacing w:line="560" w:lineRule="exact"/>
        <w:rPr>
          <w:rStyle w:val="24"/>
          <w:rFonts w:hint="eastAsia" w:ascii="仿宋_GB2312" w:hAnsi="仿宋_GB2312" w:eastAsia="仿宋_GB2312" w:cs="仿宋_GB2312"/>
          <w:b w:val="0"/>
          <w:spacing w:val="-4"/>
          <w:sz w:val="32"/>
          <w:szCs w:val="32"/>
        </w:rPr>
      </w:pPr>
    </w:p>
    <w:p>
      <w:pPr>
        <w:pStyle w:val="2"/>
        <w:rPr>
          <w:rStyle w:val="24"/>
          <w:rFonts w:hint="eastAsia" w:ascii="仿宋_GB2312" w:hAnsi="仿宋_GB2312" w:eastAsia="仿宋_GB2312" w:cs="仿宋_GB2312"/>
          <w:b w:val="0"/>
          <w:bCs/>
          <w:spacing w:val="-4"/>
          <w:sz w:val="32"/>
          <w:szCs w:val="32"/>
        </w:rPr>
      </w:pPr>
    </w:p>
    <w:p>
      <w:pPr>
        <w:rPr>
          <w:rFonts w:hint="eastAsia" w:ascii="仿宋_GB2312" w:hAnsi="仿宋_GB2312" w:eastAsia="仿宋_GB2312" w:cs="仿宋_GB2312"/>
          <w:sz w:val="32"/>
          <w:szCs w:val="32"/>
        </w:rPr>
      </w:pPr>
    </w:p>
    <w:p>
      <w:pPr>
        <w:pageBreakBefore w:val="0"/>
        <w:kinsoku/>
        <w:wordWrap/>
        <w:overflowPunct/>
        <w:topLinePunct w:val="0"/>
        <w:autoSpaceDE/>
        <w:autoSpaceDN/>
        <w:bidi w:val="0"/>
        <w:adjustRightInd/>
        <w:snapToGrid/>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exact"/>
        <w:ind w:firstLine="641"/>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pPr>
        <w:pStyle w:val="55"/>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为满足人民群众日益增长的体育公共服务需求， 对于提升国民身体素质水平、拉动体育消费、娱乐活动的需要，对地区体育馆管理中心东北侧新建1250平方米室外游泳池进行维修维护及相关配套基础设施建设，为群众提供训练基地与相关服务，促进体育事业发展；训练场地提供与管理。维护国家公共设施，保障各体育场馆正常运营。</w:t>
      </w:r>
    </w:p>
    <w:p>
      <w:pPr>
        <w:pStyle w:val="2"/>
        <w:pageBreakBefore w:val="0"/>
        <w:numPr>
          <w:ilvl w:val="0"/>
          <w:numId w:val="1"/>
        </w:numPr>
        <w:kinsoku/>
        <w:wordWrap/>
        <w:overflowPunct/>
        <w:topLinePunct w:val="0"/>
        <w:autoSpaceDE/>
        <w:autoSpaceDN/>
        <w:bidi w:val="0"/>
        <w:adjustRightInd/>
        <w:snapToGrid/>
        <w:spacing w:before="0" w:after="0" w:line="560" w:lineRule="exact"/>
        <w:ind w:firstLine="640" w:firstLineChars="200"/>
        <w:jc w:val="both"/>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项目实施的历史概况</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2008年塔城地区体育馆管理中心室内游泳池正式投入使用，随着人民生活水平的不断提高，群众对体育健身的要求日趋迫切，为满足广大冬泳游泳爱好者的需求，体育中心于2019年9月申请资金修建室外游泳池一个，这是塔城市唯一标准室外游泳池，泳池长50米，宽25米，深水区为2米，浅水区1.5米，周围设有跳台，还建有沐浴室、更衣室、桑拿汗蒸、存衣柜等配套设施，解决了塔城市市民在冬季游泳的需求。该项目当年未完工延申至本年度。</w:t>
      </w:r>
    </w:p>
    <w:p>
      <w:pPr>
        <w:pageBreakBefore w:val="0"/>
        <w:numPr>
          <w:ilvl w:val="0"/>
          <w:numId w:val="2"/>
        </w:numPr>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2"/>
        <w:pageBreakBefore w:val="0"/>
        <w:kinsoku/>
        <w:wordWrap/>
        <w:overflowPunct/>
        <w:topLinePunct w:val="0"/>
        <w:autoSpaceDE/>
        <w:autoSpaceDN/>
        <w:bidi w:val="0"/>
        <w:adjustRightInd/>
        <w:snapToGrid/>
        <w:spacing w:before="0" w:after="0" w:line="560" w:lineRule="exact"/>
        <w:ind w:firstLine="640" w:firstLineChars="200"/>
        <w:jc w:val="both"/>
        <w:rPr>
          <w:rFonts w:hint="eastAsia" w:ascii="仿宋_GB2312" w:hAnsi="仿宋_GB2312" w:eastAsia="仿宋_GB2312" w:cs="仿宋_GB2312"/>
          <w:b w:val="0"/>
          <w:bCs w:val="0"/>
          <w:kern w:val="2"/>
          <w:sz w:val="32"/>
          <w:szCs w:val="32"/>
        </w:rPr>
      </w:pPr>
      <w:r>
        <w:rPr>
          <w:rFonts w:hint="eastAsia" w:ascii="仿宋_GB2312" w:hAnsi="仿宋_GB2312" w:eastAsia="仿宋_GB2312" w:cs="仿宋_GB2312"/>
          <w:b w:val="0"/>
          <w:bCs w:val="0"/>
          <w:kern w:val="2"/>
          <w:sz w:val="32"/>
          <w:szCs w:val="32"/>
        </w:rPr>
        <w:t>项目主要内容：修建室外游泳池一个，泳池长50米，宽25米，深水区为2米，浅水区1.5米，周围设有跳台，还建有沐浴室、更衣室、桑拿汗蒸、存衣柜等配套设施。</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情况：室外游泳池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579" w:firstLineChars="18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本项目2020年结转上年度资金92.04万元，其中：财政本级资金0.00万元。项目实际支出71.22万元，支出率为77.38%。</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exact"/>
        <w:ind w:firstLine="579" w:firstLineChars="18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w:t>
      </w:r>
      <w:r>
        <w:rPr>
          <w:rFonts w:hint="eastAsia" w:ascii="仿宋_GB2312" w:hAnsi="仿宋_GB2312" w:eastAsia="仿宋_GB2312" w:cs="仿宋_GB2312"/>
          <w:sz w:val="32"/>
          <w:szCs w:val="32"/>
          <w:lang w:eastAsia="zh-CN"/>
        </w:rPr>
        <w:t>“地区体育馆室外游泳池及配套设施建设项目”</w:t>
      </w:r>
      <w:r>
        <w:rPr>
          <w:rFonts w:hint="eastAsia" w:ascii="仿宋_GB2312" w:hAnsi="仿宋_GB2312" w:eastAsia="仿宋_GB2312" w:cs="仿宋_GB2312"/>
          <w:sz w:val="32"/>
          <w:szCs w:val="32"/>
        </w:rPr>
        <w:t>项目总投资92.04万元，按照《项目资金管理办法》及单位财务制度等相关规定，资金支出符合</w:t>
      </w:r>
      <w:r>
        <w:rPr>
          <w:rFonts w:hint="eastAsia" w:ascii="仿宋_GB2312" w:hAnsi="仿宋_GB2312" w:eastAsia="仿宋_GB2312" w:cs="仿宋_GB2312"/>
          <w:sz w:val="32"/>
          <w:szCs w:val="32"/>
          <w:lang w:eastAsia="zh-CN"/>
        </w:rPr>
        <w:t>“地区体育馆室外游泳池及配套设施建设项目”</w:t>
      </w:r>
      <w:r>
        <w:rPr>
          <w:rFonts w:hint="eastAsia" w:ascii="仿宋_GB2312" w:hAnsi="仿宋_GB2312" w:eastAsia="仿宋_GB2312" w:cs="仿宋_GB2312"/>
          <w:sz w:val="32"/>
          <w:szCs w:val="32"/>
        </w:rPr>
        <w:t>专项资金费用范围，做到了专款专用。在项目资金拨付和使用过程中，为确保项目资金的安全性，提高项目资金使用效率，严格遵循财政资金的拨付程序，认真审核项目实施各阶段的相关材料和手续，根据</w:t>
      </w:r>
      <w:r>
        <w:rPr>
          <w:rFonts w:hint="eastAsia" w:ascii="仿宋_GB2312" w:hAnsi="仿宋_GB2312" w:eastAsia="仿宋_GB2312" w:cs="仿宋_GB2312"/>
          <w:sz w:val="32"/>
          <w:szCs w:val="32"/>
          <w:lang w:eastAsia="zh-CN"/>
        </w:rPr>
        <w:t>该</w:t>
      </w:r>
      <w:r>
        <w:rPr>
          <w:rFonts w:hint="eastAsia" w:ascii="仿宋_GB2312" w:hAnsi="仿宋_GB2312" w:eastAsia="仿宋_GB2312" w:cs="仿宋_GB2312"/>
          <w:sz w:val="32"/>
          <w:szCs w:val="32"/>
        </w:rPr>
        <w:t>项目实施进展情况拨付资金。</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pageBreakBefore w:val="0"/>
        <w:kinsoku/>
        <w:wordWrap/>
        <w:overflowPunct/>
        <w:topLinePunct w:val="0"/>
        <w:autoSpaceDE/>
        <w:autoSpaceDN/>
        <w:bidi w:val="0"/>
        <w:adjustRightInd/>
        <w:snapToGrid/>
        <w:spacing w:before="0" w:after="0" w:line="560" w:lineRule="exact"/>
        <w:ind w:firstLine="640" w:firstLineChars="200"/>
        <w:jc w:val="both"/>
        <w:rPr>
          <w:rFonts w:hint="eastAsia" w:ascii="仿宋_GB2312" w:hAnsi="仿宋_GB2312" w:eastAsia="仿宋_GB2312" w:cs="仿宋_GB2312"/>
          <w:b w:val="0"/>
          <w:bCs w:val="0"/>
          <w:kern w:val="2"/>
          <w:sz w:val="32"/>
          <w:szCs w:val="32"/>
        </w:rPr>
      </w:pPr>
      <w:r>
        <w:rPr>
          <w:rFonts w:hint="eastAsia" w:ascii="仿宋_GB2312" w:hAnsi="仿宋_GB2312" w:eastAsia="仿宋_GB2312" w:cs="仿宋_GB2312"/>
          <w:b w:val="0"/>
          <w:bCs w:val="0"/>
          <w:kern w:val="2"/>
          <w:sz w:val="32"/>
          <w:szCs w:val="32"/>
        </w:rPr>
        <w:t>项目预算资金来源于《2019年中央补助地方公共文化服务体系建设专项资金》中批复的资金，该项目资金2020年到位92.04万元，用于支付</w:t>
      </w:r>
      <w:r>
        <w:rPr>
          <w:rFonts w:hint="eastAsia" w:ascii="仿宋_GB2312" w:hAnsi="仿宋_GB2312" w:eastAsia="仿宋_GB2312" w:cs="仿宋_GB2312"/>
          <w:b w:val="0"/>
          <w:bCs w:val="0"/>
          <w:kern w:val="2"/>
          <w:sz w:val="32"/>
          <w:szCs w:val="32"/>
          <w:lang w:eastAsia="zh-CN"/>
        </w:rPr>
        <w:t>“地区体育馆室外游泳池及配套设施建设项目”</w:t>
      </w:r>
      <w:r>
        <w:rPr>
          <w:rFonts w:hint="eastAsia" w:ascii="仿宋_GB2312" w:hAnsi="仿宋_GB2312" w:eastAsia="仿宋_GB2312" w:cs="仿宋_GB2312"/>
          <w:b w:val="0"/>
          <w:bCs w:val="0"/>
          <w:kern w:val="2"/>
          <w:sz w:val="32"/>
          <w:szCs w:val="32"/>
        </w:rPr>
        <w:t>项目实施进程中的各项费用。</w:t>
      </w:r>
    </w:p>
    <w:p>
      <w:pPr>
        <w:pageBreakBefore w:val="0"/>
        <w:kinsoku/>
        <w:wordWrap/>
        <w:overflowPunct/>
        <w:topLinePunct w:val="0"/>
        <w:autoSpaceDE/>
        <w:autoSpaceDN/>
        <w:bidi w:val="0"/>
        <w:adjustRightInd/>
        <w:snapToGrid/>
        <w:spacing w:line="560" w:lineRule="exact"/>
        <w:ind w:firstLine="641"/>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完成新建室外游泳池阶段性维修维护及相关配套基础设施建设。游泳池维护保养、室外游泳池内壁及池底维修， 更衣室的修建设施安装等，消除安全隐患。外围设施的添置与更新等。</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sz w:val="32"/>
          <w:szCs w:val="32"/>
        </w:rPr>
      </w:pPr>
      <w:bookmarkStart w:id="1" w:name="_Toc30152836"/>
      <w:r>
        <w:rPr>
          <w:rFonts w:hint="eastAsia" w:ascii="仿宋_GB2312" w:hAnsi="仿宋_GB2312" w:eastAsia="仿宋_GB2312" w:cs="仿宋_GB2312"/>
          <w:sz w:val="32"/>
          <w:szCs w:val="32"/>
        </w:rPr>
        <w:t>2020年塔城地区体育馆管理中心男女浴室维修、淋浴设施已完工（包括游泳馆男浴室160平方米，完成地面回填、浴室隔断、吊顶维修；游泳馆女浴室150平方米，完成地面回填、浴室隔断、吊顶维修任务）。</w:t>
      </w:r>
      <w:bookmarkEnd w:id="1"/>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（1）前期准备：根据《地区体育馆室外游泳池及配套设施建设方案》，通过制定项目实施方案，经项目负责人审核通过后，有序开展后续工程。</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w:t>
      </w:r>
      <w:r>
        <w:rPr>
          <w:rFonts w:hint="eastAsia" w:ascii="仿宋_GB2312" w:hAnsi="仿宋_GB2312" w:eastAsia="仿宋_GB2312" w:cs="仿宋_GB2312"/>
          <w:sz w:val="32"/>
          <w:szCs w:val="32"/>
          <w:lang w:eastAsia="zh-CN"/>
        </w:rPr>
        <w:t>“地区体育馆室外游泳池及配套设施建设项目”</w:t>
      </w:r>
      <w:r>
        <w:rPr>
          <w:rFonts w:hint="eastAsia" w:ascii="仿宋_GB2312" w:hAnsi="仿宋_GB2312" w:eastAsia="仿宋_GB2312" w:cs="仿宋_GB2312"/>
          <w:sz w:val="32"/>
          <w:szCs w:val="32"/>
        </w:rPr>
        <w:t>项目要求实施项目。项目责任人按照《地区体育馆室外游泳池及配套设施建设方案》要求逐一进行项目部署安排，提高项目质量及效率性。</w:t>
      </w:r>
    </w:p>
    <w:p>
      <w:pPr>
        <w:pageBreakBefore w:val="0"/>
        <w:kinsoku/>
        <w:wordWrap/>
        <w:overflowPunct/>
        <w:topLinePunct w:val="0"/>
        <w:autoSpaceDE/>
        <w:autoSpaceDN/>
        <w:bidi w:val="0"/>
        <w:adjustRightInd/>
        <w:snapToGrid/>
        <w:spacing w:line="560" w:lineRule="exact"/>
        <w:ind w:firstLine="641"/>
        <w:rPr>
          <w:rFonts w:hint="eastAsia" w:ascii="黑体" w:hAnsi="黑体" w:eastAsia="黑体" w:cs="黑体"/>
          <w:sz w:val="32"/>
          <w:szCs w:val="32"/>
        </w:rPr>
      </w:pPr>
      <w:r>
        <w:rPr>
          <w:rFonts w:hint="eastAsia" w:ascii="黑体" w:hAnsi="黑体" w:eastAsia="黑体" w:cs="黑体"/>
          <w:sz w:val="32"/>
          <w:szCs w:val="32"/>
        </w:rPr>
        <w:t>二、绩效评价工作开展情况</w:t>
      </w:r>
    </w:p>
    <w:p>
      <w:pPr>
        <w:pageBreakBefore w:val="0"/>
        <w:kinsoku/>
        <w:wordWrap/>
        <w:overflowPunct/>
        <w:topLinePunct w:val="0"/>
        <w:autoSpaceDE/>
        <w:autoSpaceDN/>
        <w:bidi w:val="0"/>
        <w:adjustRightInd/>
        <w:snapToGrid/>
        <w:spacing w:line="560" w:lineRule="exact"/>
        <w:ind w:firstLine="641"/>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1、绩效评价的目的</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绩效评价旨在通过评价改善预算部门的财政支出管理，优化资源配置及提高公共服务水平。本次绩效评价遵循自治区财政厅《自治区本级财政支出绩效评价管理暂行办法》和《关于印发&lt;塔城地区全面实施财政支出绩效管理的工作方案&gt;的通知》等文件精神，对塔城地区体育馆管理中心室外游泳池配套设施建设工程进行绩效评价，提出有针对性的建议，提高对游泳池的有效利用度，进一步提升体育场馆服务工作的水平。</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“地区体育馆室外游泳池及配套设施建设项目”</w:t>
      </w: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项目在实施前向项目负责人提供财政支出绩效方面的资金管理信息，促进项目支出严格按照资金管理规定进行。项目绩效管理财政支出运行提供及时、有效的信息。</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2、绩效评价的对象</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为科学、公正地评价财政资金使用绩效，确定合理的绩效评价指标体系，根据</w:t>
      </w:r>
      <w:r>
        <w:rPr>
          <w:rFonts w:hint="eastAsia" w:ascii="仿宋_GB2312" w:hAnsi="仿宋_GB2312" w:eastAsia="仿宋_GB2312" w:cs="仿宋_GB2312"/>
          <w:sz w:val="32"/>
          <w:szCs w:val="32"/>
          <w:lang w:eastAsia="zh-CN"/>
        </w:rPr>
        <w:t>“地区体育馆室外游泳池及配套设施建设项目”</w:t>
      </w:r>
      <w:r>
        <w:rPr>
          <w:rFonts w:hint="eastAsia" w:ascii="仿宋_GB2312" w:hAnsi="仿宋_GB2312" w:eastAsia="仿宋_GB2312" w:cs="仿宋_GB2312"/>
          <w:sz w:val="32"/>
          <w:szCs w:val="32"/>
        </w:rPr>
        <w:t>实际进展情况如实填写自评表，严格按照打分标准进行</w:t>
      </w:r>
      <w:r>
        <w:rPr>
          <w:rFonts w:hint="eastAsia" w:ascii="仿宋_GB2312" w:hAnsi="仿宋_GB2312" w:eastAsia="仿宋_GB2312" w:cs="仿宋_GB2312"/>
          <w:sz w:val="32"/>
          <w:szCs w:val="32"/>
          <w:lang w:eastAsia="zh-CN"/>
        </w:rPr>
        <w:t>“地区体育馆室外游泳池及配套设施建设项目”</w:t>
      </w:r>
      <w:r>
        <w:rPr>
          <w:rFonts w:hint="eastAsia" w:ascii="仿宋_GB2312" w:hAnsi="仿宋_GB2312" w:eastAsia="仿宋_GB2312" w:cs="仿宋_GB2312"/>
          <w:sz w:val="32"/>
          <w:szCs w:val="32"/>
        </w:rPr>
        <w:t>自评，撰写绩效自评报告。</w:t>
      </w:r>
    </w:p>
    <w:p>
      <w:pPr>
        <w:pStyle w:val="2"/>
        <w:pageBreakBefore w:val="0"/>
        <w:widowControl w:val="0"/>
        <w:numPr>
          <w:ilvl w:val="0"/>
          <w:numId w:val="2"/>
        </w:numPr>
        <w:kinsoku/>
        <w:wordWrap/>
        <w:overflowPunct/>
        <w:topLinePunct w:val="0"/>
        <w:autoSpaceDE/>
        <w:autoSpaceDN/>
        <w:bidi w:val="0"/>
        <w:adjustRightInd/>
        <w:snapToGrid/>
        <w:spacing w:before="0" w:after="0" w:line="560" w:lineRule="exact"/>
        <w:ind w:firstLine="641"/>
        <w:jc w:val="both"/>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绩效评价的范围</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w:t>
      </w:r>
      <w:r>
        <w:rPr>
          <w:rFonts w:hint="eastAsia" w:ascii="仿宋_GB2312" w:hAnsi="仿宋_GB2312" w:eastAsia="仿宋_GB2312" w:cs="仿宋_GB2312"/>
          <w:sz w:val="32"/>
          <w:szCs w:val="32"/>
          <w:lang w:eastAsia="zh-CN"/>
        </w:rPr>
        <w:t>“地区体育馆室外游泳池及配套设施建设项目”</w:t>
      </w:r>
      <w:r>
        <w:rPr>
          <w:rFonts w:hint="eastAsia" w:ascii="仿宋_GB2312" w:hAnsi="仿宋_GB2312" w:eastAsia="仿宋_GB2312" w:cs="仿宋_GB2312"/>
          <w:sz w:val="32"/>
          <w:szCs w:val="32"/>
        </w:rPr>
        <w:t>项目的决策、过程、产出、效益等方面进行评价。</w:t>
      </w:r>
    </w:p>
    <w:p>
      <w:pPr>
        <w:pageBreakBefore w:val="0"/>
        <w:kinsoku/>
        <w:wordWrap/>
        <w:overflowPunct/>
        <w:topLinePunct w:val="0"/>
        <w:autoSpaceDE/>
        <w:autoSpaceDN/>
        <w:bidi w:val="0"/>
        <w:adjustRightInd/>
        <w:snapToGrid/>
        <w:spacing w:line="560" w:lineRule="exact"/>
        <w:ind w:firstLine="641"/>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1、绩效评价原则</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2、评价指标体系</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采用层次分析法，建立评价指标体系。绩效评价将指标分为项目决策、项目过程、项目产出、项目效益指标四个维度，最终形成一个由多个相互联系的指标组成的多层次指标体系。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确定各个指标相对于项目总体绩效的权重分值。在绩效评价指标体系中，项目决策权重为5分，项目过程权重值占5分，项目产出权重值占50分，项目效益权重占40分。</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firstLine="708" w:firstLineChars="200"/>
        <w:jc w:val="both"/>
        <w:rPr>
          <w:rFonts w:hint="eastAsia" w:ascii="仿宋_GB2312" w:hAnsi="仿宋_GB2312" w:eastAsia="仿宋_GB2312" w:cs="仿宋_GB2312"/>
          <w:b w:val="0"/>
          <w:bCs w:val="0"/>
          <w:color w:val="000000"/>
          <w:spacing w:val="17"/>
          <w:kern w:val="2"/>
          <w:sz w:val="32"/>
          <w:szCs w:val="32"/>
        </w:rPr>
      </w:pPr>
      <w:r>
        <w:rPr>
          <w:rFonts w:hint="eastAsia" w:ascii="仿宋_GB2312" w:hAnsi="仿宋_GB2312" w:eastAsia="仿宋_GB2312" w:cs="仿宋_GB2312"/>
          <w:b w:val="0"/>
          <w:bCs w:val="0"/>
          <w:color w:val="000000"/>
          <w:spacing w:val="17"/>
          <w:kern w:val="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jc w:val="center"/>
        <w:outlineLvl w:val="9"/>
        <w:rPr>
          <w:rFonts w:hint="eastAsia" w:ascii="仿宋_GB2312" w:hAnsi="仿宋_GB2312" w:eastAsia="仿宋_GB2312" w:cs="仿宋_GB2312"/>
          <w:b/>
          <w:bCs/>
          <w:color w:val="000000"/>
          <w:spacing w:val="17"/>
          <w:sz w:val="32"/>
          <w:szCs w:val="32"/>
        </w:rPr>
      </w:pPr>
      <w:r>
        <w:rPr>
          <w:rFonts w:hint="eastAsia" w:ascii="仿宋_GB2312" w:hAnsi="仿宋_GB2312" w:eastAsia="仿宋_GB2312" w:cs="仿宋_GB2312"/>
          <w:b/>
          <w:bCs/>
          <w:color w:val="000000"/>
          <w:spacing w:val="17"/>
          <w:sz w:val="32"/>
          <w:szCs w:val="32"/>
        </w:rPr>
        <w:t>评价指标体系</w:t>
      </w:r>
    </w:p>
    <w:tbl>
      <w:tblPr>
        <w:tblStyle w:val="22"/>
        <w:tblW w:w="8569" w:type="dxa"/>
        <w:tblInd w:w="0" w:type="dxa"/>
        <w:tblLayout w:type="fixed"/>
        <w:tblCellMar>
          <w:top w:w="0" w:type="dxa"/>
          <w:left w:w="0" w:type="dxa"/>
          <w:bottom w:w="0" w:type="dxa"/>
          <w:right w:w="0" w:type="dxa"/>
        </w:tblCellMar>
      </w:tblPr>
      <w:tblGrid>
        <w:gridCol w:w="1419"/>
        <w:gridCol w:w="2456"/>
        <w:gridCol w:w="3236"/>
        <w:gridCol w:w="1458"/>
      </w:tblGrid>
      <w:tr>
        <w:tblPrEx>
          <w:tblCellMar>
            <w:top w:w="0" w:type="dxa"/>
            <w:left w:w="0" w:type="dxa"/>
            <w:bottom w:w="0" w:type="dxa"/>
            <w:right w:w="0" w:type="dxa"/>
          </w:tblCellMar>
        </w:tblPrEx>
        <w:trPr>
          <w:trHeight w:val="510" w:hRule="atLeast"/>
        </w:trPr>
        <w:tc>
          <w:tcPr>
            <w:tcW w:w="14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val="0"/>
                <w:color w:val="000000"/>
                <w:sz w:val="28"/>
                <w:szCs w:val="28"/>
              </w:rPr>
            </w:pPr>
            <w:r>
              <w:rPr>
                <w:rFonts w:hint="eastAsia" w:ascii="仿宋_GB2312" w:hAnsi="仿宋_GB2312" w:eastAsia="仿宋_GB2312" w:cs="仿宋_GB2312"/>
                <w:b/>
                <w:bCs w:val="0"/>
                <w:color w:val="000000"/>
                <w:kern w:val="0"/>
                <w:sz w:val="28"/>
                <w:szCs w:val="28"/>
              </w:rPr>
              <w:t>一级指标</w:t>
            </w: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val="0"/>
                <w:color w:val="000000"/>
                <w:sz w:val="28"/>
                <w:szCs w:val="28"/>
              </w:rPr>
            </w:pPr>
            <w:r>
              <w:rPr>
                <w:rFonts w:hint="eastAsia" w:ascii="仿宋_GB2312" w:hAnsi="仿宋_GB2312" w:eastAsia="仿宋_GB2312" w:cs="仿宋_GB2312"/>
                <w:b/>
                <w:bCs w:val="0"/>
                <w:color w:val="000000"/>
                <w:kern w:val="0"/>
                <w:sz w:val="28"/>
                <w:szCs w:val="28"/>
              </w:rPr>
              <w:t>二级指标</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val="0"/>
                <w:color w:val="000000"/>
                <w:sz w:val="28"/>
                <w:szCs w:val="28"/>
              </w:rPr>
            </w:pPr>
            <w:r>
              <w:rPr>
                <w:rFonts w:hint="eastAsia" w:ascii="仿宋_GB2312" w:hAnsi="仿宋_GB2312" w:eastAsia="仿宋_GB2312" w:cs="仿宋_GB2312"/>
                <w:b/>
                <w:bCs w:val="0"/>
                <w:color w:val="000000"/>
                <w:kern w:val="0"/>
                <w:sz w:val="28"/>
                <w:szCs w:val="28"/>
              </w:rPr>
              <w:t>三级指标</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val="0"/>
                <w:color w:val="000000"/>
                <w:sz w:val="28"/>
                <w:szCs w:val="28"/>
              </w:rPr>
            </w:pPr>
            <w:r>
              <w:rPr>
                <w:rFonts w:hint="eastAsia" w:ascii="仿宋_GB2312" w:hAnsi="仿宋_GB2312" w:eastAsia="仿宋_GB2312" w:cs="仿宋_GB2312"/>
                <w:b/>
                <w:bCs w:val="0"/>
                <w:color w:val="000000"/>
                <w:kern w:val="0"/>
                <w:sz w:val="28"/>
                <w:szCs w:val="28"/>
              </w:rPr>
              <w:t>得分</w:t>
            </w:r>
          </w:p>
        </w:tc>
      </w:tr>
      <w:tr>
        <w:tblPrEx>
          <w:tblCellMar>
            <w:top w:w="0" w:type="dxa"/>
            <w:left w:w="0" w:type="dxa"/>
            <w:bottom w:w="0" w:type="dxa"/>
            <w:right w:w="0" w:type="dxa"/>
          </w:tblCellMar>
        </w:tblPrEx>
        <w:trPr>
          <w:trHeight w:val="312"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Cs/>
                <w:color w:val="000000"/>
                <w:kern w:val="0"/>
                <w:sz w:val="28"/>
                <w:szCs w:val="28"/>
              </w:rPr>
            </w:pPr>
            <w:r>
              <w:rPr>
                <w:rFonts w:hint="eastAsia" w:ascii="仿宋_GB2312" w:hAnsi="仿宋_GB2312" w:eastAsia="仿宋_GB2312" w:cs="仿宋_GB2312"/>
                <w:bCs/>
                <w:color w:val="000000"/>
                <w:kern w:val="0"/>
                <w:sz w:val="28"/>
                <w:szCs w:val="28"/>
              </w:rPr>
              <w:t>决策</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（5分）</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项目立项（1分）　</w:t>
            </w:r>
          </w:p>
        </w:tc>
        <w:tc>
          <w:tcPr>
            <w:tcW w:w="3236"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both"/>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立项依据充分性（0.5分）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color w:val="000000"/>
                <w:kern w:val="0"/>
                <w:sz w:val="28"/>
                <w:szCs w:val="28"/>
              </w:rPr>
              <w:t>0.5</w:t>
            </w:r>
          </w:p>
        </w:tc>
      </w:tr>
      <w:tr>
        <w:tblPrEx>
          <w:tblCellMar>
            <w:top w:w="0" w:type="dxa"/>
            <w:left w:w="0" w:type="dxa"/>
            <w:bottom w:w="0" w:type="dxa"/>
            <w:right w:w="0" w:type="dxa"/>
          </w:tblCellMar>
        </w:tblPrEx>
        <w:trPr>
          <w:trHeight w:val="90"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立项程序（0.5分）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color w:val="000000"/>
                <w:kern w:val="0"/>
                <w:sz w:val="28"/>
                <w:szCs w:val="28"/>
              </w:rPr>
              <w:t>0.5</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绩效目标（</w:t>
            </w:r>
            <w:r>
              <w:rPr>
                <w:rFonts w:hint="eastAsia" w:ascii="仿宋_GB2312" w:hAnsi="仿宋_GB2312" w:eastAsia="仿宋_GB2312" w:cs="仿宋_GB2312"/>
                <w:bCs/>
                <w:color w:val="000000"/>
                <w:kern w:val="0"/>
                <w:sz w:val="28"/>
                <w:szCs w:val="28"/>
                <w:lang w:val="en-US" w:eastAsia="zh-CN"/>
              </w:rPr>
              <w:t>2</w:t>
            </w:r>
            <w:r>
              <w:rPr>
                <w:rFonts w:hint="eastAsia" w:ascii="仿宋_GB2312" w:hAnsi="仿宋_GB2312" w:eastAsia="仿宋_GB2312" w:cs="仿宋_GB2312"/>
                <w:bCs/>
                <w:color w:val="000000"/>
                <w:kern w:val="0"/>
                <w:sz w:val="28"/>
                <w:szCs w:val="28"/>
              </w:rPr>
              <w:t>分）　</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绩效目标（1分）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color w:val="000000"/>
                <w:kern w:val="0"/>
                <w:sz w:val="28"/>
                <w:szCs w:val="28"/>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绩效指标（1分）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color w:val="000000"/>
                <w:kern w:val="0"/>
                <w:sz w:val="28"/>
                <w:szCs w:val="28"/>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资金投入（2分）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预算编制（1分）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color w:val="000000"/>
                <w:kern w:val="0"/>
                <w:sz w:val="28"/>
                <w:szCs w:val="28"/>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3236"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both"/>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资金分配合理性（1分）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color w:val="000000"/>
                <w:kern w:val="0"/>
                <w:sz w:val="28"/>
                <w:szCs w:val="28"/>
              </w:rPr>
              <w:t>1</w:t>
            </w:r>
          </w:p>
        </w:tc>
      </w:tr>
      <w:tr>
        <w:tblPrEx>
          <w:tblCellMar>
            <w:top w:w="0" w:type="dxa"/>
            <w:left w:w="0" w:type="dxa"/>
            <w:bottom w:w="0" w:type="dxa"/>
            <w:right w:w="0" w:type="dxa"/>
          </w:tblCellMar>
        </w:tblPrEx>
        <w:trPr>
          <w:trHeight w:val="312"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Cs/>
                <w:color w:val="000000"/>
                <w:kern w:val="0"/>
                <w:sz w:val="28"/>
                <w:szCs w:val="28"/>
              </w:rPr>
            </w:pPr>
            <w:r>
              <w:rPr>
                <w:rFonts w:hint="eastAsia" w:ascii="仿宋_GB2312" w:hAnsi="仿宋_GB2312" w:eastAsia="仿宋_GB2312" w:cs="仿宋_GB2312"/>
                <w:bCs/>
                <w:color w:val="000000"/>
                <w:kern w:val="0"/>
                <w:sz w:val="28"/>
                <w:szCs w:val="28"/>
              </w:rPr>
              <w:t>过程</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（5分）</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资金管理（</w:t>
            </w:r>
            <w:r>
              <w:rPr>
                <w:rFonts w:hint="eastAsia" w:ascii="仿宋_GB2312" w:hAnsi="仿宋_GB2312" w:eastAsia="仿宋_GB2312" w:cs="仿宋_GB2312"/>
                <w:bCs/>
                <w:color w:val="000000"/>
                <w:kern w:val="0"/>
                <w:sz w:val="28"/>
                <w:szCs w:val="28"/>
                <w:lang w:val="en-US" w:eastAsia="zh-CN"/>
              </w:rPr>
              <w:t>3</w:t>
            </w:r>
            <w:r>
              <w:rPr>
                <w:rFonts w:hint="eastAsia" w:ascii="仿宋_GB2312" w:hAnsi="仿宋_GB2312" w:eastAsia="仿宋_GB2312" w:cs="仿宋_GB2312"/>
                <w:bCs/>
                <w:color w:val="000000"/>
                <w:kern w:val="0"/>
                <w:sz w:val="28"/>
                <w:szCs w:val="28"/>
              </w:rPr>
              <w:t>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资金到位率（1分）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color w:val="000000"/>
                <w:kern w:val="0"/>
                <w:sz w:val="28"/>
                <w:szCs w:val="28"/>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预算执行率（1分）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color w:val="000000"/>
                <w:kern w:val="0"/>
                <w:sz w:val="28"/>
                <w:szCs w:val="28"/>
              </w:rPr>
              <w:t>0.7</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3236"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both"/>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资金使用合规性（1分）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color w:val="000000"/>
                <w:kern w:val="0"/>
                <w:sz w:val="28"/>
                <w:szCs w:val="28"/>
              </w:rPr>
              <w:t>1</w:t>
            </w:r>
          </w:p>
        </w:tc>
      </w:tr>
      <w:tr>
        <w:tblPrEx>
          <w:tblCellMar>
            <w:top w:w="0" w:type="dxa"/>
            <w:left w:w="0" w:type="dxa"/>
            <w:bottom w:w="0" w:type="dxa"/>
            <w:right w:w="0" w:type="dxa"/>
          </w:tblCellMar>
        </w:tblPrEx>
        <w:trPr>
          <w:trHeight w:val="90"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组织实施（</w:t>
            </w:r>
            <w:r>
              <w:rPr>
                <w:rFonts w:hint="eastAsia" w:ascii="仿宋_GB2312" w:hAnsi="仿宋_GB2312" w:eastAsia="仿宋_GB2312" w:cs="仿宋_GB2312"/>
                <w:bCs/>
                <w:color w:val="000000"/>
                <w:kern w:val="0"/>
                <w:sz w:val="28"/>
                <w:szCs w:val="28"/>
                <w:lang w:val="en-US" w:eastAsia="zh-CN"/>
              </w:rPr>
              <w:t>2</w:t>
            </w:r>
            <w:r>
              <w:rPr>
                <w:rFonts w:hint="eastAsia" w:ascii="仿宋_GB2312" w:hAnsi="仿宋_GB2312" w:eastAsia="仿宋_GB2312" w:cs="仿宋_GB2312"/>
                <w:bCs/>
                <w:color w:val="000000"/>
                <w:kern w:val="0"/>
                <w:sz w:val="28"/>
                <w:szCs w:val="28"/>
              </w:rPr>
              <w:t>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both"/>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管理制度健全性（1分）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color w:val="000000"/>
                <w:kern w:val="0"/>
                <w:sz w:val="28"/>
                <w:szCs w:val="28"/>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制度执行（1分）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color w:val="000000"/>
                <w:kern w:val="0"/>
                <w:sz w:val="28"/>
                <w:szCs w:val="28"/>
              </w:rPr>
              <w:t>1</w:t>
            </w:r>
          </w:p>
        </w:tc>
      </w:tr>
      <w:tr>
        <w:tblPrEx>
          <w:tblCellMar>
            <w:top w:w="0" w:type="dxa"/>
            <w:left w:w="0" w:type="dxa"/>
            <w:bottom w:w="0" w:type="dxa"/>
            <w:right w:w="0" w:type="dxa"/>
          </w:tblCellMar>
        </w:tblPrEx>
        <w:trPr>
          <w:trHeight w:val="615"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Cs/>
                <w:color w:val="000000"/>
                <w:kern w:val="0"/>
                <w:sz w:val="28"/>
                <w:szCs w:val="28"/>
              </w:rPr>
            </w:pPr>
            <w:r>
              <w:rPr>
                <w:rFonts w:hint="eastAsia" w:ascii="仿宋_GB2312" w:hAnsi="仿宋_GB2312" w:eastAsia="仿宋_GB2312" w:cs="仿宋_GB2312"/>
                <w:bCs/>
                <w:color w:val="000000"/>
                <w:kern w:val="0"/>
                <w:sz w:val="28"/>
                <w:szCs w:val="28"/>
              </w:rPr>
              <w:t>产出</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（50分）</w:t>
            </w: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产出数量（15分）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实际完成率（15分）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color w:val="000000"/>
                <w:sz w:val="28"/>
                <w:szCs w:val="28"/>
                <w:lang w:val="en-US" w:eastAsia="zh-CN"/>
              </w:rPr>
            </w:pPr>
            <w:r>
              <w:rPr>
                <w:rFonts w:hint="eastAsia" w:ascii="仿宋_GB2312" w:hAnsi="仿宋_GB2312" w:eastAsia="仿宋_GB2312" w:cs="仿宋_GB2312"/>
                <w:bCs/>
                <w:color w:val="000000"/>
                <w:sz w:val="28"/>
                <w:szCs w:val="28"/>
                <w:lang w:val="en-US" w:eastAsia="zh-CN"/>
              </w:rPr>
              <w:t>2.5</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产出质量（10分）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质量达标率（10分）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color w:val="000000"/>
                <w:sz w:val="28"/>
                <w:szCs w:val="28"/>
                <w:lang w:val="en-US" w:eastAsia="zh-CN"/>
              </w:rPr>
            </w:pPr>
            <w:r>
              <w:rPr>
                <w:rFonts w:hint="eastAsia" w:ascii="仿宋_GB2312" w:hAnsi="仿宋_GB2312" w:eastAsia="仿宋_GB2312" w:cs="仿宋_GB2312"/>
                <w:bCs/>
                <w:color w:val="000000"/>
                <w:sz w:val="28"/>
                <w:szCs w:val="28"/>
                <w:lang w:val="en-US" w:eastAsia="zh-CN"/>
              </w:rPr>
              <w:t>10</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产出时效（15分）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完成及时性（15分）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color w:val="000000"/>
                <w:kern w:val="0"/>
                <w:sz w:val="28"/>
                <w:szCs w:val="28"/>
              </w:rPr>
              <w:t>15</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产出成本（10分）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成本节约率（10分）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color w:val="000000"/>
                <w:sz w:val="28"/>
                <w:szCs w:val="28"/>
                <w:lang w:val="en-US" w:eastAsia="zh-CN"/>
              </w:rPr>
            </w:pPr>
            <w:r>
              <w:rPr>
                <w:rFonts w:hint="eastAsia" w:ascii="仿宋_GB2312" w:hAnsi="仿宋_GB2312" w:eastAsia="仿宋_GB2312" w:cs="仿宋_GB2312"/>
                <w:bCs/>
                <w:color w:val="000000"/>
                <w:sz w:val="28"/>
                <w:szCs w:val="28"/>
                <w:lang w:val="en-US" w:eastAsia="zh-CN"/>
              </w:rPr>
              <w:t>7.74</w:t>
            </w:r>
          </w:p>
        </w:tc>
      </w:tr>
      <w:tr>
        <w:tblPrEx>
          <w:tblCellMar>
            <w:top w:w="0" w:type="dxa"/>
            <w:left w:w="0" w:type="dxa"/>
            <w:bottom w:w="0" w:type="dxa"/>
            <w:right w:w="0" w:type="dxa"/>
          </w:tblCellMar>
        </w:tblPrEx>
        <w:trPr>
          <w:trHeight w:val="312"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Cs/>
                <w:color w:val="000000"/>
                <w:kern w:val="0"/>
                <w:sz w:val="28"/>
                <w:szCs w:val="28"/>
              </w:rPr>
            </w:pPr>
            <w:r>
              <w:rPr>
                <w:rFonts w:hint="eastAsia" w:ascii="仿宋_GB2312" w:hAnsi="仿宋_GB2312" w:eastAsia="仿宋_GB2312" w:cs="仿宋_GB2312"/>
                <w:bCs/>
                <w:color w:val="000000"/>
                <w:kern w:val="0"/>
                <w:sz w:val="28"/>
                <w:szCs w:val="28"/>
              </w:rPr>
              <w:t>效益</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（40分）</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项目效益（40分）　</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实施效益（30分）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color w:val="000000"/>
                <w:sz w:val="28"/>
                <w:szCs w:val="28"/>
                <w:lang w:val="en-US" w:eastAsia="zh-CN"/>
              </w:rPr>
            </w:pPr>
            <w:r>
              <w:rPr>
                <w:rFonts w:hint="eastAsia" w:ascii="仿宋_GB2312" w:hAnsi="仿宋_GB2312" w:eastAsia="仿宋_GB2312" w:cs="仿宋_GB2312"/>
                <w:bCs/>
                <w:color w:val="000000"/>
                <w:sz w:val="28"/>
                <w:szCs w:val="28"/>
                <w:lang w:val="en-US" w:eastAsia="zh-CN"/>
              </w:rPr>
              <w:t>19.37</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firstLine="560" w:firstLineChars="200"/>
              <w:jc w:val="center"/>
              <w:rPr>
                <w:rFonts w:hint="eastAsia" w:ascii="仿宋_GB2312" w:hAnsi="仿宋_GB2312" w:eastAsia="仿宋_GB2312" w:cs="仿宋_GB2312"/>
                <w:bCs/>
                <w:color w:val="000000"/>
                <w:sz w:val="28"/>
                <w:szCs w:val="28"/>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满意度（10分）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Cs/>
                <w:color w:val="000000"/>
                <w:sz w:val="28"/>
                <w:szCs w:val="28"/>
                <w:lang w:eastAsia="zh-CN"/>
              </w:rPr>
            </w:pPr>
            <w:r>
              <w:rPr>
                <w:rFonts w:hint="eastAsia" w:ascii="仿宋_GB2312" w:hAnsi="仿宋_GB2312" w:eastAsia="仿宋_GB2312" w:cs="仿宋_GB2312"/>
                <w:bCs/>
                <w:color w:val="000000"/>
                <w:sz w:val="28"/>
                <w:szCs w:val="28"/>
                <w:lang w:val="en-US" w:eastAsia="zh-CN"/>
              </w:rPr>
              <w:t>8</w:t>
            </w:r>
          </w:p>
        </w:tc>
      </w:tr>
      <w:tr>
        <w:tblPrEx>
          <w:tblCellMar>
            <w:top w:w="0" w:type="dxa"/>
            <w:left w:w="0" w:type="dxa"/>
            <w:bottom w:w="0" w:type="dxa"/>
            <w:right w:w="0" w:type="dxa"/>
          </w:tblCellMar>
        </w:tblPrEx>
        <w:trPr>
          <w:trHeight w:val="312" w:hRule="atLeast"/>
        </w:trPr>
        <w:tc>
          <w:tcPr>
            <w:tcW w:w="711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bCs/>
                <w:color w:val="000000"/>
                <w:sz w:val="28"/>
                <w:szCs w:val="28"/>
              </w:rPr>
            </w:pPr>
            <w:r>
              <w:rPr>
                <w:rFonts w:hint="eastAsia" w:ascii="仿宋_GB2312" w:hAnsi="仿宋_GB2312" w:eastAsia="仿宋_GB2312" w:cs="仿宋_GB2312"/>
                <w:bCs/>
                <w:color w:val="000000"/>
                <w:kern w:val="0"/>
                <w:sz w:val="28"/>
                <w:szCs w:val="28"/>
              </w:rPr>
              <w:t>合计</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bCs/>
                <w:color w:val="000000"/>
                <w:sz w:val="28"/>
                <w:szCs w:val="28"/>
                <w:lang w:val="en-US" w:eastAsia="zh-CN"/>
              </w:rPr>
            </w:pPr>
            <w:r>
              <w:rPr>
                <w:rFonts w:hint="eastAsia" w:ascii="仿宋_GB2312" w:hAnsi="仿宋_GB2312" w:eastAsia="仿宋_GB2312" w:cs="仿宋_GB2312"/>
                <w:bCs/>
                <w:color w:val="000000"/>
                <w:sz w:val="28"/>
                <w:szCs w:val="28"/>
                <w:lang w:val="en-US" w:eastAsia="zh-CN"/>
              </w:rPr>
              <w:t>72.31</w:t>
            </w:r>
          </w:p>
        </w:tc>
      </w:tr>
    </w:tbl>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3、绩效评价方法</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4、评价标准</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绩效评价标准通常包括计划标准、行业标准、历史标准等，用于对绩效指标完成情况进行比较。本次评价主要采用了计划标准。</w:t>
      </w:r>
    </w:p>
    <w:p>
      <w:pPr>
        <w:pStyle w:val="2"/>
        <w:pageBreakBefore w:val="0"/>
        <w:numPr>
          <w:ilvl w:val="0"/>
          <w:numId w:val="0"/>
        </w:numPr>
        <w:kinsoku/>
        <w:wordWrap/>
        <w:overflowPunct/>
        <w:topLinePunct w:val="0"/>
        <w:autoSpaceDE/>
        <w:autoSpaceDN/>
        <w:bidi w:val="0"/>
        <w:adjustRightInd/>
        <w:snapToGrid/>
        <w:spacing w:before="0" w:after="0" w:line="560" w:lineRule="exact"/>
        <w:ind w:firstLine="711" w:firstLineChars="200"/>
        <w:jc w:val="both"/>
        <w:rPr>
          <w:rFonts w:hint="eastAsia" w:ascii="楷体_GB2312" w:hAnsi="楷体_GB2312" w:eastAsia="楷体_GB2312" w:cs="楷体_GB2312"/>
          <w:color w:val="000000"/>
          <w:spacing w:val="17"/>
          <w:sz w:val="32"/>
          <w:szCs w:val="32"/>
        </w:rPr>
      </w:pPr>
      <w:r>
        <w:rPr>
          <w:rFonts w:hint="eastAsia" w:ascii="楷体_GB2312" w:hAnsi="楷体_GB2312" w:eastAsia="楷体_GB2312" w:cs="楷体_GB2312"/>
          <w:color w:val="000000"/>
          <w:spacing w:val="17"/>
          <w:sz w:val="32"/>
          <w:szCs w:val="32"/>
          <w:lang w:eastAsia="zh-CN"/>
        </w:rPr>
        <w:t>（三）</w:t>
      </w:r>
      <w:r>
        <w:rPr>
          <w:rFonts w:hint="eastAsia" w:ascii="楷体_GB2312" w:hAnsi="楷体_GB2312" w:eastAsia="楷体_GB2312" w:cs="楷体_GB2312"/>
          <w:color w:val="000000"/>
          <w:spacing w:val="17"/>
          <w:sz w:val="32"/>
          <w:szCs w:val="32"/>
        </w:rPr>
        <w:t>绩效评价工作过程</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17"/>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3"/>
        </w:numPr>
        <w:kinsoku/>
        <w:wordWrap/>
        <w:overflowPunct/>
        <w:topLinePunct w:val="0"/>
        <w:autoSpaceDE/>
        <w:autoSpaceDN/>
        <w:bidi w:val="0"/>
        <w:adjustRightInd/>
        <w:snapToGrid/>
        <w:spacing w:line="560" w:lineRule="exact"/>
        <w:ind w:firstLine="641"/>
        <w:rPr>
          <w:rFonts w:hint="eastAsia"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exact"/>
        <w:ind w:firstLine="708" w:firstLineChars="200"/>
        <w:jc w:val="both"/>
        <w:outlineLvl w:val="9"/>
        <w:rPr>
          <w:rFonts w:hint="eastAsia" w:ascii="仿宋_GB2312" w:hAnsi="仿宋_GB2312" w:eastAsia="仿宋_GB2312" w:cs="仿宋_GB2312"/>
          <w:b w:val="0"/>
          <w:bCs w:val="0"/>
          <w:color w:val="000000"/>
          <w:spacing w:val="17"/>
          <w:kern w:val="2"/>
          <w:sz w:val="32"/>
          <w:szCs w:val="32"/>
        </w:rPr>
      </w:pPr>
      <w:r>
        <w:rPr>
          <w:rFonts w:hint="eastAsia" w:ascii="仿宋_GB2312" w:hAnsi="仿宋_GB2312" w:eastAsia="仿宋_GB2312" w:cs="仿宋_GB2312"/>
          <w:b w:val="0"/>
          <w:bCs w:val="0"/>
          <w:color w:val="000000"/>
          <w:spacing w:val="17"/>
          <w:kern w:val="2"/>
          <w:sz w:val="32"/>
          <w:szCs w:val="32"/>
        </w:rPr>
        <w:t>对</w:t>
      </w:r>
      <w:r>
        <w:rPr>
          <w:rFonts w:hint="eastAsia" w:ascii="仿宋_GB2312" w:hAnsi="仿宋_GB2312" w:eastAsia="仿宋_GB2312" w:cs="仿宋_GB2312"/>
          <w:b w:val="0"/>
          <w:bCs w:val="0"/>
          <w:color w:val="000000"/>
          <w:spacing w:val="17"/>
          <w:kern w:val="2"/>
          <w:sz w:val="32"/>
          <w:szCs w:val="32"/>
          <w:lang w:eastAsia="zh-CN"/>
        </w:rPr>
        <w:t>“地区体育馆室外游泳池及配套设施建设项目”</w:t>
      </w:r>
      <w:r>
        <w:rPr>
          <w:rFonts w:hint="eastAsia" w:ascii="仿宋_GB2312" w:hAnsi="仿宋_GB2312" w:eastAsia="仿宋_GB2312" w:cs="仿宋_GB2312"/>
          <w:b w:val="0"/>
          <w:bCs w:val="0"/>
          <w:color w:val="000000"/>
          <w:spacing w:val="17"/>
          <w:kern w:val="2"/>
          <w:sz w:val="32"/>
          <w:szCs w:val="32"/>
        </w:rPr>
        <w:t>进行客观评价，最终评分结果：总得分为7</w:t>
      </w:r>
      <w:r>
        <w:rPr>
          <w:rFonts w:hint="eastAsia" w:ascii="仿宋_GB2312" w:hAnsi="仿宋_GB2312" w:eastAsia="仿宋_GB2312" w:cs="仿宋_GB2312"/>
          <w:b w:val="0"/>
          <w:bCs w:val="0"/>
          <w:color w:val="000000"/>
          <w:spacing w:val="17"/>
          <w:kern w:val="2"/>
          <w:sz w:val="32"/>
          <w:szCs w:val="32"/>
          <w:lang w:val="en-US" w:eastAsia="zh-CN"/>
        </w:rPr>
        <w:t>2.31</w:t>
      </w:r>
      <w:r>
        <w:rPr>
          <w:rFonts w:hint="eastAsia" w:ascii="仿宋_GB2312" w:hAnsi="仿宋_GB2312" w:eastAsia="仿宋_GB2312" w:cs="仿宋_GB2312"/>
          <w:b w:val="0"/>
          <w:bCs w:val="0"/>
          <w:color w:val="000000"/>
          <w:spacing w:val="17"/>
          <w:kern w:val="2"/>
          <w:sz w:val="32"/>
          <w:szCs w:val="32"/>
        </w:rPr>
        <w:t>分，属于“中”。其中：项目决策类指标权重为5分，得分为 5分，得分率为 100%。项目过程类指标权重为5分，得分为4.7 分，得分率为 94%。项目产出类指标权重为50分，得分为</w:t>
      </w:r>
      <w:r>
        <w:rPr>
          <w:rFonts w:hint="eastAsia" w:ascii="仿宋_GB2312" w:hAnsi="仿宋_GB2312" w:eastAsia="仿宋_GB2312" w:cs="仿宋_GB2312"/>
          <w:b w:val="0"/>
          <w:bCs w:val="0"/>
          <w:color w:val="000000"/>
          <w:spacing w:val="17"/>
          <w:kern w:val="2"/>
          <w:sz w:val="32"/>
          <w:szCs w:val="32"/>
          <w:lang w:val="en-US" w:eastAsia="zh-CN"/>
        </w:rPr>
        <w:t>35.24</w:t>
      </w:r>
      <w:r>
        <w:rPr>
          <w:rFonts w:hint="eastAsia" w:ascii="仿宋_GB2312" w:hAnsi="仿宋_GB2312" w:eastAsia="仿宋_GB2312" w:cs="仿宋_GB2312"/>
          <w:b w:val="0"/>
          <w:bCs w:val="0"/>
          <w:color w:val="000000"/>
          <w:spacing w:val="17"/>
          <w:kern w:val="2"/>
          <w:sz w:val="32"/>
          <w:szCs w:val="32"/>
        </w:rPr>
        <w:t>分，得分率为</w:t>
      </w:r>
      <w:r>
        <w:rPr>
          <w:rFonts w:hint="eastAsia" w:ascii="仿宋_GB2312" w:hAnsi="仿宋_GB2312" w:eastAsia="仿宋_GB2312" w:cs="仿宋_GB2312"/>
          <w:b w:val="0"/>
          <w:bCs w:val="0"/>
          <w:color w:val="000000"/>
          <w:spacing w:val="17"/>
          <w:kern w:val="2"/>
          <w:sz w:val="32"/>
          <w:szCs w:val="32"/>
          <w:lang w:val="en-US" w:eastAsia="zh-CN"/>
        </w:rPr>
        <w:t>73.53</w:t>
      </w:r>
      <w:r>
        <w:rPr>
          <w:rFonts w:hint="eastAsia" w:ascii="仿宋_GB2312" w:hAnsi="仿宋_GB2312" w:eastAsia="仿宋_GB2312" w:cs="仿宋_GB2312"/>
          <w:b w:val="0"/>
          <w:bCs w:val="0"/>
          <w:color w:val="000000"/>
          <w:spacing w:val="17"/>
          <w:kern w:val="2"/>
          <w:sz w:val="32"/>
          <w:szCs w:val="32"/>
        </w:rPr>
        <w:t>%。项目效益类指标权重为40分，得分为</w:t>
      </w:r>
      <w:r>
        <w:rPr>
          <w:rFonts w:hint="eastAsia" w:ascii="仿宋_GB2312" w:hAnsi="仿宋_GB2312" w:eastAsia="仿宋_GB2312" w:cs="仿宋_GB2312"/>
          <w:b w:val="0"/>
          <w:bCs w:val="0"/>
          <w:color w:val="000000"/>
          <w:spacing w:val="17"/>
          <w:kern w:val="2"/>
          <w:sz w:val="32"/>
          <w:szCs w:val="32"/>
          <w:lang w:val="en-US" w:eastAsia="zh-CN"/>
        </w:rPr>
        <w:t>27.37</w:t>
      </w:r>
      <w:r>
        <w:rPr>
          <w:rFonts w:hint="eastAsia" w:ascii="仿宋_GB2312" w:hAnsi="仿宋_GB2312" w:eastAsia="仿宋_GB2312" w:cs="仿宋_GB2312"/>
          <w:b w:val="0"/>
          <w:bCs w:val="0"/>
          <w:color w:val="000000"/>
          <w:spacing w:val="17"/>
          <w:kern w:val="2"/>
          <w:sz w:val="32"/>
          <w:szCs w:val="32"/>
        </w:rPr>
        <w:t>分，得分率为</w:t>
      </w:r>
      <w:r>
        <w:rPr>
          <w:rFonts w:hint="eastAsia" w:ascii="仿宋_GB2312" w:hAnsi="仿宋_GB2312" w:eastAsia="仿宋_GB2312" w:cs="仿宋_GB2312"/>
          <w:b w:val="0"/>
          <w:bCs w:val="0"/>
          <w:color w:val="000000"/>
          <w:spacing w:val="17"/>
          <w:kern w:val="2"/>
          <w:sz w:val="32"/>
          <w:szCs w:val="32"/>
          <w:lang w:val="en-US" w:eastAsia="zh-CN"/>
        </w:rPr>
        <w:t>72.28</w:t>
      </w:r>
      <w:r>
        <w:rPr>
          <w:rFonts w:hint="eastAsia" w:ascii="仿宋_GB2312" w:hAnsi="仿宋_GB2312" w:eastAsia="仿宋_GB2312" w:cs="仿宋_GB2312"/>
          <w:b w:val="0"/>
          <w:bCs w:val="0"/>
          <w:color w:val="000000"/>
          <w:spacing w:val="17"/>
          <w:kern w:val="2"/>
          <w:sz w:val="32"/>
          <w:szCs w:val="32"/>
        </w:rPr>
        <w:t>%。</w:t>
      </w:r>
    </w:p>
    <w:tbl>
      <w:tblPr>
        <w:tblStyle w:val="22"/>
        <w:tblpPr w:leftFromText="180" w:rightFromText="180" w:vertAnchor="text" w:horzAnchor="page" w:tblpX="1040" w:tblpY="1138"/>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406"/>
        <w:gridCol w:w="1584"/>
        <w:gridCol w:w="727"/>
        <w:gridCol w:w="989"/>
        <w:gridCol w:w="1125"/>
        <w:gridCol w:w="1069"/>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分值</w:t>
            </w:r>
          </w:p>
        </w:tc>
        <w:tc>
          <w:tcPr>
            <w:tcW w:w="1406"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二级指标</w:t>
            </w:r>
          </w:p>
        </w:tc>
        <w:tc>
          <w:tcPr>
            <w:tcW w:w="1584"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权重</w:t>
            </w:r>
          </w:p>
        </w:tc>
        <w:tc>
          <w:tcPr>
            <w:tcW w:w="989"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目标值</w:t>
            </w:r>
          </w:p>
        </w:tc>
        <w:tc>
          <w:tcPr>
            <w:tcW w:w="112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业绩值</w:t>
            </w:r>
          </w:p>
        </w:tc>
        <w:tc>
          <w:tcPr>
            <w:tcW w:w="1069"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决策　</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w:t>
            </w:r>
          </w:p>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kern w:val="0"/>
                <w:sz w:val="28"/>
                <w:szCs w:val="28"/>
              </w:rPr>
              <w:t>5分</w:t>
            </w:r>
          </w:p>
        </w:tc>
        <w:tc>
          <w:tcPr>
            <w:tcW w:w="1406"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项目立项　</w:t>
            </w:r>
          </w:p>
        </w:tc>
        <w:tc>
          <w:tcPr>
            <w:tcW w:w="158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立项依据</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0.5</w:t>
            </w:r>
          </w:p>
        </w:tc>
        <w:tc>
          <w:tcPr>
            <w:tcW w:w="98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12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06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406"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58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立项程序</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0.5</w:t>
            </w:r>
          </w:p>
        </w:tc>
        <w:tc>
          <w:tcPr>
            <w:tcW w:w="98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12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06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406"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绩效目标　</w:t>
            </w:r>
          </w:p>
        </w:tc>
        <w:tc>
          <w:tcPr>
            <w:tcW w:w="158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绩效目标</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98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12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06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406"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58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绩效指标</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98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12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06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406"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资金投入</w:t>
            </w:r>
          </w:p>
        </w:tc>
        <w:tc>
          <w:tcPr>
            <w:tcW w:w="158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预算编制</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98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12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06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406"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58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资金分配</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98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12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06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过程</w:t>
            </w:r>
          </w:p>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kern w:val="0"/>
                <w:sz w:val="28"/>
                <w:szCs w:val="28"/>
              </w:rPr>
              <w:t>5分</w:t>
            </w:r>
          </w:p>
        </w:tc>
        <w:tc>
          <w:tcPr>
            <w:tcW w:w="1406"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资金管理</w:t>
            </w:r>
          </w:p>
        </w:tc>
        <w:tc>
          <w:tcPr>
            <w:tcW w:w="158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98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12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06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406"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58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98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12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06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70%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0.7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40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资金管理</w:t>
            </w:r>
          </w:p>
        </w:tc>
        <w:tc>
          <w:tcPr>
            <w:tcW w:w="158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资金使用</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98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12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06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406"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组织实施</w:t>
            </w:r>
          </w:p>
        </w:tc>
        <w:tc>
          <w:tcPr>
            <w:tcW w:w="158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管理制度</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98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12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06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406"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58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制度执行</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98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12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06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kern w:val="0"/>
                <w:sz w:val="28"/>
                <w:szCs w:val="28"/>
              </w:rPr>
              <w:t>50分</w:t>
            </w:r>
          </w:p>
        </w:tc>
        <w:tc>
          <w:tcPr>
            <w:tcW w:w="140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产出数量</w:t>
            </w:r>
          </w:p>
        </w:tc>
        <w:tc>
          <w:tcPr>
            <w:tcW w:w="158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15</w:t>
            </w:r>
          </w:p>
        </w:tc>
        <w:tc>
          <w:tcPr>
            <w:tcW w:w="98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12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06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r>
              <w:rPr>
                <w:rFonts w:hint="eastAsia" w:ascii="仿宋_GB2312" w:hAnsi="仿宋_GB2312" w:eastAsia="仿宋_GB2312" w:cs="仿宋_GB2312"/>
                <w:color w:val="000000"/>
                <w:kern w:val="0"/>
                <w:sz w:val="28"/>
                <w:szCs w:val="28"/>
                <w:lang w:val="en-US" w:eastAsia="zh-CN"/>
              </w:rPr>
              <w:t>6.7</w:t>
            </w:r>
            <w:r>
              <w:rPr>
                <w:rFonts w:hint="eastAsia" w:ascii="仿宋_GB2312" w:hAnsi="仿宋_GB2312" w:eastAsia="仿宋_GB2312" w:cs="仿宋_GB2312"/>
                <w:color w:val="000000"/>
                <w:kern w:val="0"/>
                <w:sz w:val="28"/>
                <w:szCs w:val="28"/>
              </w:rPr>
              <w:t>%</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40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产出质量</w:t>
            </w:r>
          </w:p>
        </w:tc>
        <w:tc>
          <w:tcPr>
            <w:tcW w:w="158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w:t>
            </w:r>
          </w:p>
        </w:tc>
        <w:tc>
          <w:tcPr>
            <w:tcW w:w="98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12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06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406" w:type="dxa"/>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产出时效</w:t>
            </w:r>
          </w:p>
        </w:tc>
        <w:tc>
          <w:tcPr>
            <w:tcW w:w="158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15</w:t>
            </w:r>
          </w:p>
        </w:tc>
        <w:tc>
          <w:tcPr>
            <w:tcW w:w="98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12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06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40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产出成本</w:t>
            </w:r>
          </w:p>
        </w:tc>
        <w:tc>
          <w:tcPr>
            <w:tcW w:w="158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w:t>
            </w:r>
          </w:p>
        </w:tc>
        <w:tc>
          <w:tcPr>
            <w:tcW w:w="98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12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w:t>
            </w:r>
            <w:r>
              <w:rPr>
                <w:rFonts w:hint="eastAsia" w:ascii="仿宋_GB2312" w:hAnsi="仿宋_GB2312" w:eastAsia="仿宋_GB2312" w:cs="仿宋_GB2312"/>
                <w:color w:val="000000"/>
                <w:kern w:val="0"/>
                <w:sz w:val="28"/>
                <w:szCs w:val="28"/>
                <w:lang w:val="en-US" w:eastAsia="zh-CN"/>
              </w:rPr>
              <w:t>77.4</w:t>
            </w:r>
            <w:r>
              <w:rPr>
                <w:rFonts w:hint="eastAsia" w:ascii="仿宋_GB2312" w:hAnsi="仿宋_GB2312" w:eastAsia="仿宋_GB2312" w:cs="仿宋_GB2312"/>
                <w:color w:val="000000"/>
                <w:kern w:val="0"/>
                <w:sz w:val="28"/>
                <w:szCs w:val="28"/>
              </w:rPr>
              <w:t>%</w:t>
            </w:r>
          </w:p>
        </w:tc>
        <w:tc>
          <w:tcPr>
            <w:tcW w:w="106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77.4</w:t>
            </w:r>
            <w:r>
              <w:rPr>
                <w:rFonts w:hint="eastAsia" w:ascii="仿宋_GB2312" w:hAnsi="仿宋_GB2312" w:eastAsia="仿宋_GB2312" w:cs="仿宋_GB2312"/>
                <w:color w:val="000000"/>
                <w:kern w:val="0"/>
                <w:sz w:val="28"/>
                <w:szCs w:val="28"/>
              </w:rPr>
              <w:t>%</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7.74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40分</w:t>
            </w:r>
          </w:p>
        </w:tc>
        <w:tc>
          <w:tcPr>
            <w:tcW w:w="1406"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项目效益　</w:t>
            </w:r>
          </w:p>
        </w:tc>
        <w:tc>
          <w:tcPr>
            <w:tcW w:w="158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实施效益</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（社会效益、经济效益、</w:t>
            </w:r>
            <w:r>
              <w:rPr>
                <w:rFonts w:hint="eastAsia" w:ascii="仿宋_GB2312" w:hAnsi="仿宋_GB2312" w:eastAsia="仿宋_GB2312" w:cs="仿宋_GB2312"/>
                <w:color w:val="000000"/>
                <w:kern w:val="0"/>
                <w:sz w:val="28"/>
                <w:szCs w:val="28"/>
                <w:lang w:eastAsia="zh-CN"/>
              </w:rPr>
              <w:t>生态效益、</w:t>
            </w:r>
            <w:r>
              <w:rPr>
                <w:rFonts w:hint="eastAsia" w:ascii="仿宋_GB2312" w:hAnsi="仿宋_GB2312" w:eastAsia="仿宋_GB2312" w:cs="仿宋_GB2312"/>
                <w:color w:val="000000"/>
                <w:kern w:val="0"/>
                <w:sz w:val="28"/>
                <w:szCs w:val="28"/>
              </w:rPr>
              <w:t>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30</w:t>
            </w:r>
          </w:p>
        </w:tc>
        <w:tc>
          <w:tcPr>
            <w:tcW w:w="98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12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64.56</w:t>
            </w:r>
            <w:r>
              <w:rPr>
                <w:rFonts w:hint="eastAsia" w:ascii="仿宋_GB2312" w:hAnsi="仿宋_GB2312" w:eastAsia="仿宋_GB2312" w:cs="仿宋_GB2312"/>
                <w:color w:val="000000"/>
                <w:kern w:val="0"/>
                <w:sz w:val="28"/>
                <w:szCs w:val="28"/>
              </w:rPr>
              <w:t>%</w:t>
            </w:r>
          </w:p>
        </w:tc>
        <w:tc>
          <w:tcPr>
            <w:tcW w:w="106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64.56</w:t>
            </w:r>
            <w:r>
              <w:rPr>
                <w:rFonts w:hint="eastAsia" w:ascii="仿宋_GB2312" w:hAnsi="仿宋_GB2312" w:eastAsia="仿宋_GB2312" w:cs="仿宋_GB2312"/>
                <w:color w:val="000000"/>
                <w:kern w:val="0"/>
                <w:sz w:val="28"/>
                <w:szCs w:val="28"/>
              </w:rPr>
              <w:t>%</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19.37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406"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p>
        </w:tc>
        <w:tc>
          <w:tcPr>
            <w:tcW w:w="158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w:t>
            </w:r>
          </w:p>
        </w:tc>
        <w:tc>
          <w:tcPr>
            <w:tcW w:w="98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=100%</w:t>
            </w:r>
          </w:p>
        </w:tc>
        <w:tc>
          <w:tcPr>
            <w:tcW w:w="112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80</w:t>
            </w:r>
            <w:r>
              <w:rPr>
                <w:rFonts w:hint="eastAsia" w:ascii="仿宋_GB2312" w:hAnsi="仿宋_GB2312" w:eastAsia="仿宋_GB2312" w:cs="仿宋_GB2312"/>
                <w:color w:val="000000"/>
                <w:kern w:val="0"/>
                <w:sz w:val="28"/>
                <w:szCs w:val="28"/>
              </w:rPr>
              <w:t>%</w:t>
            </w:r>
          </w:p>
        </w:tc>
        <w:tc>
          <w:tcPr>
            <w:tcW w:w="106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80</w:t>
            </w:r>
            <w:r>
              <w:rPr>
                <w:rFonts w:hint="eastAsia" w:ascii="仿宋_GB2312" w:hAnsi="仿宋_GB2312" w:eastAsia="仿宋_GB2312" w:cs="仿宋_GB2312"/>
                <w:color w:val="000000"/>
                <w:kern w:val="0"/>
                <w:sz w:val="28"/>
                <w:szCs w:val="28"/>
              </w:rPr>
              <w:t>%</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lang w:val="en-US" w:eastAsia="zh-CN"/>
              </w:rPr>
              <w:t>8</w:t>
            </w:r>
          </w:p>
        </w:tc>
      </w:tr>
    </w:tbl>
    <w:p>
      <w:pPr>
        <w:pStyle w:val="2"/>
        <w:pageBreakBefore w:val="0"/>
        <w:kinsoku/>
        <w:wordWrap/>
        <w:overflowPunct/>
        <w:topLinePunct w:val="0"/>
        <w:autoSpaceDE/>
        <w:autoSpaceDN/>
        <w:bidi w:val="0"/>
        <w:adjustRightInd/>
        <w:snapToGrid/>
        <w:spacing w:before="0" w:after="0"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表1综合评分表</w:t>
      </w:r>
    </w:p>
    <w:p>
      <w:pPr>
        <w:pageBreakBefore w:val="0"/>
        <w:kinsoku/>
        <w:wordWrap/>
        <w:overflowPunct/>
        <w:topLinePunct w:val="0"/>
        <w:autoSpaceDE/>
        <w:autoSpaceDN/>
        <w:bidi w:val="0"/>
        <w:adjustRightInd/>
        <w:snapToGrid/>
        <w:spacing w:line="560" w:lineRule="exact"/>
        <w:ind w:firstLine="320" w:firstLineChars="100"/>
        <w:rPr>
          <w:rFonts w:hint="eastAsia" w:ascii="黑体" w:hAnsi="黑体" w:eastAsia="黑体" w:cs="黑体"/>
          <w:sz w:val="32"/>
          <w:szCs w:val="32"/>
        </w:rPr>
      </w:pPr>
      <w:r>
        <w:rPr>
          <w:rFonts w:hint="eastAsia" w:ascii="黑体" w:hAnsi="黑体" w:eastAsia="黑体" w:cs="黑体"/>
          <w:sz w:val="32"/>
          <w:szCs w:val="32"/>
        </w:rPr>
        <w:t>四、绩效评价指标分析</w:t>
      </w:r>
    </w:p>
    <w:p>
      <w:pPr>
        <w:pStyle w:val="2"/>
        <w:pageBreakBefore w:val="0"/>
        <w:kinsoku/>
        <w:wordWrap/>
        <w:overflowPunct/>
        <w:topLinePunct w:val="0"/>
        <w:autoSpaceDE/>
        <w:autoSpaceDN/>
        <w:bidi w:val="0"/>
        <w:adjustRightInd/>
        <w:snapToGrid/>
        <w:spacing w:before="0" w:after="0" w:line="560" w:lineRule="exact"/>
        <w:ind w:firstLine="321" w:firstLineChars="1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pPr>
        <w:pageBreakBefore w:val="0"/>
        <w:kinsoku/>
        <w:wordWrap/>
        <w:overflowPunct/>
        <w:topLinePunct w:val="0"/>
        <w:autoSpaceDE/>
        <w:autoSpaceDN/>
        <w:bidi w:val="0"/>
        <w:adjustRightInd/>
        <w:snapToGrid/>
        <w:spacing w:line="560" w:lineRule="exact"/>
        <w:ind w:firstLine="640"/>
        <w:rPr>
          <w:rStyle w:val="54"/>
          <w:rFonts w:hint="eastAsia" w:ascii="仿宋_GB2312" w:hAnsi="仿宋_GB2312" w:eastAsia="仿宋_GB2312" w:cs="仿宋_GB2312"/>
          <w:color w:val="auto"/>
          <w:sz w:val="32"/>
          <w:szCs w:val="32"/>
        </w:rPr>
      </w:pPr>
      <w:r>
        <w:rPr>
          <w:rStyle w:val="54"/>
          <w:rFonts w:hint="eastAsia" w:ascii="仿宋_GB2312" w:hAnsi="仿宋_GB2312" w:eastAsia="仿宋_GB2312" w:cs="仿宋_GB2312"/>
          <w:color w:val="auto"/>
          <w:sz w:val="32"/>
          <w:szCs w:val="32"/>
        </w:rPr>
        <w:t>项目决策指标从立项依据充分性、立项程序、绩效目标、绩效指标、预算编制、资金分配合理性6个方面对项目立项是否符合法律法规、相关政策、发展规划以及部门职责，用以反映和考核项目立项依据情况进行考察，立项依据充分性分值0.5分，实际得分0.5分，得分率100%；立项程序分值1分，实际得分1分，得分率100%；绩效目标分值1分，实际得分1分，得分率100%；绩效指标分值1分，实际得分1分，得分率100%；预算编制分值1分，实际得分1分，得分率100%；资金分配合理性分值1分，实际得分1分，得分率100%。项目决策指标得分情况如表所示。</w:t>
      </w:r>
    </w:p>
    <w:p>
      <w:pPr>
        <w:pageBreakBefore w:val="0"/>
        <w:kinsoku/>
        <w:wordWrap/>
        <w:overflowPunct/>
        <w:topLinePunct w:val="0"/>
        <w:autoSpaceDE/>
        <w:autoSpaceDN/>
        <w:bidi w:val="0"/>
        <w:adjustRightInd/>
        <w:snapToGrid/>
        <w:spacing w:line="560" w:lineRule="exact"/>
        <w:ind w:firstLine="640"/>
        <w:jc w:val="center"/>
        <w:rPr>
          <w:rStyle w:val="54"/>
          <w:rFonts w:hint="eastAsia" w:ascii="仿宋_GB2312" w:hAnsi="仿宋_GB2312" w:eastAsia="仿宋_GB2312" w:cs="仿宋_GB2312"/>
          <w:b/>
          <w:bCs/>
          <w:color w:val="auto"/>
          <w:sz w:val="32"/>
          <w:szCs w:val="32"/>
        </w:rPr>
      </w:pPr>
      <w:r>
        <w:rPr>
          <w:rStyle w:val="54"/>
          <w:rFonts w:hint="eastAsia" w:ascii="仿宋_GB2312" w:hAnsi="仿宋_GB2312" w:eastAsia="仿宋_GB2312" w:cs="仿宋_GB2312"/>
          <w:b/>
          <w:bCs/>
          <w:color w:val="auto"/>
          <w:sz w:val="32"/>
          <w:szCs w:val="32"/>
        </w:rPr>
        <w:t>项目决策指标得分情况</w:t>
      </w:r>
    </w:p>
    <w:tbl>
      <w:tblPr>
        <w:tblStyle w:val="22"/>
        <w:tblW w:w="8569" w:type="dxa"/>
        <w:tblInd w:w="0" w:type="dxa"/>
        <w:tblLayout w:type="fixed"/>
        <w:tblCellMar>
          <w:top w:w="0" w:type="dxa"/>
          <w:left w:w="0" w:type="dxa"/>
          <w:bottom w:w="0" w:type="dxa"/>
          <w:right w:w="0" w:type="dxa"/>
        </w:tblCellMar>
      </w:tblPr>
      <w:tblGrid>
        <w:gridCol w:w="2141"/>
        <w:gridCol w:w="2142"/>
        <w:gridCol w:w="2142"/>
        <w:gridCol w:w="2144"/>
      </w:tblGrid>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三级指标</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权重</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得分率</w:t>
            </w:r>
          </w:p>
        </w:tc>
        <w:tc>
          <w:tcPr>
            <w:tcW w:w="21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实际得分</w:t>
            </w:r>
          </w:p>
        </w:tc>
      </w:tr>
      <w:tr>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立项依据充性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0.5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0.5</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立项程序</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0.5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0.5</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绩效目标</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绩效指标</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预算编制</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w:t>
            </w:r>
          </w:p>
        </w:tc>
      </w:tr>
      <w:tr>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资金分配合理性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840" w:firstLineChars="300"/>
              <w:jc w:val="both"/>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合计</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5</w:t>
            </w:r>
          </w:p>
        </w:tc>
      </w:tr>
    </w:tbl>
    <w:p>
      <w:pPr>
        <w:pageBreakBefore w:val="0"/>
        <w:kinsoku/>
        <w:wordWrap/>
        <w:overflowPunct/>
        <w:topLinePunct w:val="0"/>
        <w:autoSpaceDE/>
        <w:autoSpaceDN/>
        <w:bidi w:val="0"/>
        <w:adjustRightInd/>
        <w:snapToGrid/>
        <w:spacing w:line="560" w:lineRule="exact"/>
        <w:ind w:firstLine="640"/>
        <w:rPr>
          <w:rFonts w:hint="eastAsia" w:ascii="仿宋_GB2312" w:hAnsi="仿宋_GB2312" w:eastAsia="仿宋_GB2312" w:cs="仿宋_GB2312"/>
          <w:sz w:val="32"/>
          <w:szCs w:val="32"/>
          <w:lang w:eastAsia="zh-CN"/>
        </w:rPr>
      </w:pPr>
      <w:r>
        <w:rPr>
          <w:rStyle w:val="54"/>
          <w:rFonts w:hint="eastAsia" w:ascii="仿宋_GB2312" w:hAnsi="仿宋_GB2312" w:eastAsia="仿宋_GB2312" w:cs="仿宋_GB2312"/>
          <w:color w:val="auto"/>
          <w:sz w:val="32"/>
          <w:szCs w:val="32"/>
        </w:rPr>
        <w:t>立项依据充分性、立项程序、绩效目标、绩效指标、预算编制、资金分配合理性。项目决策指标分值5分，实际得分5分</w:t>
      </w:r>
      <w:r>
        <w:rPr>
          <w:rStyle w:val="54"/>
          <w:rFonts w:hint="eastAsia" w:ascii="仿宋_GB2312" w:hAnsi="仿宋_GB2312" w:eastAsia="仿宋_GB2312" w:cs="仿宋_GB2312"/>
          <w:color w:val="auto"/>
          <w:sz w:val="32"/>
          <w:szCs w:val="32"/>
          <w:lang w:eastAsia="zh-CN"/>
        </w:rPr>
        <w:t>。</w:t>
      </w:r>
    </w:p>
    <w:p>
      <w:pPr>
        <w:pStyle w:val="2"/>
        <w:pageBreakBefore w:val="0"/>
        <w:numPr>
          <w:ilvl w:val="0"/>
          <w:numId w:val="4"/>
        </w:numPr>
        <w:kinsoku/>
        <w:wordWrap/>
        <w:overflowPunct/>
        <w:topLinePunct w:val="0"/>
        <w:autoSpaceDE/>
        <w:autoSpaceDN/>
        <w:bidi w:val="0"/>
        <w:adjustRightInd/>
        <w:snapToGrid/>
        <w:spacing w:before="0" w:after="0" w:line="560" w:lineRule="exact"/>
        <w:ind w:firstLine="321" w:firstLineChars="1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项目过程情况</w:t>
      </w:r>
    </w:p>
    <w:p>
      <w:pPr>
        <w:pageBreakBefore w:val="0"/>
        <w:kinsoku/>
        <w:wordWrap/>
        <w:overflowPunct/>
        <w:topLinePunct w:val="0"/>
        <w:autoSpaceDE/>
        <w:autoSpaceDN/>
        <w:bidi w:val="0"/>
        <w:adjustRightInd/>
        <w:snapToGrid/>
        <w:spacing w:line="560" w:lineRule="exact"/>
        <w:ind w:firstLine="640"/>
        <w:rPr>
          <w:rStyle w:val="54"/>
          <w:rFonts w:hint="eastAsia" w:ascii="仿宋_GB2312" w:hAnsi="仿宋_GB2312" w:eastAsia="仿宋_GB2312" w:cs="仿宋_GB2312"/>
          <w:color w:val="auto"/>
          <w:sz w:val="32"/>
          <w:szCs w:val="32"/>
        </w:rPr>
      </w:pPr>
      <w:r>
        <w:rPr>
          <w:rStyle w:val="54"/>
          <w:rFonts w:hint="eastAsia" w:ascii="仿宋_GB2312" w:hAnsi="仿宋_GB2312" w:eastAsia="仿宋_GB2312" w:cs="仿宋_GB2312"/>
          <w:color w:val="auto"/>
          <w:sz w:val="32"/>
          <w:szCs w:val="32"/>
        </w:rPr>
        <w:t>依据评分表中项目过程情况描述项目过程指标从资金到位率、预算执行率、资金使用合规性、管理制度健全性、制度执行5个方面对项目的管理情况进行考察，资金到位率分值1分，实际得分1分，得分率100%，预算执行率分值1分，实际得分0.7分，得分率70%，资金使用合规性分值1分，实际得分1分，得分率100%，管理制度健全性分值1分，实际得分1分，得分率100%，制度执行分值1分，实际得分1分，得分率100%。项目决策指标得分情况如表所示。</w:t>
      </w:r>
    </w:p>
    <w:p>
      <w:pPr>
        <w:pageBreakBefore w:val="0"/>
        <w:kinsoku/>
        <w:wordWrap/>
        <w:overflowPunct/>
        <w:topLinePunct w:val="0"/>
        <w:autoSpaceDE/>
        <w:autoSpaceDN/>
        <w:bidi w:val="0"/>
        <w:adjustRightInd/>
        <w:snapToGrid/>
        <w:spacing w:line="560" w:lineRule="exact"/>
        <w:ind w:firstLine="640"/>
        <w:jc w:val="center"/>
        <w:rPr>
          <w:rStyle w:val="54"/>
          <w:rFonts w:hint="eastAsia" w:ascii="仿宋_GB2312" w:hAnsi="仿宋_GB2312" w:eastAsia="仿宋_GB2312" w:cs="仿宋_GB2312"/>
          <w:b/>
          <w:bCs/>
          <w:color w:val="auto"/>
          <w:sz w:val="32"/>
          <w:szCs w:val="32"/>
        </w:rPr>
      </w:pPr>
      <w:r>
        <w:rPr>
          <w:rStyle w:val="54"/>
          <w:rFonts w:hint="eastAsia" w:ascii="仿宋_GB2312" w:hAnsi="仿宋_GB2312" w:eastAsia="仿宋_GB2312" w:cs="仿宋_GB2312"/>
          <w:b/>
          <w:bCs/>
          <w:color w:val="auto"/>
          <w:sz w:val="32"/>
          <w:szCs w:val="32"/>
        </w:rPr>
        <w:t>项目</w:t>
      </w:r>
      <w:r>
        <w:rPr>
          <w:rStyle w:val="54"/>
          <w:rFonts w:hint="eastAsia" w:ascii="仿宋_GB2312" w:hAnsi="仿宋_GB2312" w:eastAsia="仿宋_GB2312" w:cs="仿宋_GB2312"/>
          <w:b/>
          <w:bCs/>
          <w:color w:val="auto"/>
          <w:sz w:val="32"/>
          <w:szCs w:val="32"/>
          <w:lang w:eastAsia="zh-CN"/>
        </w:rPr>
        <w:t>过程</w:t>
      </w:r>
      <w:r>
        <w:rPr>
          <w:rStyle w:val="54"/>
          <w:rFonts w:hint="eastAsia" w:ascii="仿宋_GB2312" w:hAnsi="仿宋_GB2312" w:eastAsia="仿宋_GB2312" w:cs="仿宋_GB2312"/>
          <w:b/>
          <w:bCs/>
          <w:color w:val="auto"/>
          <w:sz w:val="32"/>
          <w:szCs w:val="32"/>
        </w:rPr>
        <w:t>指标得分情况</w:t>
      </w:r>
    </w:p>
    <w:tbl>
      <w:tblPr>
        <w:tblStyle w:val="22"/>
        <w:tblW w:w="8567" w:type="dxa"/>
        <w:tblInd w:w="0" w:type="dxa"/>
        <w:tblLayout w:type="fixed"/>
        <w:tblCellMar>
          <w:top w:w="0" w:type="dxa"/>
          <w:left w:w="0" w:type="dxa"/>
          <w:bottom w:w="0" w:type="dxa"/>
          <w:right w:w="0" w:type="dxa"/>
        </w:tblCellMar>
      </w:tblPr>
      <w:tblGrid>
        <w:gridCol w:w="2424"/>
        <w:gridCol w:w="2016"/>
        <w:gridCol w:w="2016"/>
        <w:gridCol w:w="2111"/>
      </w:tblGrid>
      <w:tr>
        <w:tblPrEx>
          <w:tblCellMar>
            <w:top w:w="0" w:type="dxa"/>
            <w:left w:w="0" w:type="dxa"/>
            <w:bottom w:w="0" w:type="dxa"/>
            <w:right w:w="0" w:type="dxa"/>
          </w:tblCellMar>
        </w:tblPrEx>
        <w:trPr>
          <w:trHeight w:val="450"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3" w:firstLineChars="200"/>
              <w:jc w:val="center"/>
              <w:textAlignment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三级指标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3" w:firstLineChars="200"/>
              <w:jc w:val="left"/>
              <w:textAlignment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权重</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3" w:firstLineChars="200"/>
              <w:jc w:val="left"/>
              <w:textAlignment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得分率</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3" w:firstLineChars="200"/>
              <w:jc w:val="left"/>
              <w:textAlignment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实际得分</w:t>
            </w:r>
          </w:p>
        </w:tc>
      </w:tr>
      <w:tr>
        <w:tblPrEx>
          <w:tblCellMar>
            <w:top w:w="0" w:type="dxa"/>
            <w:left w:w="0" w:type="dxa"/>
            <w:bottom w:w="0" w:type="dxa"/>
            <w:right w:w="0" w:type="dxa"/>
          </w:tblCellMar>
        </w:tblPrEx>
        <w:trPr>
          <w:trHeight w:val="31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资金到位率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w:t>
            </w:r>
          </w:p>
        </w:tc>
      </w:tr>
      <w:tr>
        <w:tblPrEx>
          <w:tblCellMar>
            <w:top w:w="0" w:type="dxa"/>
            <w:left w:w="0" w:type="dxa"/>
            <w:bottom w:w="0" w:type="dxa"/>
            <w:right w:w="0" w:type="dxa"/>
          </w:tblCellMar>
        </w:tblPrEx>
        <w:trPr>
          <w:trHeight w:val="615"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预算执行率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70%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0.7</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资金使用合规性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管理制度健全性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制度执行</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合计</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94%</w:t>
            </w:r>
          </w:p>
        </w:tc>
        <w:tc>
          <w:tcPr>
            <w:tcW w:w="211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4.7</w:t>
            </w:r>
          </w:p>
        </w:tc>
      </w:tr>
    </w:tbl>
    <w:p>
      <w:pPr>
        <w:pageBreakBefore w:val="0"/>
        <w:kinsoku/>
        <w:wordWrap/>
        <w:overflowPunct/>
        <w:topLinePunct w:val="0"/>
        <w:autoSpaceDE/>
        <w:autoSpaceDN/>
        <w:bidi w:val="0"/>
        <w:adjustRightInd/>
        <w:snapToGrid/>
        <w:spacing w:line="560" w:lineRule="exact"/>
        <w:ind w:firstLine="640"/>
        <w:rPr>
          <w:rStyle w:val="54"/>
          <w:rFonts w:hint="eastAsia" w:ascii="仿宋_GB2312" w:hAnsi="仿宋_GB2312" w:eastAsia="仿宋_GB2312" w:cs="仿宋_GB2312"/>
          <w:color w:val="auto"/>
          <w:sz w:val="32"/>
          <w:szCs w:val="32"/>
        </w:rPr>
      </w:pPr>
      <w:r>
        <w:rPr>
          <w:rStyle w:val="54"/>
          <w:rFonts w:hint="eastAsia" w:ascii="仿宋_GB2312" w:hAnsi="仿宋_GB2312" w:eastAsia="仿宋_GB2312" w:cs="仿宋_GB2312"/>
          <w:color w:val="auto"/>
          <w:sz w:val="32"/>
          <w:szCs w:val="32"/>
        </w:rPr>
        <w:t>对于“过程指标”，</w:t>
      </w:r>
      <w:r>
        <w:rPr>
          <w:rFonts w:hint="eastAsia" w:ascii="仿宋_GB2312" w:hAnsi="仿宋_GB2312" w:eastAsia="仿宋_GB2312" w:cs="仿宋_GB2312"/>
          <w:color w:val="000000"/>
          <w:spacing w:val="17"/>
          <w:sz w:val="32"/>
          <w:szCs w:val="32"/>
          <w:lang w:eastAsia="zh-CN"/>
        </w:rPr>
        <w:t>“地区体育馆室外游泳池及配套设施建设项目”</w:t>
      </w:r>
      <w:r>
        <w:rPr>
          <w:rStyle w:val="54"/>
          <w:rFonts w:hint="eastAsia" w:ascii="仿宋_GB2312" w:hAnsi="仿宋_GB2312" w:eastAsia="仿宋_GB2312" w:cs="仿宋_GB2312"/>
          <w:color w:val="auto"/>
          <w:sz w:val="32"/>
          <w:szCs w:val="32"/>
        </w:rPr>
        <w:t>项目经费执行符合业务管理的规定；项目管理、实施人员均落实到位，能按照方案和计划执行；项目无调整，资料齐全；资金使用依据合格，无虚列套取项目支出，无超标准开支，由于项目资金支付未完成，预算执行率降低，按评分标准，该指标实际得分率94%。</w:t>
      </w:r>
    </w:p>
    <w:p>
      <w:pPr>
        <w:pStyle w:val="20"/>
        <w:pageBreakBefore w:val="0"/>
        <w:numPr>
          <w:ilvl w:val="0"/>
          <w:numId w:val="4"/>
        </w:numPr>
        <w:kinsoku/>
        <w:wordWrap/>
        <w:overflowPunct/>
        <w:topLinePunct w:val="0"/>
        <w:autoSpaceDE/>
        <w:autoSpaceDN/>
        <w:bidi w:val="0"/>
        <w:adjustRightInd/>
        <w:snapToGrid/>
        <w:spacing w:after="0" w:line="560" w:lineRule="exact"/>
        <w:ind w:firstLine="321" w:firstLineChars="100"/>
        <w:rPr>
          <w:rFonts w:hint="eastAsia" w:ascii="仿宋_GB2312" w:hAnsi="仿宋_GB2312" w:eastAsia="仿宋_GB2312" w:cs="仿宋_GB2312"/>
          <w:b/>
          <w:bCs/>
          <w:kern w:val="28"/>
          <w:sz w:val="32"/>
          <w:szCs w:val="32"/>
        </w:rPr>
      </w:pPr>
      <w:r>
        <w:rPr>
          <w:rFonts w:hint="eastAsia" w:ascii="仿宋_GB2312" w:hAnsi="仿宋_GB2312" w:eastAsia="仿宋_GB2312" w:cs="仿宋_GB2312"/>
          <w:b/>
          <w:bCs/>
          <w:kern w:val="28"/>
          <w:sz w:val="32"/>
          <w:szCs w:val="32"/>
        </w:rPr>
        <w:t>项目产出</w:t>
      </w:r>
    </w:p>
    <w:p>
      <w:pPr>
        <w:pageBreakBefore w:val="0"/>
        <w:kinsoku/>
        <w:wordWrap/>
        <w:overflowPunct/>
        <w:topLinePunct w:val="0"/>
        <w:autoSpaceDE/>
        <w:autoSpaceDN/>
        <w:bidi w:val="0"/>
        <w:adjustRightInd/>
        <w:snapToGrid/>
        <w:spacing w:line="560" w:lineRule="exact"/>
        <w:ind w:firstLine="640"/>
        <w:rPr>
          <w:rStyle w:val="54"/>
          <w:rFonts w:hint="eastAsia" w:ascii="仿宋_GB2312" w:hAnsi="仿宋_GB2312" w:eastAsia="仿宋_GB2312" w:cs="仿宋_GB2312"/>
          <w:color w:val="auto"/>
          <w:sz w:val="32"/>
          <w:szCs w:val="32"/>
        </w:rPr>
      </w:pPr>
      <w:r>
        <w:rPr>
          <w:rStyle w:val="54"/>
          <w:rFonts w:hint="eastAsia" w:ascii="仿宋_GB2312" w:hAnsi="仿宋_GB2312" w:eastAsia="仿宋_GB2312" w:cs="仿宋_GB2312"/>
          <w:color w:val="auto"/>
          <w:sz w:val="32"/>
          <w:szCs w:val="32"/>
        </w:rPr>
        <w:t>数量指标方面：</w:t>
      </w:r>
    </w:p>
    <w:tbl>
      <w:tblPr>
        <w:tblStyle w:val="22"/>
        <w:tblW w:w="87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8"/>
        <w:gridCol w:w="2042"/>
        <w:gridCol w:w="2041"/>
        <w:gridCol w:w="2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3" w:firstLineChars="200"/>
              <w:jc w:val="both"/>
              <w:textAlignment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三级指标</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3" w:firstLineChars="200"/>
              <w:jc w:val="left"/>
              <w:textAlignment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权重</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3" w:firstLineChars="200"/>
              <w:jc w:val="left"/>
              <w:textAlignment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得分率</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3" w:firstLineChars="200"/>
              <w:jc w:val="left"/>
              <w:textAlignment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实际得分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产出数量</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15</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lang w:val="en-US" w:eastAsia="zh-CN"/>
              </w:rPr>
              <w:t>6.7</w:t>
            </w:r>
            <w:r>
              <w:rPr>
                <w:rFonts w:hint="eastAsia" w:ascii="仿宋_GB2312" w:hAnsi="仿宋_GB2312" w:eastAsia="仿宋_GB2312" w:cs="仿宋_GB2312"/>
                <w:color w:val="000000"/>
                <w:kern w:val="0"/>
                <w:sz w:val="32"/>
                <w:szCs w:val="32"/>
              </w:rPr>
              <w:t>%</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产出质量</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产出时效</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15</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成本情况</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77.4</w:t>
            </w:r>
            <w:r>
              <w:rPr>
                <w:rFonts w:hint="eastAsia" w:ascii="仿宋_GB2312" w:hAnsi="仿宋_GB2312" w:eastAsia="仿宋_GB2312" w:cs="仿宋_GB2312"/>
                <w:color w:val="000000"/>
                <w:kern w:val="0"/>
                <w:sz w:val="32"/>
                <w:szCs w:val="32"/>
              </w:rPr>
              <w:t>%</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7.74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合计</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50</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both"/>
              <w:rPr>
                <w:rFonts w:hint="default" w:ascii="仿宋_GB2312" w:hAnsi="仿宋_GB2312" w:eastAsia="仿宋_GB2312" w:cs="仿宋_GB2312"/>
                <w:color w:val="0000FF"/>
                <w:kern w:val="0"/>
                <w:sz w:val="32"/>
                <w:szCs w:val="32"/>
                <w:lang w:val="en-US" w:eastAsia="zh-CN"/>
              </w:rPr>
            </w:pPr>
            <w:r>
              <w:rPr>
                <w:rFonts w:hint="eastAsia" w:ascii="仿宋_GB2312" w:hAnsi="仿宋_GB2312" w:eastAsia="仿宋_GB2312" w:cs="仿宋_GB2312"/>
                <w:color w:val="auto"/>
                <w:kern w:val="0"/>
                <w:sz w:val="32"/>
                <w:szCs w:val="32"/>
                <w:lang w:val="en-US" w:eastAsia="zh-CN"/>
              </w:rPr>
              <w:t>70.48%</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FF"/>
                <w:kern w:val="0"/>
                <w:sz w:val="32"/>
                <w:szCs w:val="32"/>
                <w:lang w:val="en-US" w:eastAsia="zh-CN"/>
              </w:rPr>
            </w:pPr>
            <w:r>
              <w:rPr>
                <w:rFonts w:hint="eastAsia" w:ascii="仿宋_GB2312" w:hAnsi="仿宋_GB2312" w:eastAsia="仿宋_GB2312" w:cs="仿宋_GB2312"/>
                <w:color w:val="000000"/>
                <w:kern w:val="0"/>
                <w:sz w:val="32"/>
                <w:szCs w:val="32"/>
                <w:lang w:val="en-US" w:eastAsia="zh-CN"/>
              </w:rPr>
              <w:t>35.24</w:t>
            </w:r>
          </w:p>
        </w:tc>
      </w:tr>
    </w:tbl>
    <w:p>
      <w:pPr>
        <w:pStyle w:val="2"/>
        <w:pageBreakBefore w:val="0"/>
        <w:kinsoku/>
        <w:wordWrap/>
        <w:overflowPunct/>
        <w:topLinePunct w:val="0"/>
        <w:autoSpaceDE/>
        <w:autoSpaceDN/>
        <w:bidi w:val="0"/>
        <w:adjustRightInd/>
        <w:snapToGrid/>
        <w:spacing w:before="0" w:after="0" w:line="560" w:lineRule="exact"/>
        <w:ind w:firstLine="643" w:firstLineChars="200"/>
        <w:jc w:val="both"/>
        <w:rPr>
          <w:rStyle w:val="54"/>
          <w:rFonts w:hint="eastAsia" w:ascii="仿宋_GB2312" w:hAnsi="仿宋_GB2312" w:eastAsia="仿宋_GB2312" w:cs="仿宋_GB2312"/>
          <w:b w:val="0"/>
          <w:bCs w:val="0"/>
          <w:color w:val="auto"/>
          <w:kern w:val="2"/>
          <w:sz w:val="32"/>
          <w:szCs w:val="32"/>
        </w:rPr>
      </w:pPr>
      <w:r>
        <w:rPr>
          <w:rStyle w:val="54"/>
          <w:rFonts w:hint="eastAsia" w:ascii="仿宋_GB2312" w:hAnsi="仿宋_GB2312" w:eastAsia="仿宋_GB2312" w:cs="仿宋_GB2312"/>
          <w:b/>
          <w:bCs/>
          <w:color w:val="auto"/>
          <w:kern w:val="2"/>
          <w:sz w:val="32"/>
          <w:szCs w:val="32"/>
        </w:rPr>
        <w:t>数量指标方面：</w:t>
      </w:r>
      <w:r>
        <w:rPr>
          <w:rStyle w:val="54"/>
          <w:rFonts w:hint="eastAsia" w:ascii="仿宋_GB2312" w:hAnsi="仿宋_GB2312" w:eastAsia="仿宋_GB2312" w:cs="仿宋_GB2312"/>
          <w:b w:val="0"/>
          <w:bCs w:val="0"/>
          <w:color w:val="auto"/>
          <w:kern w:val="2"/>
          <w:sz w:val="32"/>
          <w:szCs w:val="32"/>
        </w:rPr>
        <w:t>运动员使用场馆人次</w:t>
      </w:r>
      <w:r>
        <w:rPr>
          <w:rStyle w:val="54"/>
          <w:rFonts w:hint="eastAsia" w:ascii="仿宋_GB2312" w:hAnsi="仿宋_GB2312" w:eastAsia="仿宋_GB2312" w:cs="仿宋_GB2312"/>
          <w:b w:val="0"/>
          <w:bCs w:val="0"/>
          <w:color w:val="auto"/>
          <w:kern w:val="2"/>
          <w:sz w:val="32"/>
          <w:szCs w:val="32"/>
          <w:lang w:eastAsia="zh-CN"/>
        </w:rPr>
        <w:t>，年度目标值≥3万人次，实际完成值0.5万人/次，</w:t>
      </w:r>
      <w:r>
        <w:rPr>
          <w:rStyle w:val="54"/>
          <w:rFonts w:hint="eastAsia" w:ascii="仿宋_GB2312" w:hAnsi="仿宋_GB2312" w:eastAsia="仿宋_GB2312" w:cs="仿宋_GB2312"/>
          <w:b w:val="0"/>
          <w:bCs w:val="0"/>
          <w:color w:val="auto"/>
          <w:kern w:val="2"/>
          <w:sz w:val="32"/>
          <w:szCs w:val="32"/>
        </w:rPr>
        <w:t>没有达到预期目标，根据评分标准，该指标得分率</w:t>
      </w:r>
      <w:r>
        <w:rPr>
          <w:rStyle w:val="54"/>
          <w:rFonts w:hint="eastAsia" w:ascii="仿宋_GB2312" w:hAnsi="仿宋_GB2312" w:eastAsia="仿宋_GB2312" w:cs="仿宋_GB2312"/>
          <w:b w:val="0"/>
          <w:bCs w:val="0"/>
          <w:color w:val="auto"/>
          <w:kern w:val="2"/>
          <w:sz w:val="32"/>
          <w:szCs w:val="32"/>
          <w:lang w:val="en-US" w:eastAsia="zh-CN"/>
        </w:rPr>
        <w:t>16.7</w:t>
      </w:r>
      <w:r>
        <w:rPr>
          <w:rStyle w:val="54"/>
          <w:rFonts w:hint="eastAsia" w:ascii="仿宋_GB2312" w:hAnsi="仿宋_GB2312" w:eastAsia="仿宋_GB2312" w:cs="仿宋_GB2312"/>
          <w:b w:val="0"/>
          <w:bCs w:val="0"/>
          <w:color w:val="auto"/>
          <w:kern w:val="2"/>
          <w:sz w:val="32"/>
          <w:szCs w:val="32"/>
        </w:rPr>
        <w:t>%。</w:t>
      </w:r>
    </w:p>
    <w:p>
      <w:pPr>
        <w:pStyle w:val="2"/>
        <w:pageBreakBefore w:val="0"/>
        <w:kinsoku/>
        <w:wordWrap/>
        <w:overflowPunct/>
        <w:topLinePunct w:val="0"/>
        <w:autoSpaceDE/>
        <w:autoSpaceDN/>
        <w:bidi w:val="0"/>
        <w:adjustRightInd/>
        <w:snapToGrid/>
        <w:spacing w:before="0" w:after="0" w:line="560" w:lineRule="exact"/>
        <w:ind w:firstLine="643" w:firstLineChars="200"/>
        <w:jc w:val="both"/>
        <w:rPr>
          <w:rStyle w:val="54"/>
          <w:rFonts w:hint="eastAsia" w:ascii="仿宋_GB2312" w:hAnsi="仿宋_GB2312" w:eastAsia="仿宋_GB2312" w:cs="仿宋_GB2312"/>
          <w:b/>
          <w:bCs/>
          <w:color w:val="auto"/>
          <w:kern w:val="2"/>
          <w:sz w:val="32"/>
          <w:szCs w:val="32"/>
        </w:rPr>
      </w:pPr>
      <w:r>
        <w:rPr>
          <w:rStyle w:val="54"/>
          <w:rFonts w:hint="eastAsia" w:ascii="仿宋_GB2312" w:hAnsi="仿宋_GB2312" w:eastAsia="仿宋_GB2312" w:cs="仿宋_GB2312"/>
          <w:b/>
          <w:bCs/>
          <w:color w:val="auto"/>
          <w:kern w:val="2"/>
          <w:sz w:val="32"/>
          <w:szCs w:val="32"/>
        </w:rPr>
        <w:t>质量指标方面：</w:t>
      </w:r>
    </w:p>
    <w:p>
      <w:pPr>
        <w:pStyle w:val="2"/>
        <w:pageBreakBefore w:val="0"/>
        <w:kinsoku/>
        <w:wordWrap/>
        <w:overflowPunct/>
        <w:topLinePunct w:val="0"/>
        <w:autoSpaceDE/>
        <w:autoSpaceDN/>
        <w:bidi w:val="0"/>
        <w:adjustRightInd/>
        <w:snapToGrid/>
        <w:spacing w:before="0" w:after="0" w:line="560" w:lineRule="exact"/>
        <w:ind w:firstLine="640" w:firstLineChars="200"/>
        <w:jc w:val="both"/>
        <w:rPr>
          <w:rStyle w:val="54"/>
          <w:rFonts w:hint="eastAsia" w:ascii="仿宋_GB2312" w:hAnsi="仿宋_GB2312" w:eastAsia="仿宋_GB2312" w:cs="仿宋_GB2312"/>
          <w:b w:val="0"/>
          <w:bCs w:val="0"/>
          <w:color w:val="auto"/>
          <w:kern w:val="2"/>
          <w:sz w:val="32"/>
          <w:szCs w:val="32"/>
        </w:rPr>
      </w:pPr>
      <w:r>
        <w:rPr>
          <w:rStyle w:val="54"/>
          <w:rFonts w:hint="eastAsia" w:ascii="仿宋_GB2312" w:hAnsi="仿宋_GB2312" w:eastAsia="仿宋_GB2312" w:cs="仿宋_GB2312"/>
          <w:b w:val="0"/>
          <w:bCs w:val="0"/>
          <w:color w:val="auto"/>
          <w:kern w:val="2"/>
          <w:sz w:val="32"/>
          <w:szCs w:val="32"/>
        </w:rPr>
        <w:t>对于“质量指标”，根据方案规定的体育基础设施建设工程验收合格利用率100%，达到预期目标。根据评分标准，该指标得分率</w:t>
      </w:r>
      <w:r>
        <w:rPr>
          <w:rStyle w:val="54"/>
          <w:rFonts w:hint="eastAsia" w:ascii="仿宋_GB2312" w:hAnsi="仿宋_GB2312" w:eastAsia="仿宋_GB2312" w:cs="仿宋_GB2312"/>
          <w:b w:val="0"/>
          <w:bCs w:val="0"/>
          <w:color w:val="auto"/>
          <w:kern w:val="2"/>
          <w:sz w:val="32"/>
          <w:szCs w:val="32"/>
          <w:lang w:val="en-US" w:eastAsia="zh-CN"/>
        </w:rPr>
        <w:t>100%</w:t>
      </w:r>
      <w:r>
        <w:rPr>
          <w:rStyle w:val="54"/>
          <w:rFonts w:hint="eastAsia" w:ascii="仿宋_GB2312" w:hAnsi="仿宋_GB2312" w:eastAsia="仿宋_GB2312" w:cs="仿宋_GB2312"/>
          <w:b w:val="0"/>
          <w:bCs w:val="0"/>
          <w:color w:val="auto"/>
          <w:kern w:val="2"/>
          <w:sz w:val="32"/>
          <w:szCs w:val="32"/>
        </w:rPr>
        <w:t>。</w:t>
      </w:r>
    </w:p>
    <w:p>
      <w:pPr>
        <w:pStyle w:val="2"/>
        <w:pageBreakBefore w:val="0"/>
        <w:kinsoku/>
        <w:wordWrap/>
        <w:overflowPunct/>
        <w:topLinePunct w:val="0"/>
        <w:autoSpaceDE/>
        <w:autoSpaceDN/>
        <w:bidi w:val="0"/>
        <w:adjustRightInd/>
        <w:snapToGrid/>
        <w:spacing w:before="0" w:after="0" w:line="560" w:lineRule="exact"/>
        <w:ind w:firstLine="643" w:firstLineChars="200"/>
        <w:jc w:val="both"/>
        <w:rPr>
          <w:rStyle w:val="54"/>
          <w:rFonts w:hint="eastAsia" w:ascii="仿宋_GB2312" w:hAnsi="仿宋_GB2312" w:eastAsia="仿宋_GB2312" w:cs="仿宋_GB2312"/>
          <w:b w:val="0"/>
          <w:bCs w:val="0"/>
          <w:color w:val="auto"/>
          <w:kern w:val="2"/>
          <w:sz w:val="32"/>
          <w:szCs w:val="32"/>
        </w:rPr>
      </w:pPr>
      <w:r>
        <w:rPr>
          <w:rStyle w:val="54"/>
          <w:rFonts w:hint="eastAsia" w:ascii="仿宋_GB2312" w:hAnsi="仿宋_GB2312" w:eastAsia="仿宋_GB2312" w:cs="仿宋_GB2312"/>
          <w:b/>
          <w:bCs/>
          <w:color w:val="auto"/>
          <w:kern w:val="2"/>
          <w:sz w:val="32"/>
          <w:szCs w:val="32"/>
          <w:lang w:eastAsia="zh-CN"/>
        </w:rPr>
        <w:t>时效</w:t>
      </w:r>
      <w:r>
        <w:rPr>
          <w:rStyle w:val="54"/>
          <w:rFonts w:hint="eastAsia" w:ascii="仿宋_GB2312" w:hAnsi="仿宋_GB2312" w:eastAsia="仿宋_GB2312" w:cs="仿宋_GB2312"/>
          <w:b/>
          <w:bCs/>
          <w:color w:val="auto"/>
          <w:kern w:val="2"/>
          <w:sz w:val="32"/>
          <w:szCs w:val="32"/>
        </w:rPr>
        <w:t>指标方面：</w:t>
      </w:r>
      <w:r>
        <w:rPr>
          <w:rStyle w:val="54"/>
          <w:rFonts w:hint="eastAsia" w:ascii="仿宋_GB2312" w:hAnsi="仿宋_GB2312" w:eastAsia="仿宋_GB2312" w:cs="仿宋_GB2312"/>
          <w:b w:val="0"/>
          <w:bCs w:val="0"/>
          <w:color w:val="auto"/>
          <w:kern w:val="2"/>
          <w:sz w:val="32"/>
          <w:szCs w:val="32"/>
        </w:rPr>
        <w:t>工程项目完成执行期限</w:t>
      </w:r>
      <w:r>
        <w:rPr>
          <w:rStyle w:val="54"/>
          <w:rFonts w:hint="eastAsia" w:ascii="仿宋_GB2312" w:hAnsi="仿宋_GB2312" w:eastAsia="仿宋_GB2312" w:cs="仿宋_GB2312"/>
          <w:b/>
          <w:bCs/>
          <w:color w:val="auto"/>
          <w:kern w:val="2"/>
          <w:sz w:val="32"/>
          <w:szCs w:val="32"/>
          <w:lang w:eastAsia="zh-CN"/>
        </w:rPr>
        <w:t>，</w:t>
      </w:r>
      <w:r>
        <w:rPr>
          <w:rStyle w:val="54"/>
          <w:rFonts w:hint="eastAsia" w:ascii="仿宋_GB2312" w:hAnsi="仿宋_GB2312" w:eastAsia="仿宋_GB2312" w:cs="仿宋_GB2312"/>
          <w:b w:val="0"/>
          <w:bCs w:val="0"/>
          <w:color w:val="auto"/>
          <w:kern w:val="2"/>
          <w:sz w:val="32"/>
          <w:szCs w:val="32"/>
          <w:lang w:eastAsia="zh-CN"/>
        </w:rPr>
        <w:t>年度目标值</w:t>
      </w:r>
      <w:r>
        <w:rPr>
          <w:rStyle w:val="54"/>
          <w:rFonts w:hint="eastAsia" w:ascii="仿宋_GB2312" w:hAnsi="仿宋_GB2312" w:eastAsia="仿宋_GB2312" w:cs="仿宋_GB2312"/>
          <w:b w:val="0"/>
          <w:bCs w:val="0"/>
          <w:color w:val="auto"/>
          <w:kern w:val="2"/>
          <w:sz w:val="32"/>
          <w:szCs w:val="32"/>
          <w:lang w:val="en-US" w:eastAsia="zh-CN"/>
        </w:rPr>
        <w:t>2年，实际完成值2年，</w:t>
      </w:r>
      <w:r>
        <w:rPr>
          <w:rStyle w:val="54"/>
          <w:rFonts w:hint="eastAsia" w:ascii="仿宋_GB2312" w:hAnsi="仿宋_GB2312" w:eastAsia="仿宋_GB2312" w:cs="仿宋_GB2312"/>
          <w:b w:val="0"/>
          <w:bCs w:val="0"/>
          <w:color w:val="auto"/>
          <w:kern w:val="2"/>
          <w:sz w:val="32"/>
          <w:szCs w:val="32"/>
        </w:rPr>
        <w:t>根据评分标准，该指标得分率</w:t>
      </w:r>
      <w:r>
        <w:rPr>
          <w:rStyle w:val="54"/>
          <w:rFonts w:hint="eastAsia" w:ascii="仿宋_GB2312" w:hAnsi="仿宋_GB2312" w:eastAsia="仿宋_GB2312" w:cs="仿宋_GB2312"/>
          <w:b w:val="0"/>
          <w:bCs w:val="0"/>
          <w:color w:val="auto"/>
          <w:kern w:val="2"/>
          <w:sz w:val="32"/>
          <w:szCs w:val="32"/>
          <w:lang w:val="en-US" w:eastAsia="zh-CN"/>
        </w:rPr>
        <w:t>100</w:t>
      </w:r>
      <w:r>
        <w:rPr>
          <w:rStyle w:val="54"/>
          <w:rFonts w:hint="eastAsia" w:ascii="仿宋_GB2312" w:hAnsi="仿宋_GB2312" w:eastAsia="仿宋_GB2312" w:cs="仿宋_GB2312"/>
          <w:b w:val="0"/>
          <w:bCs w:val="0"/>
          <w:color w:val="auto"/>
          <w:kern w:val="2"/>
          <w:sz w:val="32"/>
          <w:szCs w:val="32"/>
        </w:rPr>
        <w:t>%。</w:t>
      </w:r>
    </w:p>
    <w:p>
      <w:pPr>
        <w:pStyle w:val="2"/>
        <w:pageBreakBefore w:val="0"/>
        <w:kinsoku/>
        <w:wordWrap/>
        <w:overflowPunct/>
        <w:topLinePunct w:val="0"/>
        <w:autoSpaceDE/>
        <w:autoSpaceDN/>
        <w:bidi w:val="0"/>
        <w:adjustRightInd/>
        <w:snapToGrid/>
        <w:spacing w:before="0" w:after="0" w:line="560" w:lineRule="exact"/>
        <w:ind w:firstLine="643" w:firstLineChars="200"/>
        <w:jc w:val="both"/>
        <w:rPr>
          <w:rStyle w:val="54"/>
          <w:rFonts w:hint="eastAsia" w:ascii="仿宋_GB2312" w:hAnsi="仿宋_GB2312" w:eastAsia="仿宋_GB2312" w:cs="仿宋_GB2312"/>
          <w:b/>
          <w:bCs/>
          <w:color w:val="auto"/>
          <w:kern w:val="2"/>
          <w:sz w:val="32"/>
          <w:szCs w:val="32"/>
        </w:rPr>
      </w:pPr>
      <w:r>
        <w:rPr>
          <w:rStyle w:val="54"/>
          <w:rFonts w:hint="eastAsia" w:ascii="仿宋_GB2312" w:hAnsi="仿宋_GB2312" w:eastAsia="仿宋_GB2312" w:cs="仿宋_GB2312"/>
          <w:b/>
          <w:bCs/>
          <w:color w:val="auto"/>
          <w:kern w:val="2"/>
          <w:sz w:val="32"/>
          <w:szCs w:val="32"/>
        </w:rPr>
        <w:t>成本指标方面：</w:t>
      </w:r>
    </w:p>
    <w:p>
      <w:pPr>
        <w:pageBreakBefore w:val="0"/>
        <w:kinsoku/>
        <w:wordWrap/>
        <w:overflowPunct/>
        <w:topLinePunct w:val="0"/>
        <w:autoSpaceDE/>
        <w:autoSpaceDN/>
        <w:bidi w:val="0"/>
        <w:adjustRightInd/>
        <w:snapToGrid/>
        <w:spacing w:line="560" w:lineRule="exact"/>
        <w:ind w:firstLine="320" w:firstLineChars="100"/>
        <w:rPr>
          <w:rStyle w:val="54"/>
          <w:rFonts w:hint="eastAsia" w:ascii="仿宋_GB2312" w:hAnsi="仿宋_GB2312" w:eastAsia="仿宋_GB2312" w:cs="仿宋_GB2312"/>
          <w:color w:val="auto"/>
          <w:sz w:val="32"/>
          <w:szCs w:val="32"/>
        </w:rPr>
      </w:pPr>
      <w:r>
        <w:rPr>
          <w:rStyle w:val="54"/>
          <w:rFonts w:hint="eastAsia" w:ascii="仿宋_GB2312" w:hAnsi="仿宋_GB2312" w:eastAsia="仿宋_GB2312" w:cs="仿宋_GB2312"/>
          <w:color w:val="auto"/>
          <w:sz w:val="32"/>
          <w:szCs w:val="32"/>
        </w:rPr>
        <w:t>对于“成本指标”工程项目费用支出，</w:t>
      </w:r>
      <w:r>
        <w:rPr>
          <w:rStyle w:val="54"/>
          <w:rFonts w:hint="eastAsia" w:ascii="仿宋_GB2312" w:hAnsi="仿宋_GB2312" w:eastAsia="仿宋_GB2312" w:cs="仿宋_GB2312"/>
          <w:b w:val="0"/>
          <w:bCs w:val="0"/>
          <w:color w:val="auto"/>
          <w:kern w:val="2"/>
          <w:sz w:val="32"/>
          <w:szCs w:val="32"/>
          <w:lang w:eastAsia="zh-CN"/>
        </w:rPr>
        <w:t>年度目标值</w:t>
      </w:r>
      <w:r>
        <w:rPr>
          <w:rStyle w:val="54"/>
          <w:rFonts w:hint="eastAsia" w:ascii="仿宋_GB2312" w:hAnsi="仿宋_GB2312" w:eastAsia="仿宋_GB2312" w:cs="仿宋_GB2312"/>
          <w:color w:val="auto"/>
          <w:sz w:val="32"/>
          <w:szCs w:val="32"/>
          <w:lang w:val="en-US" w:eastAsia="zh-CN"/>
        </w:rPr>
        <w:t>92.04万元，</w:t>
      </w:r>
      <w:r>
        <w:rPr>
          <w:rStyle w:val="54"/>
          <w:rFonts w:hint="eastAsia" w:ascii="仿宋_GB2312" w:hAnsi="仿宋_GB2312" w:eastAsia="仿宋_GB2312" w:cs="仿宋_GB2312"/>
          <w:color w:val="auto"/>
          <w:sz w:val="32"/>
          <w:szCs w:val="32"/>
          <w:lang w:eastAsia="zh-CN"/>
        </w:rPr>
        <w:t>实际完成值</w:t>
      </w:r>
      <w:r>
        <w:rPr>
          <w:rStyle w:val="54"/>
          <w:rFonts w:hint="eastAsia" w:ascii="仿宋_GB2312" w:hAnsi="仿宋_GB2312" w:eastAsia="仿宋_GB2312" w:cs="仿宋_GB2312"/>
          <w:color w:val="auto"/>
          <w:sz w:val="32"/>
          <w:szCs w:val="32"/>
        </w:rPr>
        <w:t>7</w:t>
      </w:r>
      <w:r>
        <w:rPr>
          <w:rStyle w:val="54"/>
          <w:rFonts w:hint="eastAsia" w:ascii="仿宋_GB2312" w:hAnsi="仿宋_GB2312" w:eastAsia="仿宋_GB2312" w:cs="仿宋_GB2312"/>
          <w:color w:val="auto"/>
          <w:sz w:val="32"/>
          <w:szCs w:val="32"/>
          <w:lang w:val="en-US" w:eastAsia="zh-CN"/>
        </w:rPr>
        <w:t>1.22</w:t>
      </w:r>
      <w:r>
        <w:rPr>
          <w:rStyle w:val="54"/>
          <w:rFonts w:hint="eastAsia" w:ascii="仿宋_GB2312" w:hAnsi="仿宋_GB2312" w:eastAsia="仿宋_GB2312" w:cs="仿宋_GB2312"/>
          <w:color w:val="auto"/>
          <w:sz w:val="32"/>
          <w:szCs w:val="32"/>
        </w:rPr>
        <w:t>万元，预算执行率7</w:t>
      </w:r>
      <w:r>
        <w:rPr>
          <w:rStyle w:val="54"/>
          <w:rFonts w:hint="eastAsia" w:ascii="仿宋_GB2312" w:hAnsi="仿宋_GB2312" w:eastAsia="仿宋_GB2312" w:cs="仿宋_GB2312"/>
          <w:color w:val="auto"/>
          <w:sz w:val="32"/>
          <w:szCs w:val="32"/>
          <w:lang w:val="en-US" w:eastAsia="zh-CN"/>
        </w:rPr>
        <w:t>7.38</w:t>
      </w:r>
      <w:r>
        <w:rPr>
          <w:rStyle w:val="54"/>
          <w:rFonts w:hint="eastAsia" w:ascii="仿宋_GB2312" w:hAnsi="仿宋_GB2312" w:eastAsia="仿宋_GB2312" w:cs="仿宋_GB2312"/>
          <w:color w:val="auto"/>
          <w:sz w:val="32"/>
          <w:szCs w:val="32"/>
        </w:rPr>
        <w:t>%。根据评分标准，该指标得分率</w:t>
      </w:r>
      <w:r>
        <w:rPr>
          <w:rStyle w:val="54"/>
          <w:rFonts w:hint="eastAsia" w:ascii="仿宋_GB2312" w:hAnsi="仿宋_GB2312" w:eastAsia="仿宋_GB2312" w:cs="仿宋_GB2312"/>
          <w:color w:val="auto"/>
          <w:sz w:val="32"/>
          <w:szCs w:val="32"/>
          <w:lang w:val="en-US" w:eastAsia="zh-CN"/>
        </w:rPr>
        <w:t>77.4</w:t>
      </w:r>
      <w:r>
        <w:rPr>
          <w:rStyle w:val="54"/>
          <w:rFonts w:hint="eastAsia" w:ascii="仿宋_GB2312" w:hAnsi="仿宋_GB2312" w:eastAsia="仿宋_GB2312" w:cs="仿宋_GB2312"/>
          <w:color w:val="auto"/>
          <w:sz w:val="32"/>
          <w:szCs w:val="32"/>
        </w:rPr>
        <w:t>%。</w:t>
      </w:r>
    </w:p>
    <w:p>
      <w:pPr>
        <w:pStyle w:val="20"/>
        <w:pageBreakBefore w:val="0"/>
        <w:numPr>
          <w:ilvl w:val="0"/>
          <w:numId w:val="4"/>
        </w:numPr>
        <w:kinsoku/>
        <w:wordWrap/>
        <w:overflowPunct/>
        <w:topLinePunct w:val="0"/>
        <w:autoSpaceDE/>
        <w:autoSpaceDN/>
        <w:bidi w:val="0"/>
        <w:adjustRightInd/>
        <w:snapToGrid/>
        <w:spacing w:after="0" w:line="560" w:lineRule="exact"/>
        <w:ind w:firstLine="321" w:firstLineChars="100"/>
        <w:rPr>
          <w:rFonts w:hint="eastAsia" w:ascii="仿宋_GB2312" w:hAnsi="仿宋_GB2312" w:eastAsia="仿宋_GB2312" w:cs="仿宋_GB2312"/>
          <w:b/>
          <w:bCs/>
          <w:kern w:val="28"/>
          <w:sz w:val="32"/>
          <w:szCs w:val="32"/>
        </w:rPr>
      </w:pPr>
      <w:r>
        <w:rPr>
          <w:rFonts w:hint="eastAsia" w:ascii="仿宋_GB2312" w:hAnsi="仿宋_GB2312" w:eastAsia="仿宋_GB2312" w:cs="仿宋_GB2312"/>
          <w:b/>
          <w:bCs/>
          <w:kern w:val="28"/>
          <w:sz w:val="32"/>
          <w:szCs w:val="32"/>
        </w:rPr>
        <w:t>效益情况</w:t>
      </w:r>
    </w:p>
    <w:p>
      <w:pPr>
        <w:pageBreakBefore w:val="0"/>
        <w:kinsoku/>
        <w:wordWrap/>
        <w:overflowPunct/>
        <w:topLinePunct w:val="0"/>
        <w:autoSpaceDE/>
        <w:autoSpaceDN/>
        <w:bidi w:val="0"/>
        <w:adjustRightInd/>
        <w:snapToGrid/>
        <w:spacing w:line="560" w:lineRule="exact"/>
        <w:ind w:firstLine="640"/>
        <w:jc w:val="center"/>
        <w:rPr>
          <w:rStyle w:val="54"/>
          <w:rFonts w:hint="eastAsia" w:ascii="仿宋_GB2312" w:hAnsi="仿宋_GB2312" w:eastAsia="仿宋_GB2312" w:cs="仿宋_GB2312"/>
          <w:b/>
          <w:bCs/>
          <w:color w:val="auto"/>
          <w:sz w:val="32"/>
          <w:szCs w:val="32"/>
        </w:rPr>
      </w:pPr>
      <w:r>
        <w:rPr>
          <w:rStyle w:val="54"/>
          <w:rFonts w:hint="eastAsia" w:ascii="仿宋_GB2312" w:hAnsi="仿宋_GB2312" w:eastAsia="仿宋_GB2312" w:cs="仿宋_GB2312"/>
          <w:b/>
          <w:bCs/>
          <w:color w:val="auto"/>
          <w:sz w:val="32"/>
          <w:szCs w:val="32"/>
        </w:rPr>
        <w:t>项目绩效指标得分情况</w:t>
      </w:r>
    </w:p>
    <w:tbl>
      <w:tblPr>
        <w:tblStyle w:val="22"/>
        <w:tblpPr w:leftFromText="180" w:rightFromText="180" w:vertAnchor="text" w:horzAnchor="page" w:tblpX="2219" w:tblpY="29"/>
        <w:tblOverlap w:val="never"/>
        <w:tblW w:w="8581" w:type="dxa"/>
        <w:jc w:val="center"/>
        <w:tblLayout w:type="fixed"/>
        <w:tblCellMar>
          <w:top w:w="0" w:type="dxa"/>
          <w:left w:w="0" w:type="dxa"/>
          <w:bottom w:w="0" w:type="dxa"/>
          <w:right w:w="0" w:type="dxa"/>
        </w:tblCellMar>
      </w:tblPr>
      <w:tblGrid>
        <w:gridCol w:w="2452"/>
        <w:gridCol w:w="2043"/>
        <w:gridCol w:w="2043"/>
        <w:gridCol w:w="2043"/>
      </w:tblGrid>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Style w:val="54"/>
                <w:rFonts w:hint="eastAsia" w:ascii="仿宋_GB2312" w:hAnsi="仿宋_GB2312" w:eastAsia="仿宋_GB2312" w:cs="仿宋_GB2312"/>
                <w:b/>
                <w:bCs/>
                <w:color w:val="auto"/>
                <w:sz w:val="32"/>
                <w:szCs w:val="32"/>
              </w:rPr>
            </w:pPr>
            <w:r>
              <w:rPr>
                <w:rStyle w:val="54"/>
                <w:rFonts w:hint="eastAsia" w:ascii="仿宋_GB2312" w:hAnsi="仿宋_GB2312" w:eastAsia="仿宋_GB2312" w:cs="仿宋_GB2312"/>
                <w:b/>
                <w:bCs/>
                <w:color w:val="auto"/>
                <w:sz w:val="32"/>
                <w:szCs w:val="32"/>
              </w:rPr>
              <w:t>三级指标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Style w:val="54"/>
                <w:rFonts w:hint="eastAsia" w:ascii="仿宋_GB2312" w:hAnsi="仿宋_GB2312" w:eastAsia="仿宋_GB2312" w:cs="仿宋_GB2312"/>
                <w:b/>
                <w:bCs/>
                <w:color w:val="auto"/>
                <w:sz w:val="32"/>
                <w:szCs w:val="32"/>
              </w:rPr>
            </w:pPr>
            <w:r>
              <w:rPr>
                <w:rStyle w:val="54"/>
                <w:rFonts w:hint="eastAsia" w:ascii="仿宋_GB2312" w:hAnsi="仿宋_GB2312" w:eastAsia="仿宋_GB2312" w:cs="仿宋_GB2312"/>
                <w:b/>
                <w:bCs/>
                <w:color w:val="auto"/>
                <w:sz w:val="32"/>
                <w:szCs w:val="32"/>
              </w:rPr>
              <w:t>权重</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Style w:val="54"/>
                <w:rFonts w:hint="eastAsia" w:ascii="仿宋_GB2312" w:hAnsi="仿宋_GB2312" w:eastAsia="仿宋_GB2312" w:cs="仿宋_GB2312"/>
                <w:b/>
                <w:bCs/>
                <w:color w:val="auto"/>
                <w:sz w:val="32"/>
                <w:szCs w:val="32"/>
              </w:rPr>
            </w:pPr>
            <w:r>
              <w:rPr>
                <w:rStyle w:val="54"/>
                <w:rFonts w:hint="eastAsia" w:ascii="仿宋_GB2312" w:hAnsi="仿宋_GB2312" w:eastAsia="仿宋_GB2312" w:cs="仿宋_GB2312"/>
                <w:b/>
                <w:bCs/>
                <w:color w:val="auto"/>
                <w:sz w:val="32"/>
                <w:szCs w:val="32"/>
              </w:rPr>
              <w:t>得分率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Style w:val="54"/>
                <w:rFonts w:hint="eastAsia" w:ascii="仿宋_GB2312" w:hAnsi="仿宋_GB2312" w:eastAsia="仿宋_GB2312" w:cs="仿宋_GB2312"/>
                <w:b/>
                <w:bCs/>
                <w:color w:val="auto"/>
                <w:sz w:val="32"/>
                <w:szCs w:val="32"/>
              </w:rPr>
            </w:pPr>
            <w:r>
              <w:rPr>
                <w:rStyle w:val="54"/>
                <w:rFonts w:hint="eastAsia" w:ascii="仿宋_GB2312" w:hAnsi="仿宋_GB2312" w:eastAsia="仿宋_GB2312" w:cs="仿宋_GB2312"/>
                <w:b/>
                <w:bCs/>
                <w:color w:val="auto"/>
                <w:sz w:val="32"/>
                <w:szCs w:val="32"/>
              </w:rPr>
              <w:t>实际得分</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rPr>
            </w:pPr>
            <w:r>
              <w:rPr>
                <w:rStyle w:val="54"/>
                <w:rFonts w:hint="eastAsia" w:ascii="仿宋_GB2312" w:hAnsi="仿宋_GB2312" w:eastAsia="仿宋_GB2312" w:cs="仿宋_GB2312"/>
                <w:color w:val="auto"/>
                <w:sz w:val="32"/>
                <w:szCs w:val="32"/>
              </w:rPr>
              <w:t>经济效益指标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kern w:val="0"/>
                <w:sz w:val="32"/>
                <w:szCs w:val="32"/>
                <w:lang w:val="en-US" w:eastAsia="zh-CN"/>
              </w:rPr>
              <w:t>5</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val="en-US" w:eastAsia="zh-CN"/>
              </w:rPr>
              <w:t>63.4</w:t>
            </w:r>
            <w:r>
              <w:rPr>
                <w:rFonts w:hint="eastAsia" w:ascii="仿宋_GB2312" w:hAnsi="仿宋_GB2312" w:eastAsia="仿宋_GB2312" w:cs="仿宋_GB2312"/>
                <w:color w:val="000000"/>
                <w:kern w:val="0"/>
                <w:sz w:val="32"/>
                <w:szCs w:val="32"/>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3.17</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rPr>
            </w:pPr>
            <w:r>
              <w:rPr>
                <w:rStyle w:val="54"/>
                <w:rFonts w:hint="eastAsia" w:ascii="仿宋_GB2312" w:hAnsi="仿宋_GB2312" w:eastAsia="仿宋_GB2312" w:cs="仿宋_GB2312"/>
                <w:color w:val="auto"/>
                <w:sz w:val="32"/>
                <w:szCs w:val="32"/>
              </w:rPr>
              <w:t>社会效益指标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5</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9</w:t>
            </w:r>
            <w:r>
              <w:rPr>
                <w:rFonts w:hint="eastAsia" w:ascii="仿宋_GB2312" w:hAnsi="仿宋_GB2312" w:eastAsia="仿宋_GB2312" w:cs="仿宋_GB2312"/>
                <w:color w:val="000000"/>
                <w:kern w:val="0"/>
                <w:sz w:val="32"/>
                <w:szCs w:val="32"/>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0.45</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Style w:val="54"/>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pacing w:val="17"/>
                <w:sz w:val="32"/>
                <w:szCs w:val="32"/>
                <w:lang w:val="en-US" w:eastAsia="zh-CN"/>
              </w:rPr>
              <w:t>生态效益指标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15</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100%</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15</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rPr>
            </w:pPr>
            <w:r>
              <w:rPr>
                <w:rStyle w:val="54"/>
                <w:rFonts w:hint="eastAsia" w:ascii="仿宋_GB2312" w:hAnsi="仿宋_GB2312" w:eastAsia="仿宋_GB2312" w:cs="仿宋_GB2312"/>
                <w:color w:val="auto"/>
                <w:sz w:val="32"/>
                <w:szCs w:val="32"/>
              </w:rPr>
              <w:t>可持续影响指标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lang w:val="en-US" w:eastAsia="zh-CN"/>
              </w:rPr>
              <w:t>5</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rPr>
              <w:t>15</w:t>
            </w:r>
            <w:r>
              <w:rPr>
                <w:rFonts w:hint="eastAsia" w:ascii="仿宋_GB2312" w:hAnsi="仿宋_GB2312" w:eastAsia="仿宋_GB2312" w:cs="仿宋_GB2312"/>
                <w:color w:val="auto"/>
                <w:kern w:val="0"/>
                <w:sz w:val="32"/>
                <w:szCs w:val="32"/>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0"/>
                <w:sz w:val="32"/>
                <w:szCs w:val="32"/>
                <w:lang w:val="en-US" w:eastAsia="zh-CN"/>
              </w:rPr>
              <w:t>0.75</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rPr>
            </w:pPr>
            <w:r>
              <w:rPr>
                <w:rStyle w:val="54"/>
                <w:rFonts w:hint="eastAsia" w:ascii="仿宋_GB2312" w:hAnsi="仿宋_GB2312" w:eastAsia="仿宋_GB2312" w:cs="仿宋_GB2312"/>
                <w:color w:val="auto"/>
                <w:sz w:val="32"/>
                <w:szCs w:val="32"/>
              </w:rPr>
              <w:t>满意度</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80</w:t>
            </w:r>
            <w:r>
              <w:rPr>
                <w:rFonts w:hint="eastAsia" w:ascii="仿宋_GB2312" w:hAnsi="仿宋_GB2312" w:eastAsia="仿宋_GB2312" w:cs="仿宋_GB2312"/>
                <w:color w:val="auto"/>
                <w:kern w:val="0"/>
                <w:sz w:val="32"/>
                <w:szCs w:val="32"/>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val="en-US" w:eastAsia="zh-CN"/>
              </w:rPr>
              <w:t>8</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exact"/>
              <w:ind w:firstLine="640" w:firstLineChars="200"/>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合计</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40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53.48%</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27.37</w:t>
            </w:r>
          </w:p>
        </w:tc>
      </w:tr>
    </w:tbl>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lang w:eastAsia="zh-CN"/>
        </w:rPr>
      </w:pPr>
      <w:r>
        <w:rPr>
          <w:rFonts w:hint="eastAsia" w:ascii="仿宋_GB2312" w:hAnsi="仿宋_GB2312" w:eastAsia="仿宋_GB2312" w:cs="仿宋_GB2312"/>
          <w:color w:val="000000"/>
          <w:spacing w:val="17"/>
          <w:sz w:val="32"/>
          <w:szCs w:val="32"/>
          <w:lang w:eastAsia="zh-CN"/>
        </w:rPr>
        <w:t>经济效益指标：门票收入，年度目标值≥100万元，实际完成值63.4万元，根据评分标准，该指标得分率</w:t>
      </w:r>
      <w:r>
        <w:rPr>
          <w:rFonts w:hint="eastAsia" w:ascii="仿宋_GB2312" w:hAnsi="仿宋_GB2312" w:eastAsia="仿宋_GB2312" w:cs="仿宋_GB2312"/>
          <w:color w:val="000000"/>
          <w:spacing w:val="17"/>
          <w:sz w:val="32"/>
          <w:szCs w:val="32"/>
          <w:lang w:val="en-US" w:eastAsia="zh-CN"/>
        </w:rPr>
        <w:t>63.4</w:t>
      </w:r>
      <w:r>
        <w:rPr>
          <w:rFonts w:hint="eastAsia" w:ascii="仿宋_GB2312" w:hAnsi="仿宋_GB2312" w:eastAsia="仿宋_GB2312" w:cs="仿宋_GB2312"/>
          <w:color w:val="000000"/>
          <w:spacing w:val="17"/>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lang w:eastAsia="zh-CN"/>
        </w:rPr>
      </w:pPr>
      <w:r>
        <w:rPr>
          <w:rFonts w:hint="eastAsia" w:ascii="仿宋_GB2312" w:hAnsi="仿宋_GB2312" w:eastAsia="仿宋_GB2312" w:cs="仿宋_GB2312"/>
          <w:color w:val="000000"/>
          <w:spacing w:val="17"/>
          <w:sz w:val="32"/>
          <w:szCs w:val="32"/>
          <w:lang w:val="en-US" w:eastAsia="zh-CN"/>
        </w:rPr>
        <w:t>社会效益指标：场馆使用覆盖人数，</w:t>
      </w:r>
      <w:r>
        <w:rPr>
          <w:rFonts w:hint="eastAsia" w:ascii="仿宋_GB2312" w:hAnsi="仿宋_GB2312" w:eastAsia="仿宋_GB2312" w:cs="仿宋_GB2312"/>
          <w:color w:val="000000"/>
          <w:spacing w:val="17"/>
          <w:sz w:val="32"/>
          <w:szCs w:val="32"/>
          <w:lang w:eastAsia="zh-CN"/>
        </w:rPr>
        <w:t>年度目标值≥</w:t>
      </w:r>
      <w:r>
        <w:rPr>
          <w:rFonts w:hint="eastAsia" w:ascii="仿宋_GB2312" w:hAnsi="仿宋_GB2312" w:eastAsia="仿宋_GB2312" w:cs="仿宋_GB2312"/>
          <w:color w:val="000000"/>
          <w:spacing w:val="17"/>
          <w:sz w:val="32"/>
          <w:szCs w:val="32"/>
          <w:lang w:val="en-US" w:eastAsia="zh-CN"/>
        </w:rPr>
        <w:t>20万人次，</w:t>
      </w:r>
      <w:r>
        <w:rPr>
          <w:rFonts w:hint="eastAsia" w:ascii="仿宋_GB2312" w:hAnsi="仿宋_GB2312" w:eastAsia="仿宋_GB2312" w:cs="仿宋_GB2312"/>
          <w:color w:val="000000"/>
          <w:spacing w:val="17"/>
          <w:sz w:val="32"/>
          <w:szCs w:val="32"/>
          <w:lang w:eastAsia="zh-CN"/>
        </w:rPr>
        <w:t>实际完成值</w:t>
      </w:r>
      <w:r>
        <w:rPr>
          <w:rFonts w:hint="eastAsia" w:ascii="仿宋_GB2312" w:hAnsi="仿宋_GB2312" w:eastAsia="仿宋_GB2312" w:cs="仿宋_GB2312"/>
          <w:color w:val="000000"/>
          <w:spacing w:val="17"/>
          <w:sz w:val="32"/>
          <w:szCs w:val="32"/>
          <w:lang w:val="en-US" w:eastAsia="zh-CN"/>
        </w:rPr>
        <w:t>1.8万人次</w:t>
      </w:r>
      <w:r>
        <w:rPr>
          <w:rFonts w:hint="eastAsia" w:ascii="仿宋_GB2312" w:hAnsi="仿宋_GB2312" w:eastAsia="仿宋_GB2312" w:cs="仿宋_GB2312"/>
          <w:color w:val="000000"/>
          <w:spacing w:val="17"/>
          <w:sz w:val="32"/>
          <w:szCs w:val="32"/>
          <w:lang w:eastAsia="zh-CN"/>
        </w:rPr>
        <w:t>，根据评分标准，该指标得分率</w:t>
      </w:r>
      <w:r>
        <w:rPr>
          <w:rFonts w:hint="eastAsia" w:ascii="仿宋_GB2312" w:hAnsi="仿宋_GB2312" w:eastAsia="仿宋_GB2312" w:cs="仿宋_GB2312"/>
          <w:color w:val="000000"/>
          <w:spacing w:val="17"/>
          <w:sz w:val="32"/>
          <w:szCs w:val="32"/>
          <w:lang w:val="en-US" w:eastAsia="zh-CN"/>
        </w:rPr>
        <w:t>9%</w:t>
      </w:r>
      <w:r>
        <w:rPr>
          <w:rFonts w:hint="eastAsia" w:ascii="仿宋_GB2312" w:hAnsi="仿宋_GB2312" w:eastAsia="仿宋_GB2312" w:cs="仿宋_GB2312"/>
          <w:color w:val="000000"/>
          <w:spacing w:val="17"/>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lang w:eastAsia="zh-CN"/>
        </w:rPr>
      </w:pPr>
      <w:r>
        <w:rPr>
          <w:rFonts w:hint="eastAsia" w:ascii="仿宋_GB2312" w:hAnsi="仿宋_GB2312" w:eastAsia="仿宋_GB2312" w:cs="仿宋_GB2312"/>
          <w:color w:val="000000"/>
          <w:spacing w:val="17"/>
          <w:sz w:val="32"/>
          <w:szCs w:val="32"/>
          <w:lang w:val="en-US" w:eastAsia="zh-CN"/>
        </w:rPr>
        <w:t>生态效益指标：改善场馆环境效果，</w:t>
      </w:r>
      <w:r>
        <w:rPr>
          <w:rFonts w:hint="eastAsia" w:ascii="仿宋_GB2312" w:hAnsi="仿宋_GB2312" w:eastAsia="仿宋_GB2312" w:cs="仿宋_GB2312"/>
          <w:color w:val="000000"/>
          <w:spacing w:val="17"/>
          <w:sz w:val="32"/>
          <w:szCs w:val="32"/>
          <w:lang w:eastAsia="zh-CN"/>
        </w:rPr>
        <w:t>年度目标值≥</w:t>
      </w:r>
      <w:r>
        <w:rPr>
          <w:rFonts w:hint="eastAsia" w:ascii="仿宋_GB2312" w:hAnsi="仿宋_GB2312" w:eastAsia="仿宋_GB2312" w:cs="仿宋_GB2312"/>
          <w:color w:val="000000"/>
          <w:spacing w:val="17"/>
          <w:sz w:val="32"/>
          <w:szCs w:val="32"/>
          <w:lang w:val="en-US" w:eastAsia="zh-CN"/>
        </w:rPr>
        <w:t>90%，</w:t>
      </w:r>
      <w:r>
        <w:rPr>
          <w:rFonts w:hint="eastAsia" w:ascii="仿宋_GB2312" w:hAnsi="仿宋_GB2312" w:eastAsia="仿宋_GB2312" w:cs="仿宋_GB2312"/>
          <w:color w:val="000000"/>
          <w:spacing w:val="17"/>
          <w:sz w:val="32"/>
          <w:szCs w:val="32"/>
          <w:lang w:eastAsia="zh-CN"/>
        </w:rPr>
        <w:t>实际完成值</w:t>
      </w:r>
      <w:r>
        <w:rPr>
          <w:rFonts w:hint="eastAsia" w:ascii="仿宋_GB2312" w:hAnsi="仿宋_GB2312" w:eastAsia="仿宋_GB2312" w:cs="仿宋_GB2312"/>
          <w:color w:val="000000"/>
          <w:spacing w:val="17"/>
          <w:sz w:val="32"/>
          <w:szCs w:val="32"/>
          <w:lang w:val="en-US" w:eastAsia="zh-CN"/>
        </w:rPr>
        <w:t>90%，</w:t>
      </w:r>
      <w:r>
        <w:rPr>
          <w:rFonts w:hint="eastAsia" w:ascii="仿宋_GB2312" w:hAnsi="仿宋_GB2312" w:eastAsia="仿宋_GB2312" w:cs="仿宋_GB2312"/>
          <w:color w:val="000000"/>
          <w:spacing w:val="17"/>
          <w:sz w:val="32"/>
          <w:szCs w:val="32"/>
          <w:lang w:eastAsia="zh-CN"/>
        </w:rPr>
        <w:t>根据评分标准，该指标得分率</w:t>
      </w:r>
      <w:r>
        <w:rPr>
          <w:rFonts w:hint="eastAsia" w:ascii="仿宋_GB2312" w:hAnsi="仿宋_GB2312" w:eastAsia="仿宋_GB2312" w:cs="仿宋_GB2312"/>
          <w:color w:val="000000"/>
          <w:spacing w:val="17"/>
          <w:sz w:val="32"/>
          <w:szCs w:val="32"/>
          <w:lang w:val="en-US" w:eastAsia="zh-CN"/>
        </w:rPr>
        <w:t>100%</w:t>
      </w:r>
      <w:r>
        <w:rPr>
          <w:rFonts w:hint="eastAsia" w:ascii="仿宋_GB2312" w:hAnsi="仿宋_GB2312" w:eastAsia="仿宋_GB2312" w:cs="仿宋_GB2312"/>
          <w:color w:val="000000"/>
          <w:spacing w:val="17"/>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lang w:eastAsia="zh-CN"/>
        </w:rPr>
      </w:pPr>
      <w:r>
        <w:rPr>
          <w:rFonts w:hint="eastAsia" w:ascii="仿宋_GB2312" w:hAnsi="仿宋_GB2312" w:eastAsia="仿宋_GB2312" w:cs="仿宋_GB2312"/>
          <w:color w:val="000000"/>
          <w:spacing w:val="17"/>
          <w:sz w:val="32"/>
          <w:szCs w:val="32"/>
          <w:lang w:eastAsia="zh-CN"/>
        </w:rPr>
        <w:t>可持续影响指标：全民健身活动覆盖人数，年度目标值≥10万人次，实际完成值1.5万人次，根据评分标准，该指标得分率</w:t>
      </w:r>
      <w:r>
        <w:rPr>
          <w:rFonts w:hint="eastAsia" w:ascii="仿宋_GB2312" w:hAnsi="仿宋_GB2312" w:eastAsia="仿宋_GB2312" w:cs="仿宋_GB2312"/>
          <w:color w:val="000000"/>
          <w:spacing w:val="17"/>
          <w:sz w:val="32"/>
          <w:szCs w:val="32"/>
          <w:lang w:val="en-US" w:eastAsia="zh-CN"/>
        </w:rPr>
        <w:t>15%</w:t>
      </w:r>
      <w:r>
        <w:rPr>
          <w:rFonts w:hint="eastAsia" w:ascii="仿宋_GB2312" w:hAnsi="仿宋_GB2312" w:eastAsia="仿宋_GB2312" w:cs="仿宋_GB2312"/>
          <w:color w:val="000000"/>
          <w:spacing w:val="17"/>
          <w:sz w:val="32"/>
          <w:szCs w:val="32"/>
          <w:lang w:eastAsia="zh-CN"/>
        </w:rPr>
        <w:t>。</w:t>
      </w:r>
    </w:p>
    <w:p>
      <w:pPr>
        <w:pageBreakBefore w:val="0"/>
        <w:kinsoku/>
        <w:wordWrap/>
        <w:overflowPunct/>
        <w:topLinePunct w:val="0"/>
        <w:autoSpaceDE/>
        <w:autoSpaceDN/>
        <w:bidi w:val="0"/>
        <w:adjustRightInd/>
        <w:snapToGrid/>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满意度指标方面：</w:t>
      </w:r>
    </w:p>
    <w:p>
      <w:pPr>
        <w:pageBreakBefore w:val="0"/>
        <w:kinsoku/>
        <w:wordWrap/>
        <w:overflowPunct/>
        <w:topLinePunct w:val="0"/>
        <w:autoSpaceDE/>
        <w:autoSpaceDN/>
        <w:bidi w:val="0"/>
        <w:adjustRightInd/>
        <w:snapToGrid/>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对于“满意度指标方面”，发放的调查问卷中的满意度问题主要包括：场馆管理人员到服务岗位后，对场馆管理机构的工作的评价；对单位领导、工作人员服务态度，场馆环境的变化等；。每项指标的满意度分为五档，即“非常满意”、“比较满意”、“基本满意”、“不太满意”、“非常不满意”；满分为5分，各档次对应的分值为5分、4分、3分、2分、1分，通过加权计算得出各项指标的满意度平均得分。综合问卷调查结果，运教人员满意度分析结果为4分。根据指标评分标准，该指标实际得分率为80%。</w:t>
      </w:r>
    </w:p>
    <w:p>
      <w:pPr>
        <w:pageBreakBefore w:val="0"/>
        <w:kinsoku/>
        <w:wordWrap/>
        <w:overflowPunct/>
        <w:topLinePunct w:val="0"/>
        <w:autoSpaceDE/>
        <w:autoSpaceDN/>
        <w:bidi w:val="0"/>
        <w:adjustRightInd/>
        <w:snapToGrid/>
        <w:spacing w:line="560" w:lineRule="exact"/>
        <w:ind w:firstLine="641"/>
        <w:rPr>
          <w:rStyle w:val="54"/>
          <w:rFonts w:hint="eastAsia" w:ascii="黑体" w:hAnsi="黑体" w:eastAsia="黑体" w:cs="黑体"/>
          <w:color w:val="auto"/>
          <w:sz w:val="32"/>
          <w:szCs w:val="32"/>
        </w:rPr>
      </w:pPr>
      <w:r>
        <w:rPr>
          <w:rFonts w:hint="eastAsia" w:ascii="黑体" w:hAnsi="黑体" w:eastAsia="黑体" w:cs="黑体"/>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（一）主要经验及做法</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w:t>
      </w:r>
      <w:r>
        <w:rPr>
          <w:rFonts w:hint="eastAsia" w:ascii="仿宋_GB2312" w:hAnsi="仿宋_GB2312" w:eastAsia="仿宋_GB2312" w:cs="仿宋_GB2312"/>
          <w:color w:val="000000"/>
          <w:spacing w:val="17"/>
          <w:sz w:val="32"/>
          <w:szCs w:val="32"/>
          <w:lang w:eastAsia="zh-CN"/>
        </w:rPr>
        <w:t>“地区体育馆室外游泳池及配套设施建设项目”</w:t>
      </w:r>
      <w:r>
        <w:rPr>
          <w:rFonts w:hint="eastAsia" w:ascii="仿宋_GB2312" w:hAnsi="仿宋_GB2312" w:eastAsia="仿宋_GB2312" w:cs="仿宋_GB2312"/>
          <w:sz w:val="32"/>
          <w:szCs w:val="32"/>
        </w:rPr>
        <w:t>顺利进行，提前做好</w:t>
      </w:r>
      <w:r>
        <w:rPr>
          <w:rFonts w:hint="eastAsia" w:ascii="仿宋_GB2312" w:hAnsi="仿宋_GB2312" w:eastAsia="仿宋_GB2312" w:cs="仿宋_GB2312"/>
          <w:color w:val="000000"/>
          <w:spacing w:val="17"/>
          <w:sz w:val="32"/>
          <w:szCs w:val="32"/>
          <w:lang w:eastAsia="zh-CN"/>
        </w:rPr>
        <w:t>“地区体育馆室外游泳池及配套设施建设项目”</w:t>
      </w:r>
      <w:r>
        <w:rPr>
          <w:rFonts w:hint="eastAsia" w:ascii="仿宋_GB2312" w:hAnsi="仿宋_GB2312" w:eastAsia="仿宋_GB2312" w:cs="仿宋_GB2312"/>
          <w:sz w:val="32"/>
          <w:szCs w:val="32"/>
        </w:rPr>
        <w:t>规划，将所列计划再三审核。在</w:t>
      </w:r>
      <w:r>
        <w:rPr>
          <w:rFonts w:hint="eastAsia" w:ascii="仿宋_GB2312" w:hAnsi="仿宋_GB2312" w:eastAsia="仿宋_GB2312" w:cs="仿宋_GB2312"/>
          <w:color w:val="000000"/>
          <w:spacing w:val="17"/>
          <w:sz w:val="32"/>
          <w:szCs w:val="32"/>
          <w:lang w:eastAsia="zh-CN"/>
        </w:rPr>
        <w:t>“地区体育馆室外游泳池及配套设施建设项目”</w:t>
      </w:r>
      <w:r>
        <w:rPr>
          <w:rFonts w:hint="eastAsia" w:ascii="仿宋_GB2312" w:hAnsi="仿宋_GB2312" w:eastAsia="仿宋_GB2312" w:cs="仿宋_GB2312"/>
          <w:sz w:val="32"/>
          <w:szCs w:val="32"/>
        </w:rPr>
        <w:t>实施过程中做好定期监督检查，严格按照</w:t>
      </w:r>
      <w:r>
        <w:rPr>
          <w:rFonts w:hint="eastAsia" w:ascii="仿宋_GB2312" w:hAnsi="仿宋_GB2312" w:eastAsia="仿宋_GB2312" w:cs="仿宋_GB2312"/>
          <w:color w:val="000000"/>
          <w:spacing w:val="17"/>
          <w:sz w:val="32"/>
          <w:szCs w:val="32"/>
          <w:lang w:eastAsia="zh-CN"/>
        </w:rPr>
        <w:t>“地区体育馆室外游泳池及配套设施建设项目”</w:t>
      </w:r>
      <w:r>
        <w:rPr>
          <w:rFonts w:hint="eastAsia" w:ascii="仿宋_GB2312" w:hAnsi="仿宋_GB2312" w:eastAsia="仿宋_GB2312" w:cs="仿宋_GB2312"/>
          <w:sz w:val="32"/>
          <w:szCs w:val="32"/>
        </w:rPr>
        <w:t>管理规范进行，在项目资金使用过程中，严格落实把关，按照项目资金使用范围做好审核工作，让项目资金落于实处。在</w:t>
      </w:r>
      <w:r>
        <w:rPr>
          <w:rFonts w:hint="eastAsia" w:ascii="仿宋_GB2312" w:hAnsi="仿宋_GB2312" w:eastAsia="仿宋_GB2312" w:cs="仿宋_GB2312"/>
          <w:color w:val="000000"/>
          <w:spacing w:val="17"/>
          <w:sz w:val="32"/>
          <w:szCs w:val="32"/>
          <w:lang w:eastAsia="zh-CN"/>
        </w:rPr>
        <w:t>“地区体育馆室外游泳池及配套设施建设项目”</w:t>
      </w:r>
      <w:r>
        <w:rPr>
          <w:rFonts w:hint="eastAsia" w:ascii="仿宋_GB2312" w:hAnsi="仿宋_GB2312" w:eastAsia="仿宋_GB2312" w:cs="仿宋_GB2312"/>
          <w:sz w:val="32"/>
          <w:szCs w:val="32"/>
        </w:rPr>
        <w:t>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rPr>
          <w:rFonts w:hint="eastAsia" w:ascii="仿宋_GB2312" w:hAnsi="仿宋_GB2312" w:eastAsia="仿宋_GB2312" w:cs="仿宋_GB2312"/>
          <w:b w:val="0"/>
          <w:bCs w:val="0"/>
          <w:kern w:val="2"/>
          <w:sz w:val="32"/>
          <w:szCs w:val="32"/>
        </w:rPr>
      </w:pPr>
      <w:r>
        <w:rPr>
          <w:rFonts w:hint="eastAsia" w:ascii="仿宋_GB2312" w:hAnsi="仿宋_GB2312" w:eastAsia="仿宋_GB2312" w:cs="仿宋_GB2312"/>
          <w:b w:val="0"/>
          <w:bCs w:val="0"/>
          <w:kern w:val="2"/>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5"/>
        </w:numPr>
        <w:kinsoku/>
        <w:wordWrap/>
        <w:overflowPunct/>
        <w:topLinePunct w:val="0"/>
        <w:autoSpaceDE/>
        <w:autoSpaceDN/>
        <w:bidi w:val="0"/>
        <w:adjustRightInd/>
        <w:snapToGrid/>
        <w:spacing w:line="560" w:lineRule="exact"/>
        <w:ind w:firstLine="641"/>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ageBreakBefore w:val="0"/>
        <w:numPr>
          <w:ilvl w:val="0"/>
          <w:numId w:val="6"/>
        </w:numPr>
        <w:kinsoku/>
        <w:wordWrap/>
        <w:overflowPunct/>
        <w:topLinePunct w:val="0"/>
        <w:autoSpaceDE/>
        <w:autoSpaceDN/>
        <w:bidi w:val="0"/>
        <w:adjustRightInd/>
        <w:snapToGrid/>
        <w:spacing w:line="560" w:lineRule="exact"/>
        <w:ind w:left="-221" w:leftChars="0" w:firstLine="641"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存在的问题：</w:t>
      </w:r>
    </w:p>
    <w:p>
      <w:pPr>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w:t>
      </w:r>
      <w:r>
        <w:rPr>
          <w:rFonts w:hint="eastAsia" w:ascii="仿宋_GB2312" w:hAnsi="仿宋_GB2312" w:eastAsia="仿宋_GB2312" w:cs="仿宋_GB2312"/>
          <w:sz w:val="32"/>
          <w:szCs w:val="32"/>
          <w:lang w:val="en-US" w:eastAsia="zh-CN"/>
        </w:rPr>
        <w:t>中央补助地方公共文化服务体系建设专项</w:t>
      </w:r>
      <w:r>
        <w:rPr>
          <w:rFonts w:hint="eastAsia" w:ascii="仿宋_GB2312" w:hAnsi="仿宋_GB2312" w:eastAsia="仿宋_GB2312" w:cs="仿宋_GB2312"/>
          <w:sz w:val="32"/>
          <w:szCs w:val="32"/>
        </w:rPr>
        <w:t>部分绩效目标指标</w:t>
      </w:r>
      <w:r>
        <w:rPr>
          <w:rFonts w:hint="eastAsia" w:ascii="仿宋_GB2312" w:hAnsi="仿宋_GB2312" w:eastAsia="仿宋_GB2312" w:cs="仿宋_GB2312"/>
          <w:sz w:val="32"/>
          <w:szCs w:val="32"/>
          <w:lang w:eastAsia="zh-CN"/>
        </w:rPr>
        <w:t>设定与实际完成值出入较大，完成率偏低，使项目总体完成率降低。</w:t>
      </w:r>
      <w:r>
        <w:rPr>
          <w:rFonts w:hint="eastAsia" w:ascii="仿宋_GB2312" w:hAnsi="仿宋_GB2312" w:eastAsia="仿宋_GB2312" w:cs="仿宋_GB2312"/>
          <w:sz w:val="32"/>
          <w:szCs w:val="32"/>
        </w:rPr>
        <w:t>有待进一步细化和量化，如：数量、质量、时效等指标还需完善。</w:t>
      </w:r>
    </w:p>
    <w:p>
      <w:pPr>
        <w:pageBreakBefore w:val="0"/>
        <w:numPr>
          <w:ilvl w:val="0"/>
          <w:numId w:val="0"/>
        </w:numPr>
        <w:kinsoku/>
        <w:wordWrap/>
        <w:overflowPunct/>
        <w:topLinePunct w:val="0"/>
        <w:autoSpaceDE/>
        <w:autoSpaceDN/>
        <w:bidi w:val="0"/>
        <w:adjustRightInd/>
        <w:snapToGrid/>
        <w:spacing w:line="560" w:lineRule="exact"/>
        <w:ind w:left="42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现有工作经费不能满足场馆维修费用，经费缺口较大。</w:t>
      </w:r>
    </w:p>
    <w:p>
      <w:pPr>
        <w:pageBreakBefore w:val="0"/>
        <w:numPr>
          <w:ilvl w:val="0"/>
          <w:numId w:val="6"/>
        </w:numPr>
        <w:kinsoku/>
        <w:wordWrap/>
        <w:overflowPunct/>
        <w:topLinePunct w:val="0"/>
        <w:autoSpaceDE/>
        <w:autoSpaceDN/>
        <w:bidi w:val="0"/>
        <w:adjustRightInd/>
        <w:snapToGrid/>
        <w:spacing w:line="560" w:lineRule="exact"/>
        <w:ind w:left="-221" w:leftChars="0" w:firstLine="641"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原因分析</w:t>
      </w:r>
    </w:p>
    <w:p>
      <w:pPr>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绩效目标完成较差的指标有数量指标（运动员使用场馆人次）、经济效益指标（门票收入）、社会效益指标（场馆使用覆盖人数）、可持续影响指标（全民健身活动覆盖人数），这几项未完成的主要原因是因为疫情特殊情况，体育场馆未能正常运行，</w:t>
      </w:r>
      <w:r>
        <w:rPr>
          <w:rFonts w:hint="eastAsia" w:ascii="仿宋_GB2312" w:hAnsi="仿宋_GB2312" w:eastAsia="仿宋_GB2312" w:cs="仿宋_GB2312"/>
          <w:sz w:val="32"/>
          <w:szCs w:val="32"/>
        </w:rPr>
        <w:t>根据调查问卷的结果，服务对象对场馆的管理服务等方面的满意度还有待进一步提高。</w:t>
      </w:r>
    </w:p>
    <w:p>
      <w:pPr>
        <w:pageBreakBefore w:val="0"/>
        <w:numPr>
          <w:ilvl w:val="0"/>
          <w:numId w:val="7"/>
        </w:numPr>
        <w:kinsoku/>
        <w:wordWrap/>
        <w:overflowPunct/>
        <w:topLinePunct w:val="0"/>
        <w:autoSpaceDE/>
        <w:autoSpaceDN/>
        <w:bidi w:val="0"/>
        <w:adjustRightInd/>
        <w:snapToGrid/>
        <w:spacing w:line="560" w:lineRule="exact"/>
        <w:ind w:firstLine="641"/>
        <w:rPr>
          <w:rFonts w:hint="eastAsia" w:ascii="黑体" w:hAnsi="黑体" w:eastAsia="黑体" w:cs="黑体"/>
          <w:sz w:val="32"/>
          <w:szCs w:val="32"/>
        </w:rPr>
      </w:pPr>
      <w:r>
        <w:rPr>
          <w:rFonts w:hint="eastAsia" w:ascii="黑体" w:hAnsi="黑体" w:eastAsia="黑体" w:cs="黑体"/>
          <w:sz w:val="32"/>
          <w:szCs w:val="32"/>
        </w:rPr>
        <w:t>有关建议</w:t>
      </w:r>
    </w:p>
    <w:p>
      <w:pPr>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财政和项目实施单位严格实行“三专”管理，即设专户、建专账、定专人。同时，资金拨付除坚持按项目计划、工程进度和质量分阶段验收拨款外，还坚持部门联审制，项目单位先做事、后报账，从而确保专项资金专款专用，有效地防止了截留、挤占和挪用。</w:t>
      </w:r>
    </w:p>
    <w:p>
      <w:pPr>
        <w:pageBreakBefore w:val="0"/>
        <w:kinsoku/>
        <w:wordWrap/>
        <w:overflowPunct/>
        <w:topLinePunct w:val="0"/>
        <w:autoSpaceDE/>
        <w:autoSpaceDN/>
        <w:bidi w:val="0"/>
        <w:adjustRightInd/>
        <w:snapToGrid/>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七、其他需要说</w:t>
      </w:r>
      <w:bookmarkStart w:id="2" w:name="page8"/>
      <w:bookmarkEnd w:id="2"/>
      <w:r>
        <w:rPr>
          <w:rFonts w:hint="eastAsia" w:ascii="黑体" w:hAnsi="黑体" w:eastAsia="黑体" w:cs="黑体"/>
          <w:sz w:val="32"/>
          <w:szCs w:val="32"/>
        </w:rPr>
        <w:t>明的问题</w:t>
      </w:r>
    </w:p>
    <w:p>
      <w:pPr>
        <w:pStyle w:val="2"/>
        <w:pageBreakBefore w:val="0"/>
        <w:kinsoku/>
        <w:wordWrap/>
        <w:overflowPunct/>
        <w:topLinePunct w:val="0"/>
        <w:autoSpaceDE/>
        <w:autoSpaceDN/>
        <w:bidi w:val="0"/>
        <w:adjustRightInd/>
        <w:snapToGrid/>
        <w:spacing w:before="0" w:after="0" w:line="560" w:lineRule="exact"/>
        <w:ind w:firstLine="640" w:firstLineChars="200"/>
        <w:jc w:val="both"/>
        <w:rPr>
          <w:rFonts w:hint="eastAsia" w:ascii="仿宋_GB2312" w:hAnsi="仿宋_GB2312" w:eastAsia="仿宋_GB2312" w:cs="仿宋_GB2312"/>
          <w:b w:val="0"/>
          <w:bCs w:val="0"/>
          <w:kern w:val="2"/>
          <w:sz w:val="32"/>
          <w:szCs w:val="32"/>
        </w:rPr>
      </w:pPr>
      <w:r>
        <w:rPr>
          <w:rFonts w:hint="eastAsia" w:ascii="仿宋_GB2312" w:hAnsi="仿宋_GB2312" w:eastAsia="仿宋_GB2312" w:cs="仿宋_GB2312"/>
          <w:b w:val="0"/>
          <w:bCs w:val="0"/>
          <w:kern w:val="2"/>
          <w:sz w:val="32"/>
          <w:szCs w:val="32"/>
        </w:rPr>
        <w:t>无。</w:t>
      </w:r>
    </w:p>
    <w:p>
      <w:pPr>
        <w:pageBreakBefore w:val="0"/>
        <w:kinsoku/>
        <w:wordWrap/>
        <w:overflowPunct/>
        <w:topLinePunct w:val="0"/>
        <w:autoSpaceDE/>
        <w:autoSpaceDN/>
        <w:bidi w:val="0"/>
        <w:adjustRightInd/>
        <w:snapToGrid/>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八、附项目绩效自评表</w:t>
      </w:r>
    </w:p>
    <w:p>
      <w:pPr>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sz w:val="32"/>
          <w:szCs w:val="32"/>
        </w:rPr>
      </w:pP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color w:val="000000"/>
          <w:kern w:val="0"/>
          <w:sz w:val="32"/>
          <w:szCs w:val="32"/>
          <w:lang w:bidi="ar"/>
        </w:rPr>
      </w:pPr>
      <w:r>
        <w:rPr>
          <w:rFonts w:hint="eastAsia" w:ascii="仿宋_GB2312" w:hAnsi="仿宋_GB2312" w:eastAsia="仿宋_GB2312" w:cs="仿宋_GB2312"/>
          <w:b/>
          <w:bCs/>
          <w:color w:val="000000"/>
          <w:kern w:val="0"/>
          <w:sz w:val="32"/>
          <w:szCs w:val="32"/>
          <w:lang w:bidi="ar"/>
        </w:rPr>
        <w:br w:type="page"/>
      </w:r>
    </w:p>
    <w:tbl>
      <w:tblPr>
        <w:tblStyle w:val="22"/>
        <w:tblW w:w="9015" w:type="dxa"/>
        <w:tblInd w:w="0" w:type="dxa"/>
        <w:shd w:val="clear" w:color="auto" w:fill="auto"/>
        <w:tblLayout w:type="fixed"/>
        <w:tblCellMar>
          <w:top w:w="0" w:type="dxa"/>
          <w:left w:w="0" w:type="dxa"/>
          <w:bottom w:w="0" w:type="dxa"/>
          <w:right w:w="0" w:type="dxa"/>
        </w:tblCellMar>
      </w:tblPr>
      <w:tblGrid>
        <w:gridCol w:w="840"/>
        <w:gridCol w:w="840"/>
        <w:gridCol w:w="840"/>
        <w:gridCol w:w="840"/>
        <w:gridCol w:w="840"/>
        <w:gridCol w:w="840"/>
        <w:gridCol w:w="840"/>
        <w:gridCol w:w="1680"/>
        <w:gridCol w:w="1455"/>
      </w:tblGrid>
      <w:tr>
        <w:tblPrEx>
          <w:shd w:val="clear" w:color="auto" w:fill="auto"/>
          <w:tblCellMar>
            <w:top w:w="0" w:type="dxa"/>
            <w:left w:w="0" w:type="dxa"/>
            <w:bottom w:w="0" w:type="dxa"/>
            <w:right w:w="0" w:type="dxa"/>
          </w:tblCellMar>
        </w:tblPrEx>
        <w:trPr>
          <w:trHeight w:val="409" w:hRule="atLeast"/>
        </w:trPr>
        <w:tc>
          <w:tcPr>
            <w:tcW w:w="9015"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b/>
                <w:i w:val="0"/>
                <w:color w:val="000000"/>
                <w:sz w:val="18"/>
                <w:szCs w:val="18"/>
                <w:u w:val="none"/>
              </w:rPr>
            </w:pPr>
            <w:r>
              <w:rPr>
                <w:rFonts w:hint="eastAsia" w:asciiTheme="majorEastAsia" w:hAnsiTheme="majorEastAsia" w:eastAsiaTheme="majorEastAsia" w:cstheme="majorEastAsia"/>
                <w:b/>
                <w:i w:val="0"/>
                <w:color w:val="000000"/>
                <w:kern w:val="0"/>
                <w:sz w:val="18"/>
                <w:szCs w:val="18"/>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9015"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9015" w:type="dxa"/>
            <w:gridSpan w:val="9"/>
            <w:tcBorders>
              <w:top w:val="nil"/>
              <w:left w:val="nil"/>
              <w:bottom w:val="nil"/>
              <w:right w:val="nil"/>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项目名称</w:t>
            </w:r>
          </w:p>
        </w:tc>
        <w:tc>
          <w:tcPr>
            <w:tcW w:w="733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2019年中央补助地方公共文化服务体系建设专项资金</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实施单位</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塔城地区体育中心</w:t>
            </w:r>
          </w:p>
        </w:tc>
      </w:tr>
      <w:tr>
        <w:tblPrEx>
          <w:shd w:val="clear" w:color="auto" w:fill="auto"/>
          <w:tblCellMar>
            <w:top w:w="0" w:type="dxa"/>
            <w:left w:w="0" w:type="dxa"/>
            <w:bottom w:w="0" w:type="dxa"/>
            <w:right w:w="0" w:type="dxa"/>
          </w:tblCellMar>
        </w:tblPrEx>
        <w:trPr>
          <w:trHeight w:val="70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项目资金</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Theme="majorEastAsia" w:hAnsiTheme="majorEastAsia" w:eastAsiaTheme="majorEastAsia" w:cstheme="majorEastAsia"/>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全年预算数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全年执行数</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392" w:hRule="atLeast"/>
        </w:trPr>
        <w:tc>
          <w:tcPr>
            <w:tcW w:w="16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92.04</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92.04</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71.22</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77.38%</w:t>
            </w:r>
          </w:p>
        </w:tc>
      </w:tr>
      <w:tr>
        <w:tblPrEx>
          <w:shd w:val="clear" w:color="auto" w:fill="auto"/>
          <w:tblCellMar>
            <w:top w:w="0" w:type="dxa"/>
            <w:left w:w="0" w:type="dxa"/>
            <w:bottom w:w="0" w:type="dxa"/>
            <w:right w:w="0" w:type="dxa"/>
          </w:tblCellMar>
        </w:tblPrEx>
        <w:trPr>
          <w:trHeight w:val="392"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92.04</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92.04</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71.22</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预期目标</w:t>
            </w:r>
          </w:p>
        </w:tc>
        <w:tc>
          <w:tcPr>
            <w:tcW w:w="31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2005"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为塔城市及周边县市各族游泳爱好者提供体育锻炼，在高峰期满足市民锻炼、娱乐需求，提升全民健身运动的效果，在体育馆东北侧新建室外游泳池一座，游泳池建设面积1250平方米。</w:t>
            </w:r>
          </w:p>
        </w:tc>
        <w:tc>
          <w:tcPr>
            <w:tcW w:w="31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为塔城市及周边县市各族游泳爱好者提供体育锻炼，在高峰期满足市民锻炼、娱乐需求，提升全民健身运动的效果，在体育馆东北侧新建室外游泳池一座，游泳池建设面积1250平方米。</w:t>
            </w:r>
          </w:p>
        </w:tc>
      </w:tr>
      <w:tr>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年度指标值</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实际完成值</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r>
      <w:tr>
        <w:tblPrEx>
          <w:shd w:val="clear" w:color="auto" w:fill="auto"/>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产出指标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运动员使用场馆人次</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≥3万人次</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0.5万人/次</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因传染病防控，闭馆时间较长</w:t>
            </w:r>
          </w:p>
        </w:tc>
      </w:tr>
      <w:tr>
        <w:tblPrEx>
          <w:shd w:val="clear" w:color="auto" w:fill="auto"/>
          <w:tblCellMar>
            <w:top w:w="0" w:type="dxa"/>
            <w:left w:w="0" w:type="dxa"/>
            <w:bottom w:w="0" w:type="dxa"/>
            <w:right w:w="0" w:type="dxa"/>
          </w:tblCellMar>
        </w:tblPrEx>
        <w:trPr>
          <w:trHeight w:val="976"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体育基础设施建设工程验收合格数量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=1座</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1座</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工程项目完成执行期限</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=2年</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2年</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r>
      <w:tr>
        <w:tblPrEx>
          <w:shd w:val="clear" w:color="auto" w:fill="auto"/>
          <w:tblCellMar>
            <w:top w:w="0" w:type="dxa"/>
            <w:left w:w="0" w:type="dxa"/>
            <w:bottom w:w="0" w:type="dxa"/>
            <w:right w:w="0" w:type="dxa"/>
          </w:tblCellMar>
        </w:tblPrEx>
        <w:trPr>
          <w:trHeight w:val="108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工程项目费用支出</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=92.04万元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71.22万元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预留工程质保金</w:t>
            </w:r>
          </w:p>
        </w:tc>
      </w:tr>
      <w:tr>
        <w:tblPrEx>
          <w:shd w:val="clear" w:color="auto" w:fill="auto"/>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经济效益指标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门票收入</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≥100万元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63.4万元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因传染病防控，闭馆时间较长</w:t>
            </w:r>
          </w:p>
        </w:tc>
      </w:tr>
      <w:tr>
        <w:tblPrEx>
          <w:shd w:val="clear" w:color="auto" w:fill="auto"/>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场馆使用覆盖人数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≥20万人次</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1.8万人次</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因传染病防控，闭馆时间较长</w:t>
            </w:r>
          </w:p>
        </w:tc>
      </w:tr>
      <w:tr>
        <w:tblPrEx>
          <w:shd w:val="clear" w:color="auto" w:fill="auto"/>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改善场馆环境效果</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≥90%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r>
      <w:tr>
        <w:tblPrEx>
          <w:shd w:val="clear" w:color="auto" w:fill="auto"/>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全民健身活动覆盖人数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≥10万人次</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1.5万人次</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因</w:t>
            </w:r>
            <w:bookmarkStart w:id="3" w:name="_GoBack"/>
            <w:bookmarkEnd w:id="3"/>
            <w:r>
              <w:rPr>
                <w:rFonts w:hint="eastAsia" w:asciiTheme="majorEastAsia" w:hAnsiTheme="majorEastAsia" w:eastAsiaTheme="majorEastAsia" w:cstheme="majorEastAsia"/>
                <w:i w:val="0"/>
                <w:color w:val="000000"/>
                <w:kern w:val="0"/>
                <w:sz w:val="18"/>
                <w:szCs w:val="18"/>
                <w:u w:val="none"/>
                <w:lang w:val="en-US" w:eastAsia="zh-CN" w:bidi="ar"/>
              </w:rPr>
              <w:t>传染病防控，闭馆时间较长</w:t>
            </w:r>
          </w:p>
        </w:tc>
      </w:tr>
      <w:tr>
        <w:tblPrEx>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群众对体育场馆服务满意度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≥95%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color w:val="000000"/>
                <w:sz w:val="18"/>
                <w:szCs w:val="18"/>
                <w:u w:val="none"/>
              </w:rPr>
            </w:pPr>
            <w:r>
              <w:rPr>
                <w:rFonts w:hint="eastAsia" w:asciiTheme="majorEastAsia" w:hAnsiTheme="majorEastAsia" w:eastAsiaTheme="majorEastAsia" w:cstheme="majorEastAsia"/>
                <w:i w:val="0"/>
                <w:color w:val="000000"/>
                <w:kern w:val="0"/>
                <w:sz w:val="18"/>
                <w:szCs w:val="18"/>
                <w:u w:val="none"/>
                <w:lang w:val="en-US" w:eastAsia="zh-CN" w:bidi="ar"/>
              </w:rPr>
              <w:t>80%</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ajorEastAsia" w:hAnsiTheme="majorEastAsia" w:eastAsiaTheme="majorEastAsia" w:cstheme="majorEastAsia"/>
                <w:i w:val="0"/>
                <w:color w:val="000000"/>
                <w:sz w:val="18"/>
                <w:szCs w:val="18"/>
                <w:u w:val="none"/>
              </w:rPr>
            </w:pPr>
          </w:p>
        </w:tc>
      </w:tr>
    </w:tbl>
    <w:p>
      <w:pPr>
        <w:pStyle w:val="2"/>
        <w:pageBreakBefore w:val="0"/>
        <w:kinsoku/>
        <w:wordWrap/>
        <w:overflowPunct/>
        <w:topLinePunct w:val="0"/>
        <w:autoSpaceDE/>
        <w:autoSpaceDN/>
        <w:bidi w:val="0"/>
        <w:adjustRightInd/>
        <w:snapToGrid/>
        <w:spacing w:before="0" w:after="0" w:line="560" w:lineRule="exact"/>
        <w:jc w:val="both"/>
        <w:rPr>
          <w:rFonts w:hint="eastAsia" w:asciiTheme="majorEastAsia" w:hAnsiTheme="majorEastAsia" w:eastAsiaTheme="majorEastAsia" w:cstheme="majorEastAsia"/>
          <w:sz w:val="18"/>
          <w:szCs w:val="18"/>
        </w:rPr>
        <w:sectPr>
          <w:footerReference r:id="rId3" w:type="default"/>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附件1</w:t>
      </w:r>
    </w:p>
    <w:tbl>
      <w:tblPr>
        <w:tblStyle w:val="22"/>
        <w:tblW w:w="1247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24"/>
        <w:gridCol w:w="754"/>
        <w:gridCol w:w="859"/>
        <w:gridCol w:w="2315"/>
        <w:gridCol w:w="5104"/>
        <w:gridCol w:w="1277"/>
        <w:gridCol w:w="13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一级指标</w:t>
            </w:r>
          </w:p>
        </w:tc>
        <w:tc>
          <w:tcPr>
            <w:tcW w:w="75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二级指标</w:t>
            </w: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三级指标</w:t>
            </w:r>
          </w:p>
        </w:tc>
        <w:tc>
          <w:tcPr>
            <w:tcW w:w="23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指标解释</w:t>
            </w:r>
          </w:p>
        </w:tc>
        <w:tc>
          <w:tcPr>
            <w:tcW w:w="510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指标说明</w:t>
            </w:r>
          </w:p>
        </w:tc>
        <w:tc>
          <w:tcPr>
            <w:tcW w:w="127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权重</w:t>
            </w:r>
          </w:p>
        </w:tc>
        <w:tc>
          <w:tcPr>
            <w:tcW w:w="133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2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决策　</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75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项目立项　</w:t>
            </w: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立项依据</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充分性</w:t>
            </w:r>
          </w:p>
        </w:tc>
        <w:tc>
          <w:tcPr>
            <w:tcW w:w="2315"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项目立项是否符合法律法规、相关政策、发展规划以及部门职责，用以反映和考核项目立项依据情况。</w:t>
            </w:r>
          </w:p>
        </w:tc>
        <w:tc>
          <w:tcPr>
            <w:tcW w:w="510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①项目立项是否符合国家法律法规、国民经济发展规划和相关政策；</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②项目立项是否符合行业发展规划和政策要求；</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③项目立项是否与部门职责范围相符，属于部门履职所需；</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④项目是否属于公共财政支持范围，是否符合中央、地方事权支出责任划分原则；</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⑤项目是否与相关部门同类项目或部门内部相关项目重复。</w:t>
            </w:r>
          </w:p>
        </w:tc>
        <w:tc>
          <w:tcPr>
            <w:tcW w:w="127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0.5</w:t>
            </w:r>
          </w:p>
        </w:tc>
        <w:tc>
          <w:tcPr>
            <w:tcW w:w="133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8"/>
                <w:szCs w:val="2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2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75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立项程序</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规范性</w:t>
            </w:r>
          </w:p>
        </w:tc>
        <w:tc>
          <w:tcPr>
            <w:tcW w:w="2315"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项目申请、设立过程是否符合相关要求，用以反映和考核项目立项的规范情况。</w:t>
            </w:r>
          </w:p>
        </w:tc>
        <w:tc>
          <w:tcPr>
            <w:tcW w:w="510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①项目是否按照规定的程序申请设立；</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②审批文件、材料是否符合相关要求；</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③事前是否已经过必要的可行性研究、专家论证、风险评估、绩效评估、集体决策。</w:t>
            </w:r>
          </w:p>
        </w:tc>
        <w:tc>
          <w:tcPr>
            <w:tcW w:w="127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0.5</w:t>
            </w:r>
          </w:p>
        </w:tc>
        <w:tc>
          <w:tcPr>
            <w:tcW w:w="133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8"/>
                <w:szCs w:val="2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2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75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绩效目标　</w:t>
            </w: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绩效目标</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合理性</w:t>
            </w:r>
          </w:p>
        </w:tc>
        <w:tc>
          <w:tcPr>
            <w:tcW w:w="2315"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项目所设定的绩效目标是否依据充分，是否符合客观实际，用以反映和考核项目绩效目标与项目实施的相符情况。</w:t>
            </w:r>
          </w:p>
        </w:tc>
        <w:tc>
          <w:tcPr>
            <w:tcW w:w="510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（如未设定预算绩效目标，也可考核其他工作任务目标）</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①项目是否有绩效目标；</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②项目绩效目标与实际工作内容是否具有相关性；</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④是否与预算确定的项目投资额或资金量相匹配。</w:t>
            </w:r>
          </w:p>
        </w:tc>
        <w:tc>
          <w:tcPr>
            <w:tcW w:w="127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133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2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决策　</w:t>
            </w:r>
          </w:p>
        </w:tc>
        <w:tc>
          <w:tcPr>
            <w:tcW w:w="75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绩效目标</w:t>
            </w: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绩效指标</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明确性</w:t>
            </w:r>
          </w:p>
        </w:tc>
        <w:tc>
          <w:tcPr>
            <w:tcW w:w="2315"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依据绩效目标设定的绩效指标是否清晰、细化、可衡量等，用以反映和考核项目绩效目标的明细化情况。</w:t>
            </w:r>
          </w:p>
        </w:tc>
        <w:tc>
          <w:tcPr>
            <w:tcW w:w="5104"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①是否将项目绩效目标细化分解为具体的绩效指标；</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②是否通过清晰、可衡量的指标值予以体现；</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③是否与项目目标任务数或计划数相对应。</w:t>
            </w:r>
            <w:r>
              <w:rPr>
                <w:rFonts w:hint="eastAsia" w:ascii="仿宋_GB2312" w:hAnsi="仿宋_GB2312" w:eastAsia="仿宋_GB2312" w:cs="仿宋_GB2312"/>
                <w:color w:val="000000"/>
                <w:kern w:val="0"/>
                <w:sz w:val="22"/>
                <w:szCs w:val="22"/>
              </w:rPr>
              <w:br w:type="textWrapping"/>
            </w:r>
          </w:p>
        </w:tc>
        <w:tc>
          <w:tcPr>
            <w:tcW w:w="1277"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133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2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75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资金投入</w:t>
            </w:r>
          </w:p>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预算编制</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科学性</w:t>
            </w:r>
          </w:p>
        </w:tc>
        <w:tc>
          <w:tcPr>
            <w:tcW w:w="2315"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项目预算编制是否经过科学论证、有明确标准，资金额度与年度目标是否相适应，用以反映和考核项目预算编制的科学性、合理性情况。</w:t>
            </w:r>
          </w:p>
        </w:tc>
        <w:tc>
          <w:tcPr>
            <w:tcW w:w="5104"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①预算编制是否经过科学论证；</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②预算内容与项目内容是否匹配；</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③预算额度测算依据是否充分，是否按照标准编制；</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④预算确定的项目投资额或资金量是否与工作任务相匹配。</w:t>
            </w:r>
          </w:p>
        </w:tc>
        <w:tc>
          <w:tcPr>
            <w:tcW w:w="1277"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133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2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75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资金分配</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合理性</w:t>
            </w:r>
          </w:p>
        </w:tc>
        <w:tc>
          <w:tcPr>
            <w:tcW w:w="2315"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项目预算资金分配是否有测算依据，与补助单位或地方实际是否相适应，用以反映和考核项目预算资金分配的科学性、合理性情况。</w:t>
            </w:r>
          </w:p>
        </w:tc>
        <w:tc>
          <w:tcPr>
            <w:tcW w:w="5104"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①预算资金分配依据是否充分；</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②资金分配额度是否合理，与项目单位或地方实际是否相适应。</w:t>
            </w:r>
          </w:p>
        </w:tc>
        <w:tc>
          <w:tcPr>
            <w:tcW w:w="1277"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133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2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过程</w:t>
            </w:r>
          </w:p>
        </w:tc>
        <w:tc>
          <w:tcPr>
            <w:tcW w:w="75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资金管理</w:t>
            </w: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资金到位率</w:t>
            </w:r>
          </w:p>
        </w:tc>
        <w:tc>
          <w:tcPr>
            <w:tcW w:w="2315"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实际到位资金与预算资金的比率，用以反映和考核资金落实情况对项目实施的总体保障程度。</w:t>
            </w:r>
          </w:p>
        </w:tc>
        <w:tc>
          <w:tcPr>
            <w:tcW w:w="5104"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资金到位率=（实际到位资金/预算资金）×100%。</w:t>
            </w:r>
          </w:p>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预算资金：一定时期（本年度或项目期）内预算安排到具体项目的资金。</w:t>
            </w:r>
          </w:p>
        </w:tc>
        <w:tc>
          <w:tcPr>
            <w:tcW w:w="1277"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133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2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75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预算执行率</w:t>
            </w:r>
          </w:p>
        </w:tc>
        <w:tc>
          <w:tcPr>
            <w:tcW w:w="2315"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项目预算资金是否按照计划执行，用以反映或考核项目预算执行情况。</w:t>
            </w:r>
          </w:p>
        </w:tc>
        <w:tc>
          <w:tcPr>
            <w:tcW w:w="5104"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预算执行率=（实际支出资金/实际到位资金）×100%。</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实际支出资金：一定时期（本年度或项目期）内项目实际拨付的资金。</w:t>
            </w:r>
          </w:p>
        </w:tc>
        <w:tc>
          <w:tcPr>
            <w:tcW w:w="1277"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133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8"/>
                <w:szCs w:val="28"/>
              </w:rPr>
              <w:t>0.7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2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过程　</w:t>
            </w:r>
          </w:p>
        </w:tc>
        <w:tc>
          <w:tcPr>
            <w:tcW w:w="75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资金管理</w:t>
            </w: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资金使用</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合规性</w:t>
            </w:r>
          </w:p>
        </w:tc>
        <w:tc>
          <w:tcPr>
            <w:tcW w:w="2315"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项目资金使用是否符合相关的财务管理制度规定，用以反映和考核项目资金的规范运行情况。</w:t>
            </w:r>
          </w:p>
        </w:tc>
        <w:tc>
          <w:tcPr>
            <w:tcW w:w="5104"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①是否符合国家财经法规和财务管理制度以及有关专项资金管理办法的规定；</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②资金的拨付是否有完整的审批程序和手续；</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③是否符合项目预算批复或合同规定的用途；</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④是否存在截留、挤占、挪用、虚列支出等情况。</w:t>
            </w:r>
          </w:p>
        </w:tc>
        <w:tc>
          <w:tcPr>
            <w:tcW w:w="1277"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133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2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75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组织实施</w:t>
            </w:r>
          </w:p>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管理制度</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健全性</w:t>
            </w:r>
          </w:p>
        </w:tc>
        <w:tc>
          <w:tcPr>
            <w:tcW w:w="2315"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项目实施单位的财务和业务管理制度是否健全，用以反映和考核财务和业务管理制度对项目顺利实施的保障情况。</w:t>
            </w:r>
          </w:p>
        </w:tc>
        <w:tc>
          <w:tcPr>
            <w:tcW w:w="5104"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①是否已制定或具有相应的财务和业务管理制度；</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②财务和业务管理制度是否合法、合规、完整。</w:t>
            </w:r>
          </w:p>
        </w:tc>
        <w:tc>
          <w:tcPr>
            <w:tcW w:w="1277"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133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2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75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制度执行</w:t>
            </w:r>
          </w:p>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有效性</w:t>
            </w:r>
          </w:p>
        </w:tc>
        <w:tc>
          <w:tcPr>
            <w:tcW w:w="2315"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项目实施是否符合相关管理规定，用以反映和考核相关管理制度的有效执行情况。</w:t>
            </w:r>
          </w:p>
        </w:tc>
        <w:tc>
          <w:tcPr>
            <w:tcW w:w="5104"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评价要点：</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①是否遵守相关法律法规和相关管理规定；</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②项目调整及支出调整手续是否完备；</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③项目合同书、验收报告、技术鉴定等资料是否齐全并及时归档；</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④项目实施的人员条件、场地设备、信息支撑等是否落实到位。</w:t>
            </w:r>
          </w:p>
        </w:tc>
        <w:tc>
          <w:tcPr>
            <w:tcW w:w="1277"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133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8"/>
                <w:szCs w:val="2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产出</w:t>
            </w:r>
          </w:p>
        </w:tc>
        <w:tc>
          <w:tcPr>
            <w:tcW w:w="75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产出数量</w:t>
            </w: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实际完成率</w:t>
            </w:r>
          </w:p>
        </w:tc>
        <w:tc>
          <w:tcPr>
            <w:tcW w:w="2315"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项目实施的实际产出数与计划产出数的比率，用以反映和考核项目产出数量目标的实现程度。</w:t>
            </w:r>
          </w:p>
        </w:tc>
        <w:tc>
          <w:tcPr>
            <w:tcW w:w="5104"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实际完成率=（实际产出数/计划产出数）×100%。</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实际产出数：一定时期（本年度或项目期）内项目实际产出的产品或提供的服务数量。</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计划产出数：项目绩效目标确定的在一定时期（本年度或项目期）内计划产出的产品或提供的服务数量。</w:t>
            </w:r>
          </w:p>
        </w:tc>
        <w:tc>
          <w:tcPr>
            <w:tcW w:w="1277"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15</w:t>
            </w:r>
          </w:p>
        </w:tc>
        <w:tc>
          <w:tcPr>
            <w:tcW w:w="133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8"/>
                <w:szCs w:val="2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2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产出</w:t>
            </w:r>
          </w:p>
        </w:tc>
        <w:tc>
          <w:tcPr>
            <w:tcW w:w="75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产出质量</w:t>
            </w: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质量达标率</w:t>
            </w:r>
          </w:p>
        </w:tc>
        <w:tc>
          <w:tcPr>
            <w:tcW w:w="2315"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项目完成的质量达标产出数与实际产出数的比率，用以反映和考核项目产出质量目标的实现程度。</w:t>
            </w:r>
          </w:p>
        </w:tc>
        <w:tc>
          <w:tcPr>
            <w:tcW w:w="5104"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质量达标率=（质量达标产出数/实际产出数）×100%。</w:t>
            </w:r>
          </w:p>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77"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c>
          <w:tcPr>
            <w:tcW w:w="133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8"/>
                <w:szCs w:val="2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2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754" w:type="dxa"/>
            <w:shd w:val="clear" w:color="auto" w:fill="FFFFFF"/>
            <w:vAlign w:val="center"/>
          </w:tcPr>
          <w:p>
            <w:pPr>
              <w:pageBreakBefore w:val="0"/>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产出时效</w:t>
            </w: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完成及时性</w:t>
            </w:r>
          </w:p>
        </w:tc>
        <w:tc>
          <w:tcPr>
            <w:tcW w:w="2315"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项目实际完成时间与计划完成时间的比较，用以反映和考核项目产出时效目标的实现程度。</w:t>
            </w:r>
          </w:p>
        </w:tc>
        <w:tc>
          <w:tcPr>
            <w:tcW w:w="5104"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实际完成时间：项目实施单位完成该项目实际所耗用的时间。</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计划完成时间：按照项目实施计划或相关规定完成该项目所需的时间。</w:t>
            </w:r>
          </w:p>
        </w:tc>
        <w:tc>
          <w:tcPr>
            <w:tcW w:w="1277"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15</w:t>
            </w:r>
          </w:p>
        </w:tc>
        <w:tc>
          <w:tcPr>
            <w:tcW w:w="133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8"/>
                <w:szCs w:val="2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2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75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产出成本</w:t>
            </w: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成本节约率</w:t>
            </w:r>
          </w:p>
        </w:tc>
        <w:tc>
          <w:tcPr>
            <w:tcW w:w="2315"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完成项目计划工作目标的实际节约成本与计划成本的比率，用以反映和考核项目的成本节约程度。</w:t>
            </w:r>
          </w:p>
        </w:tc>
        <w:tc>
          <w:tcPr>
            <w:tcW w:w="5104"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成本节约率=[（计划成本-实际成本）/计划成本]×100%。</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实际成本：项目实施单位如期、保质、保量完成既定工作目标实际所耗费的支出。</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计划成本：项目实施单位为完成工作目标计划安排的支出，一般以项目预算为参考。</w:t>
            </w:r>
          </w:p>
        </w:tc>
        <w:tc>
          <w:tcPr>
            <w:tcW w:w="1277"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c>
          <w:tcPr>
            <w:tcW w:w="133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8"/>
                <w:szCs w:val="28"/>
                <w:lang w:val="en-US" w:eastAsia="zh-CN"/>
              </w:rPr>
              <w:t>7.74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2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效益　</w:t>
            </w:r>
          </w:p>
        </w:tc>
        <w:tc>
          <w:tcPr>
            <w:tcW w:w="75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项目效益　</w:t>
            </w: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实施效益</w:t>
            </w:r>
          </w:p>
        </w:tc>
        <w:tc>
          <w:tcPr>
            <w:tcW w:w="23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项目实施所产生的效益。</w:t>
            </w:r>
          </w:p>
        </w:tc>
        <w:tc>
          <w:tcPr>
            <w:tcW w:w="5104"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项目实施所产生的社会效益、经济效益、生态效益、可持续影响等。可根据项目实际情况有选择地设置和细化。</w:t>
            </w:r>
          </w:p>
        </w:tc>
        <w:tc>
          <w:tcPr>
            <w:tcW w:w="1277"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w:t>
            </w:r>
          </w:p>
        </w:tc>
        <w:tc>
          <w:tcPr>
            <w:tcW w:w="133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8"/>
                <w:szCs w:val="28"/>
                <w:lang w:val="en-US" w:eastAsia="zh-CN"/>
              </w:rPr>
              <w:t>19.37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2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75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p>
        </w:tc>
        <w:tc>
          <w:tcPr>
            <w:tcW w:w="8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满意度</w:t>
            </w:r>
          </w:p>
        </w:tc>
        <w:tc>
          <w:tcPr>
            <w:tcW w:w="2315"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社会公众或服务对象对项目实施效果的满意程度。</w:t>
            </w:r>
          </w:p>
        </w:tc>
        <w:tc>
          <w:tcPr>
            <w:tcW w:w="5104"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社会公众或服务对象是指因该项目实施而受到影响的部门（单位）、群体或个人。一般采取社会调查的方式。</w:t>
            </w:r>
          </w:p>
        </w:tc>
        <w:tc>
          <w:tcPr>
            <w:tcW w:w="1277"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c>
          <w:tcPr>
            <w:tcW w:w="1339"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8"/>
                <w:szCs w:val="28"/>
                <w:lang w:val="en-US" w:eastAsia="zh-CN"/>
              </w:rPr>
              <w:t>8</w:t>
            </w:r>
          </w:p>
        </w:tc>
      </w:tr>
    </w:tbl>
    <w:p>
      <w:pPr>
        <w:pStyle w:val="2"/>
        <w:pageBreakBefore w:val="0"/>
        <w:kinsoku/>
        <w:wordWrap/>
        <w:overflowPunct/>
        <w:topLinePunct w:val="0"/>
        <w:autoSpaceDE/>
        <w:autoSpaceDN/>
        <w:bidi w:val="0"/>
        <w:adjustRightInd/>
        <w:snapToGrid/>
        <w:spacing w:before="0" w:after="0" w:line="560" w:lineRule="exact"/>
        <w:rPr>
          <w:rFonts w:hint="eastAsia" w:ascii="仿宋_GB2312" w:hAnsi="仿宋_GB2312" w:eastAsia="仿宋_GB2312" w:cs="仿宋_GB2312"/>
          <w:sz w:val="32"/>
          <w:szCs w:val="32"/>
        </w:rPr>
      </w:pPr>
    </w:p>
    <w:p>
      <w:pPr>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sz w:val="32"/>
          <w:szCs w:val="32"/>
        </w:rPr>
      </w:pPr>
    </w:p>
    <w:p>
      <w:pPr>
        <w:pageBreakBefore w:val="0"/>
        <w:kinsoku/>
        <w:wordWrap/>
        <w:overflowPunct/>
        <w:topLinePunct w:val="0"/>
        <w:autoSpaceDE/>
        <w:autoSpaceDN/>
        <w:bidi w:val="0"/>
        <w:adjustRightInd/>
        <w:snapToGrid/>
        <w:spacing w:line="560" w:lineRule="exact"/>
        <w:ind w:firstLine="640"/>
        <w:rPr>
          <w:rStyle w:val="24"/>
          <w:rFonts w:hint="eastAsia" w:ascii="仿宋_GB2312" w:hAnsi="仿宋_GB2312" w:eastAsia="仿宋_GB2312" w:cs="仿宋_GB2312"/>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24"/>
          <w:rFonts w:hint="eastAsia" w:ascii="仿宋_GB2312" w:hAnsi="仿宋_GB2312" w:eastAsia="仿宋_GB2312" w:cs="仿宋_GB2312"/>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24"/>
          <w:rFonts w:hint="eastAsia" w:ascii="仿宋_GB2312" w:hAnsi="仿宋_GB2312" w:eastAsia="仿宋_GB2312" w:cs="仿宋_GB2312"/>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24"/>
          <w:rFonts w:hint="eastAsia" w:ascii="仿宋_GB2312" w:hAnsi="仿宋_GB2312" w:eastAsia="仿宋_GB2312" w:cs="仿宋_GB2312"/>
          <w:bCs w:val="0"/>
          <w:spacing w:val="-4"/>
          <w:sz w:val="32"/>
          <w:szCs w:val="32"/>
        </w:rPr>
      </w:pPr>
    </w:p>
    <w:p>
      <w:pPr>
        <w:pageBreakBefore w:val="0"/>
        <w:kinsoku/>
        <w:wordWrap/>
        <w:overflowPunct/>
        <w:topLinePunct w:val="0"/>
        <w:autoSpaceDE/>
        <w:autoSpaceDN/>
        <w:bidi w:val="0"/>
        <w:adjustRightInd/>
        <w:snapToGrid/>
        <w:spacing w:line="560" w:lineRule="exact"/>
        <w:rPr>
          <w:rStyle w:val="24"/>
          <w:rFonts w:hint="eastAsia" w:ascii="仿宋_GB2312" w:hAnsi="仿宋_GB2312" w:eastAsia="仿宋_GB2312" w:cs="仿宋_GB2312"/>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18</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EE5C6BF8"/>
    <w:multiLevelType w:val="singleLevel"/>
    <w:tmpl w:val="EE5C6BF8"/>
    <w:lvl w:ilvl="0" w:tentative="0">
      <w:start w:val="2"/>
      <w:numFmt w:val="decimal"/>
      <w:suff w:val="nothing"/>
      <w:lvlText w:val="%1、"/>
      <w:lvlJc w:val="left"/>
    </w:lvl>
  </w:abstractNum>
  <w:abstractNum w:abstractNumId="2">
    <w:nsid w:val="FF4BB6DE"/>
    <w:multiLevelType w:val="singleLevel"/>
    <w:tmpl w:val="FF4BB6DE"/>
    <w:lvl w:ilvl="0" w:tentative="0">
      <w:start w:val="1"/>
      <w:numFmt w:val="decimal"/>
      <w:suff w:val="nothing"/>
      <w:lvlText w:val="%1、"/>
      <w:lvlJc w:val="left"/>
      <w:pPr>
        <w:ind w:left="-221"/>
      </w:pPr>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3730CCE4"/>
    <w:multiLevelType w:val="singleLevel"/>
    <w:tmpl w:val="3730CCE4"/>
    <w:lvl w:ilvl="0" w:tentative="0">
      <w:start w:val="2"/>
      <w:numFmt w:val="decimal"/>
      <w:suff w:val="nothing"/>
      <w:lvlText w:val="（%1）"/>
      <w:lvlJc w:val="left"/>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5"/>
  </w:num>
  <w:num w:numId="2">
    <w:abstractNumId w:val="1"/>
  </w:num>
  <w:num w:numId="3">
    <w:abstractNumId w:val="4"/>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241D48"/>
    <w:rsid w:val="002E5B44"/>
    <w:rsid w:val="003C18BC"/>
    <w:rsid w:val="004366A8"/>
    <w:rsid w:val="00464900"/>
    <w:rsid w:val="00502BA7"/>
    <w:rsid w:val="005162F1"/>
    <w:rsid w:val="00535153"/>
    <w:rsid w:val="00554F82"/>
    <w:rsid w:val="0056390D"/>
    <w:rsid w:val="005719B0"/>
    <w:rsid w:val="005D10D6"/>
    <w:rsid w:val="007806A5"/>
    <w:rsid w:val="007C0D6F"/>
    <w:rsid w:val="00855E3A"/>
    <w:rsid w:val="0086000C"/>
    <w:rsid w:val="00922CB9"/>
    <w:rsid w:val="009E5CD9"/>
    <w:rsid w:val="009F26F1"/>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1F22BE3"/>
    <w:rsid w:val="03EE4852"/>
    <w:rsid w:val="043E04ED"/>
    <w:rsid w:val="04D80CFB"/>
    <w:rsid w:val="051A56F5"/>
    <w:rsid w:val="05381DE2"/>
    <w:rsid w:val="06267B29"/>
    <w:rsid w:val="066D6EAA"/>
    <w:rsid w:val="06937F99"/>
    <w:rsid w:val="079E6C7F"/>
    <w:rsid w:val="07F65C3B"/>
    <w:rsid w:val="08C662D4"/>
    <w:rsid w:val="08DB1D54"/>
    <w:rsid w:val="09BD4D95"/>
    <w:rsid w:val="0A333648"/>
    <w:rsid w:val="0B214A93"/>
    <w:rsid w:val="0BA869FA"/>
    <w:rsid w:val="0BE16BC5"/>
    <w:rsid w:val="0BFC3003"/>
    <w:rsid w:val="0C66688F"/>
    <w:rsid w:val="0C6E7809"/>
    <w:rsid w:val="0E4B35D0"/>
    <w:rsid w:val="0F3F0009"/>
    <w:rsid w:val="0F8D41CB"/>
    <w:rsid w:val="0FDF12D6"/>
    <w:rsid w:val="10225AC4"/>
    <w:rsid w:val="11C75270"/>
    <w:rsid w:val="11CB16E4"/>
    <w:rsid w:val="12637CC3"/>
    <w:rsid w:val="12E657C5"/>
    <w:rsid w:val="13BE3989"/>
    <w:rsid w:val="14A47F87"/>
    <w:rsid w:val="14BD2477"/>
    <w:rsid w:val="15A02365"/>
    <w:rsid w:val="15A1041D"/>
    <w:rsid w:val="15D24191"/>
    <w:rsid w:val="167C7687"/>
    <w:rsid w:val="168B3546"/>
    <w:rsid w:val="16D25497"/>
    <w:rsid w:val="16E766DD"/>
    <w:rsid w:val="16EC3EDE"/>
    <w:rsid w:val="17DF2715"/>
    <w:rsid w:val="19BA6EDC"/>
    <w:rsid w:val="1A2374E0"/>
    <w:rsid w:val="1ABB2C95"/>
    <w:rsid w:val="1C317CE2"/>
    <w:rsid w:val="1C340713"/>
    <w:rsid w:val="1C6B0C35"/>
    <w:rsid w:val="1C79701D"/>
    <w:rsid w:val="1CA0342E"/>
    <w:rsid w:val="1D676BAC"/>
    <w:rsid w:val="1D8120E3"/>
    <w:rsid w:val="1DD45808"/>
    <w:rsid w:val="1DED42AC"/>
    <w:rsid w:val="1E3E3988"/>
    <w:rsid w:val="1E560289"/>
    <w:rsid w:val="1F962A00"/>
    <w:rsid w:val="1FF52EAD"/>
    <w:rsid w:val="20005763"/>
    <w:rsid w:val="202B1E12"/>
    <w:rsid w:val="20FB313D"/>
    <w:rsid w:val="21C51A44"/>
    <w:rsid w:val="220B4804"/>
    <w:rsid w:val="2244499E"/>
    <w:rsid w:val="24AA4ED0"/>
    <w:rsid w:val="261043E9"/>
    <w:rsid w:val="26A30885"/>
    <w:rsid w:val="26D32828"/>
    <w:rsid w:val="282475E3"/>
    <w:rsid w:val="287B5996"/>
    <w:rsid w:val="28BA0911"/>
    <w:rsid w:val="29504733"/>
    <w:rsid w:val="29C0690D"/>
    <w:rsid w:val="2B9B7009"/>
    <w:rsid w:val="2C6100C1"/>
    <w:rsid w:val="2CAB477B"/>
    <w:rsid w:val="2D966E07"/>
    <w:rsid w:val="2DAD3D9F"/>
    <w:rsid w:val="2DAF53E1"/>
    <w:rsid w:val="2E434D94"/>
    <w:rsid w:val="2F0E016A"/>
    <w:rsid w:val="303F1C6A"/>
    <w:rsid w:val="31052275"/>
    <w:rsid w:val="311845DF"/>
    <w:rsid w:val="311F0C93"/>
    <w:rsid w:val="31233A56"/>
    <w:rsid w:val="3264220D"/>
    <w:rsid w:val="329A3471"/>
    <w:rsid w:val="32C850BD"/>
    <w:rsid w:val="32D05EAC"/>
    <w:rsid w:val="33AA354A"/>
    <w:rsid w:val="33CE3110"/>
    <w:rsid w:val="35510ADA"/>
    <w:rsid w:val="362772AB"/>
    <w:rsid w:val="3628391A"/>
    <w:rsid w:val="36A0683D"/>
    <w:rsid w:val="385A0249"/>
    <w:rsid w:val="38A25483"/>
    <w:rsid w:val="39064BE7"/>
    <w:rsid w:val="39630432"/>
    <w:rsid w:val="3963178C"/>
    <w:rsid w:val="3B6C0086"/>
    <w:rsid w:val="3BD0155D"/>
    <w:rsid w:val="3CB95A5C"/>
    <w:rsid w:val="3FE467A3"/>
    <w:rsid w:val="409408ED"/>
    <w:rsid w:val="409E34F2"/>
    <w:rsid w:val="41442AF9"/>
    <w:rsid w:val="41CC2676"/>
    <w:rsid w:val="41D63F98"/>
    <w:rsid w:val="424E46C6"/>
    <w:rsid w:val="426C1051"/>
    <w:rsid w:val="42F27FE8"/>
    <w:rsid w:val="431C307F"/>
    <w:rsid w:val="44A44C56"/>
    <w:rsid w:val="45E67D45"/>
    <w:rsid w:val="46B21672"/>
    <w:rsid w:val="47C34F7C"/>
    <w:rsid w:val="480A6DB8"/>
    <w:rsid w:val="4A2D6848"/>
    <w:rsid w:val="4A350946"/>
    <w:rsid w:val="4B5E4BDF"/>
    <w:rsid w:val="4C190EDD"/>
    <w:rsid w:val="4D340921"/>
    <w:rsid w:val="4D4979FA"/>
    <w:rsid w:val="4E6B131B"/>
    <w:rsid w:val="4F552460"/>
    <w:rsid w:val="4FCC6863"/>
    <w:rsid w:val="500A214A"/>
    <w:rsid w:val="51D66FE2"/>
    <w:rsid w:val="522D604D"/>
    <w:rsid w:val="523E0B8E"/>
    <w:rsid w:val="5297585E"/>
    <w:rsid w:val="52AD7D6F"/>
    <w:rsid w:val="5549519D"/>
    <w:rsid w:val="5557596B"/>
    <w:rsid w:val="57254D64"/>
    <w:rsid w:val="5A6E2BFF"/>
    <w:rsid w:val="5A787F32"/>
    <w:rsid w:val="5ACB1BF0"/>
    <w:rsid w:val="5B596DFC"/>
    <w:rsid w:val="5BAE5DF4"/>
    <w:rsid w:val="5BE82832"/>
    <w:rsid w:val="5C134915"/>
    <w:rsid w:val="5C2B7E95"/>
    <w:rsid w:val="5C600C5C"/>
    <w:rsid w:val="5C7D6910"/>
    <w:rsid w:val="5D796449"/>
    <w:rsid w:val="5DDE28AE"/>
    <w:rsid w:val="5DF03945"/>
    <w:rsid w:val="5E55398E"/>
    <w:rsid w:val="61894103"/>
    <w:rsid w:val="637C2815"/>
    <w:rsid w:val="637F2CED"/>
    <w:rsid w:val="648109EB"/>
    <w:rsid w:val="648C176C"/>
    <w:rsid w:val="64AB4385"/>
    <w:rsid w:val="664A7178"/>
    <w:rsid w:val="6667229A"/>
    <w:rsid w:val="680A005A"/>
    <w:rsid w:val="68BF41B7"/>
    <w:rsid w:val="68FA7AE6"/>
    <w:rsid w:val="6BB25653"/>
    <w:rsid w:val="6C0F604E"/>
    <w:rsid w:val="6D0B7870"/>
    <w:rsid w:val="6E274AB7"/>
    <w:rsid w:val="6EAE5645"/>
    <w:rsid w:val="6EBE4357"/>
    <w:rsid w:val="6F1C2900"/>
    <w:rsid w:val="6F1E3AEE"/>
    <w:rsid w:val="6F5543B5"/>
    <w:rsid w:val="6F715E91"/>
    <w:rsid w:val="72A94CFC"/>
    <w:rsid w:val="74122AB9"/>
    <w:rsid w:val="749758A6"/>
    <w:rsid w:val="75466C1E"/>
    <w:rsid w:val="757E7657"/>
    <w:rsid w:val="762B4F99"/>
    <w:rsid w:val="788D6786"/>
    <w:rsid w:val="79F0118E"/>
    <w:rsid w:val="7A353D0B"/>
    <w:rsid w:val="7ABE55A2"/>
    <w:rsid w:val="7B597445"/>
    <w:rsid w:val="7B74686B"/>
    <w:rsid w:val="7D3A5E2F"/>
    <w:rsid w:val="7E27291F"/>
    <w:rsid w:val="7E7E1AE7"/>
    <w:rsid w:val="7F423DB4"/>
    <w:rsid w:val="7FD41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8"/>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9"/>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30"/>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2"/>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link w:val="56"/>
    <w:semiHidden/>
    <w:unhideWhenUsed/>
    <w:qFormat/>
    <w:uiPriority w:val="99"/>
    <w:pPr>
      <w:jc w:val="left"/>
    </w:pPr>
  </w:style>
  <w:style w:type="paragraph" w:styleId="13">
    <w:name w:val="Body Text"/>
    <w:basedOn w:val="1"/>
    <w:qFormat/>
    <w:uiPriority w:val="0"/>
    <w:pPr>
      <w:spacing w:after="120"/>
    </w:pPr>
  </w:style>
  <w:style w:type="paragraph" w:styleId="14">
    <w:name w:val="Body Text Indent"/>
    <w:basedOn w:val="1"/>
    <w:unhideWhenUsed/>
    <w:qFormat/>
    <w:uiPriority w:val="99"/>
    <w:pPr>
      <w:spacing w:after="120"/>
      <w:ind w:left="420" w:leftChars="200"/>
    </w:pPr>
  </w:style>
  <w:style w:type="paragraph" w:styleId="15">
    <w:name w:val="Balloon Text"/>
    <w:basedOn w:val="1"/>
    <w:link w:val="52"/>
    <w:semiHidden/>
    <w:unhideWhenUsed/>
    <w:qFormat/>
    <w:uiPriority w:val="99"/>
    <w:rPr>
      <w:sz w:val="18"/>
      <w:szCs w:val="18"/>
    </w:rPr>
  </w:style>
  <w:style w:type="paragraph" w:styleId="16">
    <w:name w:val="footer"/>
    <w:basedOn w:val="1"/>
    <w:link w:val="51"/>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19">
    <w:name w:val="annotation subject"/>
    <w:basedOn w:val="12"/>
    <w:next w:val="12"/>
    <w:link w:val="57"/>
    <w:semiHidden/>
    <w:unhideWhenUsed/>
    <w:qFormat/>
    <w:uiPriority w:val="99"/>
    <w:rPr>
      <w:b/>
      <w:bCs/>
    </w:rPr>
  </w:style>
  <w:style w:type="paragraph" w:styleId="20">
    <w:name w:val="Body Text First Indent"/>
    <w:basedOn w:val="13"/>
    <w:qFormat/>
    <w:uiPriority w:val="0"/>
    <w:pPr>
      <w:spacing w:after="0"/>
      <w:ind w:firstLine="200" w:firstLineChars="200"/>
    </w:pPr>
  </w:style>
  <w:style w:type="paragraph" w:styleId="21">
    <w:name w:val="Body Text First Indent 2"/>
    <w:basedOn w:val="14"/>
    <w:unhideWhenUsed/>
    <w:qFormat/>
    <w:uiPriority w:val="99"/>
    <w:pPr>
      <w:ind w:firstLine="420" w:firstLineChars="200"/>
    </w:p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character" w:styleId="26">
    <w:name w:val="annotation reference"/>
    <w:basedOn w:val="23"/>
    <w:semiHidden/>
    <w:unhideWhenUsed/>
    <w:qFormat/>
    <w:uiPriority w:val="99"/>
    <w:rPr>
      <w:sz w:val="21"/>
      <w:szCs w:val="21"/>
    </w:rPr>
  </w:style>
  <w:style w:type="character" w:customStyle="1" w:styleId="27">
    <w:name w:val="标题 1 字符"/>
    <w:basedOn w:val="23"/>
    <w:link w:val="3"/>
    <w:qFormat/>
    <w:uiPriority w:val="9"/>
    <w:rPr>
      <w:rFonts w:asciiTheme="majorHAnsi" w:hAnsiTheme="majorHAnsi" w:eastAsiaTheme="majorEastAsia"/>
      <w:b/>
      <w:bCs/>
      <w:kern w:val="32"/>
      <w:sz w:val="32"/>
      <w:szCs w:val="32"/>
    </w:rPr>
  </w:style>
  <w:style w:type="character" w:customStyle="1" w:styleId="28">
    <w:name w:val="标题 2 字符"/>
    <w:basedOn w:val="23"/>
    <w:link w:val="4"/>
    <w:semiHidden/>
    <w:qFormat/>
    <w:uiPriority w:val="9"/>
    <w:rPr>
      <w:rFonts w:asciiTheme="majorHAnsi" w:hAnsiTheme="majorHAnsi" w:eastAsiaTheme="majorEastAsia"/>
      <w:b/>
      <w:bCs/>
      <w:i/>
      <w:iCs/>
      <w:sz w:val="28"/>
      <w:szCs w:val="28"/>
    </w:rPr>
  </w:style>
  <w:style w:type="character" w:customStyle="1" w:styleId="29">
    <w:name w:val="标题 3 字符"/>
    <w:basedOn w:val="23"/>
    <w:link w:val="5"/>
    <w:semiHidden/>
    <w:qFormat/>
    <w:uiPriority w:val="9"/>
    <w:rPr>
      <w:rFonts w:asciiTheme="majorHAnsi" w:hAnsiTheme="majorHAnsi" w:eastAsiaTheme="majorEastAsia"/>
      <w:b/>
      <w:bCs/>
      <w:sz w:val="26"/>
      <w:szCs w:val="26"/>
    </w:rPr>
  </w:style>
  <w:style w:type="character" w:customStyle="1" w:styleId="30">
    <w:name w:val="标题 4 字符"/>
    <w:basedOn w:val="23"/>
    <w:link w:val="6"/>
    <w:semiHidden/>
    <w:qFormat/>
    <w:uiPriority w:val="9"/>
    <w:rPr>
      <w:b/>
      <w:bCs/>
      <w:sz w:val="28"/>
      <w:szCs w:val="28"/>
    </w:rPr>
  </w:style>
  <w:style w:type="character" w:customStyle="1" w:styleId="31">
    <w:name w:val="标题 5 字符"/>
    <w:basedOn w:val="23"/>
    <w:link w:val="7"/>
    <w:semiHidden/>
    <w:qFormat/>
    <w:uiPriority w:val="9"/>
    <w:rPr>
      <w:b/>
      <w:bCs/>
      <w:i/>
      <w:iCs/>
      <w:sz w:val="26"/>
      <w:szCs w:val="26"/>
    </w:rPr>
  </w:style>
  <w:style w:type="character" w:customStyle="1" w:styleId="32">
    <w:name w:val="标题 6 字符"/>
    <w:basedOn w:val="23"/>
    <w:link w:val="8"/>
    <w:semiHidden/>
    <w:qFormat/>
    <w:uiPriority w:val="9"/>
    <w:rPr>
      <w:b/>
      <w:bCs/>
    </w:rPr>
  </w:style>
  <w:style w:type="character" w:customStyle="1" w:styleId="33">
    <w:name w:val="标题 7 字符"/>
    <w:basedOn w:val="23"/>
    <w:link w:val="9"/>
    <w:semiHidden/>
    <w:qFormat/>
    <w:uiPriority w:val="9"/>
    <w:rPr>
      <w:sz w:val="24"/>
      <w:szCs w:val="24"/>
    </w:rPr>
  </w:style>
  <w:style w:type="character" w:customStyle="1" w:styleId="34">
    <w:name w:val="标题 8 字符"/>
    <w:basedOn w:val="23"/>
    <w:link w:val="10"/>
    <w:semiHidden/>
    <w:qFormat/>
    <w:uiPriority w:val="9"/>
    <w:rPr>
      <w:i/>
      <w:iCs/>
      <w:sz w:val="24"/>
      <w:szCs w:val="24"/>
    </w:rPr>
  </w:style>
  <w:style w:type="character" w:customStyle="1" w:styleId="35">
    <w:name w:val="标题 9 字符"/>
    <w:basedOn w:val="23"/>
    <w:link w:val="11"/>
    <w:semiHidden/>
    <w:qFormat/>
    <w:uiPriority w:val="9"/>
    <w:rPr>
      <w:rFonts w:asciiTheme="majorHAnsi" w:hAnsiTheme="majorHAnsi" w:eastAsiaTheme="majorEastAsia"/>
    </w:rPr>
  </w:style>
  <w:style w:type="character" w:customStyle="1" w:styleId="36">
    <w:name w:val="标题 字符"/>
    <w:basedOn w:val="23"/>
    <w:link w:val="2"/>
    <w:qFormat/>
    <w:uiPriority w:val="10"/>
    <w:rPr>
      <w:rFonts w:asciiTheme="majorHAnsi" w:hAnsiTheme="majorHAnsi" w:eastAsiaTheme="majorEastAsia"/>
      <w:b/>
      <w:bCs/>
      <w:kern w:val="28"/>
      <w:sz w:val="32"/>
      <w:szCs w:val="32"/>
    </w:rPr>
  </w:style>
  <w:style w:type="character" w:customStyle="1" w:styleId="37">
    <w:name w:val="副标题 字符"/>
    <w:basedOn w:val="23"/>
    <w:link w:val="18"/>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字符"/>
    <w:basedOn w:val="23"/>
    <w:link w:val="40"/>
    <w:qFormat/>
    <w:uiPriority w:val="29"/>
    <w:rPr>
      <w:i/>
      <w:sz w:val="24"/>
      <w:szCs w:val="24"/>
    </w:rPr>
  </w:style>
  <w:style w:type="paragraph" w:styleId="42">
    <w:name w:val="Intense Quote"/>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字符"/>
    <w:basedOn w:val="23"/>
    <w:link w:val="42"/>
    <w:qFormat/>
    <w:uiPriority w:val="30"/>
    <w:rPr>
      <w:b/>
      <w:i/>
      <w:sz w:val="24"/>
    </w:rPr>
  </w:style>
  <w:style w:type="character" w:customStyle="1" w:styleId="44">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5">
    <w:name w:val="明显强调1"/>
    <w:basedOn w:val="23"/>
    <w:qFormat/>
    <w:uiPriority w:val="21"/>
    <w:rPr>
      <w:b/>
      <w:i/>
      <w:sz w:val="24"/>
      <w:szCs w:val="24"/>
      <w:u w:val="single"/>
    </w:rPr>
  </w:style>
  <w:style w:type="character" w:customStyle="1" w:styleId="46">
    <w:name w:val="不明显参考1"/>
    <w:basedOn w:val="23"/>
    <w:qFormat/>
    <w:uiPriority w:val="31"/>
    <w:rPr>
      <w:sz w:val="24"/>
      <w:szCs w:val="24"/>
      <w:u w:val="single"/>
    </w:rPr>
  </w:style>
  <w:style w:type="character" w:customStyle="1" w:styleId="47">
    <w:name w:val="明显参考1"/>
    <w:basedOn w:val="23"/>
    <w:qFormat/>
    <w:uiPriority w:val="32"/>
    <w:rPr>
      <w:b/>
      <w:sz w:val="24"/>
      <w:u w:val="single"/>
    </w:rPr>
  </w:style>
  <w:style w:type="character" w:customStyle="1" w:styleId="48">
    <w:name w:val="书籍标题1"/>
    <w:basedOn w:val="23"/>
    <w:qFormat/>
    <w:uiPriority w:val="33"/>
    <w:rPr>
      <w:rFonts w:asciiTheme="majorHAnsi" w:hAnsiTheme="majorHAnsi" w:eastAsiaTheme="majorEastAsia"/>
      <w:b/>
      <w:i/>
      <w:sz w:val="24"/>
      <w:szCs w:val="24"/>
    </w:rPr>
  </w:style>
  <w:style w:type="paragraph" w:customStyle="1" w:styleId="49">
    <w:name w:val="TOC 标题1"/>
    <w:basedOn w:val="3"/>
    <w:next w:val="1"/>
    <w:semiHidden/>
    <w:unhideWhenUsed/>
    <w:qFormat/>
    <w:uiPriority w:val="39"/>
    <w:pPr>
      <w:outlineLvl w:val="9"/>
    </w:pPr>
    <w:rPr>
      <w:lang w:eastAsia="en-US" w:bidi="en-US"/>
    </w:rPr>
  </w:style>
  <w:style w:type="character" w:customStyle="1" w:styleId="50">
    <w:name w:val="页眉 字符"/>
    <w:basedOn w:val="23"/>
    <w:link w:val="17"/>
    <w:qFormat/>
    <w:uiPriority w:val="99"/>
    <w:rPr>
      <w:rFonts w:ascii="Calibri" w:hAnsi="Calibri" w:eastAsia="宋体"/>
      <w:kern w:val="2"/>
      <w:sz w:val="18"/>
      <w:szCs w:val="18"/>
    </w:rPr>
  </w:style>
  <w:style w:type="character" w:customStyle="1" w:styleId="51">
    <w:name w:val="页脚 字符"/>
    <w:basedOn w:val="23"/>
    <w:link w:val="16"/>
    <w:qFormat/>
    <w:uiPriority w:val="99"/>
    <w:rPr>
      <w:rFonts w:ascii="Calibri" w:hAnsi="Calibri" w:eastAsia="宋体"/>
      <w:kern w:val="2"/>
      <w:sz w:val="18"/>
      <w:szCs w:val="18"/>
    </w:rPr>
  </w:style>
  <w:style w:type="character" w:customStyle="1" w:styleId="52">
    <w:name w:val="批注框文本 字符"/>
    <w:basedOn w:val="23"/>
    <w:link w:val="15"/>
    <w:semiHidden/>
    <w:qFormat/>
    <w:uiPriority w:val="99"/>
    <w:rPr>
      <w:rFonts w:ascii="Times New Roman" w:hAnsi="Times New Roman" w:eastAsia="宋体"/>
      <w:kern w:val="2"/>
      <w:sz w:val="18"/>
      <w:szCs w:val="18"/>
    </w:rPr>
  </w:style>
  <w:style w:type="paragraph" w:customStyle="1" w:styleId="53">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4">
    <w:name w:val="fontstyle01"/>
    <w:qFormat/>
    <w:uiPriority w:val="0"/>
    <w:rPr>
      <w:rFonts w:ascii="仿宋_GB2312" w:hAnsi="仿宋_GB2312" w:eastAsia="仿宋_GB2312" w:cs="仿宋_GB2312"/>
      <w:color w:val="000000"/>
      <w:sz w:val="32"/>
      <w:szCs w:val="32"/>
    </w:rPr>
  </w:style>
  <w:style w:type="paragraph" w:customStyle="1" w:styleId="55">
    <w:name w:val="闻政-正文段落文字"/>
    <w:basedOn w:val="1"/>
    <w:qFormat/>
    <w:uiPriority w:val="3"/>
    <w:pPr>
      <w:spacing w:line="500" w:lineRule="exact"/>
      <w:ind w:firstLine="200"/>
    </w:pPr>
    <w:rPr>
      <w:kern w:val="0"/>
      <w:szCs w:val="28"/>
    </w:rPr>
  </w:style>
  <w:style w:type="character" w:customStyle="1" w:styleId="56">
    <w:name w:val="批注文字 字符"/>
    <w:basedOn w:val="23"/>
    <w:link w:val="12"/>
    <w:semiHidden/>
    <w:qFormat/>
    <w:uiPriority w:val="99"/>
    <w:rPr>
      <w:kern w:val="2"/>
      <w:sz w:val="21"/>
      <w:szCs w:val="24"/>
    </w:rPr>
  </w:style>
  <w:style w:type="character" w:customStyle="1" w:styleId="57">
    <w:name w:val="批注主题 字符"/>
    <w:basedOn w:val="56"/>
    <w:link w:val="19"/>
    <w:semiHidden/>
    <w:qFormat/>
    <w:uiPriority w:val="99"/>
    <w:rPr>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1629</Words>
  <Characters>9286</Characters>
  <Lines>77</Lines>
  <Paragraphs>21</Paragraphs>
  <TotalTime>2</TotalTime>
  <ScaleCrop>false</ScaleCrop>
  <LinksUpToDate>false</LinksUpToDate>
  <CharactersWithSpaces>10894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2025-09-16T10:17:16Z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190395CFA0704E77819F9EBE3B001D8B</vt:lpwstr>
  </property>
  <property fmtid="{D5CDD505-2E9C-101B-9397-08002B2CF9AE}" pid="4" name="KSOSaveFontToCloudKey">
    <vt:lpwstr>390855185_btnclosed</vt:lpwstr>
  </property>
</Properties>
</file>