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2020年塔城地区住房公积金管理中心综合服务平台运营费绩</w:t>
      </w:r>
      <w:r>
        <w:rPr>
          <w:rFonts w:hint="eastAsia" w:ascii="方正小标宋简体" w:hAnsi="方正小标宋简体" w:eastAsia="方正小标宋简体" w:cs="方正小标宋简体"/>
          <w:kern w:val="0"/>
          <w:sz w:val="44"/>
          <w:szCs w:val="44"/>
        </w:rPr>
        <w:t>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44"/>
          <w:szCs w:val="44"/>
        </w:rPr>
      </w:pPr>
      <w:r>
        <w:rPr>
          <w:rFonts w:hint="eastAsia" w:ascii="仿宋_GB2312" w:hAnsi="仿宋_GB2312" w:eastAsia="仿宋_GB2312" w:cs="仿宋_GB2312"/>
          <w:kern w:val="0"/>
          <w:sz w:val="44"/>
          <w:szCs w:val="44"/>
        </w:rPr>
        <w:t>（ 20</w:t>
      </w:r>
      <w:r>
        <w:rPr>
          <w:rFonts w:hint="eastAsia" w:ascii="仿宋_GB2312" w:hAnsi="仿宋_GB2312" w:eastAsia="仿宋_GB2312" w:cs="仿宋_GB2312"/>
          <w:kern w:val="0"/>
          <w:sz w:val="44"/>
          <w:szCs w:val="44"/>
          <w:lang w:val="en-US" w:eastAsia="zh-CN"/>
        </w:rPr>
        <w:t>20</w:t>
      </w:r>
      <w:r>
        <w:rPr>
          <w:rFonts w:hint="eastAsia" w:ascii="仿宋_GB2312" w:hAnsi="仿宋_GB2312" w:eastAsia="仿宋_GB2312" w:cs="仿宋_GB2312"/>
          <w:kern w:val="0"/>
          <w:sz w:val="44"/>
          <w:szCs w:val="44"/>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1"/>
          <w:sz w:val="32"/>
          <w:szCs w:val="32"/>
          <w:lang w:val="en-US" w:eastAsia="zh-CN"/>
        </w:rPr>
      </w:pPr>
      <w:r>
        <w:rPr>
          <w:rFonts w:hint="eastAsia" w:hAnsi="宋体" w:eastAsia="仿宋_GB2312" w:cs="宋体"/>
          <w:kern w:val="0"/>
          <w:sz w:val="36"/>
          <w:szCs w:val="36"/>
        </w:rPr>
        <w:t>项目名称：</w:t>
      </w:r>
      <w:r>
        <w:rPr>
          <w:rFonts w:hint="eastAsia" w:ascii="仿宋_GB2312" w:hAnsi="仿宋_GB2312" w:eastAsia="仿宋_GB2312" w:cs="仿宋_GB2312"/>
          <w:kern w:val="1"/>
          <w:sz w:val="32"/>
          <w:szCs w:val="32"/>
          <w:lang w:val="en-US" w:eastAsia="zh-CN"/>
        </w:rPr>
        <w:t>综合服务平台运营项目</w:t>
      </w:r>
    </w:p>
    <w:p>
      <w:pPr>
        <w:spacing w:line="700" w:lineRule="exact"/>
        <w:ind w:firstLine="720" w:firstLineChars="200"/>
        <w:jc w:val="left"/>
        <w:rPr>
          <w:rFonts w:hint="eastAsia" w:ascii="仿宋_GB2312" w:hAnsi="仿宋_GB2312" w:eastAsia="仿宋_GB2312" w:cs="仿宋_GB2312"/>
          <w:kern w:val="1"/>
          <w:sz w:val="32"/>
          <w:szCs w:val="32"/>
          <w:lang w:val="en-US" w:eastAsia="zh-CN"/>
        </w:rPr>
      </w:pPr>
      <w:r>
        <w:rPr>
          <w:rFonts w:hint="eastAsia" w:hAnsi="宋体" w:eastAsia="仿宋_GB2312" w:cs="宋体"/>
          <w:kern w:val="0"/>
          <w:sz w:val="36"/>
          <w:szCs w:val="36"/>
        </w:rPr>
        <w:t>实施单位（公章）：</w:t>
      </w:r>
      <w:r>
        <w:rPr>
          <w:rFonts w:hint="eastAsia" w:ascii="仿宋_GB2312" w:hAnsi="仿宋_GB2312" w:eastAsia="仿宋_GB2312" w:cs="仿宋_GB2312"/>
          <w:kern w:val="1"/>
          <w:sz w:val="32"/>
          <w:szCs w:val="32"/>
          <w:lang w:val="en-US" w:eastAsia="zh-CN"/>
        </w:rPr>
        <w:t>塔城地区</w:t>
      </w:r>
      <w:r>
        <w:rPr>
          <w:rFonts w:hint="eastAsia" w:ascii="仿宋" w:hAnsi="仿宋" w:eastAsia="仿宋" w:cs="仿宋"/>
          <w:b w:val="0"/>
          <w:bCs w:val="0"/>
          <w:sz w:val="32"/>
          <w:szCs w:val="32"/>
          <w:lang w:val="en-US" w:eastAsia="zh-CN"/>
        </w:rPr>
        <w:t>住房公积金管理中心</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ascii="仿宋_GB2312" w:hAnsi="仿宋_GB2312" w:eastAsia="仿宋_GB2312" w:cs="仿宋_GB2312"/>
          <w:kern w:val="1"/>
          <w:sz w:val="32"/>
          <w:szCs w:val="32"/>
          <w:lang w:val="en-US" w:eastAsia="zh-CN"/>
        </w:rPr>
        <w:t>塔城地区</w:t>
      </w:r>
      <w:r>
        <w:rPr>
          <w:rFonts w:hint="eastAsia" w:ascii="仿宋" w:hAnsi="仿宋" w:eastAsia="仿宋" w:cs="仿宋"/>
          <w:b w:val="0"/>
          <w:bCs w:val="0"/>
          <w:sz w:val="32"/>
          <w:szCs w:val="32"/>
          <w:lang w:val="en-US" w:eastAsia="zh-CN"/>
        </w:rPr>
        <w:t>住房公积金管理中心</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薛锐</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hAnsi="宋体" w:eastAsia="仿宋_GB2312" w:cs="宋体"/>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6</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3"/>
          <w:rFonts w:ascii="黑体" w:hAnsi="黑体" w:eastAsia="黑体"/>
          <w:b w:val="0"/>
          <w:spacing w:val="-4"/>
          <w:sz w:val="32"/>
          <w:szCs w:val="32"/>
        </w:rPr>
      </w:pPr>
    </w:p>
    <w:p>
      <w:pPr>
        <w:spacing w:line="540" w:lineRule="exact"/>
        <w:rPr>
          <w:rStyle w:val="23"/>
          <w:rFonts w:ascii="黑体" w:hAnsi="黑体" w:eastAsia="黑体"/>
          <w:b w:val="0"/>
          <w:spacing w:val="-4"/>
          <w:sz w:val="32"/>
          <w:szCs w:val="32"/>
        </w:rPr>
      </w:pPr>
    </w:p>
    <w:p>
      <w:pP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br w:type="page"/>
      </w: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rPr>
        <w:t>根据《国务院办公厅关于印发“互联网+政务服务”技术体系建设指南的通知》（国办函【2016】108号）及国务院“放管服”改革要求，地区住房公积金管理中心推进“互联网+政务服务”建设综合服务平台。</w:t>
      </w:r>
      <w:r>
        <w:rPr>
          <w:rFonts w:hint="eastAsia" w:ascii="仿宋_GB2312" w:hAnsi="仿宋_GB2312" w:eastAsia="仿宋_GB2312" w:cs="仿宋_GB2312"/>
          <w:b w:val="0"/>
          <w:bCs w:val="0"/>
          <w:kern w:val="2"/>
          <w:lang w:eastAsia="zh-CN"/>
        </w:rPr>
        <w:t>根据</w:t>
      </w:r>
      <w:r>
        <w:rPr>
          <w:rFonts w:hint="eastAsia" w:ascii="仿宋_GB2312" w:hAnsi="仿宋_GB2312" w:eastAsia="仿宋_GB2312" w:cs="仿宋_GB2312"/>
          <w:b w:val="0"/>
          <w:bCs w:val="0"/>
          <w:kern w:val="2"/>
          <w:lang w:val="en-US" w:eastAsia="zh-CN"/>
        </w:rPr>
        <w:t>地区本级财政补助综合服务平台</w:t>
      </w:r>
      <w:r>
        <w:rPr>
          <w:rFonts w:hint="eastAsia" w:ascii="仿宋_GB2312" w:hAnsi="仿宋_GB2312" w:eastAsia="仿宋_GB2312" w:cs="仿宋_GB2312"/>
          <w:b w:val="0"/>
          <w:bCs w:val="0"/>
          <w:kern w:val="2"/>
        </w:rPr>
        <w:t>经费</w:t>
      </w:r>
      <w:r>
        <w:rPr>
          <w:rFonts w:hint="eastAsia" w:ascii="仿宋_GB2312" w:hAnsi="仿宋_GB2312" w:eastAsia="仿宋_GB2312" w:cs="仿宋_GB2312"/>
          <w:b w:val="0"/>
          <w:bCs w:val="0"/>
          <w:kern w:val="2"/>
          <w:lang w:val="en-US" w:eastAsia="zh-CN"/>
        </w:rPr>
        <w:t>119.44万元。</w:t>
      </w:r>
    </w:p>
    <w:p>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sz w:val="32"/>
          <w:szCs w:val="32"/>
        </w:rPr>
        <w:t>项目主要内容及实施情况</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2"/>
          <w:lang w:eastAsia="zh-CN"/>
        </w:rPr>
        <w:t>主要用于</w:t>
      </w:r>
      <w:r>
        <w:rPr>
          <w:rFonts w:hint="eastAsia" w:ascii="仿宋_GB2312" w:hAnsi="仿宋_GB2312" w:eastAsia="仿宋_GB2312" w:cs="仿宋_GB2312"/>
          <w:b w:val="0"/>
          <w:bCs w:val="0"/>
          <w:kern w:val="2"/>
          <w:lang w:val="en-US" w:eastAsia="zh-CN"/>
        </w:rPr>
        <w:t>专线租赁、云平台、12329热线和综合服务平台运营</w:t>
      </w:r>
      <w:r>
        <w:rPr>
          <w:rFonts w:hint="eastAsia" w:ascii="仿宋_GB2312" w:hAnsi="仿宋_GB2312" w:eastAsia="仿宋_GB2312" w:cs="仿宋_GB2312"/>
          <w:b w:val="0"/>
          <w:bCs w:val="0"/>
          <w:kern w:val="2"/>
          <w:lang w:eastAsia="zh-CN"/>
        </w:rPr>
        <w:t>。</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项目实施情况：</w:t>
      </w:r>
      <w:r>
        <w:rPr>
          <w:rFonts w:hint="eastAsia" w:ascii="仿宋_GB2312" w:hAnsi="仿宋_GB2312" w:eastAsia="仿宋_GB2312" w:cs="仿宋_GB2312"/>
          <w:b w:val="0"/>
          <w:bCs w:val="0"/>
          <w:kern w:val="2"/>
          <w:lang w:val="en-US" w:eastAsia="zh-CN"/>
        </w:rPr>
        <w:t>综合服务平台运营项目与宁夏希望信息产业股份有限公司签订综合服务平台运营服务合同，对综合服务平台进行维护，维护期限三年。</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本项目总投资</w:t>
      </w:r>
      <w:r>
        <w:rPr>
          <w:rFonts w:hint="eastAsia" w:ascii="仿宋_GB2312" w:hAnsi="仿宋_GB2312" w:eastAsia="仿宋_GB2312" w:cs="仿宋_GB2312"/>
          <w:b w:val="0"/>
          <w:bCs w:val="0"/>
          <w:kern w:val="2"/>
          <w:lang w:val="en-US" w:eastAsia="zh-CN"/>
        </w:rPr>
        <w:t>119.44</w:t>
      </w:r>
      <w:r>
        <w:rPr>
          <w:rFonts w:hint="eastAsia" w:ascii="仿宋_GB2312" w:hAnsi="仿宋_GB2312" w:eastAsia="仿宋_GB2312" w:cs="仿宋_GB2312"/>
          <w:b w:val="0"/>
          <w:bCs w:val="0"/>
          <w:kern w:val="2"/>
        </w:rPr>
        <w:t>万元，其中：财政本级资金</w:t>
      </w:r>
      <w:r>
        <w:rPr>
          <w:rFonts w:hint="eastAsia" w:ascii="仿宋_GB2312" w:hAnsi="仿宋_GB2312" w:eastAsia="仿宋_GB2312" w:cs="仿宋_GB2312"/>
          <w:b w:val="0"/>
          <w:bCs w:val="0"/>
          <w:kern w:val="2"/>
          <w:lang w:val="en-US" w:eastAsia="zh-CN"/>
        </w:rPr>
        <w:t>119.44</w:t>
      </w:r>
      <w:r>
        <w:rPr>
          <w:rFonts w:hint="eastAsia" w:ascii="仿宋_GB2312" w:hAnsi="仿宋_GB2312" w:eastAsia="仿宋_GB2312" w:cs="仿宋_GB2312"/>
          <w:b w:val="0"/>
          <w:bCs w:val="0"/>
          <w:kern w:val="2"/>
        </w:rPr>
        <w:t>万元。项目实际支出</w:t>
      </w:r>
      <w:r>
        <w:rPr>
          <w:rFonts w:hint="eastAsia" w:ascii="仿宋_GB2312" w:hAnsi="仿宋_GB2312" w:eastAsia="仿宋_GB2312" w:cs="仿宋_GB2312"/>
          <w:b w:val="0"/>
          <w:bCs w:val="0"/>
          <w:kern w:val="2"/>
          <w:lang w:val="en-US" w:eastAsia="zh-CN"/>
        </w:rPr>
        <w:t>105.72</w:t>
      </w:r>
      <w:r>
        <w:rPr>
          <w:rFonts w:hint="eastAsia" w:ascii="仿宋_GB2312" w:hAnsi="仿宋_GB2312" w:eastAsia="仿宋_GB2312" w:cs="仿宋_GB2312"/>
          <w:b w:val="0"/>
          <w:bCs w:val="0"/>
          <w:kern w:val="2"/>
        </w:rPr>
        <w:t>万元</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支出率为</w:t>
      </w:r>
      <w:r>
        <w:rPr>
          <w:rFonts w:hint="eastAsia" w:ascii="仿宋_GB2312" w:hAnsi="仿宋_GB2312" w:eastAsia="仿宋_GB2312" w:cs="仿宋_GB2312"/>
          <w:b w:val="0"/>
          <w:bCs w:val="0"/>
          <w:kern w:val="2"/>
          <w:lang w:val="en-US" w:eastAsia="zh-CN"/>
        </w:rPr>
        <w:t>88.51</w:t>
      </w:r>
      <w:r>
        <w:rPr>
          <w:rFonts w:hint="eastAsia" w:ascii="仿宋_GB2312" w:hAnsi="仿宋_GB2312" w:eastAsia="仿宋_GB2312" w:cs="仿宋_GB2312"/>
          <w:b w:val="0"/>
          <w:bCs w:val="0"/>
          <w:kern w:val="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20"/>
          <w:szCs w:val="20"/>
        </w:rPr>
      </w:pPr>
      <w:r>
        <w:rPr>
          <w:rFonts w:hint="eastAsia" w:ascii="仿宋_GB2312" w:hAnsi="仿宋_GB2312" w:eastAsia="仿宋_GB2312" w:cs="仿宋_GB2312"/>
          <w:b/>
          <w:bCs/>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w:t>
      </w:r>
      <w:r>
        <w:rPr>
          <w:rFonts w:hint="eastAsia" w:ascii="仿宋_GB2312" w:hAnsi="仿宋_GB2312" w:eastAsia="仿宋_GB2312" w:cs="仿宋_GB2312"/>
          <w:sz w:val="32"/>
          <w:szCs w:val="32"/>
          <w:highlight w:val="none"/>
        </w:rPr>
        <w:t>投资</w:t>
      </w:r>
      <w:r>
        <w:rPr>
          <w:rFonts w:hint="eastAsia" w:ascii="仿宋_GB2312" w:hAnsi="仿宋_GB2312" w:eastAsia="仿宋_GB2312" w:cs="仿宋_GB2312"/>
          <w:sz w:val="32"/>
          <w:szCs w:val="32"/>
          <w:highlight w:val="none"/>
          <w:lang w:val="en-US" w:eastAsia="zh-CN"/>
        </w:rPr>
        <w:t>119.44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，按照</w:t>
      </w:r>
      <w:r>
        <w:rPr>
          <w:rStyle w:val="23"/>
          <w:rFonts w:hint="eastAsia" w:ascii="仿宋_GB2312" w:hAnsi="楷体" w:eastAsia="仿宋_GB2312"/>
          <w:b w:val="0"/>
          <w:bCs w:val="0"/>
          <w:spacing w:val="-4"/>
          <w:sz w:val="32"/>
          <w:szCs w:val="32"/>
          <w:lang w:eastAsia="zh-CN"/>
        </w:rPr>
        <w:t>《</w:t>
      </w:r>
      <w:r>
        <w:rPr>
          <w:rStyle w:val="23"/>
          <w:rFonts w:hint="eastAsia" w:ascii="仿宋_GB2312" w:hAnsi="楷体" w:eastAsia="仿宋_GB2312"/>
          <w:b w:val="0"/>
          <w:bCs w:val="0"/>
          <w:spacing w:val="-4"/>
          <w:sz w:val="32"/>
          <w:szCs w:val="32"/>
        </w:rPr>
        <w:t>关于印发</w:t>
      </w:r>
      <w:r>
        <w:rPr>
          <w:rStyle w:val="23"/>
          <w:rFonts w:hint="eastAsia" w:ascii="仿宋_GB2312" w:hAnsi="楷体" w:eastAsia="仿宋_GB2312"/>
          <w:b w:val="0"/>
          <w:spacing w:val="-4"/>
          <w:sz w:val="32"/>
          <w:szCs w:val="32"/>
        </w:rPr>
        <w:t>&lt;塔城地区部门预算绩效目标管理暂行办法&gt;的</w:t>
      </w:r>
      <w:r>
        <w:rPr>
          <w:rStyle w:val="23"/>
          <w:rFonts w:hint="eastAsia" w:ascii="仿宋_GB2312" w:hAnsi="楷体" w:eastAsia="仿宋_GB2312"/>
          <w:b w:val="0"/>
          <w:bCs/>
          <w:spacing w:val="-4"/>
          <w:sz w:val="32"/>
          <w:szCs w:val="32"/>
        </w:rPr>
        <w:t>通知</w:t>
      </w:r>
      <w:r>
        <w:rPr>
          <w:rFonts w:hint="eastAsia" w:ascii="仿宋_GB2312" w:eastAsia="仿宋_GB2312"/>
          <w:b w:val="0"/>
          <w:bCs/>
          <w:sz w:val="32"/>
          <w:szCs w:val="32"/>
        </w:rPr>
        <w:t>》</w:t>
      </w:r>
      <w:r>
        <w:rPr>
          <w:rFonts w:hint="eastAsia" w:ascii="仿宋_GB2312" w:eastAsia="仿宋_GB2312"/>
          <w:b w:val="0"/>
          <w:bCs/>
          <w:sz w:val="32"/>
          <w:szCs w:val="32"/>
          <w:lang w:eastAsia="zh-CN"/>
        </w:rPr>
        <w:t>和</w:t>
      </w:r>
      <w:r>
        <w:rPr>
          <w:rFonts w:hint="eastAsia" w:ascii="仿宋_GB2312" w:hAnsi="仿宋_GB2312" w:eastAsia="仿宋_GB2312" w:cs="仿宋_GB2312"/>
          <w:b w:val="0"/>
          <w:bCs/>
          <w:sz w:val="32"/>
          <w:szCs w:val="32"/>
        </w:rPr>
        <w:t>单位</w:t>
      </w:r>
      <w:r>
        <w:rPr>
          <w:rFonts w:hint="eastAsia" w:ascii="仿宋_GB2312" w:hAnsi="仿宋_GB2312" w:eastAsia="仿宋_GB2312" w:cs="仿宋_GB2312"/>
          <w:sz w:val="32"/>
          <w:szCs w:val="32"/>
        </w:rPr>
        <w:t>财务制度等相关规定，资金支出符</w:t>
      </w:r>
      <w:r>
        <w:rPr>
          <w:rFonts w:hint="eastAsia" w:ascii="仿宋_GB2312" w:hAnsi="仿宋_GB2312" w:eastAsia="仿宋_GB2312" w:cs="仿宋_GB2312"/>
          <w:sz w:val="32"/>
          <w:szCs w:val="32"/>
          <w:highlight w:val="none"/>
        </w:rPr>
        <w:t>合</w:t>
      </w:r>
      <w:r>
        <w:rPr>
          <w:rFonts w:hint="eastAsia" w:ascii="仿宋_GB2312" w:hAnsi="仿宋_GB2312" w:eastAsia="仿宋_GB2312" w:cs="仿宋_GB2312"/>
          <w:sz w:val="32"/>
          <w:szCs w:val="32"/>
          <w:highlight w:val="none"/>
          <w:lang w:val="en-US" w:eastAsia="zh-CN"/>
        </w:rPr>
        <w:t>政协工作经费</w:t>
      </w:r>
      <w:r>
        <w:rPr>
          <w:rFonts w:hint="eastAsia" w:ascii="仿宋_GB2312" w:hAnsi="仿宋_GB2312" w:eastAsia="仿宋_GB2312" w:cs="仿宋_GB2312"/>
          <w:sz w:val="32"/>
          <w:szCs w:val="32"/>
          <w:highlight w:val="none"/>
        </w:rPr>
        <w:t>专</w:t>
      </w:r>
      <w:r>
        <w:rPr>
          <w:rFonts w:hint="eastAsia" w:ascii="仿宋_GB2312" w:hAnsi="仿宋_GB2312" w:eastAsia="仿宋_GB2312" w:cs="仿宋_GB2312"/>
          <w:sz w:val="32"/>
          <w:szCs w:val="32"/>
        </w:rPr>
        <w:t>项资金费用范围，做到了专款专用。在项目资金拨付和使用过程中，为确保项目资金的安全性，提高项目资金使用效率，严格遵</w:t>
      </w:r>
      <w:r>
        <w:rPr>
          <w:rFonts w:hint="eastAsia" w:ascii="仿宋_GB2312" w:hAnsi="仿宋_GB2312" w:eastAsia="仿宋_GB2312" w:cs="仿宋_GB2312"/>
          <w:sz w:val="32"/>
          <w:szCs w:val="32"/>
          <w:highlight w:val="none"/>
        </w:rPr>
        <w:t>循</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（2）预算资金来源及使用情况</w:t>
      </w:r>
      <w:bookmarkStart w:id="0" w:name="page10"/>
      <w:bookmarkEnd w:id="0"/>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val="en-US" w:eastAsia="zh-CN"/>
        </w:rPr>
        <w:t>相关</w:t>
      </w:r>
      <w:r>
        <w:rPr>
          <w:rFonts w:hint="eastAsia" w:ascii="仿宋_GB2312" w:hAnsi="仿宋_GB2312" w:eastAsia="仿宋_GB2312" w:cs="仿宋_GB2312"/>
          <w:b w:val="0"/>
          <w:bCs w:val="0"/>
          <w:kern w:val="2"/>
        </w:rPr>
        <w:t>文件批复的资金，项目资金到位</w:t>
      </w:r>
      <w:r>
        <w:rPr>
          <w:rFonts w:hint="eastAsia" w:ascii="仿宋_GB2312" w:hAnsi="仿宋_GB2312" w:eastAsia="仿宋_GB2312" w:cs="仿宋_GB2312"/>
          <w:b w:val="0"/>
          <w:bCs w:val="0"/>
          <w:kern w:val="2"/>
          <w:lang w:val="en-US" w:eastAsia="zh-CN"/>
        </w:rPr>
        <w:t>119.44</w:t>
      </w:r>
      <w:r>
        <w:rPr>
          <w:rFonts w:hint="eastAsia" w:ascii="仿宋_GB2312" w:hAnsi="仿宋_GB2312" w:eastAsia="仿宋_GB2312" w:cs="仿宋_GB2312"/>
          <w:b w:val="0"/>
          <w:bCs w:val="0"/>
          <w:kern w:val="2"/>
        </w:rPr>
        <w:t>万元，</w:t>
      </w:r>
      <w:r>
        <w:rPr>
          <w:rFonts w:hint="eastAsia" w:ascii="仿宋_GB2312" w:hAnsi="仿宋_GB2312" w:eastAsia="仿宋_GB2312" w:cs="仿宋_GB2312"/>
          <w:b w:val="0"/>
          <w:bCs w:val="0"/>
          <w:kern w:val="2"/>
          <w:lang w:eastAsia="zh-CN"/>
        </w:rPr>
        <w:t>实际支出105.72万元，</w:t>
      </w:r>
      <w:r>
        <w:rPr>
          <w:rFonts w:hint="eastAsia" w:ascii="仿宋_GB2312" w:hAnsi="仿宋_GB2312" w:eastAsia="仿宋_GB2312" w:cs="仿宋_GB2312"/>
          <w:b w:val="0"/>
          <w:bCs w:val="0"/>
          <w:kern w:val="2"/>
        </w:rPr>
        <w:t>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1、总体目标</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对平台进行进一步完善，扩大服务规模。通过厅里统一实现全疆系统统一为以后全疆住房公积金统一做准备。</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2、阶段性目标</w:t>
      </w:r>
    </w:p>
    <w:p>
      <w:pPr>
        <w:pStyle w:val="19"/>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第一阶段：通过宣传让更多的客户了解到我综合服务平台。第二阶段：在平台上升阶段，通过热情周到的服务树立良好的单位形象，一方面留住老顾客，另一方面开拓新的客源。并开展微信朋友圈、公众号等新兴宣传方式。第三阶段：通过电话回访调查的方式，了解不同客户的需求，不断修改业务操作方式。</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kern w:val="1"/>
          <w:sz w:val="32"/>
          <w:szCs w:val="32"/>
          <w:lang w:val="en-US" w:eastAsia="zh-CN"/>
        </w:rPr>
        <w:t>评价对象为塔城地区住房公积金管理中心综合服务平台项目经费（119.44万元）。</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本次评价从项目决策、项目管理、项目产出、项目效益四个</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进行评价，评价对象为</w:t>
      </w:r>
      <w:r>
        <w:rPr>
          <w:rFonts w:hint="eastAsia" w:ascii="仿宋_GB2312" w:hAnsi="仿宋_GB2312" w:eastAsia="仿宋_GB2312" w:cs="仿宋_GB2312"/>
          <w:sz w:val="32"/>
          <w:szCs w:val="32"/>
          <w:lang w:eastAsia="zh-CN"/>
        </w:rPr>
        <w:t>政协工作经费</w:t>
      </w:r>
      <w:r>
        <w:rPr>
          <w:rFonts w:hint="eastAsia" w:ascii="仿宋_GB2312" w:hAnsi="仿宋_GB2312" w:eastAsia="仿宋_GB2312" w:cs="仿宋_GB2312"/>
          <w:sz w:val="32"/>
          <w:szCs w:val="32"/>
        </w:rPr>
        <w:t>资金使用的合理性，投入使用后产生的效益，为政协委员及干部职工服务能力服务水平改善程度的评价，评价核心为专项资金的支出完成情况和效果。</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9"/>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19"/>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9"/>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19"/>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highlight w:val="none"/>
        </w:rPr>
        <w:t>为</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20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highlight w:val="none"/>
        </w:rPr>
        <w:t>指标标准值是绩效评价指标的尺度，既要反映同类</w:t>
      </w:r>
      <w:r>
        <w:rPr>
          <w:rFonts w:hint="eastAsia" w:ascii="仿宋_GB2312" w:hAnsi="仿宋_GB2312" w:eastAsia="仿宋_GB2312" w:cs="仿宋_GB2312"/>
          <w:color w:val="000000"/>
          <w:spacing w:val="17"/>
          <w:sz w:val="32"/>
          <w:szCs w:val="32"/>
        </w:rPr>
        <w:t>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具体评价指标体系详情见</w:t>
      </w:r>
      <w:r>
        <w:rPr>
          <w:rFonts w:hint="eastAsia" w:ascii="仿宋_GB2312" w:hAnsi="仿宋_GB2312" w:eastAsia="仿宋_GB2312" w:cs="仿宋_GB2312"/>
          <w:color w:val="000000"/>
          <w:spacing w:val="17"/>
          <w:sz w:val="32"/>
          <w:szCs w:val="32"/>
          <w:lang w:val="en-US" w:eastAsia="zh-CN"/>
        </w:rPr>
        <w:t>附件</w:t>
      </w:r>
      <w:r>
        <w:rPr>
          <w:rFonts w:hint="eastAsia" w:ascii="仿宋_GB2312" w:hAnsi="仿宋_GB2312" w:eastAsia="仿宋_GB2312" w:cs="仿宋_GB2312"/>
          <w:color w:val="000000"/>
          <w:spacing w:val="17"/>
          <w:sz w:val="32"/>
          <w:szCs w:val="32"/>
        </w:rPr>
        <w:t>1</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19"/>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塔城地区住房公积金管理中心综合服务平台经费</w:t>
      </w:r>
      <w:r>
        <w:rPr>
          <w:rFonts w:hint="eastAsia" w:ascii="仿宋_GB2312" w:hAnsi="仿宋_GB2312" w:eastAsia="仿宋_GB2312" w:cs="仿宋_GB2312"/>
          <w:b w:val="0"/>
          <w:bCs w:val="0"/>
          <w:highlight w:val="none"/>
        </w:rPr>
        <w:t>项目进行客观评价，最终评分结果：总得分为</w:t>
      </w:r>
      <w:r>
        <w:rPr>
          <w:rFonts w:hint="eastAsia" w:ascii="仿宋_GB2312" w:hAnsi="仿宋_GB2312" w:eastAsia="仿宋_GB2312" w:cs="仿宋_GB2312"/>
          <w:b w:val="0"/>
          <w:bCs w:val="0"/>
          <w:highlight w:val="none"/>
          <w:lang w:val="en-US" w:eastAsia="zh-CN"/>
        </w:rPr>
        <w:t>96</w:t>
      </w:r>
      <w:r>
        <w:rPr>
          <w:rFonts w:hint="eastAsia" w:ascii="仿宋_GB2312" w:hAnsi="仿宋_GB2312" w:eastAsia="仿宋_GB2312" w:cs="仿宋_GB2312"/>
          <w:b w:val="0"/>
          <w:bCs w:val="0"/>
          <w:highlight w:val="none"/>
        </w:rPr>
        <w:t>分，属于“优”。其中，项目决策类指标权重为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 xml:space="preserve">分，得分为 </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分，得分率为 100%。项目过程类指标权重为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16</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80</w:t>
      </w:r>
      <w:r>
        <w:rPr>
          <w:rFonts w:hint="eastAsia" w:ascii="仿宋_GB2312" w:hAnsi="仿宋_GB2312" w:eastAsia="仿宋_GB2312" w:cs="仿宋_GB2312"/>
          <w:b w:val="0"/>
          <w:bCs w:val="0"/>
          <w:highlight w:val="none"/>
        </w:rPr>
        <w:t>%。项目产出类指标权重为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0分，得分率为 100%。项目效益类指标权重为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19"/>
        <w:pageBreakBefore w:val="0"/>
        <w:kinsoku/>
        <w:wordWrap/>
        <w:overflowPunct/>
        <w:topLinePunct w:val="0"/>
        <w:autoSpaceDE/>
        <w:autoSpaceDN/>
        <w:bidi w:val="0"/>
        <w:adjustRightInd/>
        <w:snapToGrid/>
        <w:spacing w:before="0" w:after="0" w:line="560" w:lineRule="atLeast"/>
        <w:textAlignment w:val="auto"/>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21"/>
        <w:tblpPr w:leftFromText="180" w:rightFromText="180" w:vertAnchor="text" w:horzAnchor="page" w:tblpX="2118" w:tblpY="235"/>
        <w:tblOverlap w:val="never"/>
        <w:tblW w:w="8473" w:type="dxa"/>
        <w:tblInd w:w="0" w:type="dxa"/>
        <w:tblLayout w:type="fixed"/>
        <w:tblCellMar>
          <w:top w:w="0" w:type="dxa"/>
          <w:left w:w="108" w:type="dxa"/>
          <w:bottom w:w="0" w:type="dxa"/>
          <w:right w:w="108" w:type="dxa"/>
        </w:tblCellMar>
      </w:tblPr>
      <w:tblGrid>
        <w:gridCol w:w="2660"/>
        <w:gridCol w:w="2127"/>
        <w:gridCol w:w="1986"/>
        <w:gridCol w:w="1700"/>
      </w:tblGrid>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决策</w:t>
            </w:r>
          </w:p>
        </w:tc>
        <w:tc>
          <w:tcPr>
            <w:tcW w:w="2127"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c>
          <w:tcPr>
            <w:tcW w:w="1986" w:type="dxa"/>
            <w:tcBorders>
              <w:top w:val="single" w:color="auto" w:sz="8" w:space="0"/>
              <w:left w:val="nil"/>
              <w:bottom w:val="single" w:color="auto" w:sz="8" w:space="0"/>
              <w:right w:val="single" w:color="auto" w:sz="8" w:space="0"/>
            </w:tcBorders>
          </w:tcPr>
          <w:p>
            <w:pPr>
              <w:pageBreakBefore w:val="0"/>
              <w:kinsoku/>
              <w:wordWrap/>
              <w:overflowPunct/>
              <w:topLinePunct w:val="0"/>
              <w:autoSpaceDE/>
              <w:autoSpaceDN/>
              <w:bidi w:val="0"/>
              <w:adjustRightInd/>
              <w:snapToGrid/>
              <w:spacing w:line="560" w:lineRule="atLeast"/>
              <w:jc w:val="center"/>
              <w:textAlignment w:val="auto"/>
            </w:pPr>
            <w:r>
              <w:rPr>
                <w:rFonts w:hint="eastAsia" w:ascii="Times New Roman" w:hAnsi="Times New Roman" w:eastAsia="方正仿宋_GBK"/>
                <w:color w:val="000000"/>
                <w:kern w:val="0"/>
                <w:sz w:val="24"/>
              </w:rPr>
              <w:t>100%</w:t>
            </w:r>
          </w:p>
        </w:tc>
        <w:tc>
          <w:tcPr>
            <w:tcW w:w="1700"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过程</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napToGrid/>
              <w:spacing w:line="560" w:lineRule="atLeast"/>
              <w:jc w:val="center"/>
              <w:textAlignment w:val="auto"/>
            </w:pPr>
            <w:r>
              <w:rPr>
                <w:rFonts w:hint="eastAsia" w:ascii="Times New Roman" w:hAnsi="Times New Roman" w:eastAsia="方正仿宋_GBK"/>
                <w:color w:val="000000"/>
                <w:kern w:val="0"/>
                <w:sz w:val="24"/>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000000"/>
                <w:kern w:val="0"/>
                <w:sz w:val="24"/>
                <w:lang w:val="en-US" w:eastAsia="zh-CN"/>
              </w:rPr>
            </w:pPr>
            <w:r>
              <w:rPr>
                <w:rFonts w:hint="eastAsia" w:eastAsia="方正仿宋_GBK"/>
                <w:color w:val="000000"/>
                <w:kern w:val="0"/>
                <w:sz w:val="24"/>
                <w:lang w:val="en-US" w:eastAsia="zh-CN"/>
              </w:rPr>
              <w:t>16</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产出</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40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napToGrid/>
              <w:spacing w:line="560" w:lineRule="atLeast"/>
              <w:jc w:val="center"/>
              <w:textAlignment w:val="auto"/>
            </w:pPr>
            <w:r>
              <w:rPr>
                <w:rFonts w:hint="eastAsia" w:ascii="Times New Roman" w:hAnsi="Times New Roman" w:eastAsia="方正仿宋_GBK"/>
                <w:color w:val="000000"/>
                <w:kern w:val="0"/>
                <w:sz w:val="24"/>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40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效益</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napToGrid/>
              <w:spacing w:line="560" w:lineRule="atLeast"/>
              <w:jc w:val="center"/>
              <w:textAlignment w:val="auto"/>
            </w:pPr>
            <w:r>
              <w:rPr>
                <w:rFonts w:hint="eastAsia" w:ascii="Times New Roman" w:hAnsi="Times New Roman" w:eastAsia="方正仿宋_GBK"/>
                <w:color w:val="000000"/>
                <w:kern w:val="0"/>
                <w:sz w:val="24"/>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合</w:t>
            </w:r>
            <w:r>
              <w:rPr>
                <w:rFonts w:ascii="方正仿宋_GBK" w:hAnsi="Tahoma" w:eastAsia="方正仿宋_GBK" w:cs="Tahoma"/>
                <w:color w:val="000000"/>
                <w:kern w:val="0"/>
                <w:sz w:val="24"/>
              </w:rPr>
              <w:t xml:space="preserve">  </w:t>
            </w:r>
            <w:r>
              <w:rPr>
                <w:rFonts w:hint="eastAsia" w:ascii="方正仿宋_GBK" w:hAnsi="Tahoma" w:eastAsia="方正仿宋_GBK" w:cs="Tahoma"/>
                <w:color w:val="000000"/>
                <w:kern w:val="0"/>
                <w:sz w:val="24"/>
              </w:rPr>
              <w:t>计</w:t>
            </w:r>
          </w:p>
        </w:tc>
        <w:tc>
          <w:tcPr>
            <w:tcW w:w="2127"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ascii="Times New Roman" w:hAnsi="Times New Roman" w:eastAsia="方正仿宋_GBK"/>
                <w:color w:val="000000"/>
                <w:kern w:val="0"/>
                <w:sz w:val="24"/>
              </w:rPr>
              <w:t>100</w:t>
            </w:r>
          </w:p>
        </w:tc>
        <w:tc>
          <w:tcPr>
            <w:tcW w:w="1986" w:type="dxa"/>
            <w:tcBorders>
              <w:top w:val="nil"/>
              <w:left w:val="nil"/>
              <w:bottom w:val="single" w:color="auto" w:sz="8" w:space="0"/>
              <w:right w:val="single" w:color="auto" w:sz="8" w:space="0"/>
            </w:tcBorders>
          </w:tcPr>
          <w:p>
            <w:pPr>
              <w:pageBreakBefore w:val="0"/>
              <w:kinsoku/>
              <w:wordWrap/>
              <w:overflowPunct/>
              <w:topLinePunct w:val="0"/>
              <w:autoSpaceDE/>
              <w:autoSpaceDN/>
              <w:bidi w:val="0"/>
              <w:adjustRightInd/>
              <w:snapToGrid/>
              <w:spacing w:line="560" w:lineRule="atLeast"/>
              <w:jc w:val="center"/>
              <w:textAlignment w:val="auto"/>
            </w:pPr>
            <w:r>
              <w:rPr>
                <w:rFonts w:hint="eastAsia" w:ascii="Times New Roman" w:hAnsi="Times New Roman" w:eastAsia="方正仿宋_GBK"/>
                <w:color w:val="000000"/>
                <w:kern w:val="0"/>
                <w:sz w:val="24"/>
              </w:rPr>
              <w:t>100%</w:t>
            </w:r>
          </w:p>
        </w:tc>
        <w:tc>
          <w:tcPr>
            <w:tcW w:w="1700"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000000"/>
                <w:kern w:val="0"/>
                <w:sz w:val="24"/>
                <w:lang w:val="en-US" w:eastAsia="zh-CN"/>
              </w:rPr>
            </w:pPr>
            <w:r>
              <w:rPr>
                <w:rFonts w:hint="eastAsia" w:eastAsia="方正仿宋_GBK"/>
                <w:color w:val="000000"/>
                <w:kern w:val="0"/>
                <w:sz w:val="24"/>
                <w:lang w:val="en-US" w:eastAsia="zh-CN"/>
              </w:rPr>
              <w:t>96</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19"/>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项目决策指标从项目立项、绩效目标、资金投入3个方面对项目的决策进行考察，项目决策类指标分值20分，实际得分20分，得分率100%。项目决策指标得分情况如表所示。</w:t>
      </w:r>
    </w:p>
    <w:tbl>
      <w:tblPr>
        <w:tblStyle w:val="21"/>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8"/>
                <w:szCs w:val="28"/>
              </w:rPr>
            </w:pPr>
            <w:r>
              <w:rPr>
                <w:rFonts w:hint="eastAsia" w:ascii="仿宋_GB2312" w:hAnsi="仿宋_GB2312" w:eastAsia="仿宋_GB2312" w:cs="仿宋_GB2312"/>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二级指标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06"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5</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100</w:t>
            </w:r>
            <w:r>
              <w:rPr>
                <w:rFonts w:ascii="Times New Roman" w:hAnsi="Times New Roman" w:eastAsia="方正仿宋_GBK"/>
                <w:color w:val="000000"/>
                <w:kern w:val="0"/>
                <w:sz w:val="24"/>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5</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项目决策</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100</w:t>
            </w:r>
            <w:r>
              <w:rPr>
                <w:rFonts w:ascii="Times New Roman" w:hAnsi="Times New Roman" w:eastAsia="方正仿宋_GBK"/>
                <w:color w:val="000000"/>
                <w:kern w:val="0"/>
                <w:sz w:val="24"/>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5</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5</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合</w:t>
            </w:r>
            <w:r>
              <w:rPr>
                <w:rFonts w:ascii="方正仿宋_GBK" w:hAnsi="Tahoma" w:eastAsia="方正仿宋_GBK" w:cs="Tahoma"/>
                <w:color w:val="000000"/>
                <w:kern w:val="0"/>
                <w:sz w:val="24"/>
              </w:rPr>
              <w:t xml:space="preserve">  </w:t>
            </w:r>
            <w:r>
              <w:rPr>
                <w:rFonts w:hint="eastAsia" w:ascii="方正仿宋_GBK" w:hAnsi="Tahoma" w:eastAsia="方正仿宋_GBK" w:cs="Tahoma"/>
                <w:color w:val="000000"/>
                <w:kern w:val="0"/>
                <w:sz w:val="24"/>
              </w:rPr>
              <w:t>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ascii="Times New Roman" w:hAnsi="Times New Roman" w:eastAsia="方正仿宋_GBK"/>
                <w:color w:val="000000"/>
                <w:kern w:val="0"/>
                <w:sz w:val="24"/>
              </w:rPr>
              <w:t>2</w:t>
            </w:r>
            <w:r>
              <w:rPr>
                <w:rFonts w:hint="eastAsia" w:ascii="Times New Roman" w:hAnsi="Times New Roman" w:eastAsia="方正仿宋_GBK"/>
                <w:color w:val="000000"/>
                <w:kern w:val="0"/>
                <w:sz w:val="24"/>
              </w:rPr>
              <w:t>0</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95</w:t>
            </w:r>
            <w:r>
              <w:rPr>
                <w:rFonts w:ascii="Times New Roman" w:hAnsi="Times New Roman" w:eastAsia="方正仿宋_GBK"/>
                <w:color w:val="000000"/>
                <w:kern w:val="0"/>
                <w:sz w:val="24"/>
              </w:rPr>
              <w:t>%</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20</w:t>
            </w:r>
          </w:p>
        </w:tc>
      </w:tr>
    </w:tbl>
    <w:p>
      <w:pPr>
        <w:pStyle w:val="19"/>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项目过程指标从资金到位率、资金使用合规性、管理制度健全性、制度执行有效性4个方面对项目的管理情况进行考察。项目管理类指标分值20分，实际得分</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0%。项目管理指标得分情况如表所示。</w:t>
      </w:r>
    </w:p>
    <w:tbl>
      <w:tblPr>
        <w:tblStyle w:val="21"/>
        <w:tblW w:w="8522" w:type="dxa"/>
        <w:tblInd w:w="0" w:type="dxa"/>
        <w:tblLayout w:type="fixed"/>
        <w:tblCellMar>
          <w:top w:w="0" w:type="dxa"/>
          <w:left w:w="108" w:type="dxa"/>
          <w:bottom w:w="0" w:type="dxa"/>
          <w:right w:w="108" w:type="dxa"/>
        </w:tblCellMar>
      </w:tblPr>
      <w:tblGrid>
        <w:gridCol w:w="2190"/>
        <w:gridCol w:w="2367"/>
        <w:gridCol w:w="1946"/>
        <w:gridCol w:w="2019"/>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color w:val="000000"/>
                <w:kern w:val="0"/>
                <w:sz w:val="24"/>
              </w:rPr>
            </w:pPr>
            <w:r>
              <w:rPr>
                <w:rFonts w:hint="eastAsia" w:ascii="仿宋_GB2312" w:hAnsi="仿宋_GB2312" w:eastAsia="仿宋_GB2312" w:cs="仿宋_GB2312"/>
                <w:b w:val="0"/>
                <w:bCs/>
                <w:sz w:val="28"/>
                <w:szCs w:val="28"/>
              </w:rPr>
              <w:t>项目</w:t>
            </w:r>
            <w:r>
              <w:rPr>
                <w:rFonts w:hint="eastAsia" w:ascii="仿宋_GB2312" w:hAnsi="仿宋_GB2312" w:eastAsia="仿宋_GB2312" w:cs="仿宋_GB2312"/>
                <w:b w:val="0"/>
                <w:bCs/>
                <w:sz w:val="28"/>
                <w:szCs w:val="28"/>
                <w:lang w:eastAsia="zh-CN"/>
              </w:rPr>
              <w:t>过程</w:t>
            </w:r>
            <w:r>
              <w:rPr>
                <w:rFonts w:hint="eastAsia" w:ascii="仿宋_GB2312" w:hAnsi="仿宋_GB2312" w:eastAsia="仿宋_GB2312" w:cs="仿宋_GB2312"/>
                <w:b w:val="0"/>
                <w:bCs/>
                <w:sz w:val="28"/>
                <w:szCs w:val="28"/>
              </w:rPr>
              <w:t>指标得分情况</w:t>
            </w:r>
          </w:p>
        </w:tc>
      </w:tr>
      <w:tr>
        <w:tblPrEx>
          <w:tblCellMar>
            <w:top w:w="0" w:type="dxa"/>
            <w:left w:w="108" w:type="dxa"/>
            <w:bottom w:w="0" w:type="dxa"/>
            <w:right w:w="108" w:type="dxa"/>
          </w:tblCellMar>
        </w:tblPrEx>
        <w:trPr>
          <w:trHeight w:val="510" w:hRule="exact"/>
          <w:tblHeader/>
        </w:trPr>
        <w:tc>
          <w:tcPr>
            <w:tcW w:w="2190"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三级指标</w:t>
            </w:r>
          </w:p>
        </w:tc>
        <w:tc>
          <w:tcPr>
            <w:tcW w:w="236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权重</w:t>
            </w:r>
          </w:p>
        </w:tc>
        <w:tc>
          <w:tcPr>
            <w:tcW w:w="194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得分率</w:t>
            </w:r>
          </w:p>
        </w:tc>
        <w:tc>
          <w:tcPr>
            <w:tcW w:w="2019"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left"/>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资金到位率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lang w:val="en-US" w:eastAsia="zh-CN"/>
              </w:rPr>
            </w:pPr>
            <w:r>
              <w:rPr>
                <w:rFonts w:hint="eastAsia" w:ascii="方正仿宋_GBK" w:hAnsi="方正仿宋_GBK" w:eastAsia="方正仿宋_GBK" w:cs="方正仿宋_GBK"/>
                <w:color w:val="000000"/>
                <w:kern w:val="0"/>
                <w:sz w:val="24"/>
                <w:lang w:val="en-US" w:eastAsia="zh-CN"/>
              </w:rPr>
              <w:t>2.5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2.5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left"/>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2"/>
                <w:szCs w:val="22"/>
              </w:rPr>
              <w:t>预算执行率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lang w:val="en-US" w:eastAsia="zh-CN"/>
              </w:rPr>
            </w:pPr>
            <w:r>
              <w:rPr>
                <w:rFonts w:hint="eastAsia" w:ascii="方正仿宋_GBK" w:hAnsi="方正仿宋_GBK" w:eastAsia="方正仿宋_GBK" w:cs="方正仿宋_GBK"/>
                <w:color w:val="000000"/>
                <w:kern w:val="0"/>
                <w:sz w:val="24"/>
                <w:lang w:val="en-US" w:eastAsia="zh-CN"/>
              </w:rPr>
              <w:t>2.5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8</w:t>
            </w:r>
            <w:r>
              <w:rPr>
                <w:rFonts w:hint="eastAsia" w:ascii="方正仿宋_GBK" w:hAnsi="方正仿宋_GBK" w:eastAsia="方正仿宋_GBK" w:cs="方正仿宋_GBK"/>
                <w:color w:val="000000"/>
                <w:kern w:val="0"/>
                <w:sz w:val="24"/>
              </w:rPr>
              <w:t>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1</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left"/>
              <w:textAlignment w:val="auto"/>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资金使用合规性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lang w:val="en-US" w:eastAsia="zh-CN"/>
              </w:rPr>
            </w:pPr>
            <w:r>
              <w:rPr>
                <w:rFonts w:hint="eastAsia" w:ascii="方正仿宋_GBK" w:hAnsi="方正仿宋_GBK" w:eastAsia="方正仿宋_GBK" w:cs="方正仿宋_GBK"/>
                <w:color w:val="000000"/>
                <w:kern w:val="0"/>
                <w:sz w:val="24"/>
                <w:lang w:val="en-US" w:eastAsia="zh-CN"/>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4</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left"/>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sz w:val="24"/>
              </w:rPr>
              <w:t>管理制度健全性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10</w:t>
            </w:r>
            <w:r>
              <w:rPr>
                <w:rFonts w:hint="eastAsia" w:ascii="方正仿宋_GBK" w:hAnsi="方正仿宋_GBK" w:eastAsia="方正仿宋_GBK" w:cs="方正仿宋_GBK"/>
                <w:color w:val="000000"/>
                <w:kern w:val="0"/>
                <w:sz w:val="24"/>
              </w:rPr>
              <w:t>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lang w:val="en-US" w:eastAsia="zh-CN"/>
              </w:rPr>
            </w:pPr>
            <w:r>
              <w:rPr>
                <w:rFonts w:hint="eastAsia" w:ascii="方正仿宋_GBK" w:hAnsi="方正仿宋_GBK" w:eastAsia="方正仿宋_GBK" w:cs="方正仿宋_GBK"/>
                <w:color w:val="000000"/>
                <w:kern w:val="0"/>
                <w:sz w:val="24"/>
                <w:lang w:val="en-US" w:eastAsia="zh-CN"/>
              </w:rPr>
              <w:t>4.5</w:t>
            </w:r>
          </w:p>
        </w:tc>
      </w:tr>
      <w:tr>
        <w:tblPrEx>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left"/>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制度执行有效性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5</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lang w:val="en-US" w:eastAsia="zh-CN"/>
              </w:rPr>
              <w:t>9</w:t>
            </w:r>
            <w:r>
              <w:rPr>
                <w:rFonts w:hint="eastAsia" w:ascii="方正仿宋_GBK" w:hAnsi="方正仿宋_GBK" w:eastAsia="方正仿宋_GBK" w:cs="方正仿宋_GBK"/>
                <w:color w:val="000000"/>
                <w:kern w:val="0"/>
                <w:sz w:val="24"/>
              </w:rPr>
              <w:t>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4</w:t>
            </w:r>
          </w:p>
        </w:tc>
      </w:tr>
      <w:tr>
        <w:tblPrEx>
          <w:tblCellMar>
            <w:top w:w="0" w:type="dxa"/>
            <w:left w:w="108" w:type="dxa"/>
            <w:bottom w:w="0" w:type="dxa"/>
            <w:right w:w="108" w:type="dxa"/>
          </w:tblCellMar>
        </w:tblPrEx>
        <w:trPr>
          <w:trHeight w:val="510" w:hRule="exact"/>
        </w:trPr>
        <w:tc>
          <w:tcPr>
            <w:tcW w:w="2190"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合  计</w:t>
            </w:r>
          </w:p>
        </w:tc>
        <w:tc>
          <w:tcPr>
            <w:tcW w:w="236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20</w:t>
            </w:r>
          </w:p>
        </w:tc>
        <w:tc>
          <w:tcPr>
            <w:tcW w:w="194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90%</w:t>
            </w:r>
          </w:p>
        </w:tc>
        <w:tc>
          <w:tcPr>
            <w:tcW w:w="2019"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方正仿宋_GBK" w:hAnsi="方正仿宋_GBK" w:eastAsia="方正仿宋_GBK" w:cs="方正仿宋_GBK"/>
                <w:color w:val="000000"/>
                <w:kern w:val="0"/>
                <w:sz w:val="24"/>
                <w:lang w:eastAsia="zh-CN"/>
              </w:rPr>
            </w:pPr>
            <w:r>
              <w:rPr>
                <w:rFonts w:hint="eastAsia" w:ascii="方正仿宋_GBK" w:hAnsi="方正仿宋_GBK" w:eastAsia="方正仿宋_GBK" w:cs="方正仿宋_GBK"/>
                <w:color w:val="000000"/>
                <w:kern w:val="0"/>
                <w:sz w:val="24"/>
              </w:rPr>
              <w:t>1</w:t>
            </w:r>
            <w:r>
              <w:rPr>
                <w:rFonts w:hint="eastAsia" w:ascii="方正仿宋_GBK" w:hAnsi="方正仿宋_GBK" w:eastAsia="方正仿宋_GBK" w:cs="方正仿宋_GBK"/>
                <w:color w:val="000000"/>
                <w:kern w:val="0"/>
                <w:sz w:val="24"/>
                <w:lang w:val="en-US" w:eastAsia="zh-CN"/>
              </w:rPr>
              <w:t>6</w:t>
            </w:r>
          </w:p>
        </w:tc>
      </w:tr>
    </w:tbl>
    <w:p>
      <w:pPr>
        <w:pStyle w:val="19"/>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000000"/>
          <w:kern w:val="0"/>
          <w:sz w:val="32"/>
          <w:szCs w:val="32"/>
          <w:highlight w:val="none"/>
        </w:rPr>
        <w:t>产出数量</w:t>
      </w:r>
      <w:r>
        <w:rPr>
          <w:rFonts w:hint="eastAsia" w:ascii="仿宋_GB2312" w:hAnsi="仿宋_GB2312" w:eastAsia="仿宋_GB2312" w:cs="仿宋_GB2312"/>
          <w:b/>
          <w:bCs/>
          <w:color w:val="000000"/>
          <w:kern w:val="0"/>
          <w:sz w:val="32"/>
          <w:szCs w:val="32"/>
          <w:highlight w:val="none"/>
          <w:lang w:eastAsia="zh-CN"/>
        </w:rPr>
        <w:t>三级指标：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塔城地区住房公积金管理中心《住房公积金管理中心综合服务平台运营》项目，提供服务人次3人，实际完成值3人，分值6.26分，实际得分6,25分；租赁线路2条，实际完成值2条，分值6.25分，实际得分6.25分。中心服务器1个，实际完成值1个，分值6.25分，实际得分6.25分。根据评分标准，该指标实际得分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color w:val="000000"/>
          <w:kern w:val="0"/>
          <w:sz w:val="32"/>
          <w:szCs w:val="32"/>
          <w:highlight w:val="none"/>
        </w:rPr>
        <w:t>产出</w:t>
      </w:r>
      <w:r>
        <w:rPr>
          <w:rFonts w:hint="eastAsia" w:ascii="仿宋_GB2312" w:hAnsi="仿宋_GB2312" w:eastAsia="仿宋_GB2312" w:cs="仿宋_GB2312"/>
          <w:b/>
          <w:bCs/>
          <w:color w:val="000000"/>
          <w:kern w:val="0"/>
          <w:sz w:val="32"/>
          <w:szCs w:val="32"/>
          <w:highlight w:val="none"/>
          <w:lang w:eastAsia="zh-CN"/>
        </w:rPr>
        <w:t>质</w:t>
      </w:r>
      <w:r>
        <w:rPr>
          <w:rFonts w:hint="eastAsia" w:ascii="仿宋_GB2312" w:hAnsi="仿宋_GB2312" w:eastAsia="仿宋_GB2312" w:cs="仿宋_GB2312"/>
          <w:b/>
          <w:bCs/>
          <w:color w:val="000000"/>
          <w:kern w:val="0"/>
          <w:sz w:val="32"/>
          <w:szCs w:val="32"/>
          <w:highlight w:val="none"/>
        </w:rPr>
        <w:t>量</w:t>
      </w:r>
      <w:r>
        <w:rPr>
          <w:rFonts w:hint="eastAsia" w:ascii="仿宋_GB2312" w:hAnsi="仿宋_GB2312" w:eastAsia="仿宋_GB2312" w:cs="仿宋_GB2312"/>
          <w:b/>
          <w:bCs/>
          <w:color w:val="000000"/>
          <w:kern w:val="0"/>
          <w:sz w:val="32"/>
          <w:szCs w:val="32"/>
          <w:highlight w:val="none"/>
          <w:lang w:eastAsia="zh-CN"/>
        </w:rPr>
        <w:t>三级指标：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根据合同规定完成综合服务平台运营建设质量达到建设质量评定标准。系统验收合格率100%，实际完成值100%,分值6.25分，实际得分6.25分。根据评分标准，该指标实际得分率100%。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000000"/>
          <w:kern w:val="0"/>
          <w:sz w:val="32"/>
          <w:szCs w:val="32"/>
          <w:highlight w:val="none"/>
        </w:rPr>
        <w:t>产出时效</w:t>
      </w:r>
      <w:r>
        <w:rPr>
          <w:rFonts w:hint="eastAsia" w:ascii="仿宋_GB2312" w:hAnsi="仿宋_GB2312" w:eastAsia="仿宋_GB2312" w:cs="仿宋_GB2312"/>
          <w:b/>
          <w:bCs/>
          <w:color w:val="000000"/>
          <w:kern w:val="0"/>
          <w:sz w:val="32"/>
          <w:szCs w:val="32"/>
          <w:highlight w:val="none"/>
          <w:lang w:eastAsia="zh-CN"/>
        </w:rPr>
        <w:t>三级指标：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项目计划开工时间为2018年5月，完工时间为2021年5月，项目尚未完工。业务处理及时率100%，实际完成值100%，分值6.25分，实际得分6.25分；支付及时率100%，实际完成值100%，分值6.25分，实际得分6.25分。按指标评分标准，该指标实际得分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highlight w:val="none"/>
        </w:rPr>
      </w:pPr>
      <w:r>
        <w:rPr>
          <w:rFonts w:hint="eastAsia" w:ascii="仿宋_GB2312" w:hAnsi="仿宋_GB2312" w:eastAsia="仿宋_GB2312" w:cs="仿宋_GB2312"/>
          <w:b/>
          <w:bCs/>
          <w:color w:val="000000"/>
          <w:kern w:val="0"/>
          <w:sz w:val="32"/>
          <w:szCs w:val="32"/>
          <w:highlight w:val="none"/>
        </w:rPr>
        <w:t>产出成本</w:t>
      </w:r>
      <w:r>
        <w:rPr>
          <w:rFonts w:hint="eastAsia" w:ascii="仿宋_GB2312" w:hAnsi="仿宋_GB2312" w:eastAsia="仿宋_GB2312" w:cs="仿宋_GB2312"/>
          <w:b/>
          <w:bCs/>
          <w:color w:val="000000"/>
          <w:kern w:val="0"/>
          <w:sz w:val="32"/>
          <w:szCs w:val="32"/>
          <w:highlight w:val="none"/>
          <w:lang w:eastAsia="zh-CN"/>
        </w:rPr>
        <w:t>三级指标：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根据年初设定的计划投资额36.4万元，实际完成32.32万元，指标完成率88.79。分值6.25分，实际得分5.3分，年支付金额83.04万元，实际完成值73.4万元，指标完成率88.39，分值6.25分，实际得分5.5分。</w:t>
      </w:r>
    </w:p>
    <w:p>
      <w:pPr>
        <w:pStyle w:val="19"/>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atLeast"/>
        <w:ind w:firstLine="643"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生态效益指标：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2020年项目各项工作按计划实施，综合服务平台运营项目稳步推进，运营质量达到合同要求。通过该项目实施，减少了柜台办事人员，降低成本，节约财政资金，该指标不扣分。公共服务水平有所提升，实际完成值100%，分值10分，实际得分10分，按指标评分标准，该指标实际得分率100%</w:t>
      </w:r>
    </w:p>
    <w:p>
      <w:pPr>
        <w:pageBreakBefore w:val="0"/>
        <w:kinsoku/>
        <w:wordWrap/>
        <w:overflowPunct/>
        <w:topLinePunct w:val="0"/>
        <w:autoSpaceDE/>
        <w:autoSpaceDN/>
        <w:bidi w:val="0"/>
        <w:adjustRightInd/>
        <w:snapToGrid/>
        <w:spacing w:line="560" w:lineRule="atLeast"/>
        <w:ind w:firstLine="643"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rPr>
        <w:t>社会效益指标：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项目交付使用后，提解决了群众足不出户办理业务，实现全疆系统统一，为客户办理业务提供方便，业务保障有所提升，实际完成值100%，分值10分，实际得分10分，按指标评分标准，该指标实际得分率100%。</w:t>
      </w:r>
    </w:p>
    <w:p>
      <w:pPr>
        <w:pStyle w:val="18"/>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Fonts w:hint="eastAsia" w:ascii="黑体" w:hAnsi="黑体" w:eastAsia="黑体"/>
          <w:sz w:val="32"/>
          <w:szCs w:val="32"/>
          <w:highlight w:val="none"/>
        </w:rPr>
      </w:pPr>
      <w:r>
        <w:rPr>
          <w:rFonts w:hint="eastAsia" w:ascii="仿宋_GB2312" w:hAnsi="仿宋_GB2312" w:eastAsia="仿宋_GB2312" w:cs="仿宋_GB2312"/>
          <w:b/>
          <w:bCs/>
          <w:sz w:val="32"/>
          <w:szCs w:val="32"/>
          <w:highlight w:val="none"/>
        </w:rPr>
        <w:t>服务对象满意度指标：</w:t>
      </w:r>
      <w:r>
        <w:rPr>
          <w:rStyle w:val="23"/>
          <w:rFonts w:hint="eastAsia" w:ascii="仿宋" w:hAnsi="仿宋" w:eastAsia="仿宋" w:cs="Times New Roman"/>
          <w:b w:val="0"/>
          <w:color w:val="000000"/>
          <w:spacing w:val="-4"/>
          <w:kern w:val="2"/>
          <w:sz w:val="32"/>
          <w:szCs w:val="32"/>
          <w:highlight w:val="none"/>
          <w:shd w:val="clear" w:color="FFFFFF" w:fill="FFFFFF"/>
          <w:lang w:val="en-US" w:eastAsia="zh-CN" w:bidi="ar-SA"/>
        </w:rPr>
        <w:t>根据调查问卷调查结果，受益群众满意率90%，实际完成值90%，分值10分，得分10分，按指标评分标准，该指标实际得分率100%。</w:t>
      </w:r>
    </w:p>
    <w:p>
      <w:pPr>
        <w:pageBreakBefore w:val="0"/>
        <w:kinsoku/>
        <w:wordWrap/>
        <w:overflowPunct/>
        <w:topLinePunct w:val="0"/>
        <w:autoSpaceDE/>
        <w:autoSpaceDN/>
        <w:bidi w:val="0"/>
        <w:adjustRightInd/>
        <w:snapToGrid/>
        <w:spacing w:line="560" w:lineRule="atLeast"/>
        <w:ind w:firstLine="641"/>
        <w:textAlignment w:val="auto"/>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9"/>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19"/>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2020年受传染病防控影响，工作进度也受到影响，通过后期的努力保证工作任务完成；通过对年初预算绩效目标体系的评定、年中支出绩效的监控、年末支出绩效的自评，进一步呈现出预算工作中存在不足与偏差，需在预算编制上贴近现实，加强改进，做到科学、合理编制。</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1、加强本部门预算编制的科学、合理性，严格执行预算。</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2、加强学习，提高工作工作能力。</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3、进一步贯彻执行中央八项规定和自治区党委十条规定，完善本部门“三公”经费等公务支出管理制度及厉行节约制度，继续加强经费审批和控制，规范支出标准与范围，并严格执行。</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其他需要说明的问题。</w:t>
      </w:r>
    </w:p>
    <w:p>
      <w:pPr>
        <w:pStyle w:val="19"/>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610"/>
        <w:gridCol w:w="5784"/>
        <w:gridCol w:w="912"/>
        <w:gridCol w:w="8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610"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784"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912"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898"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610"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784"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912"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898"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610"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784"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912"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898"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784"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912"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89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912"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898"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610"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784"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912"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898"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610"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784"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912"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898"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784"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912"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2.5</w:t>
            </w:r>
          </w:p>
        </w:tc>
        <w:tc>
          <w:tcPr>
            <w:tcW w:w="898"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8"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610"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784"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912" w:type="dxa"/>
            <w:shd w:val="clear" w:color="auto"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2.5</w:t>
            </w:r>
          </w:p>
        </w:tc>
        <w:tc>
          <w:tcPr>
            <w:tcW w:w="898" w:type="dxa"/>
            <w:shd w:val="clear" w:color="auto"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0"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912"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9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25"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912"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9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912"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9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3" w:hRule="atLeast"/>
          <w:jc w:val="center"/>
        </w:trPr>
        <w:tc>
          <w:tcPr>
            <w:tcW w:w="839"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912"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98"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784"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12"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98"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912"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98"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68"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912"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98"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610"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784"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912"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98"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610"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784"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912"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898"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bl>
    <w:p>
      <w:pPr>
        <w:pStyle w:val="2"/>
        <w:rPr>
          <w:rStyle w:val="23"/>
          <w:rFonts w:ascii="黑体" w:hAnsi="黑体" w:eastAsia="黑体"/>
          <w:bCs w:val="0"/>
          <w:spacing w:val="-4"/>
          <w:sz w:val="32"/>
          <w:szCs w:val="32"/>
        </w:rPr>
      </w:pPr>
    </w:p>
    <w:p>
      <w:pPr>
        <w:pStyle w:val="2"/>
        <w:rPr>
          <w:rStyle w:val="23"/>
          <w:rFonts w:ascii="黑体" w:hAnsi="黑体" w:eastAsia="黑体"/>
          <w:bCs w:val="0"/>
          <w:spacing w:val="-4"/>
          <w:sz w:val="32"/>
          <w:szCs w:val="32"/>
        </w:rPr>
      </w:pPr>
    </w:p>
    <w:p>
      <w:pPr>
        <w:pStyle w:val="2"/>
        <w:rPr>
          <w:rStyle w:val="23"/>
          <w:rFonts w:ascii="黑体" w:hAnsi="黑体" w:eastAsia="黑体"/>
          <w:bCs w:val="0"/>
          <w:spacing w:val="-4"/>
          <w:sz w:val="32"/>
          <w:szCs w:val="32"/>
        </w:rPr>
      </w:pPr>
    </w:p>
    <w:p>
      <w:pPr>
        <w:pStyle w:val="2"/>
        <w:rPr>
          <w:rStyle w:val="23"/>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1"/>
        <w:tblW w:w="9220" w:type="dxa"/>
        <w:tblInd w:w="0" w:type="dxa"/>
        <w:shd w:val="clear" w:color="auto" w:fill="auto"/>
        <w:tblLayout w:type="fixed"/>
        <w:tblCellMar>
          <w:top w:w="0" w:type="dxa"/>
          <w:left w:w="0" w:type="dxa"/>
          <w:bottom w:w="0" w:type="dxa"/>
          <w:right w:w="0" w:type="dxa"/>
        </w:tblCellMar>
      </w:tblPr>
      <w:tblGrid>
        <w:gridCol w:w="833"/>
        <w:gridCol w:w="821"/>
        <w:gridCol w:w="1073"/>
        <w:gridCol w:w="474"/>
        <w:gridCol w:w="1050"/>
        <w:gridCol w:w="1005"/>
        <w:gridCol w:w="1170"/>
        <w:gridCol w:w="2794"/>
      </w:tblGrid>
      <w:tr>
        <w:tblPrEx>
          <w:shd w:val="clear" w:color="auto" w:fill="auto"/>
          <w:tblCellMar>
            <w:top w:w="0" w:type="dxa"/>
            <w:left w:w="0" w:type="dxa"/>
            <w:bottom w:w="0" w:type="dxa"/>
            <w:right w:w="0" w:type="dxa"/>
          </w:tblCellMar>
        </w:tblPrEx>
        <w:trPr>
          <w:trHeight w:val="699" w:hRule="atLeast"/>
        </w:trPr>
        <w:tc>
          <w:tcPr>
            <w:tcW w:w="922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699" w:hRule="atLeast"/>
        </w:trPr>
        <w:tc>
          <w:tcPr>
            <w:tcW w:w="922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357" w:hRule="atLeast"/>
        </w:trPr>
        <w:tc>
          <w:tcPr>
            <w:tcW w:w="9220" w:type="dxa"/>
            <w:gridSpan w:val="8"/>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368"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6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综合平台项目</w:t>
            </w:r>
          </w:p>
        </w:tc>
      </w:tr>
      <w:tr>
        <w:tblPrEx>
          <w:shd w:val="clear" w:color="auto" w:fill="auto"/>
          <w:tblCellMar>
            <w:top w:w="0" w:type="dxa"/>
            <w:left w:w="0" w:type="dxa"/>
            <w:bottom w:w="0" w:type="dxa"/>
            <w:right w:w="0" w:type="dxa"/>
          </w:tblCellMar>
        </w:tblPrEx>
        <w:trPr>
          <w:trHeight w:val="368"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60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塔城地区住房公积金管理中心</w:t>
            </w:r>
          </w:p>
        </w:tc>
      </w:tr>
      <w:tr>
        <w:tblPrEx>
          <w:shd w:val="clear" w:color="auto" w:fill="auto"/>
          <w:tblCellMar>
            <w:top w:w="0" w:type="dxa"/>
            <w:left w:w="0" w:type="dxa"/>
            <w:bottom w:w="0" w:type="dxa"/>
            <w:right w:w="0" w:type="dxa"/>
          </w:tblCellMar>
        </w:tblPrEx>
        <w:trPr>
          <w:trHeight w:val="710"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073"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47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0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501"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119.44</w:t>
            </w:r>
          </w:p>
        </w:tc>
        <w:tc>
          <w:tcPr>
            <w:tcW w:w="10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119.44</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105.72</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88.51%</w:t>
            </w:r>
          </w:p>
        </w:tc>
      </w:tr>
      <w:tr>
        <w:tblPrEx>
          <w:shd w:val="clear" w:color="auto" w:fill="auto"/>
          <w:tblCellMar>
            <w:top w:w="0" w:type="dxa"/>
            <w:left w:w="0" w:type="dxa"/>
            <w:bottom w:w="0" w:type="dxa"/>
            <w:right w:w="0" w:type="dxa"/>
          </w:tblCellMar>
        </w:tblPrEx>
        <w:trPr>
          <w:trHeight w:val="501"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119.44</w:t>
            </w:r>
          </w:p>
        </w:tc>
        <w:tc>
          <w:tcPr>
            <w:tcW w:w="10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119.44</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105.72</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501"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68"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7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501"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4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2758"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4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宣传让更多的客户了解到我综合服务平台。在平台上升阶段，通过热情周到的服务树立良好的单位形象，一方面留住老顾客，另一方面开拓新的客源。并开展微信朋友圈、公众号等新兴宣传方式。通过电话回访调查的方式，了解不同客户的需求，不断修改业务操作方式。对平台进行进一步完善，扩大服务规模。让缴存职工做到足不出户办业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p>
        </w:tc>
        <w:tc>
          <w:tcPr>
            <w:tcW w:w="3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宣传让更多的客户了解到我综合服务平台。在平台上升阶段，通过热情周到的服务树立良好的单位形象，一方面留住老顾客，另一方面开拓新的客源。并开展微信朋友圈、公众号等新兴宣传方式。通过电话回访调查的方式，了解不同客户的需求，不断修改业务操作方式。对平台进行进一步完善，扩大服务规模。让缴存职工做到足不出户办业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p>
        </w:tc>
      </w:tr>
      <w:tr>
        <w:tblPrEx>
          <w:shd w:val="clear" w:color="auto" w:fill="auto"/>
          <w:tblCellMar>
            <w:top w:w="0" w:type="dxa"/>
            <w:left w:w="0" w:type="dxa"/>
            <w:bottom w:w="0" w:type="dxa"/>
            <w:right w:w="0" w:type="dxa"/>
          </w:tblCellMar>
        </w:tblPrEx>
        <w:trPr>
          <w:trHeight w:val="478" w:hRule="atLeast"/>
        </w:trPr>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68" w:hRule="atLeast"/>
        </w:trPr>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线路租赁</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2条</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0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提供服务人次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≥3人</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3人</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0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中心服务器</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0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系统验收合格率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0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业务处理及时率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0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4"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支付及时率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51"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支付成本</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≤36.4万元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32.32万元</w:t>
            </w:r>
          </w:p>
        </w:tc>
        <w:tc>
          <w:tcPr>
            <w:tcW w:w="2794"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受传染病防控影响，2020年9-12月神玥软件服务费未支付，计划在2021年支付。</w:t>
            </w:r>
          </w:p>
        </w:tc>
      </w:tr>
      <w:tr>
        <w:tblPrEx>
          <w:shd w:val="clear" w:color="auto" w:fill="auto"/>
          <w:tblCellMar>
            <w:top w:w="0" w:type="dxa"/>
            <w:left w:w="0" w:type="dxa"/>
            <w:bottom w:w="0" w:type="dxa"/>
            <w:right w:w="0" w:type="dxa"/>
          </w:tblCellMar>
        </w:tblPrEx>
        <w:trPr>
          <w:trHeight w:val="1274"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年支付金额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≤83.04万元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73.4万元</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受传染病防控</w:t>
            </w:r>
            <w:bookmarkStart w:id="2" w:name="_GoBack"/>
            <w:bookmarkEnd w:id="2"/>
            <w:r>
              <w:rPr>
                <w:rFonts w:hint="eastAsia" w:ascii="宋体" w:hAnsi="宋体" w:eastAsia="宋体" w:cs="宋体"/>
                <w:i w:val="0"/>
                <w:color w:val="000000"/>
                <w:kern w:val="0"/>
                <w:sz w:val="18"/>
                <w:szCs w:val="18"/>
                <w:u w:val="none"/>
                <w:lang w:val="en-US" w:eastAsia="zh-CN" w:bidi="ar"/>
              </w:rPr>
              <w:t>影响，2020年9-12月神玥软件服务费未支付，计划在2021年支付。</w:t>
            </w:r>
          </w:p>
        </w:tc>
      </w:tr>
      <w:tr>
        <w:tblPrEx>
          <w:shd w:val="clear" w:color="auto" w:fill="auto"/>
          <w:tblCellMar>
            <w:top w:w="0" w:type="dxa"/>
            <w:left w:w="0" w:type="dxa"/>
            <w:bottom w:w="0" w:type="dxa"/>
            <w:right w:w="0" w:type="dxa"/>
          </w:tblCellMar>
        </w:tblPrEx>
        <w:trPr>
          <w:trHeight w:val="1165"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abs>
                <w:tab w:val="left" w:pos="238"/>
              </w:tabs>
              <w:jc w:val="left"/>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效益指标</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业务保障提升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10"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公共服务水平</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71"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线路租赁年限</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1年</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1年</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771" w:hRule="atLeast"/>
        </w:trPr>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5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0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受益群众满意率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79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65" w:hRule="atLeast"/>
        </w:trPr>
        <w:tc>
          <w:tcPr>
            <w:tcW w:w="9220" w:type="dxa"/>
            <w:gridSpan w:val="8"/>
            <w:tcBorders>
              <w:top w:val="single" w:color="000000"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r>
    </w:tbl>
    <w:p>
      <w:pPr>
        <w:spacing w:line="540" w:lineRule="exact"/>
        <w:rPr>
          <w:rStyle w:val="23"/>
          <w:rFonts w:ascii="黑体" w:hAnsi="黑体" w:eastAsia="黑体"/>
          <w:bCs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30462"/>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AC7129"/>
    <w:rsid w:val="02B65584"/>
    <w:rsid w:val="032D3D61"/>
    <w:rsid w:val="033216F5"/>
    <w:rsid w:val="042D096C"/>
    <w:rsid w:val="043326CE"/>
    <w:rsid w:val="0462382D"/>
    <w:rsid w:val="049D1A7A"/>
    <w:rsid w:val="04A946F6"/>
    <w:rsid w:val="04CD40DD"/>
    <w:rsid w:val="051A56F5"/>
    <w:rsid w:val="066D6EAA"/>
    <w:rsid w:val="06793EFB"/>
    <w:rsid w:val="08C662D4"/>
    <w:rsid w:val="09BD4D95"/>
    <w:rsid w:val="0ABD59B1"/>
    <w:rsid w:val="0CEB41FE"/>
    <w:rsid w:val="0D407D0D"/>
    <w:rsid w:val="0DA67F3D"/>
    <w:rsid w:val="0E2664B4"/>
    <w:rsid w:val="0F1B236C"/>
    <w:rsid w:val="0F8D41CB"/>
    <w:rsid w:val="10562845"/>
    <w:rsid w:val="1081561C"/>
    <w:rsid w:val="116A0192"/>
    <w:rsid w:val="11C75270"/>
    <w:rsid w:val="12637CC3"/>
    <w:rsid w:val="12833BAC"/>
    <w:rsid w:val="12BA4662"/>
    <w:rsid w:val="12E657C5"/>
    <w:rsid w:val="13576AAC"/>
    <w:rsid w:val="152B3E29"/>
    <w:rsid w:val="154831BE"/>
    <w:rsid w:val="16225182"/>
    <w:rsid w:val="167C7687"/>
    <w:rsid w:val="168B3546"/>
    <w:rsid w:val="19845FEE"/>
    <w:rsid w:val="1A2374E0"/>
    <w:rsid w:val="1A4B7C9D"/>
    <w:rsid w:val="1BF134CE"/>
    <w:rsid w:val="1C317CE2"/>
    <w:rsid w:val="1C5303CC"/>
    <w:rsid w:val="1DD45808"/>
    <w:rsid w:val="1DED42AC"/>
    <w:rsid w:val="1F455C4F"/>
    <w:rsid w:val="1FE2384A"/>
    <w:rsid w:val="20005763"/>
    <w:rsid w:val="20FB313D"/>
    <w:rsid w:val="220B4804"/>
    <w:rsid w:val="26A72802"/>
    <w:rsid w:val="282475E3"/>
    <w:rsid w:val="284205D5"/>
    <w:rsid w:val="28B96361"/>
    <w:rsid w:val="2AAD2DED"/>
    <w:rsid w:val="2ADD7999"/>
    <w:rsid w:val="2BF216C6"/>
    <w:rsid w:val="2C6100C1"/>
    <w:rsid w:val="2C896AF9"/>
    <w:rsid w:val="2C9C17A5"/>
    <w:rsid w:val="2E071FCE"/>
    <w:rsid w:val="2E8E12B2"/>
    <w:rsid w:val="2EEA70A8"/>
    <w:rsid w:val="2FFE5677"/>
    <w:rsid w:val="309D4363"/>
    <w:rsid w:val="31243FAD"/>
    <w:rsid w:val="31783601"/>
    <w:rsid w:val="31CA345C"/>
    <w:rsid w:val="3264220D"/>
    <w:rsid w:val="32BD2A95"/>
    <w:rsid w:val="335C745F"/>
    <w:rsid w:val="3407311B"/>
    <w:rsid w:val="36205544"/>
    <w:rsid w:val="367865C8"/>
    <w:rsid w:val="368E0E72"/>
    <w:rsid w:val="3963178C"/>
    <w:rsid w:val="39A2205A"/>
    <w:rsid w:val="3A7E2EDE"/>
    <w:rsid w:val="3AC07C64"/>
    <w:rsid w:val="3E2464DA"/>
    <w:rsid w:val="3E3D7A84"/>
    <w:rsid w:val="3FE04281"/>
    <w:rsid w:val="409E22EB"/>
    <w:rsid w:val="40ED3AE9"/>
    <w:rsid w:val="41CC2676"/>
    <w:rsid w:val="432E2650"/>
    <w:rsid w:val="43FE5758"/>
    <w:rsid w:val="44725533"/>
    <w:rsid w:val="44E54F46"/>
    <w:rsid w:val="46B21672"/>
    <w:rsid w:val="47D37073"/>
    <w:rsid w:val="483675BE"/>
    <w:rsid w:val="49AE3B6B"/>
    <w:rsid w:val="4B4C2C52"/>
    <w:rsid w:val="4BFC2B91"/>
    <w:rsid w:val="4C794AD4"/>
    <w:rsid w:val="4DBF3F83"/>
    <w:rsid w:val="4E8463F0"/>
    <w:rsid w:val="4EF9323A"/>
    <w:rsid w:val="4F552460"/>
    <w:rsid w:val="4FCC6863"/>
    <w:rsid w:val="4FCF2B9B"/>
    <w:rsid w:val="5002333A"/>
    <w:rsid w:val="500A214A"/>
    <w:rsid w:val="512B227F"/>
    <w:rsid w:val="519A684C"/>
    <w:rsid w:val="51B310CD"/>
    <w:rsid w:val="522D604D"/>
    <w:rsid w:val="5297585E"/>
    <w:rsid w:val="529F4888"/>
    <w:rsid w:val="52AD7D6F"/>
    <w:rsid w:val="54AF1A2A"/>
    <w:rsid w:val="54F66B64"/>
    <w:rsid w:val="5549519D"/>
    <w:rsid w:val="5557596B"/>
    <w:rsid w:val="55B56490"/>
    <w:rsid w:val="55DC59DB"/>
    <w:rsid w:val="55E528E1"/>
    <w:rsid w:val="576321CD"/>
    <w:rsid w:val="57A13692"/>
    <w:rsid w:val="5871079F"/>
    <w:rsid w:val="59CA1BEA"/>
    <w:rsid w:val="5B4B1212"/>
    <w:rsid w:val="5B596DFC"/>
    <w:rsid w:val="5BD921B1"/>
    <w:rsid w:val="5DB336CB"/>
    <w:rsid w:val="5DF03945"/>
    <w:rsid w:val="5F6A57BF"/>
    <w:rsid w:val="60685014"/>
    <w:rsid w:val="628117BD"/>
    <w:rsid w:val="632C1839"/>
    <w:rsid w:val="637C2815"/>
    <w:rsid w:val="65030AA7"/>
    <w:rsid w:val="683C1D64"/>
    <w:rsid w:val="68507278"/>
    <w:rsid w:val="68A52D4B"/>
    <w:rsid w:val="68AC7BD8"/>
    <w:rsid w:val="6997016A"/>
    <w:rsid w:val="6A4E50F2"/>
    <w:rsid w:val="6ABF4C4B"/>
    <w:rsid w:val="6DDE6844"/>
    <w:rsid w:val="72F73C18"/>
    <w:rsid w:val="734520A2"/>
    <w:rsid w:val="73BA5708"/>
    <w:rsid w:val="74B84F3C"/>
    <w:rsid w:val="75A47C17"/>
    <w:rsid w:val="764659E8"/>
    <w:rsid w:val="76C16626"/>
    <w:rsid w:val="774A0959"/>
    <w:rsid w:val="776C2F9B"/>
    <w:rsid w:val="78C33616"/>
    <w:rsid w:val="7A353D0B"/>
    <w:rsid w:val="7A411379"/>
    <w:rsid w:val="7C1B3B8B"/>
    <w:rsid w:val="7CB75AC0"/>
    <w:rsid w:val="7D09473D"/>
    <w:rsid w:val="7D3A5E2F"/>
    <w:rsid w:val="7DC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Normal (Web)"/>
    <w:basedOn w:val="1"/>
    <w:qFormat/>
    <w:uiPriority w:val="99"/>
    <w:pPr>
      <w:spacing w:before="100" w:beforeAutospacing="1" w:after="100" w:afterAutospacing="1"/>
      <w:jc w:val="left"/>
    </w:pPr>
    <w:rPr>
      <w:sz w:val="24"/>
      <w:lang w:bidi="ar"/>
    </w:rPr>
  </w:style>
  <w:style w:type="paragraph" w:styleId="19">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19"/>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character" w:customStyle="1" w:styleId="53">
    <w:name w:val="font61"/>
    <w:basedOn w:val="22"/>
    <w:qFormat/>
    <w:uiPriority w:val="0"/>
    <w:rPr>
      <w:rFonts w:hint="eastAsia" w:ascii="宋体" w:hAnsi="宋体" w:eastAsia="宋体" w:cs="宋体"/>
      <w:color w:val="000000"/>
      <w:sz w:val="21"/>
      <w:szCs w:val="21"/>
      <w:u w:val="none"/>
    </w:rPr>
  </w:style>
  <w:style w:type="character" w:customStyle="1" w:styleId="54">
    <w:name w:val="font01"/>
    <w:basedOn w:val="22"/>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6</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2025-09-04T11:11:44Z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390855185_btnclosed</vt:lpwstr>
  </property>
  <property fmtid="{D5CDD505-2E9C-101B-9397-08002B2CF9AE}" pid="4" name="ICV">
    <vt:lpwstr>49CC46E4D85C45B8AAA6C633C9E1EE60</vt:lpwstr>
  </property>
</Properties>
</file>