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Cs/>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Cs/>
          <w:kern w:val="0"/>
          <w:sz w:val="44"/>
          <w:szCs w:val="44"/>
          <w:highlight w:val="none"/>
        </w:rPr>
      </w:pPr>
      <w:r>
        <w:rPr>
          <w:rFonts w:hint="eastAsia" w:ascii="方正小标宋_GBK" w:hAnsi="方正小标宋_GBK" w:eastAsia="方正小标宋_GBK" w:cs="方正小标宋_GBK"/>
          <w:bCs/>
          <w:kern w:val="0"/>
          <w:sz w:val="44"/>
          <w:szCs w:val="44"/>
          <w:highlight w:val="none"/>
        </w:rPr>
        <w:t>塔城地区人影办雷达站运转项目支出</w:t>
      </w: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Cs/>
          <w:kern w:val="0"/>
          <w:sz w:val="44"/>
          <w:szCs w:val="44"/>
          <w:highlight w:val="none"/>
        </w:rPr>
      </w:pPr>
      <w:r>
        <w:rPr>
          <w:rFonts w:hint="eastAsia" w:ascii="方正小标宋_GBK" w:hAnsi="方正小标宋_GBK" w:eastAsia="方正小标宋_GBK" w:cs="方正小标宋_GBK"/>
          <w:bCs/>
          <w:kern w:val="0"/>
          <w:sz w:val="44"/>
          <w:szCs w:val="44"/>
          <w:highlight w:val="none"/>
        </w:rPr>
        <w:t>绩效评价报告</w:t>
      </w: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（2020年度）</w:t>
      </w: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0"/>
          <w:szCs w:val="30"/>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0"/>
          <w:szCs w:val="30"/>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0"/>
          <w:szCs w:val="30"/>
          <w:highlight w:val="none"/>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0"/>
          <w:szCs w:val="30"/>
          <w:highlight w:val="none"/>
        </w:rPr>
      </w:pPr>
    </w:p>
    <w:p>
      <w:pPr>
        <w:keepNext w:val="0"/>
        <w:keepLines w:val="0"/>
        <w:pageBreakBefore w:val="0"/>
        <w:kinsoku/>
        <w:wordWrap/>
        <w:overflowPunct/>
        <w:topLinePunct w:val="0"/>
        <w:autoSpaceDE/>
        <w:autoSpaceDN/>
        <w:bidi w:val="0"/>
        <w:adjustRightInd/>
        <w:spacing w:line="560" w:lineRule="exact"/>
        <w:textAlignment w:val="auto"/>
        <w:rPr>
          <w:rFonts w:hAnsi="宋体" w:eastAsia="仿宋_GB2312" w:cs="宋体"/>
          <w:kern w:val="0"/>
          <w:sz w:val="32"/>
          <w:szCs w:val="32"/>
          <w:highlight w:val="none"/>
        </w:rPr>
      </w:pP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项目名称：2020年地区人影办雷达站运转项目</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实施单位（公章）：塔城地区人影办雷达站</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主管部门（公章）：塔城地区人工影响天气办公室</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项目负责人（签章）：彭庆锋</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填报时间：2021年3月12日</w:t>
      </w: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kern w:val="0"/>
          <w:sz w:val="30"/>
          <w:szCs w:val="30"/>
          <w:highlight w:val="none"/>
        </w:rPr>
      </w:pPr>
    </w:p>
    <w:p>
      <w:pPr>
        <w:keepNext w:val="0"/>
        <w:keepLines w:val="0"/>
        <w:pageBreakBefore w:val="0"/>
        <w:kinsoku/>
        <w:wordWrap/>
        <w:overflowPunct/>
        <w:topLinePunct w:val="0"/>
        <w:autoSpaceDE/>
        <w:autoSpaceDN/>
        <w:bidi w:val="0"/>
        <w:adjustRightInd/>
        <w:spacing w:line="560" w:lineRule="exact"/>
        <w:textAlignment w:val="auto"/>
        <w:rPr>
          <w:rStyle w:val="20"/>
          <w:rFonts w:ascii="黑体" w:hAnsi="黑体" w:eastAsia="黑体"/>
          <w:b w:val="0"/>
          <w:spacing w:val="-4"/>
          <w:sz w:val="32"/>
          <w:szCs w:val="32"/>
          <w:highlight w:val="none"/>
        </w:rPr>
      </w:pPr>
    </w:p>
    <w:p>
      <w:pPr>
        <w:keepNext w:val="0"/>
        <w:keepLines w:val="0"/>
        <w:pageBreakBefore w:val="0"/>
        <w:kinsoku/>
        <w:wordWrap/>
        <w:overflowPunct/>
        <w:topLinePunct w:val="0"/>
        <w:autoSpaceDE/>
        <w:autoSpaceDN/>
        <w:bidi w:val="0"/>
        <w:adjustRightInd/>
        <w:spacing w:line="560" w:lineRule="exact"/>
        <w:ind w:firstLine="640"/>
        <w:textAlignment w:val="auto"/>
        <w:rPr>
          <w:rStyle w:val="20"/>
          <w:rFonts w:ascii="黑体" w:hAnsi="黑体" w:eastAsia="黑体"/>
          <w:b w:val="0"/>
          <w:spacing w:val="-4"/>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Style w:val="20"/>
          <w:rFonts w:ascii="黑体" w:hAnsi="黑体" w:eastAsia="黑体"/>
          <w:b w:val="0"/>
          <w:spacing w:val="-4"/>
          <w:sz w:val="32"/>
          <w:szCs w:val="32"/>
          <w:highlight w:val="none"/>
        </w:rPr>
      </w:pPr>
    </w:p>
    <w:sdt>
      <w:sdtPr>
        <w:rPr>
          <w:rFonts w:hint="eastAsia" w:asciiTheme="majorEastAsia" w:hAnsiTheme="majorEastAsia" w:eastAsiaTheme="majorEastAsia" w:cstheme="majorEastAsia"/>
          <w:b/>
          <w:bCs/>
          <w:sz w:val="44"/>
          <w:szCs w:val="44"/>
          <w:highlight w:val="none"/>
        </w:rPr>
        <w:id w:val="147456466"/>
        <w:docPartObj>
          <w:docPartGallery w:val="Table of Contents"/>
          <w:docPartUnique/>
        </w:docPartObj>
      </w:sdtPr>
      <w:sdtEndPr>
        <w:rPr>
          <w:rFonts w:hint="eastAsia" w:ascii="仿宋_GB2312" w:hAnsi="仿宋_GB2312" w:eastAsia="仿宋_GB2312" w:cs="仿宋_GB2312"/>
          <w:b/>
          <w:bCs/>
          <w:sz w:val="21"/>
          <w:szCs w:val="32"/>
          <w:highlight w:val="none"/>
        </w:rPr>
      </w:sdtEndPr>
      <w:sdtContent>
        <w:p>
          <w:pPr>
            <w:keepNext w:val="0"/>
            <w:keepLines w:val="0"/>
            <w:pageBreakBefore w:val="0"/>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44"/>
              <w:szCs w:val="44"/>
              <w:highlight w:val="none"/>
            </w:rPr>
          </w:pPr>
          <w:r>
            <w:rPr>
              <w:rFonts w:hint="eastAsia" w:ascii="仿宋_GB2312" w:hAnsi="仿宋_GB2312" w:eastAsia="仿宋_GB2312" w:cs="仿宋_GB2312"/>
              <w:sz w:val="44"/>
              <w:szCs w:val="44"/>
              <w:highlight w:val="none"/>
            </w:rPr>
            <w:t>目  录</w:t>
          </w:r>
        </w:p>
        <w:p>
          <w:pPr>
            <w:pStyle w:val="2"/>
            <w:keepNext w:val="0"/>
            <w:keepLines w:val="0"/>
            <w:pageBreakBefore w:val="0"/>
            <w:kinsoku/>
            <w:wordWrap/>
            <w:overflowPunct/>
            <w:topLinePunct w:val="0"/>
            <w:autoSpaceDE/>
            <w:autoSpaceDN/>
            <w:bidi w:val="0"/>
            <w:adjustRightInd/>
            <w:spacing w:before="0" w:after="0" w:line="560" w:lineRule="exact"/>
            <w:textAlignment w:val="auto"/>
            <w:rPr>
              <w:rFonts w:ascii="仿宋_GB2312" w:hAnsi="仿宋_GB2312" w:eastAsia="仿宋_GB2312" w:cs="仿宋_GB2312"/>
              <w:highlight w:val="none"/>
            </w:rPr>
          </w:pP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fldChar w:fldCharType="begin"/>
          </w:r>
          <w:r>
            <w:rPr>
              <w:rFonts w:hint="eastAsia" w:ascii="仿宋_GB2312" w:hAnsi="仿宋_GB2312" w:eastAsia="仿宋_GB2312" w:cs="仿宋_GB2312"/>
              <w:bCs/>
              <w:sz w:val="32"/>
              <w:szCs w:val="32"/>
              <w:highlight w:val="none"/>
            </w:rPr>
            <w:instrText xml:space="preserve">TOC \o "1-1" \h \u </w:instrText>
          </w:r>
          <w:r>
            <w:rPr>
              <w:rFonts w:hint="eastAsia" w:ascii="仿宋_GB2312" w:hAnsi="仿宋_GB2312" w:eastAsia="仿宋_GB2312" w:cs="仿宋_GB2312"/>
              <w:bCs/>
              <w:sz w:val="32"/>
              <w:szCs w:val="32"/>
              <w:highlight w:val="none"/>
            </w:rPr>
            <w:fldChar w:fldCharType="separate"/>
          </w:r>
          <w:r>
            <w:rPr>
              <w:highlight w:val="none"/>
            </w:rPr>
            <w:fldChar w:fldCharType="begin"/>
          </w:r>
          <w:r>
            <w:rPr>
              <w:highlight w:val="none"/>
            </w:rPr>
            <w:instrText xml:space="preserve"> HYPERLINK \l "_Toc10943" </w:instrText>
          </w:r>
          <w:r>
            <w:rPr>
              <w:highlight w:val="none"/>
            </w:rPr>
            <w:fldChar w:fldCharType="separate"/>
          </w:r>
          <w:r>
            <w:rPr>
              <w:rFonts w:hint="eastAsia" w:ascii="仿宋_GB2312" w:hAnsi="仿宋_GB2312" w:eastAsia="仿宋_GB2312" w:cs="仿宋_GB2312"/>
              <w:bCs/>
              <w:sz w:val="32"/>
              <w:szCs w:val="32"/>
              <w:highlight w:val="none"/>
            </w:rPr>
            <w:t>一、基本情况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_Toc10943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"_Toc20461" </w:instrText>
          </w:r>
          <w:r>
            <w:rPr>
              <w:highlight w:val="none"/>
            </w:rPr>
            <w:fldChar w:fldCharType="separate"/>
          </w:r>
          <w:r>
            <w:rPr>
              <w:rFonts w:hint="eastAsia" w:ascii="仿宋_GB2312" w:hAnsi="仿宋_GB2312" w:eastAsia="仿宋_GB2312" w:cs="仿宋_GB2312"/>
              <w:bCs/>
              <w:sz w:val="32"/>
              <w:szCs w:val="32"/>
              <w:highlight w:val="none"/>
            </w:rPr>
            <w:t>二、绩效评价工作开展情况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_Toc20461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"_Toc28383" </w:instrText>
          </w:r>
          <w:r>
            <w:rPr>
              <w:highlight w:val="none"/>
            </w:rPr>
            <w:fldChar w:fldCharType="separate"/>
          </w:r>
          <w:r>
            <w:rPr>
              <w:rFonts w:hint="eastAsia" w:ascii="仿宋_GB2312" w:hAnsi="仿宋_GB2312" w:eastAsia="仿宋_GB2312" w:cs="仿宋_GB2312"/>
              <w:bCs/>
              <w:sz w:val="32"/>
              <w:szCs w:val="32"/>
              <w:highlight w:val="none"/>
            </w:rPr>
            <w:t>三、综合评价情况及评价结论（附相关评分表）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_Toc28383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"_Toc32568" </w:instrText>
          </w:r>
          <w:r>
            <w:rPr>
              <w:highlight w:val="none"/>
            </w:rPr>
            <w:fldChar w:fldCharType="separate"/>
          </w:r>
          <w:r>
            <w:rPr>
              <w:rFonts w:hint="eastAsia" w:ascii="仿宋_GB2312" w:hAnsi="仿宋_GB2312" w:eastAsia="仿宋_GB2312" w:cs="仿宋_GB2312"/>
              <w:bCs/>
              <w:sz w:val="32"/>
              <w:szCs w:val="32"/>
              <w:highlight w:val="none"/>
            </w:rPr>
            <w:t>四、绩效评价指标分析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_Toc32568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"_Toc27877" </w:instrText>
          </w:r>
          <w:r>
            <w:rPr>
              <w:highlight w:val="none"/>
            </w:rPr>
            <w:fldChar w:fldCharType="separate"/>
          </w:r>
          <w:r>
            <w:rPr>
              <w:rFonts w:hint="eastAsia" w:ascii="仿宋_GB2312" w:hAnsi="仿宋_GB2312" w:eastAsia="仿宋_GB2312" w:cs="仿宋_GB2312"/>
              <w:bCs/>
              <w:sz w:val="32"/>
              <w:szCs w:val="32"/>
              <w:highlight w:val="none"/>
            </w:rPr>
            <w:t>五、主要经验及做法、存在的问题及原因分析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_Toc27877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"_Toc22452" </w:instrText>
          </w:r>
          <w:r>
            <w:rPr>
              <w:highlight w:val="none"/>
            </w:rPr>
            <w:fldChar w:fldCharType="separate"/>
          </w:r>
          <w:r>
            <w:rPr>
              <w:rFonts w:hint="eastAsia" w:ascii="仿宋_GB2312" w:hAnsi="仿宋_GB2312" w:eastAsia="仿宋_GB2312" w:cs="仿宋_GB2312"/>
              <w:bCs/>
              <w:sz w:val="32"/>
              <w:szCs w:val="32"/>
              <w:highlight w:val="none"/>
            </w:rPr>
            <w:t>六、有关建议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_Toc22452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17</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"_Toc18404" </w:instrText>
          </w:r>
          <w:r>
            <w:rPr>
              <w:highlight w:val="none"/>
            </w:rPr>
            <w:fldChar w:fldCharType="separate"/>
          </w:r>
          <w:r>
            <w:rPr>
              <w:rFonts w:hint="eastAsia" w:ascii="仿宋_GB2312" w:hAnsi="仿宋_GB2312" w:eastAsia="仿宋_GB2312" w:cs="仿宋_GB2312"/>
              <w:bCs/>
              <w:sz w:val="32"/>
              <w:szCs w:val="32"/>
              <w:highlight w:val="none"/>
            </w:rPr>
            <w:t>七、其他需要说明的问题</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_Toc18404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17</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53"/>
            <w:keepNext w:val="0"/>
            <w:keepLines w:val="0"/>
            <w:pageBreakBefore w:val="0"/>
            <w:tabs>
              <w:tab w:val="right" w:leader="dot" w:pos="8548"/>
            </w:tabs>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"_Toc8124" </w:instrText>
          </w:r>
          <w:r>
            <w:rPr>
              <w:highlight w:val="none"/>
            </w:rPr>
            <w:fldChar w:fldCharType="separate"/>
          </w:r>
          <w:r>
            <w:rPr>
              <w:rFonts w:hint="eastAsia" w:ascii="仿宋_GB2312" w:hAnsi="仿宋_GB2312" w:eastAsia="仿宋_GB2312" w:cs="仿宋_GB2312"/>
              <w:bCs/>
              <w:sz w:val="32"/>
              <w:szCs w:val="32"/>
              <w:highlight w:val="none"/>
            </w:rPr>
            <w:t>附件1</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_Toc8124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fldChar w:fldCharType="end"/>
          </w:r>
        </w:p>
      </w:sdtContent>
    </w:sdt>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Cs/>
          <w:sz w:val="32"/>
          <w:szCs w:val="32"/>
          <w:highlight w:val="none"/>
        </w:rPr>
      </w:pP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0" w:name="_Toc10943"/>
      <w:r>
        <w:rPr>
          <w:rFonts w:hint="eastAsia" w:ascii="黑体" w:hAnsi="黑体" w:eastAsia="黑体" w:cs="黑体"/>
          <w:bCs/>
          <w:sz w:val="32"/>
          <w:szCs w:val="32"/>
          <w:highlight w:val="none"/>
        </w:rPr>
        <w:t>一、基本情况</w:t>
      </w:r>
      <w:bookmarkEnd w:id="0"/>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受全球气候变化等多种因素影响，极端天气事件频发多发，冰雹、干旱是影响我区农牧业生产的主要气象灾害，同时水资源短缺问题也是制约塔城经济社会可持续发展的关键因素。开展人工影响天气工作，不仅是农业生产和防灾减灾的需要，也是保障水资源安全、促进生态文明建设、打赢脱贫攻坚战的需要。</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2.项目主要内容及实施情况</w:t>
      </w:r>
    </w:p>
    <w:p>
      <w:pPr>
        <w:pStyle w:val="2"/>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仿宋_GB2312" w:hAnsi="仿宋_GB2312" w:eastAsia="仿宋_GB2312" w:cs="仿宋_GB2312"/>
          <w:b w:val="0"/>
          <w:bCs w:val="0"/>
          <w:kern w:val="2"/>
          <w:highlight w:val="none"/>
        </w:rPr>
      </w:pPr>
      <w:bookmarkStart w:id="1" w:name="_Toc32663"/>
      <w:r>
        <w:rPr>
          <w:rFonts w:hint="eastAsia" w:ascii="仿宋_GB2312" w:hAnsi="仿宋_GB2312" w:eastAsia="仿宋_GB2312" w:cs="仿宋_GB2312"/>
          <w:kern w:val="2"/>
          <w:highlight w:val="none"/>
        </w:rPr>
        <w:t>项目主要内容：</w:t>
      </w:r>
      <w:r>
        <w:rPr>
          <w:rFonts w:hint="eastAsia" w:ascii="仿宋_GB2312" w:hAnsi="仿宋_GB2312" w:eastAsia="仿宋_GB2312" w:cs="仿宋_GB2312"/>
          <w:b w:val="0"/>
          <w:bCs w:val="0"/>
          <w:kern w:val="2"/>
          <w:highlight w:val="none"/>
        </w:rPr>
        <w:t>保障X波段人影雷达用电、数据传输正常运转，为盆地各人影作业单位提供人影作业指挥服务，组织作业单位在塔额盆地范围内开展人工影响天气作业，包括人工增雨（雪），人工防雹等。保障雷达塔楼消防安全设施正常运转，消除火险隐患；确保电梯安全正常运转，杜绝电梯安全生产责任隐患；对雷达计算机等硬件设备的正常维护。按防雷设计要求开展雷达塔楼及设备防雷年审。依靠雷达生产厂家对雷达设备开展常态化的硬件维护、软件技术服务工作。开展场地绿化、路面硬化，根据需要购置基础办公设备，开展地区人影安全检查。</w:t>
      </w:r>
      <w:bookmarkEnd w:id="1"/>
    </w:p>
    <w:p>
      <w:pPr>
        <w:keepNext w:val="0"/>
        <w:keepLines w:val="0"/>
        <w:pageBreakBefore w:val="0"/>
        <w:kinsoku/>
        <w:wordWrap/>
        <w:overflowPunct/>
        <w:topLinePunct w:val="0"/>
        <w:autoSpaceDE/>
        <w:autoSpaceDN/>
        <w:bidi w:val="0"/>
        <w:adjustRightInd/>
        <w:spacing w:line="560" w:lineRule="exact"/>
        <w:ind w:firstLine="643" w:firstLineChars="200"/>
        <w:textAlignment w:val="auto"/>
        <w:rPr>
          <w:color w:val="000000" w:themeColor="text1"/>
          <w:highlight w:val="none"/>
          <w14:textFill>
            <w14:solidFill>
              <w14:schemeClr w14:val="tx1"/>
            </w14:solidFill>
          </w14:textFill>
        </w:rPr>
      </w:pPr>
      <w:r>
        <w:rPr>
          <w:rFonts w:hint="eastAsia" w:ascii="仿宋_GB2312" w:hAnsi="仿宋_GB2312" w:eastAsia="仿宋_GB2312" w:cs="仿宋_GB2312"/>
          <w:b/>
          <w:bCs/>
          <w:sz w:val="32"/>
          <w:szCs w:val="32"/>
          <w:highlight w:val="none"/>
        </w:rPr>
        <w:t>项目实施情况：</w:t>
      </w:r>
      <w:r>
        <w:rPr>
          <w:rFonts w:hint="eastAsia" w:ascii="仿宋_GB2312" w:hAnsi="仿宋_GB2312" w:eastAsia="仿宋_GB2312" w:cs="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w:t>
      </w:r>
      <w:r>
        <w:rPr>
          <w:rFonts w:hint="eastAsia" w:ascii="仿宋_GB2312" w:hAnsi="仿宋_GB2312" w:eastAsia="仿宋_GB2312" w:cs="仿宋_GB2312"/>
          <w:color w:val="000000" w:themeColor="text1"/>
          <w:sz w:val="32"/>
          <w:szCs w:val="32"/>
          <w:highlight w:val="none"/>
          <w14:textFill>
            <w14:solidFill>
              <w14:schemeClr w14:val="tx1"/>
            </w14:solidFill>
          </w14:textFill>
        </w:rPr>
        <w:t>阶段安全顺利进行。</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本项目总投资20万元，其中：财政本级资金20万元。项目实际支出19.766万元， 支出率为98.83%。</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3.资金投入和使用情况</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color w:val="000000" w:themeColor="text1"/>
          <w:sz w:val="20"/>
          <w:szCs w:val="20"/>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（1）资金安排</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项目总投资20万元，按照《人工影响天气业务经费管理办法》及单位财务制度等相关规定，资金支出符合人工影响天气业务专项资金费用范围，做到了专款专用。在项目资金拨付和使用过程中，为确保项目资金的安全性，提高项目资金使用效率，严格遵循人工影响天气业务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（2）预算资金来源及使用情况</w:t>
      </w:r>
      <w:bookmarkStart w:id="2" w:name="page10"/>
      <w:bookmarkEnd w:id="2"/>
    </w:p>
    <w:p>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color w:val="000000" w:themeColor="text1"/>
          <w:kern w:val="2"/>
          <w:highlight w:val="none"/>
          <w14:textFill>
            <w14:solidFill>
              <w14:schemeClr w14:val="tx1"/>
            </w14:solidFill>
          </w14:textFill>
        </w:rPr>
      </w:pPr>
      <w:bookmarkStart w:id="3" w:name="_Toc6024"/>
      <w:r>
        <w:rPr>
          <w:rFonts w:hint="eastAsia" w:ascii="仿宋_GB2312" w:hAnsi="仿宋_GB2312" w:eastAsia="仿宋_GB2312" w:cs="仿宋_GB2312"/>
          <w:b w:val="0"/>
          <w:bCs w:val="0"/>
          <w:color w:val="000000" w:themeColor="text1"/>
          <w:kern w:val="2"/>
          <w:highlight w:val="none"/>
          <w14:textFill>
            <w14:solidFill>
              <w14:schemeClr w14:val="tx1"/>
            </w14:solidFill>
          </w14:textFill>
        </w:rPr>
        <w:t>项目预算资金来源于塔人影发（2020）9《关于申请塔城地区人影办雷达站专项业务运转经费的报告》文件中批复的资金，项目资金到位20万元，用于支付项目实施进程中的各项费用。2020年已在年初预算中安排了20万元，实际到位20万元：邮电费2.3万元，电费0.7万元，水费0.2万元，咨询费1.4万元，维修（护）费13.4万元，差旅费2.0万元。</w:t>
      </w:r>
      <w:bookmarkEnd w:id="3"/>
    </w:p>
    <w:p>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color w:val="000000" w:themeColor="text1"/>
          <w:kern w:val="2"/>
          <w:highlight w:val="none"/>
          <w14:textFill>
            <w14:solidFill>
              <w14:schemeClr w14:val="tx1"/>
            </w14:solidFill>
          </w14:textFill>
        </w:rPr>
      </w:pPr>
      <w:bookmarkStart w:id="4" w:name="_Toc7031"/>
      <w:r>
        <w:rPr>
          <w:rFonts w:hint="eastAsia" w:ascii="仿宋_GB2312" w:hAnsi="仿宋_GB2312" w:eastAsia="仿宋_GB2312" w:cs="仿宋_GB2312"/>
          <w:b w:val="0"/>
          <w:bCs w:val="0"/>
          <w:color w:val="000000" w:themeColor="text1"/>
          <w:kern w:val="2"/>
          <w:highlight w:val="none"/>
          <w14:textFill>
            <w14:solidFill>
              <w14:schemeClr w14:val="tx1"/>
            </w14:solidFill>
          </w14:textFill>
        </w:rPr>
        <w:t>实际使用情况：2020年已在年初预算中安排了20万元，实际使用19.77万元</w:t>
      </w:r>
      <w:bookmarkEnd w:id="4"/>
      <w:r>
        <w:rPr>
          <w:rFonts w:hint="eastAsia" w:ascii="仿宋_GB2312" w:hAnsi="仿宋_GB2312" w:eastAsia="仿宋_GB2312" w:cs="仿宋_GB2312"/>
          <w:b w:val="0"/>
          <w:bCs w:val="0"/>
          <w:color w:val="000000" w:themeColor="text1"/>
          <w:kern w:val="2"/>
          <w:highlight w:val="none"/>
          <w14:textFill>
            <w14:solidFill>
              <w14:schemeClr w14:val="tx1"/>
            </w14:solidFill>
          </w14:textFill>
        </w:rPr>
        <w:t>，资金执行率为98.85%。</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14:textFill>
            <w14:solidFill>
              <w14:schemeClr w14:val="tx1"/>
            </w14:solidFill>
          </w14:textFill>
        </w:rPr>
        <w:t>（二）项目绩效目标</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1.总体目标</w:t>
      </w:r>
    </w:p>
    <w:p>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color w:val="000000" w:themeColor="text1"/>
          <w:kern w:val="2"/>
          <w:highlight w:val="none"/>
          <w14:textFill>
            <w14:solidFill>
              <w14:schemeClr w14:val="tx1"/>
            </w14:solidFill>
          </w14:textFill>
        </w:rPr>
      </w:pPr>
      <w:bookmarkStart w:id="5" w:name="_Toc16084"/>
      <w:r>
        <w:rPr>
          <w:rFonts w:hint="eastAsia" w:ascii="仿宋_GB2312" w:hAnsi="仿宋_GB2312" w:eastAsia="仿宋_GB2312" w:cs="仿宋_GB2312"/>
          <w:b w:val="0"/>
          <w:bCs w:val="0"/>
          <w:color w:val="000000" w:themeColor="text1"/>
          <w:kern w:val="2"/>
          <w:highlight w:val="none"/>
          <w14:textFill>
            <w14:solidFill>
              <w14:schemeClr w14:val="tx1"/>
            </w14:solidFill>
          </w14:textFill>
        </w:rPr>
        <w:t>保障雷达正常运转，实施兵地联合人工防雹、增水作业指导，减轻冰雹灾害保护农林业生产，缓解山区草场严重干旱程度。</w:t>
      </w:r>
      <w:bookmarkEnd w:id="5"/>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2.阶段性目标</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（1）前期准备：</w:t>
      </w:r>
      <w:r>
        <w:rPr>
          <w:rFonts w:hint="eastAsia" w:ascii="仿宋_GB2312" w:hAnsi="仿宋_GB2312" w:eastAsia="仿宋_GB2312" w:cs="仿宋_GB2312"/>
          <w:color w:val="000000" w:themeColor="text1"/>
          <w:sz w:val="32"/>
          <w:szCs w:val="32"/>
          <w:highlight w:val="none"/>
          <w14:textFill>
            <w14:solidFill>
              <w14:schemeClr w14:val="tx1"/>
            </w14:solidFill>
          </w14:textFill>
        </w:rPr>
        <w:t>根据《塔城地区人影办雷达运转项目经费实施方案》，通过制定项目实施方案，经项目负责人审核通过后，有序开展后续工程。</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（2）组织实施：</w:t>
      </w:r>
      <w:r>
        <w:rPr>
          <w:rFonts w:hint="eastAsia" w:ascii="仿宋_GB2312" w:hAnsi="仿宋_GB2312" w:eastAsia="仿宋_GB2312" w:cs="仿宋_GB2312"/>
          <w:color w:val="000000" w:themeColor="text1"/>
          <w:sz w:val="32"/>
          <w:szCs w:val="32"/>
          <w:highlight w:val="none"/>
          <w14:textFill>
            <w14:solidFill>
              <w14:schemeClr w14:val="tx1"/>
            </w14:solidFill>
          </w14:textFill>
        </w:rPr>
        <w:t>资金一到位，立即根据项目要求实施项目。项目责任人按照《塔城地区人影办雷达运转实施项目经费方案》要求逐一进行项目部署安排，提高项目质量及效率</w:t>
      </w:r>
      <w:r>
        <w:rPr>
          <w:rFonts w:hint="eastAsia" w:ascii="仿宋_GB2312" w:hAnsi="仿宋_GB2312" w:eastAsia="仿宋_GB2312" w:cs="仿宋_GB2312"/>
          <w:sz w:val="32"/>
          <w:szCs w:val="32"/>
          <w:highlight w:val="none"/>
        </w:rPr>
        <w:t>性。</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6" w:name="_Toc20461"/>
      <w:r>
        <w:rPr>
          <w:rFonts w:hint="eastAsia" w:ascii="黑体" w:hAnsi="黑体" w:eastAsia="黑体" w:cs="黑体"/>
          <w:bCs/>
          <w:sz w:val="32"/>
          <w:szCs w:val="32"/>
          <w:highlight w:val="none"/>
        </w:rPr>
        <w:t>二、绩效评价工作开展情况</w:t>
      </w:r>
      <w:bookmarkEnd w:id="6"/>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ascii="仿宋_GB2312" w:hAnsi="仿宋_GB2312" w:eastAsia="仿宋_GB2312" w:cs="仿宋_GB2312"/>
          <w:highlight w:val="none"/>
        </w:rPr>
      </w:pPr>
      <w:bookmarkStart w:id="7" w:name="_Toc20736"/>
      <w:r>
        <w:rPr>
          <w:rFonts w:hint="eastAsia" w:ascii="仿宋_GB2312" w:hAnsi="仿宋_GB2312" w:eastAsia="仿宋_GB2312" w:cs="仿宋_GB2312"/>
          <w:highlight w:val="none"/>
        </w:rPr>
        <w:t>1.绩效评价的目的</w:t>
      </w:r>
      <w:bookmarkEnd w:id="7"/>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深入贯彻落实《中共中央国务院关于全面实施预算绩效管理的意见》、《自治区党委、自治区人民政府关于全面实施预算绩效管理的实施意见》文件精神，提高财政资源配置效率和使用效益，地区气象局组织开展2020年度地区人影办雷达站专项运转项目支出绩效评价工作。</w:t>
      </w:r>
    </w:p>
    <w:p>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ascii="仿宋_GB2312" w:hAnsi="仿宋_GB2312" w:eastAsia="仿宋_GB2312" w:cs="仿宋_GB2312"/>
          <w:highlight w:val="none"/>
        </w:rPr>
      </w:pPr>
      <w:bookmarkStart w:id="8" w:name="_Toc32478"/>
      <w:r>
        <w:rPr>
          <w:rFonts w:hint="eastAsia" w:ascii="仿宋_GB2312" w:hAnsi="仿宋_GB2312" w:eastAsia="仿宋_GB2312" w:cs="仿宋_GB2312"/>
          <w:highlight w:val="none"/>
        </w:rPr>
        <w:t>2.绩效评价的对象</w:t>
      </w:r>
      <w:bookmarkEnd w:id="8"/>
    </w:p>
    <w:p>
      <w:pPr>
        <w:keepNext w:val="0"/>
        <w:keepLines w:val="0"/>
        <w:pageBreakBefore w:val="0"/>
        <w:kinsoku/>
        <w:wordWrap/>
        <w:overflowPunct/>
        <w:topLinePunct w:val="0"/>
        <w:autoSpaceDE/>
        <w:autoSpaceDN/>
        <w:bidi w:val="0"/>
        <w:adjustRightInd/>
        <w:spacing w:line="560" w:lineRule="exact"/>
        <w:ind w:firstLine="640" w:firstLineChars="200"/>
        <w:textAlignment w:val="auto"/>
        <w:rPr>
          <w:highlight w:val="none"/>
        </w:rPr>
      </w:pPr>
      <w:r>
        <w:rPr>
          <w:rFonts w:hint="eastAsia" w:ascii="仿宋_GB2312" w:hAnsi="仿宋_GB2312" w:eastAsia="仿宋_GB2312" w:cs="仿宋_GB2312"/>
          <w:sz w:val="32"/>
          <w:szCs w:val="32"/>
          <w:highlight w:val="none"/>
        </w:rPr>
        <w:t>2020年度地区人影办雷达站项目资金使用情况。</w:t>
      </w:r>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highlight w:val="none"/>
        </w:rPr>
      </w:pPr>
      <w:bookmarkStart w:id="9" w:name="_Toc14191"/>
      <w:r>
        <w:rPr>
          <w:rFonts w:hint="eastAsia" w:ascii="仿宋_GB2312" w:hAnsi="仿宋_GB2312" w:eastAsia="仿宋_GB2312" w:cs="仿宋_GB2312"/>
          <w:highlight w:val="none"/>
        </w:rPr>
        <w:t>3.绩效评价的范围</w:t>
      </w:r>
      <w:bookmarkEnd w:id="9"/>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全年雷达指挥以及人影作业效果，从地面防雹保护累积面积、地面增水影响累积面积、雷达数据传输正确率、实时发布监测预警信息、专项经费是否严格控制在预算范围内、降低冰雹等灾害性天气影响、保障区域水资源安全、社会公众满意服务效果等方面全方位评估。</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sz w:val="32"/>
          <w:szCs w:val="3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highlight w:val="none"/>
        </w:rPr>
      </w:pPr>
      <w:bookmarkStart w:id="10" w:name="_Toc1768"/>
      <w:r>
        <w:rPr>
          <w:rFonts w:hint="eastAsia" w:ascii="仿宋_GB2312" w:hAnsi="仿宋_GB2312" w:eastAsia="仿宋_GB2312" w:cs="仿宋_GB2312"/>
          <w:highlight w:val="none"/>
        </w:rPr>
        <w:t>1.绩效评价原则</w:t>
      </w:r>
      <w:bookmarkEnd w:id="10"/>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2"/>
        <w:keepNext w:val="0"/>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11" w:name="_Toc11756"/>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bookmarkEnd w:id="11"/>
    </w:p>
    <w:p>
      <w:pPr>
        <w:pStyle w:val="2"/>
        <w:keepNext w:val="0"/>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12" w:name="_Toc13767"/>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bookmarkEnd w:id="12"/>
    </w:p>
    <w:p>
      <w:pPr>
        <w:pStyle w:val="2"/>
        <w:keepNext w:val="0"/>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13" w:name="_Toc12271"/>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bookmarkEnd w:id="13"/>
    </w:p>
    <w:p>
      <w:pPr>
        <w:pStyle w:val="2"/>
        <w:keepNext w:val="0"/>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14" w:name="_Toc13050"/>
      <w:r>
        <w:rPr>
          <w:rFonts w:hint="eastAsia" w:ascii="仿宋_GB2312" w:hAnsi="仿宋_GB2312" w:eastAsia="仿宋_GB2312" w:cs="仿宋_GB2312"/>
          <w:b w:val="0"/>
          <w:bCs w:val="0"/>
          <w:highlight w:val="none"/>
        </w:rPr>
        <w:t>（4）公开透明。绩效评价结果应依法依规公开，并自觉接受社会监督。</w:t>
      </w:r>
      <w:bookmarkEnd w:id="14"/>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highlight w:val="none"/>
        </w:rPr>
      </w:pPr>
      <w:bookmarkStart w:id="15" w:name="_Toc8514"/>
      <w:r>
        <w:rPr>
          <w:rFonts w:hint="eastAsia" w:ascii="仿宋_GB2312" w:hAnsi="仿宋_GB2312" w:eastAsia="仿宋_GB2312" w:cs="仿宋_GB2312"/>
          <w:highlight w:val="none"/>
        </w:rPr>
        <w:t>2.评价指标体系</w:t>
      </w:r>
      <w:bookmarkEnd w:id="15"/>
    </w:p>
    <w:p>
      <w:pPr>
        <w:keepNext w:val="0"/>
        <w:keepLines w:val="0"/>
        <w:pageBreakBefore w:val="0"/>
        <w:kinsoku/>
        <w:wordWrap/>
        <w:overflowPunct/>
        <w:topLinePunct w:val="0"/>
        <w:autoSpaceDE/>
        <w:autoSpaceDN/>
        <w:bidi w:val="0"/>
        <w:adjustRightInd/>
        <w:spacing w:line="560" w:lineRule="exact"/>
        <w:ind w:firstLine="641"/>
        <w:textAlignment w:val="auto"/>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000000"/>
          <w:spacing w:val="17"/>
          <w:sz w:val="32"/>
          <w:szCs w:val="32"/>
          <w:highlight w:val="none"/>
        </w:rPr>
      </w:pPr>
      <w:r>
        <w:rPr>
          <w:rFonts w:hint="eastAsia" w:ascii="仿宋_GB2312" w:hAnsi="仿宋_GB2312" w:eastAsia="仿宋_GB2312" w:cs="仿宋_GB2312"/>
          <w:b/>
          <w:bCs/>
          <w:color w:val="000000"/>
          <w:spacing w:val="17"/>
          <w:sz w:val="32"/>
          <w:szCs w:val="32"/>
          <w:highlight w:val="none"/>
        </w:rPr>
        <w:t>（1）确定评价指标</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000000"/>
          <w:spacing w:val="17"/>
          <w:sz w:val="32"/>
          <w:szCs w:val="32"/>
          <w:highlight w:val="none"/>
        </w:rPr>
      </w:pPr>
      <w:r>
        <w:rPr>
          <w:rFonts w:hint="eastAsia" w:ascii="仿宋_GB2312" w:hAnsi="仿宋_GB2312" w:eastAsia="仿宋_GB2312" w:cs="仿宋_GB2312"/>
          <w:b/>
          <w:bCs/>
          <w:color w:val="000000"/>
          <w:spacing w:val="17"/>
          <w:sz w:val="32"/>
          <w:szCs w:val="32"/>
          <w:highlight w:val="none"/>
        </w:rPr>
        <w:t>（2）确定权重</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确定各个指标相对于项目总体绩效的权重分值。在绩效评价指标体系中，项目决策权重为5%，项目过程权重为5%，项目产出权重为50%，项目效益权重为40%。</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000000"/>
          <w:spacing w:val="17"/>
          <w:sz w:val="32"/>
          <w:szCs w:val="32"/>
          <w:highlight w:val="none"/>
        </w:rPr>
      </w:pPr>
      <w:r>
        <w:rPr>
          <w:rFonts w:hint="eastAsia" w:ascii="仿宋_GB2312" w:hAnsi="仿宋_GB2312" w:eastAsia="仿宋_GB2312" w:cs="仿宋_GB2312"/>
          <w:b/>
          <w:bCs/>
          <w:color w:val="000000"/>
          <w:spacing w:val="17"/>
          <w:sz w:val="32"/>
          <w:szCs w:val="32"/>
          <w:highlight w:val="none"/>
        </w:rPr>
        <w:t>（3）确定指标标准值</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highlight w:val="none"/>
        </w:rPr>
      </w:pPr>
      <w:bookmarkStart w:id="16" w:name="_Toc19552"/>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bookmarkEnd w:id="16"/>
    </w:p>
    <w:p>
      <w:pPr>
        <w:pStyle w:val="2"/>
        <w:keepNext w:val="0"/>
        <w:keepLines w:val="0"/>
        <w:pageBreakBefore w:val="0"/>
        <w:kinsoku/>
        <w:wordWrap/>
        <w:overflowPunct/>
        <w:topLinePunct w:val="0"/>
        <w:autoSpaceDE/>
        <w:autoSpaceDN/>
        <w:bidi w:val="0"/>
        <w:adjustRightIn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highlight w:val="none"/>
        </w:rPr>
      </w:pPr>
      <w:bookmarkStart w:id="17" w:name="_Toc5273"/>
      <w:r>
        <w:rPr>
          <w:rFonts w:hint="eastAsia" w:ascii="仿宋_GB2312" w:hAnsi="仿宋_GB2312" w:eastAsia="仿宋_GB2312" w:cs="仿宋_GB2312"/>
          <w:b w:val="0"/>
          <w:bCs w:val="0"/>
          <w:color w:val="000000"/>
          <w:spacing w:val="17"/>
          <w:kern w:val="2"/>
          <w:highlight w:val="none"/>
        </w:rPr>
        <w:t>具体评价指标体系详情见附件1。</w:t>
      </w:r>
      <w:bookmarkEnd w:id="17"/>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highlight w:val="none"/>
        </w:rPr>
      </w:pPr>
      <w:bookmarkStart w:id="18" w:name="_Toc7394"/>
      <w:r>
        <w:rPr>
          <w:rFonts w:hint="eastAsia" w:ascii="仿宋_GB2312" w:hAnsi="仿宋_GB2312" w:eastAsia="仿宋_GB2312" w:cs="仿宋_GB2312"/>
          <w:highlight w:val="none"/>
        </w:rPr>
        <w:t>3.绩效评价方法</w:t>
      </w:r>
      <w:bookmarkEnd w:id="18"/>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val="0"/>
          <w:bCs w:val="0"/>
          <w:color w:val="000000"/>
          <w:spacing w:val="17"/>
          <w:sz w:val="32"/>
          <w:szCs w:val="32"/>
          <w:highlight w:val="none"/>
        </w:rPr>
      </w:pPr>
      <w:r>
        <w:rPr>
          <w:rFonts w:hint="eastAsia" w:ascii="仿宋_GB2312" w:hAnsi="仿宋_GB2312" w:eastAsia="仿宋_GB2312" w:cs="仿宋_GB2312"/>
          <w:b w:val="0"/>
          <w:bCs w:val="0"/>
          <w:color w:val="000000"/>
          <w:spacing w:val="17"/>
          <w:sz w:val="32"/>
          <w:szCs w:val="32"/>
          <w:highlight w:val="none"/>
        </w:rPr>
        <w:t>（1）比较法</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val="0"/>
          <w:bCs w:val="0"/>
          <w:color w:val="000000"/>
          <w:spacing w:val="17"/>
          <w:sz w:val="32"/>
          <w:szCs w:val="32"/>
          <w:highlight w:val="none"/>
        </w:rPr>
      </w:pPr>
      <w:r>
        <w:rPr>
          <w:rFonts w:hint="eastAsia" w:ascii="仿宋_GB2312" w:hAnsi="仿宋_GB2312" w:eastAsia="仿宋_GB2312" w:cs="仿宋_GB2312"/>
          <w:b w:val="0"/>
          <w:bCs w:val="0"/>
          <w:color w:val="000000"/>
          <w:spacing w:val="17"/>
          <w:sz w:val="32"/>
          <w:szCs w:val="32"/>
          <w:highlight w:val="none"/>
        </w:rPr>
        <w:t>（2）因素分析法</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highlight w:val="none"/>
        </w:rPr>
      </w:pPr>
      <w:bookmarkStart w:id="19" w:name="_Toc26649"/>
      <w:r>
        <w:rPr>
          <w:rFonts w:hint="eastAsia" w:ascii="仿宋_GB2312" w:hAnsi="仿宋_GB2312" w:eastAsia="仿宋_GB2312" w:cs="仿宋_GB2312"/>
          <w:highlight w:val="none"/>
        </w:rPr>
        <w:t>4.评价标准</w:t>
      </w:r>
      <w:bookmarkEnd w:id="19"/>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ascii="仿宋_GB2312" w:hAnsi="仿宋_GB2312" w:eastAsia="仿宋_GB2312" w:cs="仿宋_GB2312"/>
          <w:color w:val="000000"/>
          <w:spacing w:val="17"/>
          <w:sz w:val="32"/>
          <w:szCs w:val="32"/>
          <w:highlight w:val="none"/>
        </w:rPr>
        <w:t>绩效评价标准通常包括计划标准、行业标准、历史标准等，用于对绩效指标完成情况进行比较。本次评价主要采用了计划标准和行业标准。</w:t>
      </w:r>
      <w:bookmarkStart w:id="20" w:name="_Toc1394"/>
    </w:p>
    <w:p>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（三）绩效评价工作过程</w:t>
      </w:r>
      <w:bookmarkEnd w:id="20"/>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本项目单位为了做好绩效评价工作，成立评价工作组，认真开展前期工作，明确项目绩效目标，设计绩效评价指标体系并确定绩效评价方法；接着确定现场和非现场评价范围，设计资料清单；最后制定评价实施方案并进行论证有序开展绩效评价。</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2021年1月10日，地区气象局评价小组依据项目实施单位收集的数据，参考自评报告和对自评情况的审核分析结果，对人影办雷达站专项运转项目绩效进行分析评价。2021年2月10日综合评价结果和复核意见，形成了项目支出绩效评价报告。本次评价基准日为2020年12月31日。</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sz w:val="32"/>
          <w:szCs w:val="32"/>
          <w:highlight w:val="none"/>
        </w:rPr>
      </w:pPr>
      <w:r>
        <w:rPr>
          <w:rFonts w:hint="eastAsia" w:ascii="仿宋_GB2312" w:hAnsi="仿宋_GB2312" w:eastAsia="仿宋_GB2312" w:cs="仿宋_GB2312"/>
          <w:sz w:val="32"/>
          <w:szCs w:val="32"/>
          <w:highlight w:val="none"/>
        </w:rPr>
        <w:t>3.分析评价。地区气象局评价小组根据收集梳理的资料围绕项目立项、资金落实、业务管理、财务管理、项目产出、项目效益等内容，对照已确定的绩效评价指标进行详细全面的分析评价，采用评分和评级相结合的方式，具体分值和等级可根据不同评价内容设定。总分设置为100分，等级划分为四档：90（含）-100分为优、80（含）-90分为良、60（含）-80分为中、60分以下为差。此项目最终评级为优，评分为100分。</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21" w:name="_Toc28383"/>
      <w:r>
        <w:rPr>
          <w:rFonts w:hint="eastAsia" w:ascii="黑体" w:hAnsi="黑体" w:eastAsia="黑体" w:cs="黑体"/>
          <w:bCs/>
          <w:sz w:val="32"/>
          <w:szCs w:val="32"/>
          <w:highlight w:val="none"/>
        </w:rPr>
        <w:t>三、综合评价情况及评价结论（附相关评分表）</w:t>
      </w:r>
      <w:bookmarkEnd w:id="21"/>
    </w:p>
    <w:p>
      <w:pPr>
        <w:pStyle w:val="2"/>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kern w:val="2"/>
          <w:highlight w:val="none"/>
        </w:rPr>
      </w:pPr>
      <w:bookmarkStart w:id="22" w:name="_Toc29403"/>
      <w:r>
        <w:rPr>
          <w:rFonts w:hint="eastAsia" w:ascii="仿宋_GB2312" w:hAnsi="仿宋_GB2312" w:eastAsia="仿宋_GB2312" w:cs="仿宋_GB2312"/>
          <w:b w:val="0"/>
          <w:bCs w:val="0"/>
          <w:kern w:val="2"/>
          <w:highlight w:val="none"/>
        </w:rPr>
        <w:t>对塔城地区人影办雷达站运转项目项目进行客观评价，最终评分结果：总得分为 99.</w:t>
      </w:r>
      <w:r>
        <w:rPr>
          <w:rFonts w:hint="eastAsia" w:ascii="仿宋_GB2312" w:hAnsi="仿宋_GB2312" w:eastAsia="仿宋_GB2312" w:cs="仿宋_GB2312"/>
          <w:b w:val="0"/>
          <w:bCs w:val="0"/>
          <w:kern w:val="2"/>
          <w:highlight w:val="none"/>
          <w:lang w:val="en-US" w:eastAsia="zh-CN"/>
        </w:rPr>
        <w:t>98</w:t>
      </w:r>
      <w:r>
        <w:rPr>
          <w:rFonts w:hint="eastAsia" w:ascii="仿宋_GB2312" w:hAnsi="仿宋_GB2312" w:eastAsia="仿宋_GB2312" w:cs="仿宋_GB2312"/>
          <w:b w:val="0"/>
          <w:bCs w:val="0"/>
          <w:kern w:val="2"/>
          <w:highlight w:val="none"/>
        </w:rPr>
        <w:t>分，属于“优”。其中，项目决策类指标权重为5分，得分5分，得分率为 100%。项目过程类指标权</w:t>
      </w:r>
      <w:bookmarkStart w:id="35" w:name="_GoBack"/>
      <w:bookmarkEnd w:id="35"/>
      <w:r>
        <w:rPr>
          <w:rFonts w:hint="eastAsia" w:ascii="仿宋_GB2312" w:hAnsi="仿宋_GB2312" w:eastAsia="仿宋_GB2312" w:cs="仿宋_GB2312"/>
          <w:b w:val="0"/>
          <w:bCs w:val="0"/>
          <w:kern w:val="2"/>
          <w:highlight w:val="none"/>
        </w:rPr>
        <w:t>重为5分，得分为4.</w:t>
      </w:r>
      <w:r>
        <w:rPr>
          <w:rFonts w:hint="eastAsia" w:ascii="仿宋_GB2312" w:hAnsi="仿宋_GB2312" w:eastAsia="仿宋_GB2312" w:cs="仿宋_GB2312"/>
          <w:b w:val="0"/>
          <w:bCs w:val="0"/>
          <w:kern w:val="2"/>
          <w:highlight w:val="none"/>
          <w:lang w:val="en-US" w:eastAsia="zh-CN"/>
        </w:rPr>
        <w:t>98</w:t>
      </w:r>
      <w:r>
        <w:rPr>
          <w:rFonts w:hint="eastAsia" w:ascii="仿宋_GB2312" w:hAnsi="仿宋_GB2312" w:eastAsia="仿宋_GB2312" w:cs="仿宋_GB2312"/>
          <w:b w:val="0"/>
          <w:bCs w:val="0"/>
          <w:kern w:val="2"/>
          <w:highlight w:val="none"/>
        </w:rPr>
        <w:t>分，得分率为99</w:t>
      </w:r>
      <w:r>
        <w:rPr>
          <w:rFonts w:hint="eastAsia" w:ascii="仿宋_GB2312" w:hAnsi="仿宋_GB2312" w:eastAsia="仿宋_GB2312" w:cs="仿宋_GB2312"/>
          <w:b w:val="0"/>
          <w:bCs w:val="0"/>
          <w:kern w:val="2"/>
          <w:highlight w:val="none"/>
          <w:lang w:val="en-US" w:eastAsia="zh-CN"/>
        </w:rPr>
        <w:t>.6</w:t>
      </w:r>
      <w:r>
        <w:rPr>
          <w:rFonts w:hint="eastAsia" w:ascii="仿宋_GB2312" w:hAnsi="仿宋_GB2312" w:eastAsia="仿宋_GB2312" w:cs="仿宋_GB2312"/>
          <w:b w:val="0"/>
          <w:bCs w:val="0"/>
          <w:kern w:val="2"/>
          <w:highlight w:val="none"/>
        </w:rPr>
        <w:t>%。项目产出类指标权重为50分，得分为50分，得分率为 100%。项目效益类指标权重为40分，得分为40分，得分率为 100%。</w:t>
      </w:r>
      <w:bookmarkEnd w:id="22"/>
    </w:p>
    <w:p>
      <w:pPr>
        <w:pStyle w:val="2"/>
        <w:keepNext w:val="0"/>
        <w:keepLines w:val="0"/>
        <w:pageBreakBefore w:val="0"/>
        <w:kinsoku/>
        <w:wordWrap/>
        <w:overflowPunct/>
        <w:topLinePunct w:val="0"/>
        <w:autoSpaceDE/>
        <w:autoSpaceDN/>
        <w:bidi w:val="0"/>
        <w:adjustRightInd/>
        <w:spacing w:before="0" w:after="0" w:line="560" w:lineRule="exact"/>
        <w:textAlignment w:val="auto"/>
        <w:rPr>
          <w:rFonts w:ascii="仿宋_GB2312" w:hAnsi="仿宋_GB2312" w:eastAsia="仿宋_GB2312" w:cs="仿宋_GB2312"/>
          <w:highlight w:val="none"/>
        </w:rPr>
      </w:pPr>
      <w:bookmarkStart w:id="23" w:name="_Toc22541"/>
      <w:r>
        <w:rPr>
          <w:rFonts w:hint="eastAsia" w:ascii="仿宋_GB2312" w:hAnsi="仿宋_GB2312" w:eastAsia="仿宋_GB2312" w:cs="仿宋_GB2312"/>
          <w:highlight w:val="none"/>
        </w:rPr>
        <w:t>表1综合评分表</w:t>
      </w:r>
      <w:bookmarkEnd w:id="23"/>
    </w:p>
    <w:tbl>
      <w:tblPr>
        <w:tblStyle w:val="23"/>
        <w:tblpPr w:leftFromText="180" w:rightFromText="180" w:vertAnchor="text" w:horzAnchor="page" w:tblpX="1167" w:tblpY="206"/>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仿宋_GB2312" w:hAnsi="仿宋_GB2312" w:eastAsia="仿宋_GB2312" w:cs="仿宋_GB2312"/>
                <w:sz w:val="24"/>
                <w:highlight w:val="none"/>
                <w:lang w:val="en-US" w:eastAsia="zh-CN"/>
              </w:rPr>
            </w:pPr>
            <w:r>
              <w:rPr>
                <w:rFonts w:hint="eastAsia" w:ascii="宋体" w:hAnsi="宋体" w:eastAsia="仿宋_GB2312" w:cs="宋体"/>
                <w:color w:val="000000"/>
                <w:kern w:val="0"/>
                <w:sz w:val="22"/>
                <w:szCs w:val="22"/>
                <w:highlight w:val="none"/>
                <w:lang w:val="en-US" w:eastAsia="zh-CN"/>
              </w:rPr>
              <w:t>0.98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98</w:t>
            </w:r>
            <w:r>
              <w:rPr>
                <w:rFonts w:hint="eastAsia" w:ascii="宋体" w:hAnsi="宋体" w:cs="宋体"/>
                <w:color w:val="000000"/>
                <w:kern w:val="0"/>
                <w:sz w:val="22"/>
                <w:szCs w:val="22"/>
                <w:highlight w:val="none"/>
                <w:lang w:val="en-US" w:eastAsia="zh-CN"/>
              </w:rPr>
              <w:t>.85</w:t>
            </w:r>
            <w:r>
              <w:rPr>
                <w:rFonts w:hint="eastAsia" w:ascii="宋体" w:hAnsi="宋体" w:cs="宋体"/>
                <w:color w:val="000000"/>
                <w:kern w:val="0"/>
                <w:sz w:val="22"/>
                <w:szCs w:val="22"/>
                <w:highlight w:val="none"/>
              </w:rPr>
              <w:t>%</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仿宋_GB2312" w:hAnsi="仿宋_GB2312" w:eastAsia="仿宋_GB2312" w:cs="仿宋_GB2312"/>
                <w:sz w:val="24"/>
                <w:highlight w:val="none"/>
                <w:lang w:val="en-US" w:eastAsia="zh-CN"/>
              </w:rPr>
            </w:pPr>
            <w:r>
              <w:rPr>
                <w:rFonts w:hint="eastAsia" w:ascii="宋体" w:hAnsi="宋体" w:eastAsia="仿宋_GB2312" w:cs="宋体"/>
                <w:color w:val="000000"/>
                <w:kern w:val="0"/>
                <w:sz w:val="22"/>
                <w:szCs w:val="22"/>
                <w:highlight w:val="none"/>
              </w:rPr>
              <w:t>0.</w:t>
            </w:r>
            <w:r>
              <w:rPr>
                <w:rFonts w:hint="eastAsia" w:ascii="宋体" w:hAnsi="宋体" w:eastAsia="仿宋_GB2312" w:cs="宋体"/>
                <w:color w:val="000000"/>
                <w:kern w:val="0"/>
                <w:sz w:val="22"/>
                <w:szCs w:val="22"/>
                <w:highlight w:val="none"/>
                <w:lang w:val="en-US" w:eastAsia="zh-CN"/>
              </w:rPr>
              <w:t>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30</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_GB2312" w:eastAsia="仿宋_GB2312" w:cs="仿宋_GB2312"/>
                <w:sz w:val="24"/>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bl>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24" w:name="_Toc32568"/>
      <w:r>
        <w:rPr>
          <w:rFonts w:hint="eastAsia" w:ascii="黑体" w:hAnsi="黑体" w:eastAsia="黑体" w:cs="黑体"/>
          <w:bCs/>
          <w:sz w:val="32"/>
          <w:szCs w:val="32"/>
          <w:highlight w:val="none"/>
        </w:rPr>
        <w:t>四、绩效评价指标分析</w:t>
      </w:r>
      <w:bookmarkEnd w:id="24"/>
    </w:p>
    <w:p>
      <w:pPr>
        <w:pStyle w:val="2"/>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楷体_GB2312" w:hAnsi="楷体_GB2312" w:eastAsia="楷体_GB2312" w:cs="楷体_GB2312"/>
          <w:highlight w:val="none"/>
        </w:rPr>
      </w:pPr>
      <w:bookmarkStart w:id="25" w:name="_Toc18146"/>
      <w:r>
        <w:rPr>
          <w:rFonts w:hint="eastAsia" w:ascii="楷体_GB2312" w:hAnsi="楷体_GB2312" w:eastAsia="楷体_GB2312" w:cs="楷体_GB2312"/>
          <w:highlight w:val="none"/>
        </w:rPr>
        <w:t>（一）项目决策情况</w:t>
      </w:r>
      <w:bookmarkEnd w:id="25"/>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bookmarkStart w:id="26" w:name="_Toc13331"/>
      <w:r>
        <w:rPr>
          <w:rFonts w:hint="eastAsia" w:ascii="仿宋_GB2312" w:hAnsi="仿宋_GB2312" w:eastAsia="仿宋_GB2312" w:cs="仿宋_GB2312"/>
          <w:color w:val="000000"/>
          <w:spacing w:val="17"/>
          <w:sz w:val="32"/>
          <w:szCs w:val="32"/>
          <w:highlight w:val="none"/>
        </w:rPr>
        <w:t>项目决策指标从项目立项、绩效目标、资金投入3个方面对项目的决策进行考察，项目决策类指标分值5分，实际得分5分，得分率100%。按照资金项目批复等有关要求，保障设备质量，实现项目批复要求的可持续影响效益指标。项目的立项符合实际，项目单位的绩效指标设置表述清晰、设置合理、指标设置完整。根据评分标准，实际得分率为100%。</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绩效目标”，开办资金项目，设置了较为详细的项目支出绩效目标，项目绩效目标的设置，满足合理性和明确性的要求，但是分年度目标中分年度目标设置不够详细。根据评分标准，该指标实际得分率100%。</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对于“资金投入”，开办资金项目，资金全部投入到位，总投入20万元。根据评分标准，该指标实际得分率100%。</w:t>
      </w:r>
    </w:p>
    <w:p>
      <w:pPr>
        <w:pStyle w:val="2"/>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楷体_GB2312" w:hAnsi="楷体_GB2312" w:eastAsia="楷体_GB2312" w:cs="楷体_GB2312"/>
          <w:highlight w:val="none"/>
        </w:rPr>
      </w:pPr>
      <w:r>
        <w:rPr>
          <w:rFonts w:hint="eastAsia" w:ascii="楷体_GB2312" w:hAnsi="楷体_GB2312" w:eastAsia="楷体_GB2312" w:cs="楷体_GB2312"/>
          <w:highlight w:val="none"/>
        </w:rPr>
        <w:t>（二）项目过程情况</w:t>
      </w:r>
      <w:bookmarkEnd w:id="26"/>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项目管理指标从资金到位率、预算执行率、资金使用合规性、管理制度健全性、制度执行有效性5个方面对项目的管理情况进行考察。项目管理类指标分值5分，实际得分5分，得分率为100%。对于“预算执行率”，项目经过向本级财政申请资金，2020年取得财政拨款资金20万元，项目资金预算经过集体讨论，并经批复。项目预算资金为20万元，实际使用19.77万元。根据评分标准，该指标实际得分率98.85%。</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对于“资金到位率”，项目资金到位及时，到位率为100%。根据评分标准，该指标不扣分。</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资金使用合规性”资金按照专项资金列支的范围使用资金，支出范围合规；采购程序严格按照政府采购相关规定执行，资金支出能按财务制度执行，并能按国库集中支付制度规定执行，不存在资金违纪违规使用情况。按评分标准，指标实际得分率100%。</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对于“管理制度健全性”，机构健全，分工明确，不存在不相容岗位兼任情况。根据评分标准，该指标不扣分。</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对于“制度执行有效性”，资金项目严格按照预算、资产、采购等管理办法遵照实施。根据评分标准，该指标不扣分。</w:t>
      </w:r>
    </w:p>
    <w:p>
      <w:pPr>
        <w:pStyle w:val="2"/>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楷体_GB2312" w:hAnsi="楷体_GB2312" w:eastAsia="楷体_GB2312" w:cs="楷体_GB2312"/>
          <w:highlight w:val="none"/>
        </w:rPr>
      </w:pPr>
      <w:r>
        <w:rPr>
          <w:rFonts w:hint="eastAsia" w:ascii="楷体_GB2312" w:hAnsi="楷体_GB2312" w:eastAsia="楷体_GB2312" w:cs="楷体_GB2312"/>
          <w:highlight w:val="none"/>
        </w:rPr>
        <w:t>（三）项目产出</w:t>
      </w:r>
    </w:p>
    <w:p>
      <w:pPr>
        <w:keepNext w:val="0"/>
        <w:keepLines w:val="0"/>
        <w:pageBreakBefore w:val="0"/>
        <w:kinsoku/>
        <w:wordWrap/>
        <w:overflowPunct/>
        <w:topLinePunct w:val="0"/>
        <w:autoSpaceDE/>
        <w:autoSpaceDN/>
        <w:bidi w:val="0"/>
        <w:adjustRightInd/>
        <w:spacing w:line="560" w:lineRule="exact"/>
        <w:ind w:firstLine="627" w:firstLineChars="200"/>
        <w:textAlignment w:val="auto"/>
        <w:rPr>
          <w:rStyle w:val="20"/>
          <w:rFonts w:hint="eastAsia" w:ascii="仿宋" w:hAnsi="仿宋" w:eastAsia="仿宋" w:cs="仿宋"/>
          <w:spacing w:val="-4"/>
          <w:sz w:val="32"/>
          <w:szCs w:val="32"/>
          <w:highlight w:val="none"/>
        </w:rPr>
      </w:pPr>
      <w:r>
        <w:rPr>
          <w:rStyle w:val="20"/>
          <w:rFonts w:hint="eastAsia" w:ascii="仿宋" w:hAnsi="仿宋" w:eastAsia="仿宋" w:cs="仿宋"/>
          <w:spacing w:val="-4"/>
          <w:sz w:val="32"/>
          <w:szCs w:val="32"/>
          <w:highlight w:val="none"/>
        </w:rPr>
        <w:t>1、数量指标方面：</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4" w:firstLineChars="200"/>
        <w:textAlignment w:val="auto"/>
        <w:rPr>
          <w:rStyle w:val="20"/>
          <w:rFonts w:hint="eastAsia" w:ascii="仿宋_GB2312" w:hAnsi="仿宋_GB2312" w:eastAsia="仿宋_GB2312" w:cs="仿宋_GB2312"/>
          <w:b w:val="0"/>
          <w:spacing w:val="-4"/>
          <w:sz w:val="32"/>
          <w:szCs w:val="32"/>
          <w:highlight w:val="none"/>
        </w:rPr>
      </w:pPr>
      <w:r>
        <w:rPr>
          <w:rStyle w:val="20"/>
          <w:rFonts w:hint="eastAsia" w:ascii="仿宋_GB2312" w:hAnsi="仿宋_GB2312" w:eastAsia="仿宋_GB2312" w:cs="仿宋_GB2312"/>
          <w:b w:val="0"/>
          <w:spacing w:val="-4"/>
          <w:sz w:val="32"/>
          <w:szCs w:val="32"/>
          <w:highlight w:val="none"/>
        </w:rPr>
        <w:t>地面防雹保护面积：</w:t>
      </w:r>
      <w:r>
        <w:rPr>
          <w:rFonts w:hint="eastAsia" w:ascii="仿宋_GB2312" w:hAnsi="仿宋_GB2312" w:eastAsia="仿宋_GB2312" w:cs="仿宋_GB2312"/>
          <w:sz w:val="32"/>
          <w:szCs w:val="32"/>
          <w:highlight w:val="none"/>
        </w:rPr>
        <w:t>预期指标值≥</w:t>
      </w:r>
      <w:r>
        <w:rPr>
          <w:rStyle w:val="20"/>
          <w:rFonts w:hint="eastAsia" w:ascii="仿宋_GB2312" w:hAnsi="仿宋_GB2312" w:eastAsia="仿宋_GB2312" w:cs="仿宋_GB2312"/>
          <w:b w:val="0"/>
          <w:spacing w:val="-4"/>
          <w:sz w:val="32"/>
          <w:szCs w:val="32"/>
          <w:highlight w:val="none"/>
        </w:rPr>
        <w:t>2000平方公里；</w:t>
      </w:r>
      <w:r>
        <w:rPr>
          <w:rFonts w:hint="eastAsia" w:ascii="仿宋_GB2312" w:hAnsi="仿宋_GB2312" w:eastAsia="仿宋_GB2312" w:cs="仿宋_GB2312"/>
          <w:sz w:val="32"/>
          <w:szCs w:val="32"/>
          <w:highlight w:val="none"/>
        </w:rPr>
        <w:t>指标完成值2200</w:t>
      </w:r>
      <w:r>
        <w:rPr>
          <w:rStyle w:val="20"/>
          <w:rFonts w:hint="eastAsia" w:ascii="仿宋_GB2312" w:hAnsi="仿宋_GB2312" w:eastAsia="仿宋_GB2312" w:cs="仿宋_GB2312"/>
          <w:b w:val="0"/>
          <w:spacing w:val="-4"/>
          <w:sz w:val="32"/>
          <w:szCs w:val="32"/>
          <w:highlight w:val="none"/>
        </w:rPr>
        <w:t>平方公里；</w:t>
      </w:r>
      <w:r>
        <w:rPr>
          <w:rFonts w:hint="eastAsia" w:ascii="仿宋_GB2312" w:hAnsi="仿宋_GB2312" w:eastAsia="仿宋_GB2312" w:cs="仿宋_GB2312"/>
          <w:sz w:val="32"/>
          <w:szCs w:val="32"/>
          <w:highlight w:val="none"/>
        </w:rPr>
        <w:t>指标完成率110%。</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Style w:val="52"/>
          <w:rFonts w:hint="eastAsia" w:ascii="仿宋_GB2312" w:hAnsi="仿宋_GB2312" w:eastAsia="仿宋_GB2312" w:cs="仿宋_GB2312"/>
          <w:color w:val="auto"/>
          <w:highlight w:val="none"/>
        </w:rPr>
        <w:t>地面增水影响面积：</w:t>
      </w:r>
      <w:r>
        <w:rPr>
          <w:rFonts w:hint="eastAsia" w:ascii="仿宋_GB2312" w:hAnsi="仿宋_GB2312" w:eastAsia="仿宋_GB2312" w:cs="仿宋_GB2312"/>
          <w:sz w:val="32"/>
          <w:szCs w:val="32"/>
          <w:highlight w:val="none"/>
        </w:rPr>
        <w:t>预期指标值≥</w:t>
      </w:r>
      <w:r>
        <w:rPr>
          <w:rStyle w:val="20"/>
          <w:rFonts w:hint="eastAsia" w:ascii="仿宋_GB2312" w:hAnsi="仿宋_GB2312" w:eastAsia="仿宋_GB2312" w:cs="仿宋_GB2312"/>
          <w:b w:val="0"/>
          <w:spacing w:val="-4"/>
          <w:sz w:val="32"/>
          <w:szCs w:val="32"/>
          <w:highlight w:val="none"/>
        </w:rPr>
        <w:t>3000平方公里；</w:t>
      </w:r>
      <w:r>
        <w:rPr>
          <w:rFonts w:hint="eastAsia" w:ascii="仿宋_GB2312" w:hAnsi="仿宋_GB2312" w:eastAsia="仿宋_GB2312" w:cs="仿宋_GB2312"/>
          <w:sz w:val="32"/>
          <w:szCs w:val="32"/>
          <w:highlight w:val="none"/>
        </w:rPr>
        <w:t>指标完成值3200</w:t>
      </w:r>
      <w:r>
        <w:rPr>
          <w:rStyle w:val="20"/>
          <w:rFonts w:hint="eastAsia" w:ascii="仿宋_GB2312" w:hAnsi="仿宋_GB2312" w:eastAsia="仿宋_GB2312" w:cs="仿宋_GB2312"/>
          <w:b w:val="0"/>
          <w:spacing w:val="-4"/>
          <w:sz w:val="32"/>
          <w:szCs w:val="32"/>
          <w:highlight w:val="none"/>
        </w:rPr>
        <w:t>平方公里；</w:t>
      </w:r>
      <w:r>
        <w:rPr>
          <w:rFonts w:hint="eastAsia" w:ascii="仿宋_GB2312" w:hAnsi="仿宋_GB2312" w:eastAsia="仿宋_GB2312" w:cs="仿宋_GB2312"/>
          <w:sz w:val="32"/>
          <w:szCs w:val="32"/>
          <w:highlight w:val="none"/>
        </w:rPr>
        <w:t>指标完成率106.66%。</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Style w:val="52"/>
          <w:rFonts w:hint="eastAsia" w:ascii="仿宋_GB2312" w:hAnsi="仿宋_GB2312" w:eastAsia="仿宋_GB2312" w:cs="仿宋_GB2312"/>
          <w:color w:val="auto"/>
          <w:highlight w:val="none"/>
        </w:rPr>
        <w:t>开展人影作业县市覆盖率：</w:t>
      </w:r>
      <w:r>
        <w:rPr>
          <w:rFonts w:hint="eastAsia" w:ascii="仿宋_GB2312" w:hAnsi="仿宋_GB2312" w:eastAsia="仿宋_GB2312" w:cs="仿宋_GB2312"/>
          <w:sz w:val="32"/>
          <w:szCs w:val="32"/>
          <w:highlight w:val="none"/>
        </w:rPr>
        <w:t>预期指标值≥80%</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指标完成值100%</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指标完成率125%。</w:t>
      </w:r>
    </w:p>
    <w:p>
      <w:pPr>
        <w:keepNext w:val="0"/>
        <w:keepLines w:val="0"/>
        <w:pageBreakBefore w:val="0"/>
        <w:numPr>
          <w:numId w:val="0"/>
        </w:numPr>
        <w:pBdr>
          <w:bottom w:val="single" w:color="FFFFFF" w:sz="4" w:space="31"/>
        </w:pBdr>
        <w:tabs>
          <w:tab w:val="left" w:pos="1440"/>
        </w:tabs>
        <w:kinsoku/>
        <w:wordWrap/>
        <w:overflowPunct/>
        <w:topLinePunct w:val="0"/>
        <w:autoSpaceDE/>
        <w:autoSpaceDN/>
        <w:bidi w:val="0"/>
        <w:adjustRightInd/>
        <w:snapToGrid w:val="0"/>
        <w:spacing w:line="560" w:lineRule="exact"/>
        <w:ind w:firstLine="643" w:firstLineChars="200"/>
        <w:textAlignment w:val="auto"/>
        <w:rPr>
          <w:rStyle w:val="20"/>
          <w:rFonts w:hint="eastAsia" w:ascii="仿宋" w:hAnsi="仿宋" w:eastAsia="仿宋" w:cs="仿宋"/>
          <w:b w:val="0"/>
          <w:spacing w:val="-4"/>
          <w:sz w:val="32"/>
          <w:szCs w:val="32"/>
          <w:highlight w:val="none"/>
        </w:rPr>
      </w:pPr>
      <w:r>
        <w:rPr>
          <w:rStyle w:val="52"/>
          <w:rFonts w:hint="eastAsia" w:eastAsia="仿宋_GB2312"/>
          <w:b/>
          <w:color w:val="auto"/>
          <w:highlight w:val="none"/>
          <w:lang w:val="en-US" w:eastAsia="zh-CN"/>
        </w:rPr>
        <w:t>2.</w:t>
      </w:r>
      <w:r>
        <w:rPr>
          <w:rStyle w:val="52"/>
          <w:rFonts w:hint="eastAsia"/>
          <w:b/>
          <w:color w:val="auto"/>
          <w:highlight w:val="none"/>
        </w:rPr>
        <w:t>质量指标方面</w:t>
      </w:r>
      <w:r>
        <w:rPr>
          <w:rStyle w:val="20"/>
          <w:rFonts w:hint="eastAsia" w:ascii="仿宋" w:hAnsi="仿宋" w:eastAsia="仿宋" w:cs="仿宋"/>
          <w:b w:val="0"/>
          <w:spacing w:val="-4"/>
          <w:sz w:val="32"/>
          <w:szCs w:val="32"/>
          <w:highlight w:val="none"/>
        </w:rPr>
        <w:t>：</w:t>
      </w:r>
    </w:p>
    <w:p>
      <w:pPr>
        <w:keepNext w:val="0"/>
        <w:keepLines w:val="0"/>
        <w:pageBreakBefore w:val="0"/>
        <w:numPr>
          <w:numId w:val="0"/>
        </w:numPr>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雷达数据传输正确率：预期指标值≥99%</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指标完成值100%</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指标完成率101.01%。</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3" w:firstLineChars="200"/>
        <w:textAlignment w:val="auto"/>
        <w:rPr>
          <w:rStyle w:val="52"/>
          <w:rFonts w:hint="eastAsia"/>
          <w:color w:val="auto"/>
          <w:highlight w:val="none"/>
        </w:rPr>
      </w:pPr>
      <w:r>
        <w:rPr>
          <w:rFonts w:hint="eastAsia" w:ascii="仿宋_GB2312" w:hAnsi="仿宋_GB2312" w:eastAsia="仿宋_GB2312" w:cs="仿宋_GB2312"/>
          <w:b/>
          <w:sz w:val="32"/>
          <w:szCs w:val="32"/>
          <w:highlight w:val="none"/>
        </w:rPr>
        <w:t>3、</w:t>
      </w:r>
      <w:r>
        <w:rPr>
          <w:rStyle w:val="52"/>
          <w:rFonts w:hint="eastAsia"/>
          <w:b/>
          <w:color w:val="auto"/>
          <w:highlight w:val="none"/>
        </w:rPr>
        <w:t>时效指标方面：</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Style w:val="52"/>
          <w:rFonts w:hint="eastAsia"/>
          <w:color w:val="auto"/>
          <w:highlight w:val="none"/>
        </w:rPr>
        <w:t>实时发布监测预警信息及时率，</w:t>
      </w:r>
      <w:r>
        <w:rPr>
          <w:rFonts w:hint="eastAsia" w:ascii="仿宋_GB2312" w:hAnsi="仿宋_GB2312" w:eastAsia="仿宋_GB2312" w:cs="仿宋_GB2312"/>
          <w:sz w:val="32"/>
          <w:szCs w:val="32"/>
          <w:highlight w:val="none"/>
        </w:rPr>
        <w:t>预期指标值</w:t>
      </w:r>
      <w:r>
        <w:rPr>
          <w:rFonts w:hint="eastAsia" w:ascii="仿宋" w:hAnsi="仿宋" w:eastAsia="仿宋" w:cs="仿宋_GB2312"/>
          <w:sz w:val="32"/>
          <w:szCs w:val="32"/>
          <w:highlight w:val="none"/>
        </w:rPr>
        <w:t>≥95%</w:t>
      </w:r>
      <w:r>
        <w:rPr>
          <w:rStyle w:val="20"/>
          <w:rFonts w:hint="eastAsia" w:ascii="仿宋" w:hAnsi="仿宋" w:eastAsia="仿宋" w:cs="仿宋"/>
          <w:b w:val="0"/>
          <w:spacing w:val="-4"/>
          <w:sz w:val="32"/>
          <w:szCs w:val="32"/>
          <w:highlight w:val="none"/>
        </w:rPr>
        <w:t>；</w:t>
      </w:r>
      <w:r>
        <w:rPr>
          <w:rFonts w:hint="eastAsia" w:ascii="仿宋_GB2312" w:hAnsi="仿宋_GB2312" w:eastAsia="仿宋_GB2312" w:cs="仿宋_GB2312"/>
          <w:sz w:val="32"/>
          <w:szCs w:val="32"/>
          <w:highlight w:val="none"/>
        </w:rPr>
        <w:t>指标完成值100%</w:t>
      </w:r>
      <w:r>
        <w:rPr>
          <w:rStyle w:val="20"/>
          <w:rFonts w:hint="eastAsia" w:ascii="仿宋" w:hAnsi="仿宋" w:eastAsia="仿宋" w:cs="仿宋"/>
          <w:b w:val="0"/>
          <w:spacing w:val="-4"/>
          <w:sz w:val="32"/>
          <w:szCs w:val="32"/>
          <w:highlight w:val="none"/>
        </w:rPr>
        <w:t>；</w:t>
      </w:r>
      <w:r>
        <w:rPr>
          <w:rFonts w:hint="eastAsia" w:ascii="仿宋_GB2312" w:hAnsi="仿宋_GB2312" w:eastAsia="仿宋_GB2312" w:cs="仿宋_GB2312"/>
          <w:sz w:val="32"/>
          <w:szCs w:val="32"/>
          <w:highlight w:val="none"/>
        </w:rPr>
        <w:t>指标完成率105.26%。</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7" w:firstLineChars="200"/>
        <w:textAlignment w:val="auto"/>
        <w:rPr>
          <w:rStyle w:val="20"/>
          <w:rFonts w:hint="eastAsia" w:ascii="仿宋" w:hAnsi="仿宋" w:eastAsia="仿宋" w:cs="仿宋"/>
          <w:spacing w:val="-4"/>
          <w:sz w:val="32"/>
          <w:szCs w:val="32"/>
          <w:highlight w:val="none"/>
        </w:rPr>
      </w:pPr>
      <w:r>
        <w:rPr>
          <w:rStyle w:val="20"/>
          <w:rFonts w:hint="eastAsia" w:ascii="仿宋" w:hAnsi="仿宋" w:eastAsia="仿宋" w:cs="仿宋"/>
          <w:spacing w:val="-4"/>
          <w:sz w:val="32"/>
          <w:szCs w:val="32"/>
          <w:highlight w:val="none"/>
        </w:rPr>
        <w:t>4、成本指标方面：</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4" w:firstLineChars="200"/>
        <w:textAlignment w:val="auto"/>
        <w:rPr>
          <w:rFonts w:hint="eastAsia" w:ascii="仿宋_GB2312" w:hAnsi="仿宋_GB2312" w:eastAsia="仿宋_GB2312" w:cs="仿宋_GB2312"/>
          <w:sz w:val="32"/>
          <w:szCs w:val="32"/>
          <w:highlight w:val="none"/>
        </w:rPr>
      </w:pPr>
      <w:r>
        <w:rPr>
          <w:rStyle w:val="20"/>
          <w:rFonts w:hint="eastAsia" w:ascii="仿宋_GB2312" w:hAnsi="仿宋_GB2312" w:eastAsia="仿宋_GB2312" w:cs="仿宋_GB2312"/>
          <w:b w:val="0"/>
          <w:spacing w:val="-4"/>
          <w:sz w:val="32"/>
          <w:szCs w:val="32"/>
          <w:highlight w:val="none"/>
        </w:rPr>
        <w:t>委托第三方开展防雷安全检测：</w:t>
      </w:r>
      <w:r>
        <w:rPr>
          <w:rFonts w:hint="eastAsia" w:ascii="仿宋_GB2312" w:hAnsi="仿宋_GB2312" w:eastAsia="仿宋_GB2312" w:cs="仿宋_GB2312"/>
          <w:sz w:val="32"/>
          <w:szCs w:val="32"/>
          <w:highlight w:val="none"/>
        </w:rPr>
        <w:t>预期指标值=14000元</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指标完成值14000元</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指标完成率100%。</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数据通信：</w:t>
      </w:r>
      <w:r>
        <w:rPr>
          <w:rFonts w:hint="eastAsia" w:ascii="仿宋_GB2312" w:hAnsi="仿宋_GB2312" w:eastAsia="仿宋_GB2312" w:cs="仿宋_GB2312"/>
          <w:sz w:val="32"/>
          <w:szCs w:val="32"/>
          <w:highlight w:val="none"/>
        </w:rPr>
        <w:t>预期指标值=23000元</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指标完成值23000元</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指标完成率100%。</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专项经费是否严格控制在预算范围内：</w:t>
      </w:r>
      <w:r>
        <w:rPr>
          <w:rFonts w:hint="eastAsia" w:ascii="仿宋_GB2312" w:hAnsi="仿宋_GB2312" w:eastAsia="仿宋_GB2312" w:cs="仿宋_GB2312"/>
          <w:sz w:val="32"/>
          <w:szCs w:val="32"/>
          <w:highlight w:val="none"/>
        </w:rPr>
        <w:t>预期指标值项目支出控制按预算计划执行</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指标完成值98.93%</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指标完成率98.93%。</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（四）效益情况</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3" w:firstLineChars="200"/>
        <w:textAlignment w:val="auto"/>
        <w:rPr>
          <w:rFonts w:hint="eastAsia" w:ascii="楷体_GB2312" w:hAnsi="楷体_GB2312" w:eastAsia="楷体_GB2312" w:cs="楷体_GB2312"/>
          <w:b/>
          <w:sz w:val="32"/>
          <w:szCs w:val="32"/>
          <w:highlight w:val="none"/>
        </w:rPr>
      </w:pPr>
      <w:r>
        <w:rPr>
          <w:rFonts w:hint="eastAsia" w:ascii="仿宋" w:hAnsi="仿宋" w:eastAsia="仿宋" w:cs="楷体_GB2312"/>
          <w:b/>
          <w:sz w:val="32"/>
          <w:szCs w:val="32"/>
          <w:highlight w:val="none"/>
        </w:rPr>
        <w:t>1、经济效益指标：</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重大活动应急保障成效：</w:t>
      </w:r>
      <w:r>
        <w:rPr>
          <w:rFonts w:hint="eastAsia" w:ascii="仿宋_GB2312" w:hAnsi="仿宋_GB2312" w:eastAsia="仿宋_GB2312" w:cs="仿宋_GB2312"/>
          <w:sz w:val="32"/>
          <w:szCs w:val="32"/>
          <w:highlight w:val="none"/>
        </w:rPr>
        <w:t>预期指标值实时响应政府领导，组织开展重大应急保障工作（抗旱、草原防火）</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指标完成值无重大冰雹灾害的发生。</w:t>
      </w:r>
    </w:p>
    <w:p>
      <w:pPr>
        <w:keepNext w:val="0"/>
        <w:keepLines w:val="0"/>
        <w:pageBreakBefore w:val="0"/>
        <w:numPr>
          <w:numId w:val="0"/>
        </w:numPr>
        <w:pBdr>
          <w:bottom w:val="single" w:color="FFFFFF" w:sz="4" w:space="31"/>
        </w:pBdr>
        <w:tabs>
          <w:tab w:val="left" w:pos="1440"/>
        </w:tabs>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sz w:val="32"/>
          <w:szCs w:val="32"/>
          <w:highlight w:val="none"/>
        </w:rPr>
      </w:pPr>
      <w:r>
        <w:rPr>
          <w:rStyle w:val="52"/>
          <w:rFonts w:hint="eastAsia" w:eastAsia="仿宋_GB2312"/>
          <w:b/>
          <w:color w:val="auto"/>
          <w:highlight w:val="none"/>
          <w:lang w:val="en-US" w:eastAsia="zh-CN"/>
        </w:rPr>
        <w:t>2</w:t>
      </w:r>
      <w:r>
        <w:rPr>
          <w:rStyle w:val="52"/>
          <w:rFonts w:hint="eastAsia"/>
          <w:b/>
          <w:color w:val="auto"/>
          <w:highlight w:val="none"/>
        </w:rPr>
        <w:t>社会效益指标方面：</w:t>
      </w:r>
      <w:r>
        <w:rPr>
          <w:rStyle w:val="52"/>
          <w:rFonts w:hint="eastAsia"/>
          <w:color w:val="auto"/>
          <w:highlight w:val="none"/>
        </w:rPr>
        <w:t>重大活动应急保障成效：</w:t>
      </w:r>
      <w:r>
        <w:rPr>
          <w:rFonts w:hint="eastAsia" w:ascii="仿宋_GB2312" w:hAnsi="仿宋_GB2312" w:eastAsia="仿宋_GB2312" w:cs="仿宋_GB2312"/>
          <w:sz w:val="32"/>
          <w:szCs w:val="32"/>
          <w:highlight w:val="none"/>
        </w:rPr>
        <w:t>预期指标值</w:t>
      </w:r>
      <w:r>
        <w:rPr>
          <w:rFonts w:hint="eastAsia" w:ascii="仿宋" w:hAnsi="仿宋" w:eastAsia="仿宋" w:cs="仿宋_GB2312"/>
          <w:sz w:val="32"/>
          <w:szCs w:val="32"/>
          <w:highlight w:val="none"/>
        </w:rPr>
        <w:t>实时响应政府领导，组织开展重大应急保障工作（抗旱、草原防火）</w:t>
      </w:r>
      <w:r>
        <w:rPr>
          <w:rStyle w:val="20"/>
          <w:rFonts w:hint="eastAsia" w:ascii="仿宋" w:hAnsi="仿宋" w:eastAsia="仿宋" w:cs="仿宋"/>
          <w:b w:val="0"/>
          <w:spacing w:val="-4"/>
          <w:sz w:val="32"/>
          <w:szCs w:val="32"/>
          <w:highlight w:val="none"/>
        </w:rPr>
        <w:t>；</w:t>
      </w:r>
      <w:r>
        <w:rPr>
          <w:rFonts w:hint="eastAsia" w:ascii="仿宋_GB2312" w:hAnsi="仿宋_GB2312" w:eastAsia="仿宋_GB2312" w:cs="仿宋_GB2312"/>
          <w:sz w:val="32"/>
          <w:szCs w:val="32"/>
          <w:highlight w:val="none"/>
        </w:rPr>
        <w:t>指标完成值旱情明显得到缓解。</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7" w:firstLineChars="200"/>
        <w:textAlignment w:val="auto"/>
        <w:rPr>
          <w:rFonts w:hint="eastAsia" w:ascii="仿宋_GB2312" w:hAnsi="仿宋_GB2312" w:eastAsia="仿宋_GB2312" w:cs="仿宋_GB2312"/>
          <w:b/>
          <w:bCs w:val="0"/>
          <w:spacing w:val="-4"/>
          <w:sz w:val="32"/>
          <w:szCs w:val="32"/>
          <w:highlight w:val="none"/>
        </w:rPr>
      </w:pPr>
      <w:r>
        <w:rPr>
          <w:rFonts w:hint="eastAsia" w:ascii="仿宋_GB2312" w:hAnsi="仿宋_GB2312" w:eastAsia="仿宋_GB2312" w:cs="仿宋_GB2312"/>
          <w:b/>
          <w:bCs w:val="0"/>
          <w:spacing w:val="-4"/>
          <w:sz w:val="32"/>
          <w:szCs w:val="32"/>
          <w:highlight w:val="none"/>
        </w:rPr>
        <w:t>3、生态效益指标：</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保障区域水资源安全作业累积面积：期指标值≥3000平方公里</w:t>
      </w:r>
      <w:r>
        <w:rPr>
          <w:rStyle w:val="20"/>
          <w:rFonts w:hint="eastAsia" w:ascii="仿宋" w:hAnsi="仿宋" w:eastAsia="仿宋" w:cs="仿宋"/>
          <w:b w:val="0"/>
          <w:spacing w:val="-4"/>
          <w:sz w:val="32"/>
          <w:szCs w:val="32"/>
          <w:highlight w:val="none"/>
        </w:rPr>
        <w:t>；</w:t>
      </w:r>
      <w:r>
        <w:rPr>
          <w:rFonts w:hint="eastAsia" w:ascii="仿宋_GB2312" w:hAnsi="仿宋_GB2312" w:eastAsia="仿宋_GB2312" w:cs="仿宋_GB2312"/>
          <w:sz w:val="32"/>
          <w:szCs w:val="32"/>
          <w:highlight w:val="none"/>
        </w:rPr>
        <w:t>指标完成值3200平方公里；指标完成率106.66%。</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7" w:firstLineChars="200"/>
        <w:textAlignment w:val="auto"/>
        <w:rPr>
          <w:rFonts w:hint="eastAsia" w:ascii="楷体_GB2312" w:hAnsi="楷体_GB2312" w:eastAsia="楷体_GB2312" w:cs="楷体_GB2312"/>
          <w:b/>
          <w:spacing w:val="-4"/>
          <w:sz w:val="32"/>
          <w:szCs w:val="32"/>
          <w:highlight w:val="none"/>
        </w:rPr>
      </w:pPr>
      <w:r>
        <w:rPr>
          <w:rFonts w:hint="eastAsia" w:ascii="楷体_GB2312" w:hAnsi="楷体_GB2312" w:eastAsia="楷体_GB2312" w:cs="楷体_GB2312"/>
          <w:b/>
          <w:spacing w:val="-4"/>
          <w:sz w:val="32"/>
          <w:szCs w:val="32"/>
          <w:highlight w:val="none"/>
          <w:lang w:val="en-US" w:eastAsia="zh-CN"/>
        </w:rPr>
        <w:t>4.</w:t>
      </w:r>
      <w:r>
        <w:rPr>
          <w:rFonts w:hint="eastAsia" w:ascii="楷体_GB2312" w:hAnsi="楷体_GB2312" w:eastAsia="楷体_GB2312" w:cs="楷体_GB2312"/>
          <w:b/>
          <w:spacing w:val="-4"/>
          <w:sz w:val="32"/>
          <w:szCs w:val="32"/>
          <w:highlight w:val="none"/>
        </w:rPr>
        <w:t>满意度指标</w:t>
      </w:r>
    </w:p>
    <w:p>
      <w:pPr>
        <w:keepNext w:val="0"/>
        <w:keepLines w:val="0"/>
        <w:pageBreakBefore w:val="0"/>
        <w:pBdr>
          <w:bottom w:val="single" w:color="FFFFFF" w:sz="4" w:space="31"/>
        </w:pBdr>
        <w:tabs>
          <w:tab w:val="left" w:pos="1440"/>
        </w:tabs>
        <w:kinsoku/>
        <w:wordWrap/>
        <w:overflowPunct/>
        <w:topLinePunct w:val="0"/>
        <w:autoSpaceDE/>
        <w:autoSpaceDN/>
        <w:bidi w:val="0"/>
        <w:adjustRightInd/>
        <w:snapToGrid w:val="0"/>
        <w:spacing w:line="560" w:lineRule="exact"/>
        <w:ind w:firstLine="624" w:firstLineChars="200"/>
        <w:textAlignment w:val="auto"/>
        <w:rPr>
          <w:rFonts w:hint="eastAsia" w:ascii="仿宋_GB2312" w:hAnsi="仿宋_GB2312" w:eastAsia="仿宋_GB2312" w:cs="仿宋_GB2312"/>
          <w:spacing w:val="-4"/>
          <w:sz w:val="32"/>
          <w:szCs w:val="32"/>
          <w:highlight w:val="none"/>
        </w:rPr>
      </w:pPr>
      <w:r>
        <w:rPr>
          <w:rFonts w:hint="eastAsia" w:ascii="仿宋_GB2312" w:hAnsi="仿宋_GB2312" w:eastAsia="仿宋_GB2312" w:cs="仿宋_GB2312"/>
          <w:spacing w:val="-4"/>
          <w:sz w:val="32"/>
          <w:szCs w:val="32"/>
          <w:highlight w:val="none"/>
        </w:rPr>
        <w:t>服务对象满意度指标：</w:t>
      </w:r>
      <w:r>
        <w:rPr>
          <w:rFonts w:hint="eastAsia" w:ascii="仿宋_GB2312" w:hAnsi="仿宋_GB2312" w:eastAsia="仿宋_GB2312" w:cs="仿宋_GB2312"/>
          <w:sz w:val="32"/>
          <w:szCs w:val="32"/>
          <w:highlight w:val="none"/>
        </w:rPr>
        <w:t>期指标值≥80%</w:t>
      </w:r>
      <w:r>
        <w:rPr>
          <w:rStyle w:val="20"/>
          <w:rFonts w:hint="eastAsia" w:ascii="仿宋_GB2312" w:hAnsi="仿宋_GB2312" w:eastAsia="仿宋_GB2312" w:cs="仿宋_GB2312"/>
          <w:b w:val="0"/>
          <w:spacing w:val="-4"/>
          <w:sz w:val="32"/>
          <w:szCs w:val="32"/>
          <w:highlight w:val="none"/>
        </w:rPr>
        <w:t>；</w:t>
      </w:r>
      <w:r>
        <w:rPr>
          <w:rFonts w:hint="eastAsia" w:ascii="仿宋_GB2312" w:hAnsi="仿宋_GB2312" w:eastAsia="仿宋_GB2312" w:cs="仿宋_GB2312"/>
          <w:sz w:val="32"/>
          <w:szCs w:val="32"/>
          <w:highlight w:val="none"/>
        </w:rPr>
        <w:t>指标完成值92%；指标完成率115%。</w:t>
      </w:r>
    </w:p>
    <w:p>
      <w:pPr>
        <w:keepNext w:val="0"/>
        <w:keepLines w:val="0"/>
        <w:pageBreakBefore w:val="0"/>
        <w:numPr>
          <w:ilvl w:val="0"/>
          <w:numId w:val="1"/>
        </w:numPr>
        <w:pBdr>
          <w:bottom w:val="single" w:color="FFFFFF" w:sz="4" w:space="31"/>
        </w:pBdr>
        <w:tabs>
          <w:tab w:val="left" w:pos="1440"/>
        </w:tabs>
        <w:kinsoku/>
        <w:wordWrap/>
        <w:overflowPunct/>
        <w:topLinePunct w:val="0"/>
        <w:autoSpaceDE/>
        <w:autoSpaceDN/>
        <w:bidi w:val="0"/>
        <w:adjustRightInd/>
        <w:snapToGrid w:val="0"/>
        <w:spacing w:line="560" w:lineRule="exact"/>
        <w:ind w:firstLine="313" w:firstLineChars="100"/>
        <w:textAlignment w:val="auto"/>
        <w:rPr>
          <w:rFonts w:hint="eastAsia" w:ascii="楷体_GB2312" w:hAnsi="楷体_GB2312" w:eastAsia="楷体_GB2312" w:cs="楷体_GB2312"/>
          <w:b/>
          <w:spacing w:val="-4"/>
          <w:sz w:val="32"/>
          <w:szCs w:val="32"/>
          <w:highlight w:val="none"/>
        </w:rPr>
      </w:pPr>
      <w:r>
        <w:rPr>
          <w:rFonts w:hint="eastAsia" w:ascii="楷体_GB2312" w:hAnsi="楷体_GB2312" w:eastAsia="楷体_GB2312" w:cs="楷体_GB2312"/>
          <w:b/>
          <w:spacing w:val="-4"/>
          <w:sz w:val="32"/>
          <w:szCs w:val="32"/>
          <w:highlight w:val="none"/>
        </w:rPr>
        <w:t>存在的问题及原因分析</w:t>
      </w:r>
      <w:bookmarkStart w:id="27" w:name="_Toc15925"/>
    </w:p>
    <w:p>
      <w:pPr>
        <w:keepNext w:val="0"/>
        <w:keepLines w:val="0"/>
        <w:pageBreakBefore w:val="0"/>
        <w:numPr>
          <w:numId w:val="0"/>
        </w:numPr>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val="0"/>
          <w:bCs w:val="0"/>
          <w:kern w:val="2"/>
          <w:sz w:val="32"/>
          <w:szCs w:val="32"/>
          <w:highlight w:val="none"/>
        </w:rPr>
      </w:pPr>
      <w:r>
        <w:rPr>
          <w:rFonts w:hint="eastAsia" w:ascii="仿宋_GB2312" w:hAnsi="仿宋_GB2312" w:eastAsia="仿宋_GB2312" w:cs="仿宋_GB2312"/>
          <w:b w:val="0"/>
          <w:bCs w:val="0"/>
          <w:kern w:val="2"/>
          <w:sz w:val="32"/>
          <w:szCs w:val="32"/>
          <w:highlight w:val="none"/>
          <w:lang w:val="en-US" w:eastAsia="zh-CN"/>
        </w:rPr>
        <w:t>1.</w:t>
      </w:r>
      <w:r>
        <w:rPr>
          <w:rFonts w:hint="eastAsia" w:ascii="仿宋_GB2312" w:hAnsi="仿宋_GB2312" w:eastAsia="仿宋_GB2312" w:cs="仿宋_GB2312"/>
          <w:b w:val="0"/>
          <w:bCs w:val="0"/>
          <w:kern w:val="2"/>
          <w:sz w:val="32"/>
          <w:szCs w:val="32"/>
          <w:highlight w:val="none"/>
        </w:rPr>
        <w:t>存在的问题</w:t>
      </w:r>
      <w:bookmarkEnd w:id="27"/>
      <w:bookmarkStart w:id="28" w:name="_Toc28766"/>
    </w:p>
    <w:p>
      <w:pPr>
        <w:keepNext w:val="0"/>
        <w:keepLines w:val="0"/>
        <w:pageBreakBefore w:val="0"/>
        <w:numPr>
          <w:numId w:val="0"/>
        </w:numPr>
        <w:pBdr>
          <w:bottom w:val="single" w:color="FFFFFF" w:sz="4" w:space="31"/>
        </w:pBdr>
        <w:tabs>
          <w:tab w:val="left" w:pos="1440"/>
        </w:tabs>
        <w:kinsoku/>
        <w:wordWrap/>
        <w:overflowPunct/>
        <w:topLinePunct w:val="0"/>
        <w:autoSpaceDE/>
        <w:autoSpaceDN/>
        <w:bidi w:val="0"/>
        <w:adjustRightInd/>
        <w:snapToGrid w:val="0"/>
        <w:spacing w:line="560" w:lineRule="exact"/>
        <w:ind w:firstLine="640" w:firstLineChars="200"/>
        <w:textAlignment w:val="auto"/>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项目绩效管理工作无专人负责，常年为兼职办理，并存在逢年换人情况，导致工作人员业务知识匮乏，办理进度缓慢。</w:t>
      </w:r>
      <w:bookmarkEnd w:id="28"/>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2.原因分析</w:t>
      </w:r>
    </w:p>
    <w:p>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highlight w:val="none"/>
        </w:rPr>
      </w:pPr>
      <w:bookmarkStart w:id="29" w:name="_Toc22899"/>
      <w:r>
        <w:rPr>
          <w:rFonts w:hint="eastAsia" w:ascii="仿宋_GB2312" w:hAnsi="仿宋_GB2312" w:eastAsia="仿宋_GB2312" w:cs="仿宋_GB2312"/>
          <w:b w:val="0"/>
          <w:bCs w:val="0"/>
          <w:highlight w:val="none"/>
        </w:rPr>
        <w:t>人员编制少、变动多，业务工作量大，无法实现专人负责。</w:t>
      </w:r>
      <w:bookmarkEnd w:id="29"/>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30" w:name="_Toc22452"/>
      <w:r>
        <w:rPr>
          <w:rFonts w:hint="eastAsia" w:ascii="黑体" w:hAnsi="黑体" w:eastAsia="黑体" w:cs="黑体"/>
          <w:bCs/>
          <w:sz w:val="32"/>
          <w:szCs w:val="32"/>
          <w:highlight w:val="none"/>
        </w:rPr>
        <w:t>六、有关建议</w:t>
      </w:r>
      <w:bookmarkEnd w:id="30"/>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一）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31" w:name="_Toc18404"/>
      <w:r>
        <w:rPr>
          <w:rFonts w:hint="eastAsia" w:ascii="黑体" w:hAnsi="黑体" w:eastAsia="黑体" w:cs="黑体"/>
          <w:bCs/>
          <w:sz w:val="32"/>
          <w:szCs w:val="32"/>
          <w:highlight w:val="none"/>
        </w:rPr>
        <w:t>七、其他需要说</w:t>
      </w:r>
      <w:bookmarkStart w:id="32" w:name="page8"/>
      <w:bookmarkEnd w:id="32"/>
      <w:r>
        <w:rPr>
          <w:rFonts w:hint="eastAsia" w:ascii="黑体" w:hAnsi="黑体" w:eastAsia="黑体" w:cs="黑体"/>
          <w:bCs/>
          <w:sz w:val="32"/>
          <w:szCs w:val="32"/>
          <w:highlight w:val="none"/>
        </w:rPr>
        <w:t>明的问题</w:t>
      </w:r>
      <w:bookmarkEnd w:id="31"/>
    </w:p>
    <w:p>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highlight w:val="none"/>
        </w:rPr>
      </w:pPr>
      <w:bookmarkStart w:id="33" w:name="_Toc12332"/>
      <w:r>
        <w:rPr>
          <w:rFonts w:hint="eastAsia" w:ascii="仿宋_GB2312" w:hAnsi="仿宋_GB2312" w:eastAsia="仿宋_GB2312" w:cs="仿宋_GB2312"/>
          <w:b w:val="0"/>
          <w:bCs w:val="0"/>
          <w:kern w:val="2"/>
          <w:highlight w:val="none"/>
        </w:rPr>
        <w:t>无。</w:t>
      </w:r>
      <w:bookmarkEnd w:id="33"/>
    </w:p>
    <w:p>
      <w:pPr>
        <w:pStyle w:val="2"/>
        <w:keepNext w:val="0"/>
        <w:keepLines w:val="0"/>
        <w:pageBreakBefore w:val="0"/>
        <w:kinsoku/>
        <w:wordWrap/>
        <w:overflowPunct/>
        <w:topLinePunct w:val="0"/>
        <w:autoSpaceDE/>
        <w:autoSpaceDN/>
        <w:bidi w:val="0"/>
        <w:adjustRightInd/>
        <w:spacing w:before="0" w:after="0" w:line="560" w:lineRule="exact"/>
        <w:textAlignment w:val="auto"/>
        <w:outlineLvl w:val="9"/>
        <w:rPr>
          <w:rFonts w:ascii="黑体" w:hAnsi="黑体" w:eastAsia="黑体"/>
          <w:highlight w:val="none"/>
        </w:rPr>
      </w:pPr>
    </w:p>
    <w:tbl>
      <w:tblPr>
        <w:tblStyle w:val="23"/>
        <w:tblW w:w="9760" w:type="dxa"/>
        <w:tblInd w:w="93" w:type="dxa"/>
        <w:tblLayout w:type="fixed"/>
        <w:tblCellMar>
          <w:top w:w="0" w:type="dxa"/>
          <w:left w:w="108" w:type="dxa"/>
          <w:bottom w:w="0" w:type="dxa"/>
          <w:right w:w="108" w:type="dxa"/>
        </w:tblCellMar>
      </w:tblPr>
      <w:tblGrid>
        <w:gridCol w:w="860"/>
        <w:gridCol w:w="860"/>
        <w:gridCol w:w="860"/>
        <w:gridCol w:w="860"/>
        <w:gridCol w:w="860"/>
        <w:gridCol w:w="860"/>
        <w:gridCol w:w="1160"/>
        <w:gridCol w:w="860"/>
        <w:gridCol w:w="860"/>
        <w:gridCol w:w="1720"/>
      </w:tblGrid>
      <w:tr>
        <w:tblPrEx>
          <w:tblLayout w:type="fixed"/>
          <w:tblCellMar>
            <w:top w:w="0" w:type="dxa"/>
            <w:left w:w="108" w:type="dxa"/>
            <w:bottom w:w="0" w:type="dxa"/>
            <w:right w:w="108" w:type="dxa"/>
          </w:tblCellMar>
        </w:tblPrEx>
        <w:trPr>
          <w:trHeight w:val="408" w:hRule="atLeast"/>
        </w:trPr>
        <w:tc>
          <w:tcPr>
            <w:tcW w:w="9760"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highlight w:val="none"/>
              </w:rPr>
            </w:pPr>
          </w:p>
          <w:p>
            <w:pPr>
              <w:pStyle w:val="2"/>
              <w:rPr>
                <w:rFonts w:hint="eastAsia" w:ascii="宋体" w:hAnsi="宋体" w:cs="Arial"/>
                <w:b/>
                <w:bCs/>
                <w:color w:val="000000"/>
                <w:kern w:val="0"/>
                <w:sz w:val="32"/>
                <w:szCs w:val="32"/>
                <w:highlight w:val="none"/>
              </w:rPr>
            </w:pPr>
          </w:p>
          <w:p>
            <w:pPr>
              <w:rPr>
                <w:rFonts w:hint="eastAsia"/>
                <w:highlight w:val="none"/>
              </w:rPr>
            </w:pP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b/>
                <w:bCs/>
                <w:color w:val="000000"/>
                <w:kern w:val="0"/>
                <w:sz w:val="32"/>
                <w:szCs w:val="32"/>
                <w:highlight w:val="none"/>
              </w:rPr>
            </w:pPr>
            <w:r>
              <w:rPr>
                <w:rFonts w:hint="eastAsia" w:ascii="方正小标宋_GBK" w:hAnsi="方正小标宋_GBK" w:eastAsia="方正小标宋_GBK" w:cs="方正小标宋_GBK"/>
                <w:b w:val="0"/>
                <w:bCs w:val="0"/>
                <w:color w:val="000000"/>
                <w:kern w:val="0"/>
                <w:sz w:val="40"/>
                <w:szCs w:val="40"/>
                <w:highlight w:val="none"/>
              </w:rPr>
              <w:t>项目支出绩效自评表</w:t>
            </w:r>
          </w:p>
        </w:tc>
      </w:tr>
      <w:tr>
        <w:tblPrEx>
          <w:tblLayout w:type="fixed"/>
          <w:tblCellMar>
            <w:top w:w="0" w:type="dxa"/>
            <w:left w:w="108" w:type="dxa"/>
            <w:bottom w:w="0" w:type="dxa"/>
            <w:right w:w="108" w:type="dxa"/>
          </w:tblCellMar>
        </w:tblPrEx>
        <w:trPr>
          <w:trHeight w:val="408" w:hRule="atLeast"/>
        </w:trPr>
        <w:tc>
          <w:tcPr>
            <w:tcW w:w="9760"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32"/>
                <w:szCs w:val="32"/>
                <w:highlight w:val="none"/>
              </w:rPr>
            </w:pPr>
            <w:r>
              <w:rPr>
                <w:rFonts w:hint="eastAsia" w:ascii="宋体" w:hAnsi="宋体" w:cs="Arial"/>
                <w:color w:val="000000"/>
                <w:kern w:val="0"/>
                <w:sz w:val="32"/>
                <w:szCs w:val="32"/>
                <w:highlight w:val="none"/>
              </w:rPr>
              <w:t>（ 2020 年度）</w:t>
            </w:r>
          </w:p>
        </w:tc>
      </w:tr>
      <w:tr>
        <w:tblPrEx>
          <w:tblLayout w:type="fixed"/>
          <w:tblCellMar>
            <w:top w:w="0" w:type="dxa"/>
            <w:left w:w="108" w:type="dxa"/>
            <w:bottom w:w="0" w:type="dxa"/>
            <w:right w:w="108" w:type="dxa"/>
          </w:tblCellMar>
        </w:tblPrEx>
        <w:trPr>
          <w:trHeight w:val="270" w:hRule="atLeast"/>
        </w:trPr>
        <w:tc>
          <w:tcPr>
            <w:tcW w:w="9760"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p>
        </w:tc>
      </w:tr>
      <w:tr>
        <w:tblPrEx>
          <w:tblLayout w:type="fixed"/>
          <w:tblCellMar>
            <w:top w:w="0" w:type="dxa"/>
            <w:left w:w="108" w:type="dxa"/>
            <w:bottom w:w="0" w:type="dxa"/>
            <w:right w:w="108" w:type="dxa"/>
          </w:tblCellMar>
        </w:tblPrEx>
        <w:trPr>
          <w:trHeight w:val="270" w:hRule="atLeast"/>
        </w:trPr>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项目名称</w:t>
            </w:r>
          </w:p>
        </w:tc>
        <w:tc>
          <w:tcPr>
            <w:tcW w:w="8040" w:type="dxa"/>
            <w:gridSpan w:val="8"/>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2020年塔城地区人影办雷达站专项业务运转费</w:t>
            </w:r>
          </w:p>
        </w:tc>
      </w:tr>
      <w:tr>
        <w:tblPrEx>
          <w:tblLayout w:type="fixed"/>
          <w:tblCellMar>
            <w:top w:w="0" w:type="dxa"/>
            <w:left w:w="108" w:type="dxa"/>
            <w:bottom w:w="0" w:type="dxa"/>
            <w:right w:w="108" w:type="dxa"/>
          </w:tblCellMar>
        </w:tblPrEx>
        <w:trPr>
          <w:trHeight w:val="270" w:hRule="atLeast"/>
        </w:trPr>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主管部门</w:t>
            </w:r>
          </w:p>
        </w:tc>
        <w:tc>
          <w:tcPr>
            <w:tcW w:w="4600"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实施单位</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塔城地区人影办</w:t>
            </w: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393" w:hRule="atLeast"/>
        </w:trPr>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项目资金</w:t>
            </w:r>
          </w:p>
        </w:tc>
        <w:tc>
          <w:tcPr>
            <w:tcW w:w="1720" w:type="dxa"/>
            <w:gridSpan w:val="2"/>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Arial" w:hAnsi="Arial" w:cs="Arial"/>
                <w:kern w:val="0"/>
                <w:sz w:val="20"/>
                <w:szCs w:val="20"/>
                <w:highlight w:val="none"/>
              </w:rPr>
            </w:pPr>
            <w:r>
              <w:rPr>
                <w:rFonts w:ascii="Arial" w:hAnsi="Arial" w:cs="Arial"/>
                <w:kern w:val="0"/>
                <w:sz w:val="20"/>
                <w:szCs w:val="20"/>
                <w:highlight w:val="none"/>
              </w:rPr>
              <w:t>　</w:t>
            </w:r>
          </w:p>
          <w:p>
            <w:pPr>
              <w:keepNext w:val="0"/>
              <w:keepLines w:val="0"/>
              <w:pageBreakBefore w:val="0"/>
              <w:widowControl/>
              <w:kinsoku/>
              <w:wordWrap/>
              <w:overflowPunct/>
              <w:topLinePunct w:val="0"/>
              <w:autoSpaceDE/>
              <w:autoSpaceDN/>
              <w:bidi w:val="0"/>
              <w:adjustRightInd/>
              <w:spacing w:line="560" w:lineRule="exact"/>
              <w:jc w:val="left"/>
              <w:textAlignment w:val="auto"/>
              <w:rPr>
                <w:rFonts w:ascii="Arial" w:hAnsi="Arial" w:cs="Arial"/>
                <w:kern w:val="0"/>
                <w:sz w:val="20"/>
                <w:szCs w:val="20"/>
                <w:highlight w:val="none"/>
              </w:rPr>
            </w:pPr>
            <w:r>
              <w:rPr>
                <w:rFonts w:ascii="Arial" w:hAnsi="Arial" w:cs="Arial"/>
                <w:kern w:val="0"/>
                <w:sz w:val="20"/>
                <w:szCs w:val="20"/>
                <w:highlight w:val="none"/>
              </w:rPr>
              <w:t>　</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年初预算数</w:t>
            </w:r>
          </w:p>
        </w:tc>
        <w:tc>
          <w:tcPr>
            <w:tcW w:w="20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全年预算数</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全年执行数</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执行率</w:t>
            </w:r>
          </w:p>
        </w:tc>
      </w:tr>
      <w:tr>
        <w:tblPrEx>
          <w:tblLayout w:type="fixed"/>
          <w:tblCellMar>
            <w:top w:w="0" w:type="dxa"/>
            <w:left w:w="108" w:type="dxa"/>
            <w:bottom w:w="0" w:type="dxa"/>
            <w:right w:w="108" w:type="dxa"/>
          </w:tblCellMar>
        </w:tblPrEx>
        <w:trPr>
          <w:trHeight w:val="270" w:hRule="atLeast"/>
        </w:trPr>
        <w:tc>
          <w:tcPr>
            <w:tcW w:w="1720" w:type="dxa"/>
            <w:gridSpan w:val="2"/>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color w:val="000000"/>
                <w:kern w:val="0"/>
                <w:sz w:val="18"/>
                <w:szCs w:val="18"/>
                <w:highlight w:val="none"/>
              </w:rPr>
            </w:pPr>
            <w:r>
              <w:rPr>
                <w:rFonts w:hint="eastAsia" w:ascii="宋体" w:hAnsi="宋体" w:cs="Arial"/>
                <w:color w:val="000000"/>
                <w:kern w:val="0"/>
                <w:sz w:val="18"/>
                <w:szCs w:val="18"/>
                <w:highlight w:val="none"/>
              </w:rPr>
              <w:t>（万元）</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r>
              <w:rPr>
                <w:rFonts w:hint="eastAsia" w:ascii="宋体" w:hAnsi="宋体" w:cs="Arial"/>
                <w:color w:val="000000"/>
                <w:kern w:val="0"/>
                <w:sz w:val="22"/>
                <w:szCs w:val="22"/>
                <w:highlight w:val="none"/>
              </w:rPr>
              <w:t>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r>
              <w:rPr>
                <w:rFonts w:hint="eastAsia" w:ascii="宋体" w:hAnsi="宋体" w:cs="Arial"/>
                <w:color w:val="000000"/>
                <w:kern w:val="0"/>
                <w:sz w:val="22"/>
                <w:szCs w:val="22"/>
                <w:highlight w:val="none"/>
              </w:rPr>
              <w:t>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r>
              <w:rPr>
                <w:rFonts w:hint="eastAsia" w:ascii="宋体" w:hAnsi="宋体" w:cs="Arial"/>
                <w:color w:val="000000"/>
                <w:kern w:val="0"/>
                <w:sz w:val="22"/>
                <w:szCs w:val="22"/>
                <w:highlight w:val="none"/>
              </w:rPr>
              <w:t>　</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年度资金总额</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w:t>
            </w:r>
          </w:p>
        </w:tc>
        <w:tc>
          <w:tcPr>
            <w:tcW w:w="20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19.77</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98.83%</w:t>
            </w:r>
          </w:p>
        </w:tc>
      </w:tr>
      <w:tr>
        <w:tblPrEx>
          <w:tblLayout w:type="fixed"/>
          <w:tblCellMar>
            <w:top w:w="0" w:type="dxa"/>
            <w:left w:w="108" w:type="dxa"/>
            <w:bottom w:w="0" w:type="dxa"/>
            <w:right w:w="108" w:type="dxa"/>
          </w:tblCellMar>
        </w:tblPrEx>
        <w:trPr>
          <w:trHeight w:val="372" w:hRule="atLeast"/>
        </w:trPr>
        <w:tc>
          <w:tcPr>
            <w:tcW w:w="1720" w:type="dxa"/>
            <w:gridSpan w:val="2"/>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其中：当年财政拨款</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0.00</w:t>
            </w:r>
          </w:p>
        </w:tc>
        <w:tc>
          <w:tcPr>
            <w:tcW w:w="20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0.00</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0.00</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w:t>
            </w:r>
          </w:p>
        </w:tc>
      </w:tr>
      <w:tr>
        <w:tblPrEx>
          <w:tblLayout w:type="fixed"/>
          <w:tblCellMar>
            <w:top w:w="0" w:type="dxa"/>
            <w:left w:w="108" w:type="dxa"/>
            <w:bottom w:w="0" w:type="dxa"/>
            <w:right w:w="108" w:type="dxa"/>
          </w:tblCellMar>
        </w:tblPrEx>
        <w:trPr>
          <w:trHeight w:val="432" w:hRule="atLeast"/>
        </w:trPr>
        <w:tc>
          <w:tcPr>
            <w:tcW w:w="1720" w:type="dxa"/>
            <w:gridSpan w:val="2"/>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xml:space="preserve">      上年结转资金</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20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0</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0</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w:t>
            </w:r>
          </w:p>
        </w:tc>
      </w:tr>
      <w:tr>
        <w:tblPrEx>
          <w:tblLayout w:type="fixed"/>
          <w:tblCellMar>
            <w:top w:w="0" w:type="dxa"/>
            <w:left w:w="108" w:type="dxa"/>
            <w:bottom w:w="0" w:type="dxa"/>
            <w:right w:w="108" w:type="dxa"/>
          </w:tblCellMar>
        </w:tblPrEx>
        <w:trPr>
          <w:trHeight w:val="270" w:hRule="atLeast"/>
        </w:trPr>
        <w:tc>
          <w:tcPr>
            <w:tcW w:w="1720" w:type="dxa"/>
            <w:gridSpan w:val="2"/>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22"/>
                <w:szCs w:val="22"/>
                <w:highlight w:val="none"/>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xml:space="preserve">  其他资金</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w:t>
            </w:r>
          </w:p>
        </w:tc>
        <w:tc>
          <w:tcPr>
            <w:tcW w:w="20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19.77</w:t>
            </w:r>
          </w:p>
        </w:tc>
        <w:tc>
          <w:tcPr>
            <w:tcW w:w="172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w:t>
            </w:r>
          </w:p>
        </w:tc>
      </w:tr>
      <w:tr>
        <w:tblPrEx>
          <w:tblLayout w:type="fixed"/>
          <w:tblCellMar>
            <w:top w:w="0" w:type="dxa"/>
            <w:left w:w="108" w:type="dxa"/>
            <w:bottom w:w="0" w:type="dxa"/>
            <w:right w:w="108" w:type="dxa"/>
          </w:tblCellMar>
        </w:tblPrEx>
        <w:trPr>
          <w:trHeight w:val="432" w:hRule="atLeast"/>
        </w:trPr>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年度总体目标</w:t>
            </w:r>
          </w:p>
        </w:tc>
        <w:tc>
          <w:tcPr>
            <w:tcW w:w="5460"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预期目标</w:t>
            </w:r>
          </w:p>
        </w:tc>
        <w:tc>
          <w:tcPr>
            <w:tcW w:w="344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实际完成情况</w:t>
            </w:r>
          </w:p>
        </w:tc>
      </w:tr>
      <w:tr>
        <w:tblPrEx>
          <w:tblLayout w:type="fixed"/>
          <w:tblCellMar>
            <w:top w:w="0" w:type="dxa"/>
            <w:left w:w="108" w:type="dxa"/>
            <w:bottom w:w="0" w:type="dxa"/>
            <w:right w:w="108" w:type="dxa"/>
          </w:tblCellMar>
        </w:tblPrEx>
        <w:trPr>
          <w:trHeight w:val="108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5460"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保障雷达正常运转，实施兵地联合人工防雹、增水作业指导，减轻冰雹灾害保护农林业生产，缓解山区草场严重干旱程度。履行人影安全管理职能，保障人影安全无责任性事故发生。</w:t>
            </w:r>
          </w:p>
        </w:tc>
        <w:tc>
          <w:tcPr>
            <w:tcW w:w="344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保障雷达正常运转，实施兵地联合人工防雹、增水作业指导，减轻冰雹灾害保护农林业生产，缓解山区草场严重干旱程度。履行人影安全管理职能，保障人影安全无责任性事故发生。</w:t>
            </w:r>
          </w:p>
        </w:tc>
      </w:tr>
      <w:tr>
        <w:tblPrEx>
          <w:tblLayout w:type="fixed"/>
          <w:tblCellMar>
            <w:top w:w="0" w:type="dxa"/>
            <w:left w:w="108" w:type="dxa"/>
            <w:bottom w:w="0" w:type="dxa"/>
            <w:right w:w="108" w:type="dxa"/>
          </w:tblCellMar>
        </w:tblPrEx>
        <w:trPr>
          <w:trHeight w:val="411" w:hRule="atLeast"/>
        </w:trPr>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一级指标</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二级指标</w:t>
            </w:r>
          </w:p>
        </w:tc>
        <w:tc>
          <w:tcPr>
            <w:tcW w:w="25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三级指标</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年度指标值</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实际完成值</w:t>
            </w:r>
          </w:p>
        </w:tc>
        <w:tc>
          <w:tcPr>
            <w:tcW w:w="25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偏差原因分析及改进措施</w:t>
            </w:r>
          </w:p>
        </w:tc>
      </w:tr>
      <w:tr>
        <w:tblPrEx>
          <w:tblLayout w:type="fixed"/>
          <w:tblCellMar>
            <w:top w:w="0" w:type="dxa"/>
            <w:left w:w="108" w:type="dxa"/>
            <w:bottom w:w="0" w:type="dxa"/>
            <w:right w:w="108" w:type="dxa"/>
          </w:tblCellMar>
        </w:tblPrEx>
        <w:trPr>
          <w:trHeight w:val="312"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11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r>
      <w:tr>
        <w:tblPrEx>
          <w:tblLayout w:type="fixed"/>
          <w:tblCellMar>
            <w:top w:w="0" w:type="dxa"/>
            <w:left w:w="108" w:type="dxa"/>
            <w:bottom w:w="0" w:type="dxa"/>
            <w:right w:w="108" w:type="dxa"/>
          </w:tblCellMar>
        </w:tblPrEx>
        <w:trPr>
          <w:trHeight w:val="636" w:hRule="atLeast"/>
        </w:trPr>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年度绩效指标完成情况</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产出指标</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数量指标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地面防雹保护面积</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≥2000平房公里</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2200平方公里</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60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地面增水影响面积</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≥3000平方公里</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3200平方公里</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84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开展人影作业县市覆盖率</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≥80%</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100%</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84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质量指标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雷达数据传输正确率</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≥99%</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100%</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756"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时效指标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实时发布监测预警信息及时率</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≥95%</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100%</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504"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成本指标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委托第三方开展防雷安全检测</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=14000元</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14000元</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516"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数据通信</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=23000元</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23000元</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90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专项经费是否严格控制在预算范围内</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项目支出控制按预算计划执行</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98.93%</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因疫情原因，无法开展出差安全检查工作。</w:t>
            </w:r>
          </w:p>
        </w:tc>
      </w:tr>
      <w:tr>
        <w:tblPrEx>
          <w:tblLayout w:type="fixed"/>
          <w:tblCellMar>
            <w:top w:w="0" w:type="dxa"/>
            <w:left w:w="108" w:type="dxa"/>
            <w:bottom w:w="0" w:type="dxa"/>
            <w:right w:w="108" w:type="dxa"/>
          </w:tblCellMar>
        </w:tblPrEx>
        <w:trPr>
          <w:trHeight w:val="1236"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效益指标</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经济效益指标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降低冰雹等灾害性天气影响</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正常开展人影作业后降低或减轻重大冰雹灾害的发生</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无重大冰雹灾害的发生</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1248"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社会效益指标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重大活动应急保障成效</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实时响应政府领导，组织开展重大应急保障工作（抗旱、草原防火）</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旱情明显得到缓解</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864"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生态效益指标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保障区域水资源安全作业累积面积</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≥3000平方公里</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3200平方公里</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660"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可持续影响指标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804" w:hRule="atLeast"/>
        </w:trPr>
        <w:tc>
          <w:tcPr>
            <w:tcW w:w="8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Arial"/>
                <w:color w:val="000000"/>
                <w:kern w:val="0"/>
                <w:sz w:val="18"/>
                <w:szCs w:val="18"/>
                <w:highlight w:val="none"/>
              </w:rPr>
            </w:pP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满意度指标</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服务对象满意度指标</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服务对象满意度指标</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≥80%</w:t>
            </w:r>
          </w:p>
        </w:tc>
        <w:tc>
          <w:tcPr>
            <w:tcW w:w="8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92%</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r>
        <w:tblPrEx>
          <w:tblLayout w:type="fixed"/>
          <w:tblCellMar>
            <w:top w:w="0" w:type="dxa"/>
            <w:left w:w="108" w:type="dxa"/>
            <w:bottom w:w="0" w:type="dxa"/>
            <w:right w:w="108" w:type="dxa"/>
          </w:tblCellMar>
        </w:tblPrEx>
        <w:trPr>
          <w:trHeight w:val="588" w:hRule="atLeast"/>
        </w:trPr>
        <w:tc>
          <w:tcPr>
            <w:tcW w:w="71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总分</w:t>
            </w:r>
          </w:p>
        </w:tc>
        <w:tc>
          <w:tcPr>
            <w:tcW w:w="258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Arial"/>
                <w:color w:val="000000"/>
                <w:kern w:val="0"/>
                <w:sz w:val="18"/>
                <w:szCs w:val="18"/>
                <w:highlight w:val="none"/>
              </w:rPr>
            </w:pPr>
            <w:r>
              <w:rPr>
                <w:rFonts w:hint="eastAsia" w:ascii="宋体" w:hAnsi="宋体" w:cs="Arial"/>
                <w:color w:val="000000"/>
                <w:kern w:val="0"/>
                <w:sz w:val="18"/>
                <w:szCs w:val="18"/>
                <w:highlight w:val="none"/>
              </w:rPr>
              <w:t>　</w:t>
            </w:r>
          </w:p>
        </w:tc>
      </w:tr>
    </w:tbl>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sz w:val="32"/>
          <w:szCs w:val="32"/>
          <w:highlight w:val="none"/>
        </w:rPr>
      </w:pPr>
    </w:p>
    <w:p>
      <w:pPr>
        <w:pStyle w:val="2"/>
        <w:keepNext w:val="0"/>
        <w:keepLines w:val="0"/>
        <w:pageBreakBefore w:val="0"/>
        <w:kinsoku/>
        <w:wordWrap/>
        <w:overflowPunct/>
        <w:topLinePunct w:val="0"/>
        <w:autoSpaceDE/>
        <w:autoSpaceDN/>
        <w:bidi w:val="0"/>
        <w:adjustRightInd/>
        <w:spacing w:before="0" w:after="0" w:line="560" w:lineRule="exact"/>
        <w:jc w:val="both"/>
        <w:textAlignment w:val="auto"/>
        <w:outlineLvl w:val="9"/>
        <w:rPr>
          <w:highlight w:val="none"/>
        </w:rPr>
        <w:sectPr>
          <w:footerReference r:id="rId3" w:type="default"/>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0"/>
        <w:rPr>
          <w:rFonts w:ascii="黑体" w:hAnsi="黑体" w:eastAsia="黑体" w:cs="黑体"/>
          <w:bCs/>
          <w:sz w:val="32"/>
          <w:szCs w:val="32"/>
          <w:highlight w:val="none"/>
        </w:rPr>
      </w:pPr>
      <w:bookmarkStart w:id="34" w:name="_Toc8124"/>
      <w:r>
        <w:rPr>
          <w:rFonts w:hint="eastAsia" w:ascii="黑体" w:hAnsi="黑体" w:eastAsia="黑体" w:cs="黑体"/>
          <w:bCs/>
          <w:sz w:val="32"/>
          <w:szCs w:val="32"/>
          <w:highlight w:val="none"/>
        </w:rPr>
        <w:t>附件1</w:t>
      </w:r>
      <w:bookmarkEnd w:id="34"/>
    </w:p>
    <w:p>
      <w:pPr>
        <w:pStyle w:val="2"/>
        <w:keepNext w:val="0"/>
        <w:keepLines w:val="0"/>
        <w:pageBreakBefore w:val="0"/>
        <w:kinsoku/>
        <w:wordWrap/>
        <w:overflowPunct/>
        <w:topLinePunct w:val="0"/>
        <w:autoSpaceDE/>
        <w:autoSpaceDN/>
        <w:bidi w:val="0"/>
        <w:adjustRightInd/>
        <w:spacing w:before="0" w:after="0" w:line="560" w:lineRule="exact"/>
        <w:textAlignment w:val="auto"/>
        <w:rPr>
          <w:highlight w:val="none"/>
        </w:rPr>
      </w:pPr>
    </w:p>
    <w:tbl>
      <w:tblPr>
        <w:tblStyle w:val="2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7"/>
        <w:gridCol w:w="766"/>
        <w:gridCol w:w="873"/>
        <w:gridCol w:w="2557"/>
        <w:gridCol w:w="4987"/>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指标解释</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指标说明</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76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项目立项是否符合法律法规、相关政策、发展规划以及部门职责，用以反映和考核项目立项依据情况。</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①项目立项是否符合国家法律法规、国民经济发展规划和相关政策；</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②项目立项是否符合行业发展规划和政策要求；</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③项目立项是否与部门职责范围相符，属于部门履职所需；</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④项目是否属于公共财政支持范围，是否符合中央、地方事权支出责任划分原则；</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⑤项目是否与相关部门同类项目或部门内部相关项目重复。</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项目申请、设立过程是否符合相关要求，用以反映和考核项目立项的规范情况。</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①项目是否按照规定的程序申请设立；</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②审批文件、材料是否符合相关要求；</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项目所设定的绩效目标是否依据充分，是否符合客观实际，用以反映和考核项目绩效目标与项目实施的相符情况。</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（如未设定预算绩效目标，也可考核其他工作任务目标）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①项目是否有绩效目标；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②项目绩效目标与实际工作内容是否具有相关性；</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③项目预期产出效益和效果是否符合正常的业绩水平；</w:t>
            </w:r>
          </w:p>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④是否与预算确定的项目投资额或资金量相匹配。</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依据绩效目标设定的绩效指标是否清晰、细化、可衡量等，用以反映和考核项目绩效目标的明细化情况。</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①是否将项目绩效目标细化分解为具体的绩效指标；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②是否通过清晰、可衡量的指标值予以体现；</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③是否与项目目标任务数或计划数相对应。</w:t>
            </w:r>
            <w:r>
              <w:rPr>
                <w:rFonts w:hint="eastAsia" w:ascii="宋体" w:hAnsi="宋体" w:cs="宋体"/>
                <w:color w:val="000000"/>
                <w:kern w:val="0"/>
                <w:sz w:val="22"/>
                <w:szCs w:val="22"/>
                <w:highlight w:val="none"/>
              </w:rPr>
              <w:br w:type="textWrapping"/>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①预算编制是否经过科学论证；</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②预算内容与项目内容是否匹配；</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③预算额度测算依据是否充分，是否按照标准编制；</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④预算确定的项目投资额或资金量是否与工作任务相匹配。</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①预算资金分配依据是否充分；</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②资金分配额度是否合理，与项目单位或地方实际是否相适应。</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7" w:type="dxa"/>
            <w:vMerge w:val="restart"/>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tc>
        <w:tc>
          <w:tcPr>
            <w:tcW w:w="76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实际到位资金与预算资金的比率，用以反映和考核资金落实情况对项目实施的总体保障程度。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资金到位率=（实际到位资金/预算资金）×100%。</w:t>
            </w:r>
          </w:p>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项目预算资金是否按照计划执行，用以反映或考核项目预算执行情况。</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预算执行率=（实际支出资金/实际到位资金）×100%。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实际支出资金：一定时期（本年度或项目期）内项目实际拨付的资金。</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rPr>
              <w:t>0.</w:t>
            </w:r>
            <w:r>
              <w:rPr>
                <w:rFonts w:hint="eastAsia" w:ascii="宋体" w:hAnsi="宋体" w:cs="宋体"/>
                <w:color w:val="000000"/>
                <w:kern w:val="0"/>
                <w:sz w:val="22"/>
                <w:szCs w:val="22"/>
                <w:highlight w:val="none"/>
                <w:lang w:val="en-US" w:eastAsia="zh-CN"/>
              </w:rPr>
              <w:t>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　</w:t>
            </w: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项目资金使用是否符合相关的财务管理制度规定，用以反映和考核项目资金的规范运行情况。</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①是否符合国家财经法规和财务管理制度以及有关专项资金管理办法的规定；</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②资金的拨付是否有完整的审批程序和手续；</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③是否符合项目预算批复或合同规定的用途；</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④是否存在截留、挤占、挪用、虚列支出等情况。</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项目实施单位的财务和业务管理制度是否健全，用以反映和考核财务和业务管理制度对项目顺利实施的保障情况。</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①是否已制定或具有相应的财务和业务管理制度；</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②财务和业务管理制度是否合法、合规、完整。</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项目实施是否符合相关管理规定，用以反映和考核相关管理制度的有效执行情况。</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①是否遵守相关法律法规和相关管理规定；</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②项目调整及支出调整手续是否完备；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③项目合同书、验收报告、技术鉴定等资料是否齐全并及时归档；</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④项目实施的人员条件、场地设备、信息支撑等是否落实到位。</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项目实施的实际产出数与计划产出数的比率，用以反映和考核项目产出数量目标的实现程度。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实际完成率=（实际产出数/计划产出数）×100%。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实际产出数：一定时期（本年度或项目期）内项目实际产出的产品或提供的服务数量。</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项目完成的质量达标产出数与实际产出数的比率，用以反映和考核项目产出质量目标的实现程度。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质量达标率=（质量达标产出数/实际产出数）×100%。</w:t>
            </w:r>
          </w:p>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7"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项目实际完成时间与计划完成时间的比较，用以反映和考核项目产出时效目标的实现程度。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实际完成时间：项目实施单位完成该项目实际所耗用的时间。</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完成项目计划工作目标的实际节约成本与计划成本的比率，用以反映和考核项目的成本节约程度。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成本节约率=[（计划成本-实际成本）/计划成本]×100%。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实际成本：项目实施单位如期、保质、保量完成既定工作目标实际所耗费的支出。</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76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tc>
        <w:tc>
          <w:tcPr>
            <w:tcW w:w="255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项目实施所产生的效益。</w:t>
            </w:r>
          </w:p>
        </w:tc>
        <w:tc>
          <w:tcPr>
            <w:tcW w:w="498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76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255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社会公众或服务对象对项目实施效果的满意程度。</w:t>
            </w:r>
          </w:p>
        </w:tc>
        <w:tc>
          <w:tcPr>
            <w:tcW w:w="498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bl>
    <w:p>
      <w:pPr>
        <w:pStyle w:val="2"/>
        <w:keepNext w:val="0"/>
        <w:keepLines w:val="0"/>
        <w:pageBreakBefore w:val="0"/>
        <w:kinsoku/>
        <w:wordWrap/>
        <w:overflowPunct/>
        <w:topLinePunct w:val="0"/>
        <w:autoSpaceDE/>
        <w:autoSpaceDN/>
        <w:bidi w:val="0"/>
        <w:adjustRightInd/>
        <w:spacing w:before="0" w:after="0" w:line="560" w:lineRule="exact"/>
        <w:textAlignment w:val="auto"/>
        <w:outlineLvl w:val="9"/>
        <w:rPr>
          <w:highlight w:val="none"/>
        </w:rPr>
      </w:pPr>
    </w:p>
    <w:p>
      <w:pPr>
        <w:keepNext w:val="0"/>
        <w:keepLines w:val="0"/>
        <w:pageBreakBefore w:val="0"/>
        <w:kinsoku/>
        <w:wordWrap/>
        <w:overflowPunct/>
        <w:topLinePunct w:val="0"/>
        <w:autoSpaceDE/>
        <w:autoSpaceDN/>
        <w:bidi w:val="0"/>
        <w:adjustRightInd/>
        <w:spacing w:line="560" w:lineRule="exact"/>
        <w:textAlignment w:val="auto"/>
        <w:rPr>
          <w:highlight w:val="none"/>
        </w:rPr>
      </w:pPr>
    </w:p>
    <w:p>
      <w:pPr>
        <w:keepNext w:val="0"/>
        <w:keepLines w:val="0"/>
        <w:pageBreakBefore w:val="0"/>
        <w:kinsoku/>
        <w:wordWrap/>
        <w:overflowPunct/>
        <w:topLinePunct w:val="0"/>
        <w:autoSpaceDE/>
        <w:autoSpaceDN/>
        <w:bidi w:val="0"/>
        <w:adjustRightInd/>
        <w:spacing w:line="560" w:lineRule="exact"/>
        <w:ind w:firstLine="640"/>
        <w:textAlignment w:val="auto"/>
        <w:rPr>
          <w:rStyle w:val="20"/>
          <w:rFonts w:ascii="黑体" w:hAnsi="黑体" w:eastAsia="黑体"/>
          <w:bCs w:val="0"/>
          <w:spacing w:val="-4"/>
          <w:sz w:val="32"/>
          <w:szCs w:val="32"/>
          <w:highlight w:val="none"/>
        </w:rPr>
      </w:pPr>
    </w:p>
    <w:p>
      <w:pPr>
        <w:keepNext w:val="0"/>
        <w:keepLines w:val="0"/>
        <w:pageBreakBefore w:val="0"/>
        <w:kinsoku/>
        <w:wordWrap/>
        <w:overflowPunct/>
        <w:topLinePunct w:val="0"/>
        <w:autoSpaceDE/>
        <w:autoSpaceDN/>
        <w:bidi w:val="0"/>
        <w:adjustRightInd/>
        <w:spacing w:line="560" w:lineRule="exact"/>
        <w:ind w:firstLine="640"/>
        <w:textAlignment w:val="auto"/>
        <w:rPr>
          <w:rStyle w:val="20"/>
          <w:rFonts w:ascii="黑体" w:hAnsi="黑体" w:eastAsia="黑体"/>
          <w:bCs w:val="0"/>
          <w:spacing w:val="-4"/>
          <w:sz w:val="32"/>
          <w:szCs w:val="32"/>
          <w:highlight w:val="none"/>
        </w:rPr>
      </w:pPr>
    </w:p>
    <w:p>
      <w:pPr>
        <w:keepNext w:val="0"/>
        <w:keepLines w:val="0"/>
        <w:pageBreakBefore w:val="0"/>
        <w:kinsoku/>
        <w:wordWrap/>
        <w:overflowPunct/>
        <w:topLinePunct w:val="0"/>
        <w:autoSpaceDE/>
        <w:autoSpaceDN/>
        <w:bidi w:val="0"/>
        <w:adjustRightInd/>
        <w:spacing w:line="560" w:lineRule="exact"/>
        <w:textAlignment w:val="auto"/>
        <w:rPr>
          <w:rStyle w:val="20"/>
          <w:rFonts w:ascii="仿宋" w:hAnsi="仿宋"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21</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93D00A"/>
    <w:multiLevelType w:val="singleLevel"/>
    <w:tmpl w:val="C893D0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0E50F0"/>
    <w:rsid w:val="000E586C"/>
    <w:rsid w:val="00121AE4"/>
    <w:rsid w:val="00135AB8"/>
    <w:rsid w:val="00146AAD"/>
    <w:rsid w:val="001B3A40"/>
    <w:rsid w:val="002813A7"/>
    <w:rsid w:val="002F3924"/>
    <w:rsid w:val="00360BDD"/>
    <w:rsid w:val="003C18BC"/>
    <w:rsid w:val="004366A8"/>
    <w:rsid w:val="00464900"/>
    <w:rsid w:val="00502BA7"/>
    <w:rsid w:val="005162F1"/>
    <w:rsid w:val="00535153"/>
    <w:rsid w:val="00554F82"/>
    <w:rsid w:val="0056390D"/>
    <w:rsid w:val="005719B0"/>
    <w:rsid w:val="005D10D6"/>
    <w:rsid w:val="006B4E34"/>
    <w:rsid w:val="007806A5"/>
    <w:rsid w:val="00855E3A"/>
    <w:rsid w:val="00922CB9"/>
    <w:rsid w:val="009528D2"/>
    <w:rsid w:val="00963342"/>
    <w:rsid w:val="009E5CD9"/>
    <w:rsid w:val="00A26421"/>
    <w:rsid w:val="00A4293B"/>
    <w:rsid w:val="00A67D50"/>
    <w:rsid w:val="00A8691A"/>
    <w:rsid w:val="00AC1946"/>
    <w:rsid w:val="00B40063"/>
    <w:rsid w:val="00B41F61"/>
    <w:rsid w:val="00B62E20"/>
    <w:rsid w:val="00B71C9D"/>
    <w:rsid w:val="00B757CF"/>
    <w:rsid w:val="00BA46E6"/>
    <w:rsid w:val="00C56C72"/>
    <w:rsid w:val="00CA6457"/>
    <w:rsid w:val="00D17F2E"/>
    <w:rsid w:val="00D30354"/>
    <w:rsid w:val="00DF42A0"/>
    <w:rsid w:val="00DF7C45"/>
    <w:rsid w:val="00E31565"/>
    <w:rsid w:val="00E46C51"/>
    <w:rsid w:val="00E65094"/>
    <w:rsid w:val="00E769FE"/>
    <w:rsid w:val="00EA2CBE"/>
    <w:rsid w:val="00EA4850"/>
    <w:rsid w:val="00EA7C8C"/>
    <w:rsid w:val="00F32FEE"/>
    <w:rsid w:val="00F71278"/>
    <w:rsid w:val="00FB10BB"/>
    <w:rsid w:val="051A56F5"/>
    <w:rsid w:val="066D6EAA"/>
    <w:rsid w:val="07CD1B32"/>
    <w:rsid w:val="089572AC"/>
    <w:rsid w:val="08C662D4"/>
    <w:rsid w:val="09BD4D95"/>
    <w:rsid w:val="0A860BD4"/>
    <w:rsid w:val="0BAE6893"/>
    <w:rsid w:val="0CAB58D5"/>
    <w:rsid w:val="0F8D41CB"/>
    <w:rsid w:val="11C75270"/>
    <w:rsid w:val="12637CC3"/>
    <w:rsid w:val="12BD44B6"/>
    <w:rsid w:val="12E657C5"/>
    <w:rsid w:val="132F4F12"/>
    <w:rsid w:val="140C7F35"/>
    <w:rsid w:val="1520522D"/>
    <w:rsid w:val="167C7687"/>
    <w:rsid w:val="168B3546"/>
    <w:rsid w:val="16F269B1"/>
    <w:rsid w:val="172C1849"/>
    <w:rsid w:val="1A2374E0"/>
    <w:rsid w:val="1A85138B"/>
    <w:rsid w:val="1C317CE2"/>
    <w:rsid w:val="1D2339A1"/>
    <w:rsid w:val="1DD45808"/>
    <w:rsid w:val="1DED42AC"/>
    <w:rsid w:val="1F441C89"/>
    <w:rsid w:val="1FDF1FA5"/>
    <w:rsid w:val="20005763"/>
    <w:rsid w:val="20631872"/>
    <w:rsid w:val="20B551DA"/>
    <w:rsid w:val="20FB313D"/>
    <w:rsid w:val="220B4804"/>
    <w:rsid w:val="220F62D5"/>
    <w:rsid w:val="2451487D"/>
    <w:rsid w:val="25576947"/>
    <w:rsid w:val="282475E3"/>
    <w:rsid w:val="29FA05B9"/>
    <w:rsid w:val="2C6100C1"/>
    <w:rsid w:val="2D5144AC"/>
    <w:rsid w:val="2E6063B1"/>
    <w:rsid w:val="3146244F"/>
    <w:rsid w:val="3235157C"/>
    <w:rsid w:val="3264220D"/>
    <w:rsid w:val="338979D3"/>
    <w:rsid w:val="33EC0E9B"/>
    <w:rsid w:val="34C22D92"/>
    <w:rsid w:val="357C7CBA"/>
    <w:rsid w:val="3595150C"/>
    <w:rsid w:val="35C92405"/>
    <w:rsid w:val="364F57D0"/>
    <w:rsid w:val="37FF4F08"/>
    <w:rsid w:val="39270351"/>
    <w:rsid w:val="3963178C"/>
    <w:rsid w:val="3BD97DC9"/>
    <w:rsid w:val="3CD872C2"/>
    <w:rsid w:val="3DA86B12"/>
    <w:rsid w:val="3F0D5B43"/>
    <w:rsid w:val="40417A71"/>
    <w:rsid w:val="41CC2676"/>
    <w:rsid w:val="422A74EC"/>
    <w:rsid w:val="42F2748F"/>
    <w:rsid w:val="430D63B7"/>
    <w:rsid w:val="44A253A1"/>
    <w:rsid w:val="45FA4630"/>
    <w:rsid w:val="46B21672"/>
    <w:rsid w:val="47424293"/>
    <w:rsid w:val="49B67074"/>
    <w:rsid w:val="4B3E17DB"/>
    <w:rsid w:val="4BF85879"/>
    <w:rsid w:val="4CC56D9F"/>
    <w:rsid w:val="4DEC0276"/>
    <w:rsid w:val="4F552460"/>
    <w:rsid w:val="4F8360CE"/>
    <w:rsid w:val="4FCC6863"/>
    <w:rsid w:val="500A214A"/>
    <w:rsid w:val="51AB75C5"/>
    <w:rsid w:val="522D604D"/>
    <w:rsid w:val="5297585E"/>
    <w:rsid w:val="52AD7D6F"/>
    <w:rsid w:val="52CC0F68"/>
    <w:rsid w:val="5549519D"/>
    <w:rsid w:val="5557596B"/>
    <w:rsid w:val="58311801"/>
    <w:rsid w:val="58B81A5A"/>
    <w:rsid w:val="595304FE"/>
    <w:rsid w:val="5A2A4072"/>
    <w:rsid w:val="5B145CCF"/>
    <w:rsid w:val="5B596DFC"/>
    <w:rsid w:val="5C1857D0"/>
    <w:rsid w:val="5CB25C8B"/>
    <w:rsid w:val="5D9B5304"/>
    <w:rsid w:val="5DF03945"/>
    <w:rsid w:val="5E55676D"/>
    <w:rsid w:val="5E682E50"/>
    <w:rsid w:val="625D616D"/>
    <w:rsid w:val="637C2815"/>
    <w:rsid w:val="69EC3139"/>
    <w:rsid w:val="6A9D2847"/>
    <w:rsid w:val="6B310344"/>
    <w:rsid w:val="6D6E5CA7"/>
    <w:rsid w:val="6ED84936"/>
    <w:rsid w:val="715B32A4"/>
    <w:rsid w:val="71D27EB2"/>
    <w:rsid w:val="71DC128F"/>
    <w:rsid w:val="72793B3A"/>
    <w:rsid w:val="74E244C2"/>
    <w:rsid w:val="74EE50CC"/>
    <w:rsid w:val="76C943AD"/>
    <w:rsid w:val="789F59E2"/>
    <w:rsid w:val="7A017DF4"/>
    <w:rsid w:val="7A353D0B"/>
    <w:rsid w:val="7D3A5E2F"/>
    <w:rsid w:val="7DB45C54"/>
    <w:rsid w:val="7E701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annotation text"/>
    <w:basedOn w:val="1"/>
    <w:semiHidden/>
    <w:unhideWhenUsed/>
    <w:uiPriority w:val="99"/>
    <w:pPr>
      <w:jc w:val="left"/>
    </w:p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styleId="22">
    <w:name w:val="annotation reference"/>
    <w:basedOn w:val="19"/>
    <w:semiHidden/>
    <w:unhideWhenUsed/>
    <w:uiPriority w:val="99"/>
    <w:rPr>
      <w:sz w:val="21"/>
      <w:szCs w:val="21"/>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5">
    <w:name w:val="标题 1 Char"/>
    <w:basedOn w:val="19"/>
    <w:link w:val="3"/>
    <w:qFormat/>
    <w:uiPriority w:val="9"/>
    <w:rPr>
      <w:rFonts w:asciiTheme="majorHAnsi" w:hAnsiTheme="majorHAnsi" w:eastAsiaTheme="majorEastAsia"/>
      <w:b/>
      <w:bCs/>
      <w:kern w:val="32"/>
      <w:sz w:val="32"/>
      <w:szCs w:val="32"/>
    </w:rPr>
  </w:style>
  <w:style w:type="character" w:customStyle="1" w:styleId="26">
    <w:name w:val="标题 2 Char"/>
    <w:basedOn w:val="19"/>
    <w:link w:val="4"/>
    <w:semiHidden/>
    <w:qFormat/>
    <w:uiPriority w:val="9"/>
    <w:rPr>
      <w:rFonts w:asciiTheme="majorHAnsi" w:hAnsiTheme="majorHAnsi" w:eastAsiaTheme="majorEastAsia"/>
      <w:b/>
      <w:bCs/>
      <w:i/>
      <w:iCs/>
      <w:sz w:val="28"/>
      <w:szCs w:val="28"/>
    </w:rPr>
  </w:style>
  <w:style w:type="character" w:customStyle="1" w:styleId="27">
    <w:name w:val="标题 3 Char"/>
    <w:basedOn w:val="19"/>
    <w:link w:val="5"/>
    <w:semiHidden/>
    <w:qFormat/>
    <w:uiPriority w:val="9"/>
    <w:rPr>
      <w:rFonts w:asciiTheme="majorHAnsi" w:hAnsiTheme="majorHAnsi" w:eastAsiaTheme="majorEastAsia"/>
      <w:b/>
      <w:bCs/>
      <w:sz w:val="26"/>
      <w:szCs w:val="26"/>
    </w:rPr>
  </w:style>
  <w:style w:type="character" w:customStyle="1" w:styleId="28">
    <w:name w:val="标题 4 Char"/>
    <w:basedOn w:val="19"/>
    <w:link w:val="6"/>
    <w:semiHidden/>
    <w:qFormat/>
    <w:uiPriority w:val="9"/>
    <w:rPr>
      <w:b/>
      <w:bCs/>
      <w:sz w:val="28"/>
      <w:szCs w:val="28"/>
    </w:rPr>
  </w:style>
  <w:style w:type="character" w:customStyle="1" w:styleId="29">
    <w:name w:val="标题 5 Char"/>
    <w:basedOn w:val="19"/>
    <w:link w:val="7"/>
    <w:semiHidden/>
    <w:qFormat/>
    <w:uiPriority w:val="9"/>
    <w:rPr>
      <w:b/>
      <w:bCs/>
      <w:i/>
      <w:iCs/>
      <w:sz w:val="26"/>
      <w:szCs w:val="26"/>
    </w:rPr>
  </w:style>
  <w:style w:type="character" w:customStyle="1" w:styleId="30">
    <w:name w:val="标题 6 Char"/>
    <w:basedOn w:val="19"/>
    <w:link w:val="8"/>
    <w:semiHidden/>
    <w:qFormat/>
    <w:uiPriority w:val="9"/>
    <w:rPr>
      <w:b/>
      <w:bCs/>
    </w:rPr>
  </w:style>
  <w:style w:type="character" w:customStyle="1" w:styleId="31">
    <w:name w:val="标题 7 Char"/>
    <w:basedOn w:val="19"/>
    <w:link w:val="9"/>
    <w:semiHidden/>
    <w:qFormat/>
    <w:uiPriority w:val="9"/>
    <w:rPr>
      <w:sz w:val="24"/>
      <w:szCs w:val="24"/>
    </w:rPr>
  </w:style>
  <w:style w:type="character" w:customStyle="1" w:styleId="32">
    <w:name w:val="标题 8 Char"/>
    <w:basedOn w:val="19"/>
    <w:link w:val="10"/>
    <w:semiHidden/>
    <w:qFormat/>
    <w:uiPriority w:val="9"/>
    <w:rPr>
      <w:i/>
      <w:iCs/>
      <w:sz w:val="24"/>
      <w:szCs w:val="24"/>
    </w:rPr>
  </w:style>
  <w:style w:type="character" w:customStyle="1" w:styleId="33">
    <w:name w:val="标题 9 Char"/>
    <w:basedOn w:val="19"/>
    <w:link w:val="11"/>
    <w:semiHidden/>
    <w:qFormat/>
    <w:uiPriority w:val="9"/>
    <w:rPr>
      <w:rFonts w:asciiTheme="majorHAnsi" w:hAnsiTheme="majorHAnsi" w:eastAsiaTheme="majorEastAsia"/>
    </w:rPr>
  </w:style>
  <w:style w:type="character" w:customStyle="1" w:styleId="34">
    <w:name w:val="标题 Char"/>
    <w:basedOn w:val="19"/>
    <w:link w:val="2"/>
    <w:qFormat/>
    <w:uiPriority w:val="10"/>
    <w:rPr>
      <w:rFonts w:asciiTheme="majorHAnsi" w:hAnsiTheme="majorHAnsi" w:eastAsiaTheme="majorEastAsia"/>
      <w:b/>
      <w:bCs/>
      <w:kern w:val="28"/>
      <w:sz w:val="32"/>
      <w:szCs w:val="32"/>
    </w:rPr>
  </w:style>
  <w:style w:type="character" w:customStyle="1" w:styleId="35">
    <w:name w:val="副标题 Char"/>
    <w:basedOn w:val="19"/>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Char"/>
    <w:basedOn w:val="19"/>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19"/>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19"/>
    <w:qFormat/>
    <w:uiPriority w:val="21"/>
    <w:rPr>
      <w:b/>
      <w:i/>
      <w:sz w:val="24"/>
      <w:szCs w:val="24"/>
      <w:u w:val="single"/>
    </w:rPr>
  </w:style>
  <w:style w:type="character" w:customStyle="1" w:styleId="44">
    <w:name w:val="不明显参考1"/>
    <w:basedOn w:val="19"/>
    <w:qFormat/>
    <w:uiPriority w:val="31"/>
    <w:rPr>
      <w:sz w:val="24"/>
      <w:szCs w:val="24"/>
      <w:u w:val="single"/>
    </w:rPr>
  </w:style>
  <w:style w:type="character" w:customStyle="1" w:styleId="45">
    <w:name w:val="明显参考1"/>
    <w:basedOn w:val="19"/>
    <w:qFormat/>
    <w:uiPriority w:val="32"/>
    <w:rPr>
      <w:b/>
      <w:sz w:val="24"/>
      <w:u w:val="single"/>
    </w:rPr>
  </w:style>
  <w:style w:type="character" w:customStyle="1" w:styleId="46">
    <w:name w:val="书籍标题1"/>
    <w:basedOn w:val="19"/>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Char"/>
    <w:basedOn w:val="19"/>
    <w:link w:val="17"/>
    <w:qFormat/>
    <w:uiPriority w:val="99"/>
    <w:rPr>
      <w:rFonts w:ascii="Calibri" w:hAnsi="Calibri" w:eastAsia="宋体"/>
      <w:kern w:val="2"/>
      <w:sz w:val="18"/>
      <w:szCs w:val="18"/>
    </w:rPr>
  </w:style>
  <w:style w:type="character" w:customStyle="1" w:styleId="49">
    <w:name w:val="页脚 Char"/>
    <w:basedOn w:val="19"/>
    <w:link w:val="16"/>
    <w:qFormat/>
    <w:uiPriority w:val="99"/>
    <w:rPr>
      <w:rFonts w:ascii="Calibri" w:hAnsi="Calibri" w:eastAsia="宋体"/>
      <w:kern w:val="2"/>
      <w:sz w:val="18"/>
      <w:szCs w:val="18"/>
    </w:rPr>
  </w:style>
  <w:style w:type="character" w:customStyle="1" w:styleId="50">
    <w:name w:val="批注框文本 Char"/>
    <w:basedOn w:val="19"/>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1515</Words>
  <Characters>8636</Characters>
  <Lines>71</Lines>
  <Paragraphs>20</Paragraphs>
  <TotalTime>5</TotalTime>
  <ScaleCrop>false</ScaleCrop>
  <LinksUpToDate>false</LinksUpToDate>
  <CharactersWithSpaces>10131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2021-06-01T03:19:56Z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20D1A391ACB5423A8E856A52A35E73B7</vt:lpwstr>
  </property>
</Properties>
</file>