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40" w:lineRule="exact"/>
        <w:jc w:val="center"/>
        <w:rPr>
          <w:rFonts w:ascii="华文中宋" w:hAnsi="华文中宋" w:eastAsia="华文中宋" w:cs="宋体"/>
          <w:b/>
          <w:kern w:val="0"/>
          <w:sz w:val="52"/>
          <w:szCs w:val="52"/>
        </w:rPr>
      </w:pPr>
    </w:p>
    <w:p>
      <w:pPr>
        <w:spacing w:line="540" w:lineRule="exact"/>
        <w:jc w:val="center"/>
        <w:rPr>
          <w:rFonts w:ascii="华文中宋" w:hAnsi="华文中宋" w:eastAsia="华文中宋" w:cs="宋体"/>
          <w:b/>
          <w:kern w:val="0"/>
          <w:sz w:val="52"/>
          <w:szCs w:val="52"/>
        </w:rPr>
      </w:pPr>
    </w:p>
    <w:p>
      <w:pPr>
        <w:spacing w:line="540" w:lineRule="exact"/>
        <w:jc w:val="center"/>
        <w:rPr>
          <w:rFonts w:ascii="华文中宋" w:hAnsi="华文中宋" w:eastAsia="华文中宋" w:cs="宋体"/>
          <w:b/>
          <w:kern w:val="0"/>
          <w:sz w:val="52"/>
          <w:szCs w:val="52"/>
        </w:rPr>
      </w:pPr>
    </w:p>
    <w:p>
      <w:pPr>
        <w:spacing w:line="540" w:lineRule="exact"/>
        <w:jc w:val="center"/>
        <w:rPr>
          <w:rFonts w:ascii="华文中宋" w:hAnsi="华文中宋" w:eastAsia="华文中宋" w:cs="宋体"/>
          <w:b/>
          <w:kern w:val="0"/>
          <w:sz w:val="52"/>
          <w:szCs w:val="52"/>
        </w:rPr>
      </w:pPr>
    </w:p>
    <w:p>
      <w:pPr>
        <w:spacing w:line="540" w:lineRule="exact"/>
        <w:jc w:val="center"/>
        <w:rPr>
          <w:rFonts w:ascii="华文中宋" w:hAnsi="华文中宋" w:eastAsia="华文中宋" w:cs="宋体"/>
          <w:b/>
          <w:kern w:val="0"/>
          <w:sz w:val="52"/>
          <w:szCs w:val="52"/>
        </w:rPr>
      </w:pPr>
    </w:p>
    <w:p>
      <w:pPr>
        <w:spacing w:line="540" w:lineRule="exact"/>
        <w:jc w:val="center"/>
        <w:rPr>
          <w:rFonts w:ascii="华文中宋" w:hAnsi="华文中宋" w:eastAsia="华文中宋" w:cs="宋体"/>
          <w:b/>
          <w:kern w:val="0"/>
          <w:sz w:val="52"/>
          <w:szCs w:val="52"/>
        </w:rPr>
      </w:pPr>
    </w:p>
    <w:p>
      <w:pPr>
        <w:spacing w:line="540" w:lineRule="exact"/>
        <w:jc w:val="center"/>
        <w:rPr>
          <w:rFonts w:hint="eastAsia" w:ascii="方正小标宋简体" w:hAnsi="方正小标宋简体" w:eastAsia="方正小标宋简体" w:cs="方正小标宋简体"/>
          <w:kern w:val="0"/>
          <w:sz w:val="48"/>
          <w:szCs w:val="48"/>
        </w:rPr>
      </w:pPr>
      <w:r>
        <w:rPr>
          <w:rFonts w:hint="eastAsia" w:ascii="方正小标宋简体" w:hAnsi="方正小标宋简体" w:eastAsia="方正小标宋简体" w:cs="方正小标宋简体"/>
          <w:kern w:val="0"/>
          <w:sz w:val="48"/>
          <w:szCs w:val="48"/>
          <w:lang w:eastAsia="zh-CN"/>
        </w:rPr>
        <w:t>塔城地区交通运输局为民办实事经费</w:t>
      </w:r>
      <w:r>
        <w:rPr>
          <w:rFonts w:hint="eastAsia" w:ascii="方正小标宋简体" w:hAnsi="方正小标宋简体" w:eastAsia="方正小标宋简体" w:cs="方正小标宋简体"/>
          <w:kern w:val="0"/>
          <w:sz w:val="48"/>
          <w:szCs w:val="48"/>
        </w:rPr>
        <w:t>支出绩效评价报告</w:t>
      </w:r>
    </w:p>
    <w:p>
      <w:pPr>
        <w:spacing w:line="540" w:lineRule="exact"/>
        <w:jc w:val="center"/>
        <w:rPr>
          <w:rFonts w:ascii="华文中宋" w:hAnsi="华文中宋" w:eastAsia="华文中宋" w:cs="宋体"/>
          <w:b/>
          <w:kern w:val="0"/>
          <w:sz w:val="52"/>
          <w:szCs w:val="52"/>
        </w:rPr>
      </w:pPr>
    </w:p>
    <w:p>
      <w:pPr>
        <w:spacing w:line="540" w:lineRule="exact"/>
        <w:jc w:val="center"/>
        <w:rPr>
          <w:rFonts w:hint="eastAsia" w:ascii="仿宋_GB2312" w:hAnsi="仿宋_GB2312" w:eastAsia="仿宋_GB2312" w:cs="仿宋_GB2312"/>
          <w:kern w:val="0"/>
          <w:sz w:val="36"/>
          <w:szCs w:val="36"/>
        </w:rPr>
      </w:pPr>
      <w:r>
        <w:rPr>
          <w:rFonts w:hint="eastAsia" w:ascii="仿宋_GB2312" w:hAnsi="仿宋_GB2312" w:eastAsia="仿宋_GB2312" w:cs="仿宋_GB2312"/>
          <w:kern w:val="0"/>
          <w:sz w:val="36"/>
          <w:szCs w:val="36"/>
        </w:rPr>
        <w:t>（ 20</w:t>
      </w:r>
      <w:r>
        <w:rPr>
          <w:rFonts w:hint="eastAsia" w:ascii="仿宋_GB2312" w:hAnsi="仿宋_GB2312" w:eastAsia="仿宋_GB2312" w:cs="仿宋_GB2312"/>
          <w:kern w:val="0"/>
          <w:sz w:val="36"/>
          <w:szCs w:val="36"/>
          <w:lang w:val="en-US" w:eastAsia="zh-CN"/>
        </w:rPr>
        <w:t>20</w:t>
      </w:r>
      <w:r>
        <w:rPr>
          <w:rFonts w:hint="eastAsia" w:ascii="仿宋_GB2312" w:hAnsi="仿宋_GB2312" w:eastAsia="仿宋_GB2312" w:cs="仿宋_GB2312"/>
          <w:kern w:val="0"/>
          <w:sz w:val="36"/>
          <w:szCs w:val="36"/>
        </w:rPr>
        <w:t>年度）</w:t>
      </w:r>
    </w:p>
    <w:p>
      <w:pPr>
        <w:spacing w:line="540" w:lineRule="exact"/>
        <w:jc w:val="center"/>
        <w:rPr>
          <w:rFonts w:hint="eastAsia" w:ascii="仿宋_GB2312" w:hAnsi="仿宋_GB2312" w:eastAsia="仿宋_GB2312" w:cs="仿宋_GB2312"/>
          <w:kern w:val="0"/>
          <w:sz w:val="30"/>
          <w:szCs w:val="30"/>
        </w:rPr>
      </w:pPr>
    </w:p>
    <w:p>
      <w:pPr>
        <w:spacing w:line="540" w:lineRule="exact"/>
        <w:jc w:val="center"/>
        <w:rPr>
          <w:rFonts w:hint="eastAsia" w:ascii="仿宋_GB2312" w:hAnsi="仿宋_GB2312" w:eastAsia="仿宋_GB2312" w:cs="仿宋_GB2312"/>
          <w:kern w:val="0"/>
          <w:sz w:val="30"/>
          <w:szCs w:val="30"/>
        </w:rPr>
      </w:pPr>
    </w:p>
    <w:p>
      <w:pPr>
        <w:spacing w:line="540" w:lineRule="exact"/>
        <w:jc w:val="center"/>
        <w:rPr>
          <w:rFonts w:hint="eastAsia" w:ascii="仿宋_GB2312" w:hAnsi="仿宋_GB2312" w:eastAsia="仿宋_GB2312" w:cs="仿宋_GB2312"/>
          <w:kern w:val="0"/>
          <w:sz w:val="30"/>
          <w:szCs w:val="30"/>
        </w:rPr>
      </w:pPr>
    </w:p>
    <w:p>
      <w:pPr>
        <w:spacing w:line="540" w:lineRule="exact"/>
        <w:jc w:val="center"/>
        <w:rPr>
          <w:rFonts w:hint="eastAsia" w:ascii="仿宋_GB2312" w:hAnsi="仿宋_GB2312" w:eastAsia="仿宋_GB2312" w:cs="仿宋_GB2312"/>
          <w:kern w:val="0"/>
          <w:sz w:val="30"/>
          <w:szCs w:val="30"/>
        </w:rPr>
      </w:pPr>
    </w:p>
    <w:p>
      <w:pPr>
        <w:spacing w:line="540" w:lineRule="exact"/>
        <w:jc w:val="center"/>
        <w:rPr>
          <w:rFonts w:hint="eastAsia" w:ascii="仿宋_GB2312" w:hAnsi="仿宋_GB2312" w:eastAsia="仿宋_GB2312" w:cs="仿宋_GB2312"/>
          <w:kern w:val="0"/>
          <w:sz w:val="30"/>
          <w:szCs w:val="30"/>
        </w:rPr>
      </w:pPr>
    </w:p>
    <w:p>
      <w:pPr>
        <w:spacing w:line="700" w:lineRule="exact"/>
        <w:ind w:firstLine="720" w:firstLineChars="200"/>
        <w:jc w:val="center"/>
        <w:rPr>
          <w:rFonts w:hint="eastAsia" w:ascii="仿宋_GB2312" w:hAnsi="仿宋_GB2312" w:eastAsia="仿宋_GB2312" w:cs="仿宋_GB2312"/>
          <w:kern w:val="0"/>
          <w:sz w:val="36"/>
          <w:szCs w:val="36"/>
          <w:lang w:val="en-US" w:eastAsia="zh-CN"/>
        </w:rPr>
      </w:pPr>
      <w:r>
        <w:rPr>
          <w:rFonts w:hint="eastAsia" w:ascii="仿宋_GB2312" w:hAnsi="仿宋_GB2312" w:eastAsia="仿宋_GB2312" w:cs="仿宋_GB2312"/>
          <w:kern w:val="0"/>
          <w:sz w:val="36"/>
          <w:szCs w:val="36"/>
          <w:lang w:val="en-US" w:eastAsia="zh-CN"/>
        </w:rPr>
        <w:t xml:space="preserve">   </w:t>
      </w:r>
      <w:r>
        <w:rPr>
          <w:rFonts w:hint="eastAsia" w:ascii="仿宋_GB2312" w:hAnsi="仿宋_GB2312" w:eastAsia="仿宋_GB2312" w:cs="仿宋_GB2312"/>
          <w:kern w:val="0"/>
          <w:sz w:val="36"/>
          <w:szCs w:val="36"/>
        </w:rPr>
        <w:t>项目名称：</w:t>
      </w:r>
      <w:r>
        <w:rPr>
          <w:rFonts w:hint="eastAsia" w:ascii="仿宋_GB2312" w:hAnsi="仿宋_GB2312" w:eastAsia="仿宋_GB2312" w:cs="仿宋_GB2312"/>
          <w:kern w:val="0"/>
          <w:sz w:val="36"/>
          <w:szCs w:val="36"/>
          <w:lang w:val="en-US" w:eastAsia="zh-CN"/>
        </w:rPr>
        <w:t>为民办实事经费</w:t>
      </w:r>
    </w:p>
    <w:p>
      <w:pPr>
        <w:spacing w:line="700" w:lineRule="exact"/>
        <w:ind w:firstLine="720" w:firstLineChars="200"/>
        <w:jc w:val="center"/>
        <w:rPr>
          <w:rFonts w:hint="eastAsia" w:ascii="仿宋_GB2312" w:hAnsi="仿宋_GB2312" w:eastAsia="仿宋_GB2312" w:cs="仿宋_GB2312"/>
          <w:kern w:val="0"/>
          <w:sz w:val="36"/>
          <w:szCs w:val="36"/>
          <w:lang w:val="en-US" w:eastAsia="zh-CN"/>
        </w:rPr>
      </w:pPr>
      <w:r>
        <w:rPr>
          <w:rFonts w:hint="eastAsia" w:ascii="仿宋_GB2312" w:hAnsi="仿宋_GB2312" w:eastAsia="仿宋_GB2312" w:cs="仿宋_GB2312"/>
          <w:kern w:val="0"/>
          <w:sz w:val="36"/>
          <w:szCs w:val="36"/>
          <w:lang w:val="en-US" w:eastAsia="zh-CN"/>
        </w:rPr>
        <w:t xml:space="preserve">        </w:t>
      </w:r>
      <w:r>
        <w:rPr>
          <w:rFonts w:hint="eastAsia" w:ascii="仿宋_GB2312" w:hAnsi="仿宋_GB2312" w:eastAsia="仿宋_GB2312" w:cs="仿宋_GB2312"/>
          <w:kern w:val="0"/>
          <w:sz w:val="36"/>
          <w:szCs w:val="36"/>
        </w:rPr>
        <w:t>实施单位（公章）：</w:t>
      </w:r>
      <w:r>
        <w:rPr>
          <w:rFonts w:hint="eastAsia" w:ascii="仿宋_GB2312" w:hAnsi="仿宋_GB2312" w:eastAsia="仿宋_GB2312" w:cs="仿宋_GB2312"/>
          <w:kern w:val="0"/>
          <w:sz w:val="36"/>
          <w:szCs w:val="36"/>
          <w:lang w:val="en-US" w:eastAsia="zh-CN"/>
        </w:rPr>
        <w:t>塔城地区交通运输局</w:t>
      </w:r>
    </w:p>
    <w:p>
      <w:pPr>
        <w:spacing w:line="700" w:lineRule="exact"/>
        <w:ind w:firstLine="2160" w:firstLineChars="600"/>
        <w:jc w:val="both"/>
        <w:rPr>
          <w:rFonts w:hint="eastAsia" w:ascii="仿宋_GB2312" w:hAnsi="仿宋_GB2312" w:eastAsia="仿宋_GB2312" w:cs="仿宋_GB2312"/>
          <w:kern w:val="0"/>
          <w:sz w:val="36"/>
          <w:szCs w:val="36"/>
          <w:lang w:val="en-US" w:eastAsia="zh-CN"/>
        </w:rPr>
      </w:pPr>
      <w:r>
        <w:rPr>
          <w:rFonts w:hint="eastAsia" w:ascii="仿宋_GB2312" w:hAnsi="仿宋_GB2312" w:eastAsia="仿宋_GB2312" w:cs="仿宋_GB2312"/>
          <w:kern w:val="0"/>
          <w:sz w:val="36"/>
          <w:szCs w:val="36"/>
        </w:rPr>
        <w:t>主管部门（公章）：</w:t>
      </w:r>
      <w:r>
        <w:rPr>
          <w:rFonts w:hint="eastAsia" w:ascii="仿宋_GB2312" w:hAnsi="仿宋_GB2312" w:eastAsia="仿宋_GB2312" w:cs="仿宋_GB2312"/>
          <w:kern w:val="0"/>
          <w:sz w:val="36"/>
          <w:szCs w:val="36"/>
          <w:lang w:val="en-US" w:eastAsia="zh-CN"/>
        </w:rPr>
        <w:t>地区行署</w:t>
      </w:r>
    </w:p>
    <w:p>
      <w:pPr>
        <w:spacing w:line="700" w:lineRule="exact"/>
        <w:ind w:firstLine="2160" w:firstLineChars="600"/>
        <w:jc w:val="both"/>
        <w:rPr>
          <w:rFonts w:hint="eastAsia" w:ascii="仿宋_GB2312" w:hAnsi="仿宋_GB2312" w:eastAsia="仿宋_GB2312" w:cs="仿宋_GB2312"/>
          <w:kern w:val="0"/>
          <w:sz w:val="36"/>
          <w:szCs w:val="36"/>
          <w:lang w:val="en-US" w:eastAsia="zh-CN"/>
        </w:rPr>
      </w:pPr>
      <w:r>
        <w:rPr>
          <w:rFonts w:hint="eastAsia" w:ascii="仿宋_GB2312" w:hAnsi="仿宋_GB2312" w:eastAsia="仿宋_GB2312" w:cs="仿宋_GB2312"/>
          <w:kern w:val="0"/>
          <w:sz w:val="36"/>
          <w:szCs w:val="36"/>
        </w:rPr>
        <w:t>项目负责人（签章）：</w:t>
      </w:r>
      <w:r>
        <w:rPr>
          <w:rFonts w:hint="eastAsia" w:ascii="仿宋_GB2312" w:hAnsi="仿宋_GB2312" w:eastAsia="仿宋_GB2312" w:cs="仿宋_GB2312"/>
          <w:kern w:val="0"/>
          <w:sz w:val="36"/>
          <w:szCs w:val="36"/>
          <w:lang w:val="en-US" w:eastAsia="zh-CN"/>
        </w:rPr>
        <w:t>司俊江</w:t>
      </w:r>
    </w:p>
    <w:p>
      <w:pPr>
        <w:spacing w:line="700" w:lineRule="exact"/>
        <w:ind w:firstLine="2160" w:firstLineChars="600"/>
        <w:jc w:val="both"/>
        <w:rPr>
          <w:rFonts w:hint="eastAsia" w:ascii="仿宋_GB2312" w:hAnsi="仿宋_GB2312" w:eastAsia="仿宋_GB2312" w:cs="仿宋_GB2312"/>
          <w:kern w:val="0"/>
          <w:sz w:val="36"/>
          <w:szCs w:val="36"/>
        </w:rPr>
      </w:pPr>
      <w:r>
        <w:rPr>
          <w:rFonts w:hint="eastAsia" w:ascii="仿宋_GB2312" w:hAnsi="仿宋_GB2312" w:eastAsia="仿宋_GB2312" w:cs="仿宋_GB2312"/>
          <w:kern w:val="0"/>
          <w:sz w:val="36"/>
          <w:szCs w:val="36"/>
        </w:rPr>
        <w:t>填报时间：</w:t>
      </w:r>
      <w:r>
        <w:rPr>
          <w:rFonts w:hint="eastAsia" w:ascii="仿宋_GB2312" w:hAnsi="仿宋_GB2312" w:eastAsia="仿宋_GB2312" w:cs="仿宋_GB2312"/>
          <w:kern w:val="0"/>
          <w:sz w:val="36"/>
          <w:szCs w:val="36"/>
          <w:lang w:val="en-US" w:eastAsia="zh-CN"/>
        </w:rPr>
        <w:t>2021</w:t>
      </w:r>
      <w:r>
        <w:rPr>
          <w:rFonts w:hint="eastAsia" w:ascii="仿宋_GB2312" w:hAnsi="仿宋_GB2312" w:eastAsia="仿宋_GB2312" w:cs="仿宋_GB2312"/>
          <w:kern w:val="0"/>
          <w:sz w:val="36"/>
          <w:szCs w:val="36"/>
        </w:rPr>
        <w:t>年</w:t>
      </w:r>
      <w:r>
        <w:rPr>
          <w:rFonts w:hint="eastAsia" w:ascii="仿宋_GB2312" w:hAnsi="仿宋_GB2312" w:eastAsia="仿宋_GB2312" w:cs="仿宋_GB2312"/>
          <w:kern w:val="0"/>
          <w:sz w:val="36"/>
          <w:szCs w:val="36"/>
          <w:lang w:val="en-US" w:eastAsia="zh-CN"/>
        </w:rPr>
        <w:t>4</w:t>
      </w:r>
      <w:r>
        <w:rPr>
          <w:rFonts w:hint="eastAsia" w:ascii="仿宋_GB2312" w:hAnsi="仿宋_GB2312" w:eastAsia="仿宋_GB2312" w:cs="仿宋_GB2312"/>
          <w:kern w:val="0"/>
          <w:sz w:val="36"/>
          <w:szCs w:val="36"/>
        </w:rPr>
        <w:t>月</w:t>
      </w:r>
      <w:r>
        <w:rPr>
          <w:rFonts w:hint="eastAsia" w:ascii="仿宋_GB2312" w:hAnsi="仿宋_GB2312" w:eastAsia="仿宋_GB2312" w:cs="仿宋_GB2312"/>
          <w:kern w:val="0"/>
          <w:sz w:val="36"/>
          <w:szCs w:val="36"/>
          <w:lang w:val="en-US" w:eastAsia="zh-CN"/>
        </w:rPr>
        <w:t>8</w:t>
      </w:r>
      <w:r>
        <w:rPr>
          <w:rFonts w:hint="eastAsia" w:ascii="仿宋_GB2312" w:hAnsi="仿宋_GB2312" w:eastAsia="仿宋_GB2312" w:cs="仿宋_GB2312"/>
          <w:kern w:val="0"/>
          <w:sz w:val="36"/>
          <w:szCs w:val="36"/>
        </w:rPr>
        <w:t>日</w:t>
      </w:r>
    </w:p>
    <w:p>
      <w:pPr>
        <w:spacing w:line="540" w:lineRule="exact"/>
        <w:jc w:val="center"/>
        <w:rPr>
          <w:rFonts w:hAnsi="宋体" w:eastAsia="仿宋_GB2312" w:cs="宋体"/>
          <w:kern w:val="0"/>
          <w:sz w:val="30"/>
          <w:szCs w:val="30"/>
        </w:rPr>
      </w:pPr>
    </w:p>
    <w:p>
      <w:pPr>
        <w:spacing w:line="540" w:lineRule="exact"/>
        <w:rPr>
          <w:rStyle w:val="21"/>
          <w:rFonts w:ascii="黑体" w:hAnsi="黑体" w:eastAsia="黑体"/>
          <w:b w:val="0"/>
          <w:spacing w:val="-4"/>
          <w:sz w:val="32"/>
          <w:szCs w:val="32"/>
        </w:rPr>
      </w:pPr>
    </w:p>
    <w:p>
      <w:pPr>
        <w:spacing w:line="540" w:lineRule="exact"/>
        <w:ind w:firstLine="640"/>
        <w:rPr>
          <w:rStyle w:val="21"/>
          <w:rFonts w:ascii="黑体" w:hAnsi="黑体" w:eastAsia="黑体"/>
          <w:b w:val="0"/>
          <w:spacing w:val="-4"/>
          <w:sz w:val="32"/>
          <w:szCs w:val="32"/>
        </w:rPr>
      </w:pPr>
    </w:p>
    <w:p>
      <w:pPr>
        <w:spacing w:line="540" w:lineRule="exact"/>
        <w:rPr>
          <w:rStyle w:val="21"/>
          <w:rFonts w:ascii="黑体" w:hAnsi="黑体" w:eastAsia="黑体"/>
          <w:b w:val="0"/>
          <w:spacing w:val="-4"/>
          <w:sz w:val="32"/>
          <w:szCs w:val="32"/>
        </w:rPr>
      </w:pP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黑体" w:hAnsi="黑体" w:eastAsia="黑体" w:cs="黑体"/>
          <w:b/>
          <w:bCs w:val="0"/>
          <w:sz w:val="32"/>
          <w:szCs w:val="32"/>
        </w:rPr>
      </w:pPr>
      <w:r>
        <w:rPr>
          <w:rFonts w:hint="eastAsia" w:ascii="黑体" w:hAnsi="黑体" w:eastAsia="黑体" w:cs="黑体"/>
          <w:b/>
          <w:bCs w:val="0"/>
          <w:sz w:val="32"/>
          <w:szCs w:val="32"/>
        </w:rPr>
        <w:t>一、基本情况</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（一）项目概况</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1、项目背景</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塔城地区交通运输局和塔城地区巴克图道路运输管理局联合驻村，驻村地点为额敏县霍吉尔特蒙古乡布尔汗村，驻村工作人员为4人。</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2、</w:t>
      </w:r>
      <w:r>
        <w:rPr>
          <w:rFonts w:hint="eastAsia" w:ascii="仿宋_GB2312" w:hAnsi="仿宋_GB2312" w:eastAsia="仿宋_GB2312" w:cs="仿宋_GB2312"/>
          <w:b/>
          <w:bCs/>
          <w:sz w:val="32"/>
          <w:szCs w:val="32"/>
        </w:rPr>
        <w:t>项目主要内容及实施情况</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default"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sz w:val="32"/>
          <w:szCs w:val="32"/>
          <w:lang w:eastAsia="zh-CN"/>
        </w:rPr>
        <w:t>项目主要内容：</w:t>
      </w:r>
      <w:r>
        <w:rPr>
          <w:rFonts w:hint="eastAsia" w:ascii="仿宋_GB2312" w:hAnsi="仿宋_GB2312" w:eastAsia="仿宋_GB2312" w:cs="仿宋_GB2312"/>
          <w:sz w:val="32"/>
          <w:szCs w:val="32"/>
          <w:lang w:val="en-US" w:eastAsia="zh-CN"/>
        </w:rPr>
        <w:t>第一书记工作经费主要用于做好群众工作，开展慰问工作，为群众送信息、送服务</w:t>
      </w:r>
      <w:r>
        <w:rPr>
          <w:rFonts w:hint="eastAsia" w:ascii="仿宋_GB2312" w:hAnsi="仿宋_GB2312" w:eastAsia="仿宋_GB2312" w:cs="仿宋_GB2312"/>
          <w:b w:val="0"/>
          <w:bCs w:val="0"/>
          <w:kern w:val="2"/>
          <w:sz w:val="32"/>
          <w:szCs w:val="32"/>
          <w:lang w:val="en-US" w:eastAsia="zh-CN" w:bidi="ar-SA"/>
        </w:rPr>
        <w:t>、送温暖等。为民办实事经费主要用于“为民办事”驻村工作队为民办实事、办好事、解难题以及组织开展各类学习、培训、宣传、激励  等活动</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pPr>
      <w:r>
        <w:rPr>
          <w:rFonts w:hint="eastAsia" w:ascii="仿宋_GB2312" w:hAnsi="仿宋_GB2312" w:eastAsia="仿宋_GB2312" w:cs="仿宋_GB2312"/>
          <w:sz w:val="32"/>
          <w:szCs w:val="32"/>
        </w:rPr>
        <w:t>项目实施情况：项目目前已经完成实际设立的目标，项目在实施过程中严格按照目标设立的各阶段任务进行开展工作，在前期立项过程中严格把质量关，建立安全防护机制，保证项目实施各阶段安全顺利进行。</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本项目总投资</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万元，其中：财政本级资金</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万元。项目实际支出</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万元，支出率为100%。</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3、资金投入和使用情况</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20"/>
          <w:szCs w:val="20"/>
        </w:rPr>
      </w:pPr>
      <w:r>
        <w:rPr>
          <w:rFonts w:hint="eastAsia" w:ascii="仿宋_GB2312" w:hAnsi="仿宋_GB2312" w:eastAsia="仿宋_GB2312" w:cs="仿宋_GB2312"/>
          <w:sz w:val="32"/>
          <w:szCs w:val="32"/>
        </w:rPr>
        <w:t>（1）资金安排</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eastAsia" w:ascii="仿宋" w:hAnsi="仿宋" w:eastAsia="仿宋"/>
          <w:sz w:val="32"/>
          <w:szCs w:val="32"/>
        </w:rPr>
      </w:pPr>
      <w:r>
        <w:rPr>
          <w:rFonts w:hint="eastAsia" w:ascii="仿宋_GB2312" w:hAnsi="仿宋_GB2312" w:eastAsia="仿宋_GB2312" w:cs="仿宋_GB2312"/>
          <w:sz w:val="32"/>
          <w:szCs w:val="32"/>
        </w:rPr>
        <w:t>项目总投</w:t>
      </w:r>
      <w:r>
        <w:rPr>
          <w:rFonts w:hint="eastAsia" w:ascii="仿宋" w:hAnsi="仿宋" w:eastAsia="仿宋"/>
          <w:sz w:val="32"/>
          <w:szCs w:val="32"/>
        </w:rPr>
        <w:t>资</w:t>
      </w:r>
      <w:r>
        <w:rPr>
          <w:rFonts w:hint="eastAsia" w:ascii="仿宋" w:hAnsi="仿宋" w:eastAsia="仿宋"/>
          <w:sz w:val="32"/>
          <w:szCs w:val="32"/>
          <w:lang w:val="en-US" w:eastAsia="zh-CN"/>
        </w:rPr>
        <w:t>5</w:t>
      </w:r>
      <w:r>
        <w:rPr>
          <w:rFonts w:hint="eastAsia" w:ascii="仿宋" w:hAnsi="仿宋" w:eastAsia="仿宋"/>
          <w:sz w:val="32"/>
          <w:szCs w:val="32"/>
        </w:rPr>
        <w:t>万元，按照《</w:t>
      </w:r>
      <w:r>
        <w:rPr>
          <w:rFonts w:hint="eastAsia" w:ascii="仿宋" w:hAnsi="仿宋" w:eastAsia="仿宋"/>
          <w:sz w:val="32"/>
          <w:szCs w:val="32"/>
          <w:lang w:val="en-US" w:eastAsia="zh-CN"/>
        </w:rPr>
        <w:t>工作经费</w:t>
      </w:r>
      <w:r>
        <w:rPr>
          <w:rFonts w:hint="eastAsia" w:ascii="仿宋" w:hAnsi="仿宋" w:eastAsia="仿宋"/>
          <w:sz w:val="32"/>
          <w:szCs w:val="32"/>
        </w:rPr>
        <w:t>资金管理办法》及单位财务制度等相关规定，资金支出符合</w:t>
      </w:r>
      <w:r>
        <w:rPr>
          <w:rFonts w:hint="eastAsia" w:ascii="仿宋" w:hAnsi="仿宋" w:eastAsia="仿宋"/>
          <w:sz w:val="32"/>
          <w:szCs w:val="32"/>
          <w:lang w:val="en-US" w:eastAsia="zh-CN"/>
        </w:rPr>
        <w:t>为民办事</w:t>
      </w:r>
      <w:r>
        <w:rPr>
          <w:rFonts w:hint="eastAsia" w:ascii="仿宋" w:hAnsi="仿宋" w:eastAsia="仿宋"/>
          <w:sz w:val="32"/>
          <w:szCs w:val="32"/>
        </w:rPr>
        <w:t>专项资金费用范围，做到了专款专用。在项目资金拨付和使用过程中，为确保项目资金的安全性，提高项目资金使用效率，严格遵循</w:t>
      </w:r>
      <w:bookmarkStart w:id="2" w:name="_GoBack"/>
      <w:bookmarkEnd w:id="2"/>
      <w:r>
        <w:rPr>
          <w:rFonts w:hint="eastAsia" w:ascii="仿宋" w:hAnsi="仿宋" w:eastAsia="仿宋"/>
          <w:sz w:val="32"/>
          <w:szCs w:val="32"/>
          <w:lang w:val="en-US" w:eastAsia="zh-CN"/>
        </w:rPr>
        <w:t>为民办事</w:t>
      </w:r>
      <w:r>
        <w:rPr>
          <w:rFonts w:hint="eastAsia" w:ascii="仿宋" w:hAnsi="仿宋" w:eastAsia="仿宋"/>
          <w:sz w:val="32"/>
          <w:szCs w:val="32"/>
        </w:rPr>
        <w:t>资金的拨付程序，认真审核项目实施各阶段的相关材料和手续，根据项目实施进展情况拨付资金。</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eastAsia" w:ascii="仿宋" w:hAnsi="仿宋" w:eastAsia="仿宋"/>
          <w:sz w:val="32"/>
          <w:szCs w:val="32"/>
        </w:rPr>
      </w:pPr>
      <w:r>
        <w:rPr>
          <w:rFonts w:hint="eastAsia" w:ascii="仿宋" w:hAnsi="仿宋" w:eastAsia="仿宋"/>
          <w:sz w:val="32"/>
          <w:szCs w:val="32"/>
        </w:rPr>
        <w:t>（2）预算资金来源及使用情况</w:t>
      </w:r>
      <w:bookmarkStart w:id="0" w:name="page10"/>
      <w:bookmarkEnd w:id="0"/>
    </w:p>
    <w:p>
      <w:pPr>
        <w:pStyle w:val="2"/>
        <w:keepNext w:val="0"/>
        <w:keepLines w:val="0"/>
        <w:pageBreakBefore w:val="0"/>
        <w:kinsoku/>
        <w:wordWrap/>
        <w:overflowPunct/>
        <w:topLinePunct w:val="0"/>
        <w:autoSpaceDE/>
        <w:autoSpaceDN/>
        <w:bidi w:val="0"/>
        <w:adjustRightInd/>
        <w:snapToGrid/>
        <w:spacing w:before="0" w:after="0" w:line="560" w:lineRule="exact"/>
        <w:ind w:left="0" w:firstLine="640" w:firstLineChars="200"/>
        <w:jc w:val="both"/>
        <w:textAlignment w:val="auto"/>
        <w:rPr>
          <w:rFonts w:ascii="仿宋_GB2312" w:hAnsi="仿宋_GB2312" w:eastAsia="仿宋_GB2312" w:cs="仿宋_GB2312"/>
          <w:b w:val="0"/>
          <w:bCs w:val="0"/>
          <w:kern w:val="2"/>
        </w:rPr>
      </w:pPr>
      <w:r>
        <w:rPr>
          <w:rFonts w:hint="eastAsia" w:ascii="仿宋_GB2312" w:hAnsi="仿宋_GB2312" w:eastAsia="仿宋_GB2312" w:cs="仿宋_GB2312"/>
          <w:b w:val="0"/>
          <w:bCs w:val="0"/>
          <w:kern w:val="2"/>
        </w:rPr>
        <w:t>项目预算资金来源于文件中批复的资金，项目资金到位</w:t>
      </w:r>
      <w:r>
        <w:rPr>
          <w:rFonts w:hint="eastAsia" w:ascii="仿宋_GB2312" w:hAnsi="仿宋_GB2312" w:eastAsia="仿宋_GB2312" w:cs="仿宋_GB2312"/>
          <w:b w:val="0"/>
          <w:bCs w:val="0"/>
          <w:kern w:val="2"/>
          <w:lang w:val="en-US" w:eastAsia="zh-CN"/>
        </w:rPr>
        <w:t>5</w:t>
      </w:r>
      <w:r>
        <w:rPr>
          <w:rFonts w:hint="eastAsia" w:ascii="仿宋_GB2312" w:hAnsi="仿宋_GB2312" w:eastAsia="仿宋_GB2312" w:cs="仿宋_GB2312"/>
          <w:b w:val="0"/>
          <w:bCs w:val="0"/>
          <w:kern w:val="2"/>
        </w:rPr>
        <w:t>万元，实际支出5万元，用于支付项目实施进程中的各项费用。</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（二）项目绩效目标</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1、总体目标</w:t>
      </w:r>
    </w:p>
    <w:p>
      <w:pPr>
        <w:keepNext w:val="0"/>
        <w:keepLines w:val="0"/>
        <w:pageBreakBefore w:val="0"/>
        <w:kinsoku/>
        <w:wordWrap/>
        <w:overflowPunct/>
        <w:topLinePunct w:val="0"/>
        <w:autoSpaceDE/>
        <w:autoSpaceDN/>
        <w:bidi w:val="0"/>
        <w:adjustRightInd/>
        <w:snapToGrid/>
        <w:spacing w:line="560" w:lineRule="exact"/>
        <w:ind w:left="0" w:firstLine="640" w:firstLineChars="200"/>
        <w:jc w:val="both"/>
        <w:textAlignment w:val="auto"/>
        <w:rPr>
          <w:rFonts w:hint="eastAsia" w:ascii="仿宋_GB2312" w:hAnsi="仿宋_GB2312" w:eastAsia="仿宋" w:cs="仿宋_GB2312"/>
          <w:sz w:val="32"/>
          <w:szCs w:val="32"/>
          <w:highlight w:val="yellow"/>
          <w:lang w:val="en-US" w:eastAsia="zh-CN"/>
        </w:rPr>
      </w:pPr>
      <w:r>
        <w:rPr>
          <w:rFonts w:hint="eastAsia" w:ascii="仿宋" w:hAnsi="仿宋" w:eastAsia="仿宋"/>
          <w:sz w:val="32"/>
          <w:szCs w:val="32"/>
        </w:rPr>
        <w:t>切实解决了基层组织最需要最紧迫、党员群众最关心最</w:t>
      </w:r>
      <w:r>
        <w:rPr>
          <w:rFonts w:ascii="仿宋" w:hAnsi="仿宋" w:eastAsia="仿宋"/>
          <w:sz w:val="32"/>
          <w:szCs w:val="32"/>
        </w:rPr>
        <w:t xml:space="preserve"> </w:t>
      </w:r>
      <w:r>
        <w:rPr>
          <w:rFonts w:hint="eastAsia" w:ascii="仿宋" w:hAnsi="仿宋" w:eastAsia="仿宋"/>
          <w:sz w:val="32"/>
          <w:szCs w:val="32"/>
        </w:rPr>
        <w:t>直接的实际问题</w:t>
      </w:r>
      <w:r>
        <w:rPr>
          <w:rFonts w:hint="eastAsia" w:ascii="仿宋" w:hAnsi="仿宋" w:eastAsia="仿宋"/>
          <w:sz w:val="32"/>
          <w:szCs w:val="32"/>
          <w:lang w:eastAsia="zh-CN"/>
        </w:rPr>
        <w:t>，</w:t>
      </w:r>
      <w:r>
        <w:rPr>
          <w:rFonts w:ascii="仿宋" w:hAnsi="仿宋" w:eastAsia="仿宋"/>
          <w:sz w:val="32"/>
          <w:szCs w:val="32"/>
        </w:rPr>
        <w:t>用于“</w:t>
      </w:r>
      <w:r>
        <w:rPr>
          <w:rFonts w:hint="eastAsia" w:ascii="仿宋" w:hAnsi="仿宋" w:eastAsia="仿宋"/>
          <w:sz w:val="32"/>
          <w:szCs w:val="32"/>
        </w:rPr>
        <w:t>为民办事</w:t>
      </w:r>
      <w:r>
        <w:rPr>
          <w:rFonts w:ascii="仿宋" w:hAnsi="仿宋" w:eastAsia="仿宋"/>
          <w:sz w:val="32"/>
          <w:szCs w:val="32"/>
        </w:rPr>
        <w:t>”驻村工作队为民办实事、办好事、解难题以及组织开展各类学习、培训、宣传等活动</w:t>
      </w:r>
      <w:r>
        <w:rPr>
          <w:rFonts w:hint="eastAsia" w:ascii="仿宋" w:hAnsi="仿宋" w:eastAsia="仿宋"/>
          <w:sz w:val="32"/>
          <w:szCs w:val="32"/>
          <w:lang w:eastAsia="zh-CN"/>
        </w:rPr>
        <w:t>。</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2、阶段性目标</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（1）前期准备：</w:t>
      </w:r>
      <w:r>
        <w:rPr>
          <w:rFonts w:ascii="仿宋" w:hAnsi="仿宋" w:eastAsia="仿宋"/>
          <w:sz w:val="32"/>
          <w:szCs w:val="32"/>
        </w:rPr>
        <w:t>组织</w:t>
      </w:r>
      <w:r>
        <w:rPr>
          <w:rFonts w:hint="eastAsia" w:ascii="仿宋" w:hAnsi="仿宋" w:eastAsia="仿宋"/>
          <w:sz w:val="32"/>
          <w:szCs w:val="32"/>
          <w:lang w:eastAsia="zh-CN"/>
        </w:rPr>
        <w:t>相关</w:t>
      </w:r>
      <w:r>
        <w:rPr>
          <w:rFonts w:ascii="仿宋" w:hAnsi="仿宋" w:eastAsia="仿宋"/>
          <w:sz w:val="32"/>
          <w:szCs w:val="32"/>
        </w:rPr>
        <w:t>人员认真学习有关文件要求</w:t>
      </w:r>
      <w:r>
        <w:rPr>
          <w:rFonts w:hint="eastAsia" w:ascii="仿宋_GB2312" w:hAnsi="仿宋_GB2312" w:eastAsia="仿宋_GB2312" w:cs="仿宋_GB2312"/>
          <w:sz w:val="32"/>
          <w:szCs w:val="32"/>
        </w:rPr>
        <w:t>，通过制定项目实施方案，经项目负责人审核通过后，有序开展后续工程。</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（2）组织实施：资金一到位，立即根据项目要求实施项目。项目责任人按照《</w:t>
      </w:r>
      <w:r>
        <w:rPr>
          <w:rFonts w:hint="eastAsia" w:ascii="仿宋_GB2312" w:hAnsi="仿宋_GB2312" w:eastAsia="仿宋_GB2312" w:cs="仿宋_GB2312"/>
          <w:sz w:val="32"/>
          <w:szCs w:val="32"/>
          <w:lang w:val="en-US" w:eastAsia="zh-CN"/>
        </w:rPr>
        <w:t>为民办实事工作经费实施</w:t>
      </w:r>
      <w:r>
        <w:rPr>
          <w:rFonts w:hint="eastAsia" w:ascii="仿宋_GB2312" w:hAnsi="仿宋_GB2312" w:eastAsia="仿宋_GB2312" w:cs="仿宋_GB2312"/>
          <w:sz w:val="32"/>
          <w:szCs w:val="32"/>
        </w:rPr>
        <w:t>方案》要求逐一进行项目部署安排，提高项目质量及效率性。</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黑体" w:hAnsi="黑体" w:eastAsia="黑体"/>
          <w:b/>
          <w:bCs/>
          <w:sz w:val="32"/>
          <w:szCs w:val="32"/>
        </w:rPr>
      </w:pPr>
      <w:r>
        <w:rPr>
          <w:rFonts w:hint="eastAsia" w:ascii="黑体" w:hAnsi="黑体" w:eastAsia="黑体"/>
          <w:b/>
          <w:bCs/>
          <w:sz w:val="32"/>
          <w:szCs w:val="32"/>
        </w:rPr>
        <w:t>二、绩效评价工作开展情况</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（一）绩效评价目的、对象和范围</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1、绩效评价的目的</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财政支出绩效评价运用科学、规范的绩效评价方法，制定统一的评价标准，使财政资金得到事前、事中和事后多方面的控制。财政支出绩效评价贯穿于财政支出安排和实施的全过程，是对财政支出效益、管理水平、投入风险等方面的综合评价；是发挥财政调控功能、提高财政资金安排科学性、促进财政支持社会经济目标实现的重要保证。</w:t>
      </w:r>
    </w:p>
    <w:p>
      <w:pPr>
        <w:keepNext w:val="0"/>
        <w:keepLines w:val="0"/>
        <w:pageBreakBefore w:val="0"/>
        <w:numPr>
          <w:ilvl w:val="0"/>
          <w:numId w:val="1"/>
        </w:numPr>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项目在实施前向项目负责人提供财政支出绩效方面的资金管理信息，促进项目支出严格按照资金管理规定进行。</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（2）项目绩效管理财政支出运行提供及时、有效的信息。</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综合来看，通过开展有效的财政支出绩效评价管理，达到改进预算管理、控制节约成本，提高预算资金使用效益的目的。</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2、绩效评价的对象</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为民办实事经费</w:t>
      </w:r>
      <w:r>
        <w:rPr>
          <w:rFonts w:hint="eastAsia" w:ascii="仿宋_GB2312" w:hAnsi="仿宋_GB2312" w:eastAsia="仿宋_GB2312" w:cs="仿宋_GB2312"/>
          <w:sz w:val="32"/>
          <w:szCs w:val="32"/>
          <w:lang w:val="en-US" w:eastAsia="zh-CN"/>
        </w:rPr>
        <w:t>项目</w:t>
      </w:r>
      <w:r>
        <w:rPr>
          <w:rFonts w:hint="eastAsia" w:ascii="仿宋_GB2312" w:hAnsi="仿宋_GB2312" w:eastAsia="仿宋_GB2312" w:cs="仿宋_GB2312"/>
          <w:sz w:val="32"/>
          <w:szCs w:val="32"/>
        </w:rPr>
        <w:t>。</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3、绩效评价的范围</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hint="default" w:ascii="仿宋_GB2312" w:hAnsi="仿宋_GB2312" w:eastAsia="仿宋_GB2312" w:cs="仿宋_GB2312"/>
          <w:sz w:val="32"/>
          <w:szCs w:val="32"/>
          <w:lang w:val="en-US" w:eastAsia="zh-CN"/>
        </w:rPr>
      </w:pPr>
      <w:r>
        <w:rPr>
          <w:rFonts w:hint="default" w:ascii="仿宋_GB2312" w:hAnsi="仿宋_GB2312" w:eastAsia="仿宋_GB2312" w:cs="仿宋_GB2312"/>
          <w:sz w:val="32"/>
          <w:szCs w:val="32"/>
          <w:lang w:val="en-US" w:eastAsia="zh-CN"/>
        </w:rPr>
        <w:t>从</w:t>
      </w:r>
      <w:r>
        <w:rPr>
          <w:rFonts w:hint="eastAsia" w:ascii="仿宋_GB2312" w:hAnsi="仿宋_GB2312" w:eastAsia="仿宋_GB2312" w:cs="仿宋_GB2312"/>
          <w:sz w:val="32"/>
          <w:szCs w:val="32"/>
        </w:rPr>
        <w:t>为民办实事经费</w:t>
      </w:r>
      <w:r>
        <w:rPr>
          <w:rFonts w:hint="eastAsia" w:ascii="仿宋_GB2312" w:hAnsi="仿宋_GB2312" w:eastAsia="仿宋_GB2312" w:cs="仿宋_GB2312"/>
          <w:sz w:val="32"/>
          <w:szCs w:val="32"/>
          <w:lang w:val="en-US" w:eastAsia="zh-CN"/>
        </w:rPr>
        <w:t>项目</w:t>
      </w:r>
      <w:r>
        <w:rPr>
          <w:rFonts w:hint="default" w:ascii="仿宋_GB2312" w:hAnsi="仿宋_GB2312" w:eastAsia="仿宋_GB2312" w:cs="仿宋_GB2312"/>
          <w:sz w:val="32"/>
          <w:szCs w:val="32"/>
          <w:lang w:val="en-US" w:eastAsia="zh-CN"/>
        </w:rPr>
        <w:t>的决策、过程、产出、效益等方面进行评价。</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ascii="仿宋_GB2312"/>
        </w:rPr>
      </w:pPr>
      <w:r>
        <w:rPr>
          <w:rFonts w:hint="eastAsia" w:ascii="楷体_GB2312" w:hAnsi="楷体_GB2312" w:eastAsia="楷体_GB2312" w:cs="楷体_GB2312"/>
          <w:b/>
          <w:bCs/>
          <w:sz w:val="32"/>
          <w:szCs w:val="32"/>
        </w:rPr>
        <w:t>（二）绩效评价原则、评价指标体系（详情见表1）、评价方法、评价标准。</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1、绩效评价原则</w:t>
      </w:r>
    </w:p>
    <w:p>
      <w:pPr>
        <w:keepNext w:val="0"/>
        <w:keepLines w:val="0"/>
        <w:pageBreakBefore w:val="0"/>
        <w:kinsoku/>
        <w:wordWrap/>
        <w:overflowPunct/>
        <w:topLinePunct w:val="0"/>
        <w:autoSpaceDE/>
        <w:autoSpaceDN/>
        <w:bidi w:val="0"/>
        <w:adjustRightInd/>
        <w:snapToGrid/>
        <w:spacing w:line="560" w:lineRule="exact"/>
        <w:ind w:left="0" w:firstLine="640" w:firstLineChars="200"/>
        <w:textAlignment w:val="auto"/>
        <w:rPr>
          <w:rFonts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本次项目绩效评价遵循以下基本原则：</w:t>
      </w:r>
    </w:p>
    <w:p>
      <w:pPr>
        <w:pStyle w:val="2"/>
        <w:keepNext w:val="0"/>
        <w:keepLines w:val="0"/>
        <w:pageBreakBefore w:val="0"/>
        <w:kinsoku/>
        <w:wordWrap/>
        <w:overflowPunct/>
        <w:topLinePunct w:val="0"/>
        <w:autoSpaceDE/>
        <w:autoSpaceDN/>
        <w:bidi w:val="0"/>
        <w:adjustRightInd/>
        <w:snapToGrid/>
        <w:spacing w:before="0" w:after="0" w:line="560" w:lineRule="exact"/>
        <w:ind w:left="0" w:firstLine="640" w:firstLineChars="200"/>
        <w:jc w:val="both"/>
        <w:textAlignment w:val="auto"/>
        <w:outlineLvl w:val="9"/>
        <w:rPr>
          <w:rFonts w:ascii="仿宋_GB2312" w:hAnsi="仿宋_GB2312" w:eastAsia="仿宋_GB2312" w:cs="仿宋_GB2312"/>
          <w:b w:val="0"/>
          <w:bCs w:val="0"/>
        </w:rPr>
      </w:pPr>
      <w:r>
        <w:rPr>
          <w:rFonts w:hint="eastAsia" w:ascii="仿宋_GB2312" w:hAnsi="仿宋_GB2312" w:eastAsia="仿宋_GB2312" w:cs="仿宋_GB2312"/>
          <w:b w:val="0"/>
          <w:bCs w:val="0"/>
        </w:rPr>
        <w:t>（1）科学公正。绩效评价应当运用科学合理的方法，按照规范的程序，对项目绩效进行客观、公正的反映。</w:t>
      </w:r>
    </w:p>
    <w:p>
      <w:pPr>
        <w:pStyle w:val="2"/>
        <w:keepNext w:val="0"/>
        <w:keepLines w:val="0"/>
        <w:pageBreakBefore w:val="0"/>
        <w:kinsoku/>
        <w:wordWrap/>
        <w:overflowPunct/>
        <w:topLinePunct w:val="0"/>
        <w:autoSpaceDE/>
        <w:autoSpaceDN/>
        <w:bidi w:val="0"/>
        <w:adjustRightInd/>
        <w:snapToGrid/>
        <w:spacing w:before="0" w:after="0" w:line="560" w:lineRule="exact"/>
        <w:ind w:left="0" w:firstLine="640" w:firstLineChars="200"/>
        <w:jc w:val="both"/>
        <w:textAlignment w:val="auto"/>
        <w:outlineLvl w:val="9"/>
        <w:rPr>
          <w:rFonts w:ascii="仿宋_GB2312" w:hAnsi="仿宋_GB2312" w:eastAsia="仿宋_GB2312" w:cs="仿宋_GB2312"/>
          <w:b w:val="0"/>
          <w:bCs w:val="0"/>
        </w:rPr>
      </w:pPr>
      <w:r>
        <w:rPr>
          <w:rFonts w:hint="eastAsia" w:ascii="仿宋_GB2312" w:hAnsi="仿宋_GB2312" w:eastAsia="仿宋_GB2312" w:cs="仿宋_GB2312"/>
          <w:b w:val="0"/>
          <w:bCs w:val="0"/>
        </w:rPr>
        <w:t>（2）统筹兼顾。单位自评、部门评价和财政评价应职责明确，各有侧重，相互衔接。单位自评应由项目单位自主实施，即“谁支出、谁自评”。部门评价和财政评价应在单位自评的基础上开展。</w:t>
      </w:r>
    </w:p>
    <w:p>
      <w:pPr>
        <w:pStyle w:val="2"/>
        <w:keepNext w:val="0"/>
        <w:keepLines w:val="0"/>
        <w:pageBreakBefore w:val="0"/>
        <w:kinsoku/>
        <w:wordWrap/>
        <w:overflowPunct/>
        <w:topLinePunct w:val="0"/>
        <w:autoSpaceDE/>
        <w:autoSpaceDN/>
        <w:bidi w:val="0"/>
        <w:adjustRightInd/>
        <w:snapToGrid/>
        <w:spacing w:before="0" w:after="0" w:line="560" w:lineRule="exact"/>
        <w:ind w:left="0" w:firstLine="640" w:firstLineChars="200"/>
        <w:jc w:val="both"/>
        <w:textAlignment w:val="auto"/>
        <w:outlineLvl w:val="9"/>
        <w:rPr>
          <w:rFonts w:ascii="仿宋_GB2312" w:hAnsi="仿宋_GB2312" w:eastAsia="仿宋_GB2312" w:cs="仿宋_GB2312"/>
          <w:b w:val="0"/>
          <w:bCs w:val="0"/>
        </w:rPr>
      </w:pPr>
      <w:r>
        <w:rPr>
          <w:rFonts w:hint="eastAsia" w:ascii="仿宋_GB2312" w:hAnsi="仿宋_GB2312" w:eastAsia="仿宋_GB2312" w:cs="仿宋_GB2312"/>
          <w:b w:val="0"/>
          <w:bCs w:val="0"/>
        </w:rPr>
        <w:t>（3）激励约束。绩效评价结果应与预算安排、政策调整、改进管理实质性挂钩，体现奖优罚劣和激励相容导向，有效要安排、低效要压减、无效要问责。</w:t>
      </w:r>
    </w:p>
    <w:p>
      <w:pPr>
        <w:pStyle w:val="2"/>
        <w:keepNext w:val="0"/>
        <w:keepLines w:val="0"/>
        <w:pageBreakBefore w:val="0"/>
        <w:kinsoku/>
        <w:wordWrap/>
        <w:overflowPunct/>
        <w:topLinePunct w:val="0"/>
        <w:autoSpaceDE/>
        <w:autoSpaceDN/>
        <w:bidi w:val="0"/>
        <w:adjustRightInd/>
        <w:snapToGrid/>
        <w:spacing w:before="0" w:after="0" w:line="560" w:lineRule="exact"/>
        <w:ind w:left="0" w:firstLine="640" w:firstLineChars="200"/>
        <w:jc w:val="both"/>
        <w:textAlignment w:val="auto"/>
        <w:outlineLvl w:val="9"/>
        <w:rPr>
          <w:rFonts w:ascii="仿宋_GB2312" w:hAnsi="仿宋_GB2312" w:eastAsia="仿宋_GB2312" w:cs="仿宋_GB2312"/>
          <w:b w:val="0"/>
          <w:bCs w:val="0"/>
        </w:rPr>
      </w:pPr>
      <w:r>
        <w:rPr>
          <w:rFonts w:hint="eastAsia" w:ascii="仿宋_GB2312" w:hAnsi="仿宋_GB2312" w:eastAsia="仿宋_GB2312" w:cs="仿宋_GB2312"/>
          <w:b w:val="0"/>
          <w:bCs w:val="0"/>
        </w:rPr>
        <w:t>（4）公开透明。绩效评价结果应依法依规公开，并自觉接受社会监督。</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2、评价指标体系</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宋体" w:hAnsi="宋体" w:cs="宋体"/>
          <w:color w:val="000000"/>
          <w:spacing w:val="17"/>
          <w:sz w:val="32"/>
          <w:szCs w:val="32"/>
        </w:rPr>
      </w:pPr>
      <w:r>
        <w:rPr>
          <w:rFonts w:hint="eastAsia" w:ascii="仿宋_GB2312" w:hAnsi="仿宋_GB2312" w:eastAsia="仿宋_GB2312" w:cs="仿宋_GB2312"/>
          <w:color w:val="000000"/>
          <w:spacing w:val="17"/>
          <w:sz w:val="32"/>
          <w:szCs w:val="32"/>
        </w:rPr>
        <w:t>绩效评价框架是开展绩效评价的核心。绩效评价框架包括评价准则、关键评价问题、评价指标、数据来源、数据收集方法等。指标体系建立过程如下：</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（1）确定评价指标</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采用层次分析法，建立评价指标体系。绩效评价将指标分为项目决策指标、项目过程指标、项目产出指标、项目效益指标四个维度，最终形成一个由多个相互联系的指标组成的多层次指标体系。</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（2）确定权重</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eastAsia"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确定各个指标相对于项目总体绩效的权重分值。在绩效评价指标体系中，项目决策权重占</w:t>
      </w:r>
      <w:r>
        <w:rPr>
          <w:rFonts w:hint="eastAsia" w:ascii="仿宋_GB2312" w:hAnsi="仿宋_GB2312" w:eastAsia="仿宋_GB2312" w:cs="仿宋_GB2312"/>
          <w:color w:val="000000"/>
          <w:spacing w:val="17"/>
          <w:sz w:val="32"/>
          <w:szCs w:val="32"/>
          <w:lang w:val="en-US" w:eastAsia="zh-CN"/>
        </w:rPr>
        <w:t>5分</w:t>
      </w:r>
      <w:r>
        <w:rPr>
          <w:rFonts w:hint="eastAsia" w:ascii="仿宋_GB2312" w:hAnsi="仿宋_GB2312" w:eastAsia="仿宋_GB2312" w:cs="仿宋_GB2312"/>
          <w:color w:val="000000"/>
          <w:spacing w:val="17"/>
          <w:sz w:val="32"/>
          <w:szCs w:val="32"/>
        </w:rPr>
        <w:t>，项目过程权重占</w:t>
      </w:r>
      <w:r>
        <w:rPr>
          <w:rFonts w:hint="eastAsia" w:ascii="仿宋_GB2312" w:hAnsi="仿宋_GB2312" w:eastAsia="仿宋_GB2312" w:cs="仿宋_GB2312"/>
          <w:color w:val="000000"/>
          <w:spacing w:val="17"/>
          <w:sz w:val="32"/>
          <w:szCs w:val="32"/>
          <w:lang w:val="en-US" w:eastAsia="zh-CN"/>
        </w:rPr>
        <w:t>5分</w:t>
      </w:r>
      <w:r>
        <w:rPr>
          <w:rFonts w:hint="eastAsia" w:ascii="仿宋_GB2312" w:hAnsi="仿宋_GB2312" w:eastAsia="仿宋_GB2312" w:cs="仿宋_GB2312"/>
          <w:color w:val="000000"/>
          <w:spacing w:val="17"/>
          <w:sz w:val="32"/>
          <w:szCs w:val="32"/>
        </w:rPr>
        <w:t>，项目产出权重值占</w:t>
      </w:r>
      <w:r>
        <w:rPr>
          <w:rFonts w:hint="eastAsia" w:ascii="仿宋_GB2312" w:hAnsi="仿宋_GB2312" w:eastAsia="仿宋_GB2312" w:cs="仿宋_GB2312"/>
          <w:color w:val="000000"/>
          <w:spacing w:val="17"/>
          <w:sz w:val="32"/>
          <w:szCs w:val="32"/>
          <w:lang w:val="en-US" w:eastAsia="zh-CN"/>
        </w:rPr>
        <w:t>50分</w:t>
      </w:r>
      <w:r>
        <w:rPr>
          <w:rFonts w:hint="eastAsia" w:ascii="仿宋_GB2312" w:hAnsi="仿宋_GB2312" w:eastAsia="仿宋_GB2312" w:cs="仿宋_GB2312"/>
          <w:color w:val="000000"/>
          <w:spacing w:val="17"/>
          <w:sz w:val="32"/>
          <w:szCs w:val="32"/>
        </w:rPr>
        <w:t>，项目效益权重值占</w:t>
      </w:r>
      <w:r>
        <w:rPr>
          <w:rFonts w:hint="eastAsia" w:ascii="仿宋_GB2312" w:hAnsi="仿宋_GB2312" w:eastAsia="仿宋_GB2312" w:cs="仿宋_GB2312"/>
          <w:color w:val="000000"/>
          <w:spacing w:val="17"/>
          <w:sz w:val="32"/>
          <w:szCs w:val="32"/>
          <w:lang w:val="en-US" w:eastAsia="zh-CN"/>
        </w:rPr>
        <w:t>40分</w:t>
      </w:r>
      <w:r>
        <w:rPr>
          <w:rFonts w:hint="eastAsia" w:ascii="仿宋_GB2312" w:hAnsi="仿宋_GB2312" w:eastAsia="仿宋_GB2312" w:cs="仿宋_GB2312"/>
          <w:color w:val="000000"/>
          <w:spacing w:val="17"/>
          <w:sz w:val="32"/>
          <w:szCs w:val="32"/>
        </w:rPr>
        <w:t>。</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（3）确定指标标准值</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指标标准值是绩效评价指标的尺度，既要反映同类项目的先进水平，又要符合项目的实际绩效水平。具体采用计划标准等确定此次绩效评价指标标准值。</w:t>
      </w:r>
    </w:p>
    <w:p>
      <w:pPr>
        <w:pStyle w:val="2"/>
        <w:keepNext w:val="0"/>
        <w:keepLines w:val="0"/>
        <w:pageBreakBefore w:val="0"/>
        <w:kinsoku/>
        <w:wordWrap/>
        <w:overflowPunct/>
        <w:topLinePunct w:val="0"/>
        <w:autoSpaceDE/>
        <w:autoSpaceDN/>
        <w:bidi w:val="0"/>
        <w:adjustRightInd/>
        <w:snapToGrid/>
        <w:spacing w:before="0" w:after="0" w:line="560" w:lineRule="exact"/>
        <w:ind w:left="0" w:firstLine="708" w:firstLineChars="200"/>
        <w:jc w:val="both"/>
        <w:textAlignment w:val="auto"/>
        <w:rPr>
          <w:rFonts w:ascii="仿宋_GB2312" w:hAnsi="仿宋_GB2312" w:eastAsia="仿宋_GB2312" w:cs="仿宋_GB2312"/>
          <w:b w:val="0"/>
          <w:bCs w:val="0"/>
          <w:color w:val="000000"/>
          <w:spacing w:val="17"/>
          <w:kern w:val="2"/>
        </w:rPr>
      </w:pPr>
      <w:r>
        <w:rPr>
          <w:rFonts w:hint="eastAsia" w:ascii="仿宋_GB2312" w:hAnsi="仿宋_GB2312" w:eastAsia="仿宋_GB2312" w:cs="仿宋_GB2312"/>
          <w:b w:val="0"/>
          <w:bCs w:val="0"/>
          <w:color w:val="000000"/>
          <w:spacing w:val="17"/>
          <w:kern w:val="2"/>
        </w:rPr>
        <w:t>绩效评价总分值100分，根据综合评分结果，评价计分90分</w:t>
      </w:r>
      <w:r>
        <w:rPr>
          <w:rFonts w:hint="eastAsia" w:ascii="仿宋_GB2312" w:hAnsi="仿宋_GB2312" w:eastAsia="仿宋_GB2312" w:cs="仿宋_GB2312"/>
          <w:b w:val="0"/>
          <w:bCs w:val="0"/>
          <w:color w:val="000000"/>
          <w:spacing w:val="17"/>
          <w:kern w:val="2"/>
          <w:lang w:eastAsia="zh-CN"/>
        </w:rPr>
        <w:t>－</w:t>
      </w:r>
      <w:r>
        <w:rPr>
          <w:rFonts w:hint="eastAsia" w:ascii="仿宋_GB2312" w:hAnsi="仿宋_GB2312" w:eastAsia="仿宋_GB2312" w:cs="仿宋_GB2312"/>
          <w:b w:val="0"/>
          <w:bCs w:val="0"/>
          <w:color w:val="000000"/>
          <w:spacing w:val="17"/>
          <w:kern w:val="2"/>
        </w:rPr>
        <w:t>100分（含90分）对应的评分结果级别为优，80-90分（含80分）对应的评分结果级别为良，60-80分（含60分）对应的评分结果级别为中，60分以下对应的评分结果级别为差。</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708" w:firstLineChars="200"/>
        <w:jc w:val="both"/>
        <w:textAlignment w:val="auto"/>
        <w:outlineLvl w:val="9"/>
        <w:rPr>
          <w:rFonts w:hint="eastAsia" w:ascii="仿宋_GB2312" w:hAnsi="仿宋_GB2312" w:eastAsia="仿宋_GB2312" w:cs="仿宋_GB2312"/>
          <w:b w:val="0"/>
          <w:bCs w:val="0"/>
          <w:color w:val="000000"/>
          <w:spacing w:val="17"/>
        </w:rPr>
      </w:pPr>
      <w:r>
        <w:rPr>
          <w:rFonts w:hint="eastAsia" w:ascii="仿宋_GB2312" w:hAnsi="仿宋_GB2312" w:eastAsia="仿宋_GB2312" w:cs="仿宋_GB2312"/>
          <w:b w:val="0"/>
          <w:bCs w:val="0"/>
          <w:color w:val="000000"/>
          <w:spacing w:val="17"/>
        </w:rPr>
        <w:t>具体评价指标体系详情见</w:t>
      </w:r>
      <w:r>
        <w:rPr>
          <w:rFonts w:hint="eastAsia" w:ascii="仿宋_GB2312" w:hAnsi="仿宋_GB2312" w:eastAsia="仿宋_GB2312" w:cs="仿宋_GB2312"/>
          <w:b w:val="0"/>
          <w:bCs w:val="0"/>
          <w:color w:val="000000"/>
          <w:spacing w:val="17"/>
          <w:lang w:val="en-US" w:eastAsia="zh-CN"/>
        </w:rPr>
        <w:t>附件</w:t>
      </w:r>
      <w:r>
        <w:rPr>
          <w:rFonts w:hint="eastAsia" w:ascii="仿宋_GB2312" w:hAnsi="仿宋_GB2312" w:eastAsia="仿宋_GB2312" w:cs="仿宋_GB2312"/>
          <w:b w:val="0"/>
          <w:bCs w:val="0"/>
          <w:color w:val="000000"/>
          <w:spacing w:val="17"/>
        </w:rPr>
        <w:t>1</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ascii="仿宋_GB2312" w:hAnsi="仿宋_GB2312" w:eastAsia="仿宋_GB2312" w:cs="仿宋_GB2312"/>
          <w:b/>
          <w:bCs/>
        </w:rPr>
      </w:pPr>
      <w:r>
        <w:rPr>
          <w:rFonts w:hint="eastAsia" w:ascii="仿宋_GB2312" w:hAnsi="仿宋_GB2312" w:eastAsia="仿宋_GB2312" w:cs="仿宋_GB2312"/>
          <w:b/>
          <w:bCs/>
        </w:rPr>
        <w:t>3、绩效评价方法</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绩效评价从项目决策、项目过程、项目产出、项目效益四个维度进行评价。评价对象为项目目标实施情况，  评价核心为资金的支出完成情况和项目的产出效益。</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本次评价指标中，既有定性指标又有定量指标，各类指标因考核内容不同和客观标准不同存在较大差异，因此核定具体指标时采用了不同方法，具体评价方法如下：</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（1）比较法</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通过对绩效目标与实施效果、历史与当期情况，综合分析绩效目标实现程度。对</w:t>
      </w:r>
      <w:r>
        <w:rPr>
          <w:rFonts w:hint="eastAsia" w:ascii="仿宋_GB2312" w:hAnsi="仿宋_GB2312" w:eastAsia="仿宋_GB2312" w:cs="仿宋_GB2312"/>
          <w:sz w:val="32"/>
          <w:szCs w:val="32"/>
        </w:rPr>
        <w:t>项目</w:t>
      </w:r>
      <w:r>
        <w:rPr>
          <w:rFonts w:hint="eastAsia" w:ascii="仿宋_GB2312" w:hAnsi="仿宋_GB2312" w:eastAsia="仿宋_GB2312" w:cs="仿宋_GB2312"/>
          <w:color w:val="000000"/>
          <w:spacing w:val="17"/>
          <w:sz w:val="32"/>
          <w:szCs w:val="32"/>
        </w:rPr>
        <w:t>最终验收情况与年度绩效目标对比、预算资金执行情况等相关因素进行比较。</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（2）因素分析法</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eastAsia" w:ascii="仿宋_GB2312" w:hAnsi="仿宋_GB2312" w:eastAsia="仿宋_GB2312" w:cs="仿宋_GB2312"/>
          <w:color w:val="000000"/>
          <w:spacing w:val="17"/>
          <w:sz w:val="32"/>
          <w:szCs w:val="32"/>
        </w:rPr>
      </w:pPr>
      <w:r>
        <w:rPr>
          <w:rFonts w:hint="eastAsia" w:ascii="仿宋_GB2312" w:hAnsi="仿宋_GB2312" w:eastAsia="仿宋_GB2312" w:cs="仿宋_GB2312"/>
          <w:color w:val="000000"/>
          <w:spacing w:val="17"/>
          <w:sz w:val="32"/>
          <w:szCs w:val="32"/>
        </w:rPr>
        <w:t>通过综合分析影响绩效目标实现、实施效果的内外因素，评价绩效目标实现程度。通过对</w:t>
      </w:r>
      <w:r>
        <w:rPr>
          <w:rFonts w:hint="eastAsia" w:ascii="仿宋_GB2312" w:hAnsi="仿宋_GB2312" w:eastAsia="仿宋_GB2312" w:cs="仿宋_GB2312"/>
          <w:sz w:val="32"/>
          <w:szCs w:val="32"/>
        </w:rPr>
        <w:t>项目</w:t>
      </w:r>
      <w:r>
        <w:rPr>
          <w:rFonts w:hint="eastAsia" w:ascii="仿宋_GB2312" w:hAnsi="仿宋_GB2312" w:eastAsia="仿宋_GB2312" w:cs="仿宋_GB2312"/>
          <w:color w:val="000000"/>
          <w:spacing w:val="17"/>
          <w:sz w:val="32"/>
          <w:szCs w:val="32"/>
        </w:rPr>
        <w:t>的开展情况、项目产出数量、成本控制、资金拨付文件及自评报告等相关资料的收集和审核，综合分析各因素对绩效目标实现的影响。</w:t>
      </w:r>
    </w:p>
    <w:p>
      <w:pPr>
        <w:pStyle w:val="2"/>
        <w:keepNext w:val="0"/>
        <w:keepLines w:val="0"/>
        <w:pageBreakBefore w:val="0"/>
        <w:widowControl w:val="0"/>
        <w:kinsoku/>
        <w:wordWrap/>
        <w:overflowPunct/>
        <w:topLinePunct w:val="0"/>
        <w:autoSpaceDE/>
        <w:autoSpaceDN/>
        <w:bidi w:val="0"/>
        <w:adjustRightInd/>
        <w:snapToGrid/>
        <w:spacing w:before="0" w:after="0" w:line="560" w:lineRule="exact"/>
        <w:ind w:left="0" w:firstLine="643" w:firstLineChars="200"/>
        <w:jc w:val="both"/>
        <w:textAlignment w:val="auto"/>
        <w:outlineLvl w:val="9"/>
        <w:rPr>
          <w:rFonts w:hint="eastAsia" w:ascii="仿宋_GB2312" w:hAnsi="仿宋_GB2312" w:eastAsia="仿宋_GB2312" w:cs="仿宋_GB2312"/>
          <w:b/>
          <w:bCs/>
          <w:lang w:val="en-US" w:eastAsia="zh-CN"/>
        </w:rPr>
      </w:pPr>
      <w:r>
        <w:rPr>
          <w:rFonts w:hint="eastAsia" w:ascii="仿宋_GB2312" w:hAnsi="仿宋_GB2312" w:eastAsia="仿宋_GB2312" w:cs="仿宋_GB2312"/>
          <w:b/>
          <w:bCs/>
          <w:lang w:val="en-US" w:eastAsia="zh-CN"/>
        </w:rPr>
        <w:t>4</w:t>
      </w:r>
      <w:r>
        <w:rPr>
          <w:rFonts w:hint="eastAsia" w:ascii="仿宋_GB2312" w:hAnsi="仿宋_GB2312" w:eastAsia="仿宋_GB2312" w:cs="仿宋_GB2312"/>
          <w:b/>
          <w:bCs/>
        </w:rPr>
        <w:t>、绩效评价</w:t>
      </w:r>
      <w:r>
        <w:rPr>
          <w:rFonts w:hint="eastAsia" w:ascii="仿宋_GB2312" w:hAnsi="仿宋_GB2312" w:eastAsia="仿宋_GB2312" w:cs="仿宋_GB2312"/>
          <w:b/>
          <w:bCs/>
          <w:lang w:val="en-US" w:eastAsia="zh-CN"/>
        </w:rPr>
        <w:t>标准</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eastAsia" w:ascii="仿宋_GB2312" w:hAnsi="仿宋_GB2312" w:eastAsia="仿宋_GB2312" w:cs="仿宋_GB2312"/>
          <w:color w:val="000000"/>
          <w:spacing w:val="17"/>
          <w:sz w:val="32"/>
          <w:szCs w:val="32"/>
          <w:highlight w:val="none"/>
        </w:rPr>
      </w:pPr>
      <w:r>
        <w:rPr>
          <w:rFonts w:hint="eastAsia" w:ascii="仿宋_GB2312" w:hAnsi="仿宋_GB2312" w:eastAsia="仿宋_GB2312" w:cs="仿宋_GB2312"/>
          <w:color w:val="000000"/>
          <w:spacing w:val="17"/>
          <w:sz w:val="32"/>
          <w:szCs w:val="32"/>
        </w:rPr>
        <w:t>绩效评价标准通常包括计划标准、行业标准、历史标准等，用于对绩效指标完成情况进行比较。</w:t>
      </w:r>
      <w:r>
        <w:rPr>
          <w:rFonts w:hint="eastAsia" w:ascii="仿宋_GB2312" w:hAnsi="仿宋_GB2312" w:eastAsia="仿宋_GB2312" w:cs="仿宋_GB2312"/>
          <w:color w:val="000000"/>
          <w:spacing w:val="17"/>
          <w:sz w:val="32"/>
          <w:szCs w:val="32"/>
          <w:highlight w:val="none"/>
        </w:rPr>
        <w:t>本次评价主要采用了计划标准和行业标准。</w:t>
      </w:r>
    </w:p>
    <w:p>
      <w:pPr>
        <w:keepNext w:val="0"/>
        <w:keepLines w:val="0"/>
        <w:pageBreakBefore w:val="0"/>
        <w:kinsoku/>
        <w:wordWrap/>
        <w:overflowPunct/>
        <w:topLinePunct w:val="0"/>
        <w:autoSpaceDE/>
        <w:autoSpaceDN/>
        <w:bidi w:val="0"/>
        <w:adjustRightInd/>
        <w:snapToGrid/>
        <w:spacing w:line="560" w:lineRule="exact"/>
        <w:ind w:left="0" w:firstLine="643" w:firstLineChars="2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（三）绩效评价工作过程</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default" w:ascii="仿宋_GB2312" w:hAnsi="仿宋_GB2312" w:eastAsia="仿宋_GB2312" w:cs="仿宋_GB2312"/>
          <w:color w:val="000000"/>
          <w:spacing w:val="17"/>
          <w:sz w:val="32"/>
          <w:szCs w:val="32"/>
          <w:lang w:val="en-US" w:eastAsia="zh-CN"/>
        </w:rPr>
      </w:pPr>
      <w:r>
        <w:rPr>
          <w:rFonts w:hint="default" w:ascii="仿宋_GB2312" w:hAnsi="仿宋_GB2312" w:eastAsia="仿宋_GB2312" w:cs="仿宋_GB2312"/>
          <w:color w:val="000000"/>
          <w:spacing w:val="17"/>
          <w:sz w:val="32"/>
          <w:szCs w:val="32"/>
          <w:lang w:val="en-US" w:eastAsia="zh-CN"/>
        </w:rPr>
        <w:t>1、前期准备。首先成立评价工作组，开展前期调研；其次明确项目绩效目标，设计绩效评价指标体系并确定绩效评价方法；接着确定现场和非现场评价范围，设计资料清单；最后制定评价实施方案并进行论证。</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default" w:ascii="仿宋_GB2312" w:hAnsi="仿宋_GB2312" w:eastAsia="仿宋_GB2312" w:cs="仿宋_GB2312"/>
          <w:color w:val="000000"/>
          <w:spacing w:val="17"/>
          <w:sz w:val="32"/>
          <w:szCs w:val="32"/>
          <w:lang w:val="en-US" w:eastAsia="zh-CN"/>
        </w:rPr>
      </w:pPr>
      <w:r>
        <w:rPr>
          <w:rFonts w:hint="default" w:ascii="仿宋_GB2312" w:hAnsi="仿宋_GB2312" w:eastAsia="仿宋_GB2312" w:cs="仿宋_GB2312"/>
          <w:color w:val="000000"/>
          <w:spacing w:val="17"/>
          <w:sz w:val="32"/>
          <w:szCs w:val="32"/>
          <w:lang w:val="en-US" w:eastAsia="zh-CN"/>
        </w:rPr>
        <w:t>2、组织实施。制定绩效评价工作方案，具体包括项目概况、评价思路、方法手段、组织实施、进度安排等。收集项目立项依据、相关会议纪要、实施方案、财政资金分配方案、支付管理情况等相关评价资料并进行梳理。</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pPr>
      <w:r>
        <w:rPr>
          <w:rFonts w:hint="default" w:ascii="仿宋_GB2312" w:hAnsi="仿宋_GB2312" w:eastAsia="仿宋_GB2312" w:cs="仿宋_GB2312"/>
          <w:color w:val="000000"/>
          <w:spacing w:val="17"/>
          <w:sz w:val="32"/>
          <w:szCs w:val="32"/>
          <w:lang w:val="en-US" w:eastAsia="zh-CN"/>
        </w:rPr>
        <w:t>3、分析评价。根据收集梳理的资料围绕项目立项、资金落实、业务管理、财务管理、项目产出、项目效益等内容，对照已确定的绩效评价指标进行详细全面的分析评价，逐项打分并形成绩效评价最终结果。</w:t>
      </w:r>
    </w:p>
    <w:p>
      <w:pPr>
        <w:keepNext w:val="0"/>
        <w:keepLines w:val="0"/>
        <w:pageBreakBefore w:val="0"/>
        <w:numPr>
          <w:ilvl w:val="0"/>
          <w:numId w:val="2"/>
        </w:numPr>
        <w:kinsoku/>
        <w:wordWrap/>
        <w:overflowPunct/>
        <w:topLinePunct w:val="0"/>
        <w:autoSpaceDE/>
        <w:autoSpaceDN/>
        <w:bidi w:val="0"/>
        <w:adjustRightInd/>
        <w:snapToGrid/>
        <w:spacing w:line="560" w:lineRule="exact"/>
        <w:ind w:left="0" w:firstLine="643" w:firstLineChars="200"/>
        <w:textAlignment w:val="auto"/>
        <w:rPr>
          <w:rFonts w:ascii="黑体" w:hAnsi="黑体" w:eastAsia="黑体" w:cs="黑体"/>
          <w:sz w:val="32"/>
          <w:szCs w:val="32"/>
        </w:rPr>
      </w:pPr>
      <w:r>
        <w:rPr>
          <w:rFonts w:hint="eastAsia" w:ascii="黑体" w:hAnsi="黑体" w:eastAsia="黑体" w:cs="黑体"/>
          <w:b/>
          <w:bCs/>
          <w:sz w:val="32"/>
          <w:szCs w:val="32"/>
        </w:rPr>
        <w:t>综合评价情况及评价结论（附相关评分表）</w:t>
      </w:r>
    </w:p>
    <w:p>
      <w:pPr>
        <w:keepNext w:val="0"/>
        <w:keepLines w:val="0"/>
        <w:pageBreakBefore w:val="0"/>
        <w:kinsoku/>
        <w:wordWrap/>
        <w:overflowPunct/>
        <w:topLinePunct w:val="0"/>
        <w:autoSpaceDE/>
        <w:autoSpaceDN/>
        <w:bidi w:val="0"/>
        <w:adjustRightInd/>
        <w:snapToGrid/>
        <w:spacing w:line="560" w:lineRule="exact"/>
        <w:ind w:left="0" w:firstLine="708" w:firstLineChars="200"/>
        <w:textAlignment w:val="auto"/>
        <w:rPr>
          <w:rFonts w:hint="eastAsia" w:ascii="仿宋_GB2312" w:hAnsi="仿宋_GB2312" w:eastAsia="仿宋_GB2312" w:cs="仿宋_GB2312"/>
          <w:color w:val="000000"/>
          <w:spacing w:val="17"/>
          <w:sz w:val="32"/>
          <w:szCs w:val="32"/>
          <w:lang w:val="en-US" w:eastAsia="zh-CN"/>
        </w:rPr>
      </w:pPr>
      <w:r>
        <w:rPr>
          <w:rFonts w:hint="eastAsia" w:ascii="仿宋_GB2312" w:hAnsi="仿宋_GB2312" w:eastAsia="仿宋_GB2312" w:cs="仿宋_GB2312"/>
          <w:color w:val="000000"/>
          <w:spacing w:val="17"/>
          <w:sz w:val="32"/>
          <w:szCs w:val="32"/>
          <w:lang w:val="en-US" w:eastAsia="zh-CN"/>
        </w:rPr>
        <w:t>对为民办实事项目进行客观评价，最终评分结果：总得分为98分，属于“优”。其中，项目决策类指标权重为5分，得分为 5分，得分率为 100%。项目过程类指标权重为5分，得分为5 分，得分率为 100%。项目产出类指标权重为50分，得分为50分，得分率为 100%。项目效益类指标权重为40分，得分为38分，得分率为 95%。</w:t>
      </w:r>
    </w:p>
    <w:p>
      <w:pPr>
        <w:pStyle w:val="2"/>
        <w:pageBreakBefore w:val="0"/>
        <w:kinsoku/>
        <w:wordWrap/>
        <w:overflowPunct/>
        <w:topLinePunct w:val="0"/>
        <w:autoSpaceDE/>
        <w:autoSpaceDN/>
        <w:bidi w:val="0"/>
        <w:adjustRightInd/>
        <w:snapToGrid/>
        <w:spacing w:before="0" w:after="0" w:line="560" w:lineRule="exact"/>
        <w:ind w:firstLine="2711" w:firstLineChars="900"/>
        <w:jc w:val="both"/>
        <w:textAlignment w:val="auto"/>
        <w:rPr>
          <w:rFonts w:ascii="仿宋_GB2312" w:hAnsi="仿宋_GB2312" w:eastAsia="仿宋_GB2312" w:cs="仿宋_GB2312"/>
          <w:sz w:val="30"/>
          <w:szCs w:val="30"/>
        </w:rPr>
      </w:pPr>
      <w:r>
        <w:rPr>
          <w:rFonts w:hint="eastAsia" w:ascii="仿宋_GB2312" w:hAnsi="仿宋_GB2312" w:eastAsia="仿宋_GB2312" w:cs="仿宋_GB2312"/>
          <w:sz w:val="30"/>
          <w:szCs w:val="30"/>
        </w:rPr>
        <w:t>表</w:t>
      </w:r>
      <w:r>
        <w:rPr>
          <w:rFonts w:hint="eastAsia" w:ascii="仿宋_GB2312" w:hAnsi="仿宋_GB2312" w:eastAsia="仿宋_GB2312" w:cs="仿宋_GB2312"/>
          <w:sz w:val="30"/>
          <w:szCs w:val="30"/>
          <w:lang w:val="en-US" w:eastAsia="zh-CN"/>
        </w:rPr>
        <w:t>1</w:t>
      </w:r>
      <w:r>
        <w:rPr>
          <w:rFonts w:hint="eastAsia" w:ascii="仿宋_GB2312" w:hAnsi="仿宋_GB2312" w:eastAsia="仿宋_GB2312" w:cs="仿宋_GB2312"/>
          <w:sz w:val="30"/>
          <w:szCs w:val="30"/>
        </w:rPr>
        <w:t>综合评分表</w:t>
      </w:r>
    </w:p>
    <w:p>
      <w:pPr>
        <w:pageBreakBefore w:val="0"/>
        <w:kinsoku/>
        <w:wordWrap/>
        <w:overflowPunct/>
        <w:topLinePunct w:val="0"/>
        <w:autoSpaceDE/>
        <w:autoSpaceDN/>
        <w:bidi w:val="0"/>
        <w:adjustRightInd/>
        <w:snapToGrid/>
        <w:spacing w:line="560" w:lineRule="exact"/>
        <w:textAlignment w:val="auto"/>
      </w:pPr>
    </w:p>
    <w:tbl>
      <w:tblPr>
        <w:tblStyle w:val="19"/>
        <w:tblpPr w:leftFromText="180" w:rightFromText="180" w:vertAnchor="text" w:horzAnchor="page" w:tblpX="1016" w:tblpY="-67"/>
        <w:tblOverlap w:val="never"/>
        <w:tblW w:w="995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104"/>
        <w:gridCol w:w="990"/>
        <w:gridCol w:w="1283"/>
        <w:gridCol w:w="1707"/>
        <w:gridCol w:w="727"/>
        <w:gridCol w:w="1044"/>
        <w:gridCol w:w="924"/>
        <w:gridCol w:w="1215"/>
        <w:gridCol w:w="96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80" w:hRule="atLeast"/>
          <w:tblHeader/>
        </w:trPr>
        <w:tc>
          <w:tcPr>
            <w:tcW w:w="1104" w:type="dxa"/>
            <w:shd w:val="clear" w:color="auto" w:fill="BFBFBF"/>
            <w:vAlign w:val="center"/>
          </w:tcPr>
          <w:p>
            <w:pPr>
              <w:pageBreakBefore w:val="0"/>
              <w:widowControl/>
              <w:kinsoku/>
              <w:wordWrap/>
              <w:overflowPunct/>
              <w:topLinePunct w:val="0"/>
              <w:autoSpaceDE/>
              <w:autoSpaceDN/>
              <w:bidi w:val="0"/>
              <w:adjustRightInd/>
              <w:snapToGrid/>
              <w:spacing w:line="560" w:lineRule="exact"/>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一级指标</w:t>
            </w:r>
          </w:p>
        </w:tc>
        <w:tc>
          <w:tcPr>
            <w:tcW w:w="990" w:type="dxa"/>
            <w:shd w:val="clear" w:color="auto" w:fill="BFBFB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分值</w:t>
            </w:r>
          </w:p>
        </w:tc>
        <w:tc>
          <w:tcPr>
            <w:tcW w:w="1283" w:type="dxa"/>
            <w:shd w:val="clear" w:color="auto" w:fill="BFBFB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二级指标</w:t>
            </w:r>
          </w:p>
        </w:tc>
        <w:tc>
          <w:tcPr>
            <w:tcW w:w="1707" w:type="dxa"/>
            <w:shd w:val="clear" w:color="auto" w:fill="BFBFB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三级指标</w:t>
            </w:r>
          </w:p>
        </w:tc>
        <w:tc>
          <w:tcPr>
            <w:tcW w:w="727" w:type="dxa"/>
            <w:shd w:val="clear" w:color="auto" w:fill="BFBFB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权重</w:t>
            </w:r>
          </w:p>
        </w:tc>
        <w:tc>
          <w:tcPr>
            <w:tcW w:w="1044" w:type="dxa"/>
            <w:shd w:val="clear" w:color="auto" w:fill="BFBFBF"/>
            <w:vAlign w:val="center"/>
          </w:tcPr>
          <w:p>
            <w:pPr>
              <w:pageBreakBefore w:val="0"/>
              <w:widowControl/>
              <w:tabs>
                <w:tab w:val="left" w:pos="1333"/>
                <w:tab w:val="center" w:pos="3623"/>
              </w:tabs>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目标值</w:t>
            </w:r>
          </w:p>
        </w:tc>
        <w:tc>
          <w:tcPr>
            <w:tcW w:w="924" w:type="dxa"/>
            <w:shd w:val="clear" w:color="auto" w:fill="BFBFBF"/>
            <w:vAlign w:val="center"/>
          </w:tcPr>
          <w:p>
            <w:pPr>
              <w:pageBreakBefore w:val="0"/>
              <w:widowControl/>
              <w:tabs>
                <w:tab w:val="left" w:pos="1333"/>
                <w:tab w:val="center" w:pos="3623"/>
              </w:tabs>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业绩值</w:t>
            </w:r>
          </w:p>
        </w:tc>
        <w:tc>
          <w:tcPr>
            <w:tcW w:w="1215" w:type="dxa"/>
            <w:shd w:val="clear" w:color="auto" w:fill="BFBFBF"/>
            <w:vAlign w:val="center"/>
          </w:tcPr>
          <w:p>
            <w:pPr>
              <w:pageBreakBefore w:val="0"/>
              <w:widowControl/>
              <w:tabs>
                <w:tab w:val="left" w:pos="1333"/>
                <w:tab w:val="center" w:pos="3623"/>
              </w:tabs>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得分率</w:t>
            </w:r>
          </w:p>
        </w:tc>
        <w:tc>
          <w:tcPr>
            <w:tcW w:w="960" w:type="dxa"/>
            <w:shd w:val="clear" w:color="auto" w:fill="BFBFBF"/>
            <w:vAlign w:val="center"/>
          </w:tcPr>
          <w:p>
            <w:pPr>
              <w:pageBreakBefore w:val="0"/>
              <w:widowControl/>
              <w:tabs>
                <w:tab w:val="left" w:pos="1333"/>
                <w:tab w:val="center" w:pos="3623"/>
              </w:tabs>
              <w:kinsoku/>
              <w:wordWrap/>
              <w:overflowPunct/>
              <w:topLinePunct w:val="0"/>
              <w:autoSpaceDE/>
              <w:autoSpaceDN/>
              <w:bidi w:val="0"/>
              <w:adjustRightInd/>
              <w:snapToGrid/>
              <w:spacing w:line="560" w:lineRule="exact"/>
              <w:jc w:val="center"/>
              <w:textAlignment w:val="auto"/>
              <w:rPr>
                <w:rFonts w:ascii="宋体" w:hAnsi="宋体" w:cs="宋体"/>
                <w:b/>
                <w:bCs/>
                <w:color w:val="000000"/>
                <w:kern w:val="0"/>
                <w:sz w:val="22"/>
                <w:szCs w:val="22"/>
              </w:rPr>
            </w:pPr>
            <w:r>
              <w:rPr>
                <w:rFonts w:hint="eastAsia" w:ascii="宋体" w:hAnsi="宋体" w:cs="宋体"/>
                <w:b/>
                <w:bCs/>
                <w:color w:val="000000"/>
                <w:kern w:val="0"/>
                <w:sz w:val="22"/>
                <w:szCs w:val="22"/>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决策　</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　</w:t>
            </w:r>
          </w:p>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　</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　</w:t>
            </w:r>
          </w:p>
        </w:tc>
        <w:tc>
          <w:tcPr>
            <w:tcW w:w="990"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kern w:val="0"/>
                <w:sz w:val="18"/>
                <w:szCs w:val="18"/>
              </w:rPr>
              <w:t>5分</w:t>
            </w: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项目立项　</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立项依据</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充分性</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rPr>
              <w:t>0.5</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立项程序</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规范性</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rPr>
              <w:t>0.5</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绩效目标　</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绩效目标</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合理性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绩效指标</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明确性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资金投入</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预算编制</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科学性</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资金分配</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合理性</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restart"/>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过程</w:t>
            </w:r>
          </w:p>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　</w:t>
            </w:r>
          </w:p>
        </w:tc>
        <w:tc>
          <w:tcPr>
            <w:tcW w:w="990"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kern w:val="0"/>
                <w:sz w:val="18"/>
                <w:szCs w:val="18"/>
              </w:rPr>
              <w:t>5分</w:t>
            </w: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资金管理</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资金到位率</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预算执行率</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资金管理</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资金使用</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合规性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组织实施</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管理制度</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健全性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制度执行</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有效性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产出</w:t>
            </w:r>
          </w:p>
        </w:tc>
        <w:tc>
          <w:tcPr>
            <w:tcW w:w="990"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kern w:val="0"/>
                <w:sz w:val="18"/>
                <w:szCs w:val="18"/>
              </w:rPr>
              <w:t>50分</w:t>
            </w:r>
          </w:p>
        </w:tc>
        <w:tc>
          <w:tcPr>
            <w:tcW w:w="1283"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产出数量</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实际完成率</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产出质量</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质量达标率</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shd w:val="clear" w:color="auto" w:fill="FFFFFF"/>
            <w:vAlign w:val="center"/>
          </w:tcPr>
          <w:p>
            <w:pPr>
              <w:pageBreakBefore w:val="0"/>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产出时效</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完成及时性</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产出成本</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成本节约率</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效益　</w:t>
            </w:r>
          </w:p>
        </w:tc>
        <w:tc>
          <w:tcPr>
            <w:tcW w:w="990"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40分</w:t>
            </w:r>
          </w:p>
        </w:tc>
        <w:tc>
          <w:tcPr>
            <w:tcW w:w="1283" w:type="dxa"/>
            <w:vMerge w:val="restart"/>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项目效益　</w:t>
            </w: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实施效益</w:t>
            </w:r>
          </w:p>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（社会效益、经济效益、可持续效益）</w:t>
            </w:r>
          </w:p>
        </w:tc>
        <w:tc>
          <w:tcPr>
            <w:tcW w:w="72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30</w:t>
            </w:r>
          </w:p>
        </w:tc>
        <w:tc>
          <w:tcPr>
            <w:tcW w:w="104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30</w:t>
            </w:r>
          </w:p>
        </w:tc>
        <w:tc>
          <w:tcPr>
            <w:tcW w:w="924"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30</w:t>
            </w:r>
          </w:p>
        </w:tc>
        <w:tc>
          <w:tcPr>
            <w:tcW w:w="1215"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100%</w:t>
            </w:r>
          </w:p>
        </w:tc>
        <w:tc>
          <w:tcPr>
            <w:tcW w:w="960"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30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67" w:hRule="atLeast"/>
        </w:trPr>
        <w:tc>
          <w:tcPr>
            <w:tcW w:w="1104"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990"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283" w:type="dxa"/>
            <w:vMerge w:val="continue"/>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p>
        </w:tc>
        <w:tc>
          <w:tcPr>
            <w:tcW w:w="1707" w:type="dxa"/>
            <w:shd w:val="clear" w:color="auto"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满意度</w:t>
            </w:r>
          </w:p>
        </w:tc>
        <w:tc>
          <w:tcPr>
            <w:tcW w:w="727"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rPr>
              <w:t>10</w:t>
            </w:r>
          </w:p>
        </w:tc>
        <w:tc>
          <w:tcPr>
            <w:tcW w:w="104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10</w:t>
            </w:r>
          </w:p>
        </w:tc>
        <w:tc>
          <w:tcPr>
            <w:tcW w:w="924"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8</w:t>
            </w:r>
          </w:p>
        </w:tc>
        <w:tc>
          <w:tcPr>
            <w:tcW w:w="1215"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hint="default"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80%</w:t>
            </w:r>
          </w:p>
        </w:tc>
        <w:tc>
          <w:tcPr>
            <w:tcW w:w="960" w:type="dxa"/>
            <w:shd w:val="clear" w:color="000000" w:fill="FFFFFF"/>
            <w:vAlign w:val="center"/>
          </w:tcPr>
          <w:p>
            <w:pPr>
              <w:pageBreakBefore w:val="0"/>
              <w:widowControl/>
              <w:kinsoku/>
              <w:wordWrap/>
              <w:overflowPunct/>
              <w:topLinePunct w:val="0"/>
              <w:autoSpaceDE/>
              <w:autoSpaceDN/>
              <w:bidi w:val="0"/>
              <w:adjustRightInd/>
              <w:snapToGrid/>
              <w:spacing w:line="560" w:lineRule="exact"/>
              <w:jc w:val="center"/>
              <w:textAlignment w:val="auto"/>
              <w:rPr>
                <w:rFonts w:ascii="宋体" w:hAnsi="宋体" w:cs="宋体"/>
                <w:color w:val="000000"/>
                <w:kern w:val="0"/>
                <w:sz w:val="18"/>
                <w:szCs w:val="18"/>
              </w:rPr>
            </w:pPr>
            <w:r>
              <w:rPr>
                <w:rFonts w:hint="eastAsia" w:ascii="宋体" w:hAnsi="宋体" w:cs="宋体"/>
                <w:color w:val="000000"/>
                <w:kern w:val="0"/>
                <w:sz w:val="18"/>
                <w:szCs w:val="18"/>
                <w:lang w:val="en-US" w:eastAsia="zh-CN"/>
              </w:rPr>
              <w:t>8</w:t>
            </w:r>
          </w:p>
        </w:tc>
      </w:tr>
    </w:tbl>
    <w:p>
      <w:pPr>
        <w:pageBreakBefore w:val="0"/>
        <w:kinsoku/>
        <w:wordWrap/>
        <w:overflowPunct/>
        <w:topLinePunct w:val="0"/>
        <w:autoSpaceDE/>
        <w:autoSpaceDN/>
        <w:bidi w:val="0"/>
        <w:adjustRightInd/>
        <w:snapToGrid/>
        <w:spacing w:line="560" w:lineRule="exact"/>
        <w:ind w:firstLine="643" w:firstLineChars="200"/>
        <w:textAlignment w:val="auto"/>
        <w:rPr>
          <w:rFonts w:ascii="黑体" w:hAnsi="黑体" w:eastAsia="黑体"/>
          <w:b/>
          <w:bCs/>
          <w:sz w:val="32"/>
          <w:szCs w:val="32"/>
        </w:rPr>
      </w:pPr>
      <w:r>
        <w:rPr>
          <w:rFonts w:hint="eastAsia" w:ascii="黑体" w:hAnsi="黑体" w:eastAsia="黑体"/>
          <w:b/>
          <w:bCs/>
          <w:sz w:val="32"/>
          <w:szCs w:val="32"/>
        </w:rPr>
        <w:t>四、绩效评价指标分析</w:t>
      </w:r>
    </w:p>
    <w:p>
      <w:pPr>
        <w:pStyle w:val="2"/>
        <w:pageBreakBefore w:val="0"/>
        <w:kinsoku/>
        <w:wordWrap/>
        <w:overflowPunct/>
        <w:topLinePunct w:val="0"/>
        <w:autoSpaceDE/>
        <w:autoSpaceDN/>
        <w:bidi w:val="0"/>
        <w:adjustRightInd/>
        <w:snapToGrid/>
        <w:spacing w:before="0" w:after="0" w:line="560" w:lineRule="exact"/>
        <w:ind w:firstLine="643" w:firstLineChars="200"/>
        <w:jc w:val="both"/>
        <w:textAlignment w:val="auto"/>
        <w:rPr>
          <w:rFonts w:hint="eastAsia" w:eastAsia="楷体_GB2312"/>
          <w:sz w:val="36"/>
          <w:szCs w:val="44"/>
          <w:highlight w:val="yellow"/>
          <w:lang w:val="en-US" w:eastAsia="zh-CN"/>
        </w:rPr>
      </w:pPr>
      <w:r>
        <w:rPr>
          <w:rFonts w:hint="eastAsia" w:ascii="楷体_GB2312" w:hAnsi="楷体_GB2312" w:eastAsia="楷体_GB2312" w:cs="楷体_GB2312"/>
        </w:rPr>
        <w:t>（一）项目决策情况</w:t>
      </w:r>
    </w:p>
    <w:p>
      <w:pPr>
        <w:pStyle w:val="2"/>
        <w:pageBreakBefore w:val="0"/>
        <w:kinsoku/>
        <w:wordWrap/>
        <w:overflowPunct/>
        <w:topLinePunct w:val="0"/>
        <w:autoSpaceDE/>
        <w:autoSpaceDN/>
        <w:bidi w:val="0"/>
        <w:adjustRightInd/>
        <w:snapToGrid/>
        <w:spacing w:before="0" w:after="0" w:line="560" w:lineRule="exact"/>
        <w:ind w:firstLine="624" w:firstLineChars="200"/>
        <w:jc w:val="both"/>
        <w:textAlignment w:val="auto"/>
        <w:rPr>
          <w:rStyle w:val="21"/>
          <w:rFonts w:hint="default" w:ascii="仿宋" w:hAnsi="仿宋" w:eastAsia="仿宋" w:cs="仿宋"/>
          <w:b w:val="0"/>
          <w:bCs/>
          <w:spacing w:val="-4"/>
          <w:kern w:val="2"/>
          <w:sz w:val="32"/>
          <w:szCs w:val="32"/>
          <w:lang w:val="en-US" w:eastAsia="zh-CN" w:bidi="ar-SA"/>
        </w:rPr>
      </w:pPr>
      <w:r>
        <w:rPr>
          <w:rStyle w:val="21"/>
          <w:rFonts w:hint="eastAsia" w:ascii="仿宋" w:hAnsi="仿宋" w:eastAsia="仿宋" w:cs="仿宋"/>
          <w:b w:val="0"/>
          <w:bCs/>
          <w:spacing w:val="-4"/>
          <w:kern w:val="2"/>
          <w:sz w:val="32"/>
          <w:szCs w:val="32"/>
          <w:lang w:val="en-US" w:eastAsia="zh-CN" w:bidi="ar-SA"/>
        </w:rPr>
        <w:t>为民办实事工作经费立项依据充分，程序规范，设立绩效目标合理，目的明确，在预算编制和资金分配上充分体现科学性和合理性，得分分值5分。</w:t>
      </w:r>
    </w:p>
    <w:p>
      <w:pPr>
        <w:pStyle w:val="2"/>
        <w:pageBreakBefore w:val="0"/>
        <w:kinsoku/>
        <w:wordWrap/>
        <w:overflowPunct/>
        <w:topLinePunct w:val="0"/>
        <w:autoSpaceDE/>
        <w:autoSpaceDN/>
        <w:bidi w:val="0"/>
        <w:adjustRightInd/>
        <w:snapToGrid/>
        <w:spacing w:before="0" w:after="0" w:line="560" w:lineRule="exact"/>
        <w:ind w:firstLine="643" w:firstLineChars="200"/>
        <w:jc w:val="both"/>
        <w:textAlignment w:val="auto"/>
        <w:rPr>
          <w:rFonts w:hint="eastAsia" w:ascii="楷体_GB2312" w:hAnsi="楷体_GB2312" w:eastAsia="楷体_GB2312" w:cs="楷体_GB2312"/>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二</w:t>
      </w:r>
      <w:r>
        <w:rPr>
          <w:rFonts w:hint="eastAsia" w:ascii="楷体_GB2312" w:hAnsi="楷体_GB2312" w:eastAsia="楷体_GB2312" w:cs="楷体_GB2312"/>
          <w:lang w:eastAsia="zh-CN"/>
        </w:rPr>
        <w:t>）</w:t>
      </w:r>
      <w:r>
        <w:rPr>
          <w:rFonts w:hint="eastAsia" w:ascii="楷体_GB2312" w:hAnsi="楷体_GB2312" w:eastAsia="楷体_GB2312" w:cs="楷体_GB2312"/>
        </w:rPr>
        <w:t>项目过程情况</w:t>
      </w:r>
    </w:p>
    <w:p>
      <w:pPr>
        <w:pStyle w:val="2"/>
        <w:pageBreakBefore w:val="0"/>
        <w:kinsoku/>
        <w:wordWrap/>
        <w:overflowPunct/>
        <w:topLinePunct w:val="0"/>
        <w:autoSpaceDE/>
        <w:autoSpaceDN/>
        <w:bidi w:val="0"/>
        <w:adjustRightInd/>
        <w:snapToGrid/>
        <w:spacing w:before="0" w:after="0" w:line="560" w:lineRule="exact"/>
        <w:ind w:firstLine="624" w:firstLineChars="200"/>
        <w:jc w:val="both"/>
        <w:textAlignment w:val="auto"/>
      </w:pPr>
      <w:r>
        <w:rPr>
          <w:rStyle w:val="21"/>
          <w:rFonts w:hint="eastAsia" w:ascii="仿宋" w:hAnsi="仿宋" w:eastAsia="仿宋" w:cs="仿宋"/>
          <w:b w:val="0"/>
          <w:bCs/>
          <w:spacing w:val="-4"/>
          <w:kern w:val="2"/>
          <w:sz w:val="32"/>
          <w:szCs w:val="32"/>
          <w:lang w:val="en-US" w:eastAsia="zh-CN" w:bidi="ar-SA"/>
        </w:rPr>
        <w:t>为民办实事工作经费资金到位率100%，执行率100%，资金支付严格按规章制度执行。项目资金使用符合相关的财务管理制度规定，能够反映和考核项目资金的规范运行情况；项目实施单位的财务和业务管理制度健全，能够反映和考核财务和业务管理制度对项目顺利实施的保障情况。得分分值5分。</w:t>
      </w:r>
    </w:p>
    <w:p>
      <w:pPr>
        <w:pStyle w:val="18"/>
        <w:pageBreakBefore w:val="0"/>
        <w:numPr>
          <w:ilvl w:val="0"/>
          <w:numId w:val="3"/>
        </w:numPr>
        <w:kinsoku/>
        <w:wordWrap/>
        <w:overflowPunct/>
        <w:topLinePunct w:val="0"/>
        <w:autoSpaceDE/>
        <w:autoSpaceDN/>
        <w:bidi w:val="0"/>
        <w:adjustRightInd/>
        <w:snapToGrid/>
        <w:spacing w:after="0" w:line="56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项目产出</w:t>
      </w:r>
    </w:p>
    <w:p>
      <w:pPr>
        <w:pageBreakBefore w:val="0"/>
        <w:kinsoku/>
        <w:wordWrap/>
        <w:overflowPunct/>
        <w:topLinePunct w:val="0"/>
        <w:autoSpaceDE/>
        <w:autoSpaceDN/>
        <w:bidi w:val="0"/>
        <w:adjustRightInd/>
        <w:snapToGrid/>
        <w:spacing w:line="560" w:lineRule="exact"/>
        <w:ind w:firstLine="624" w:firstLineChars="200"/>
        <w:textAlignment w:val="auto"/>
        <w:rPr>
          <w:rStyle w:val="21"/>
          <w:rFonts w:hint="eastAsia" w:ascii="仿宋" w:hAnsi="仿宋" w:eastAsia="仿宋" w:cs="仿宋"/>
          <w:b w:val="0"/>
          <w:bCs/>
          <w:spacing w:val="-4"/>
          <w:sz w:val="32"/>
          <w:szCs w:val="32"/>
          <w:lang w:val="en-US" w:eastAsia="zh-CN"/>
        </w:rPr>
      </w:pPr>
      <w:r>
        <w:rPr>
          <w:rStyle w:val="21"/>
          <w:rFonts w:hint="eastAsia" w:ascii="仿宋" w:hAnsi="仿宋" w:eastAsia="仿宋" w:cs="仿宋"/>
          <w:b w:val="0"/>
          <w:bCs/>
          <w:spacing w:val="-4"/>
          <w:sz w:val="32"/>
          <w:szCs w:val="32"/>
        </w:rPr>
        <w:t>数量指标方面：</w:t>
      </w:r>
      <w:r>
        <w:rPr>
          <w:rStyle w:val="21"/>
          <w:rFonts w:hint="eastAsia" w:ascii="仿宋" w:hAnsi="仿宋" w:eastAsia="仿宋" w:cs="仿宋"/>
          <w:b w:val="0"/>
          <w:bCs/>
          <w:spacing w:val="-4"/>
          <w:sz w:val="32"/>
          <w:szCs w:val="32"/>
          <w:lang w:eastAsia="zh-CN"/>
        </w:rPr>
        <w:t>为民办实事工作经费年度目标值</w:t>
      </w:r>
      <w:r>
        <w:rPr>
          <w:rStyle w:val="21"/>
          <w:rFonts w:hint="eastAsia" w:ascii="仿宋" w:hAnsi="仿宋" w:eastAsia="仿宋" w:cs="仿宋"/>
          <w:b w:val="0"/>
          <w:bCs/>
          <w:spacing w:val="-4"/>
          <w:sz w:val="32"/>
          <w:szCs w:val="32"/>
          <w:lang w:val="en-US" w:eastAsia="zh-CN"/>
        </w:rPr>
        <w:t>5万，完成值5万，指标完成率100%。</w:t>
      </w:r>
    </w:p>
    <w:p>
      <w:pPr>
        <w:pageBreakBefore w:val="0"/>
        <w:kinsoku/>
        <w:wordWrap/>
        <w:overflowPunct/>
        <w:topLinePunct w:val="0"/>
        <w:autoSpaceDE/>
        <w:autoSpaceDN/>
        <w:bidi w:val="0"/>
        <w:adjustRightInd/>
        <w:snapToGrid/>
        <w:spacing w:line="560" w:lineRule="exact"/>
        <w:ind w:firstLine="640" w:firstLineChars="200"/>
        <w:textAlignment w:val="auto"/>
        <w:rPr>
          <w:rStyle w:val="50"/>
          <w:rFonts w:hint="eastAsia"/>
          <w:color w:val="auto"/>
        </w:rPr>
      </w:pPr>
      <w:r>
        <w:rPr>
          <w:rStyle w:val="50"/>
          <w:rFonts w:hint="eastAsia"/>
          <w:color w:val="auto"/>
        </w:rPr>
        <w:t>质量指标方面：</w:t>
      </w:r>
      <w:r>
        <w:rPr>
          <w:rFonts w:hint="eastAsia" w:ascii="仿宋_GB2312" w:hAnsi="仿宋_GB2312" w:eastAsia="仿宋_GB2312" w:cs="仿宋_GB2312"/>
          <w:sz w:val="32"/>
          <w:szCs w:val="32"/>
        </w:rPr>
        <w:t>办公设备合格率、资金使用合规性</w:t>
      </w:r>
      <w:r>
        <w:rPr>
          <w:rStyle w:val="21"/>
          <w:rFonts w:hint="eastAsia" w:ascii="仿宋" w:hAnsi="仿宋" w:eastAsia="仿宋" w:cs="仿宋"/>
          <w:b w:val="0"/>
          <w:bCs/>
          <w:spacing w:val="-4"/>
          <w:sz w:val="32"/>
          <w:szCs w:val="32"/>
          <w:lang w:eastAsia="zh-CN"/>
        </w:rPr>
        <w:t>年度目标值</w:t>
      </w:r>
      <w:r>
        <w:rPr>
          <w:rStyle w:val="21"/>
          <w:rFonts w:hint="eastAsia" w:ascii="仿宋" w:hAnsi="仿宋" w:eastAsia="仿宋" w:cs="仿宋"/>
          <w:b w:val="0"/>
          <w:bCs/>
          <w:spacing w:val="-4"/>
          <w:sz w:val="32"/>
          <w:szCs w:val="32"/>
          <w:lang w:val="en-US" w:eastAsia="zh-CN"/>
        </w:rPr>
        <w:t>=100%万，完成值100%，</w:t>
      </w:r>
      <w:r>
        <w:rPr>
          <w:rFonts w:hint="eastAsia" w:ascii="仿宋_GB2312" w:hAnsi="仿宋_GB2312" w:eastAsia="仿宋_GB2312" w:cs="仿宋_GB2312"/>
          <w:sz w:val="32"/>
          <w:szCs w:val="32"/>
        </w:rPr>
        <w:t>指标完成率</w:t>
      </w:r>
      <w:r>
        <w:rPr>
          <w:rFonts w:hint="eastAsia" w:ascii="仿宋_GB2312" w:hAnsi="仿宋_GB2312" w:eastAsia="仿宋_GB2312" w:cs="仿宋_GB2312"/>
          <w:sz w:val="32"/>
          <w:szCs w:val="32"/>
          <w:lang w:val="en-US" w:eastAsia="zh-CN"/>
        </w:rPr>
        <w:t>100%。</w:t>
      </w:r>
    </w:p>
    <w:p>
      <w:pPr>
        <w:pStyle w:val="2"/>
        <w:pageBreakBefore w:val="0"/>
        <w:kinsoku/>
        <w:wordWrap/>
        <w:overflowPunct/>
        <w:topLinePunct w:val="0"/>
        <w:autoSpaceDE/>
        <w:autoSpaceDN/>
        <w:bidi w:val="0"/>
        <w:adjustRightInd/>
        <w:snapToGrid/>
        <w:spacing w:before="0" w:after="0" w:line="560" w:lineRule="exact"/>
        <w:ind w:firstLine="640" w:firstLineChars="200"/>
        <w:jc w:val="both"/>
        <w:textAlignment w:val="auto"/>
        <w:rPr>
          <w:rFonts w:hint="eastAsia" w:ascii="仿宋_GB2312" w:hAnsi="仿宋_GB2312" w:eastAsia="仿宋_GB2312" w:cs="仿宋_GB2312"/>
          <w:b w:val="0"/>
          <w:bCs w:val="0"/>
          <w:kern w:val="2"/>
          <w:sz w:val="32"/>
          <w:szCs w:val="32"/>
          <w:lang w:val="en-US" w:eastAsia="zh-CN" w:bidi="ar-SA"/>
        </w:rPr>
      </w:pPr>
      <w:r>
        <w:rPr>
          <w:rStyle w:val="50"/>
          <w:rFonts w:hint="eastAsia"/>
          <w:b w:val="0"/>
          <w:bCs w:val="0"/>
          <w:color w:val="auto"/>
          <w:lang w:val="en-US" w:eastAsia="zh-CN"/>
        </w:rPr>
        <w:t>成本指标方面：</w:t>
      </w:r>
      <w:r>
        <w:rPr>
          <w:rFonts w:hint="eastAsia" w:ascii="仿宋_GB2312" w:hAnsi="仿宋_GB2312" w:eastAsia="仿宋_GB2312" w:cs="仿宋_GB2312"/>
          <w:b w:val="0"/>
          <w:bCs w:val="0"/>
          <w:kern w:val="2"/>
          <w:sz w:val="32"/>
          <w:szCs w:val="32"/>
          <w:lang w:val="en-US" w:eastAsia="zh-CN" w:bidi="ar-SA"/>
        </w:rPr>
        <w:t>制定统一的评价标准，使财政资金得到事前、事中和事后多方面的控制，</w:t>
      </w:r>
      <w:r>
        <w:rPr>
          <w:rStyle w:val="21"/>
          <w:rFonts w:hint="eastAsia" w:ascii="仿宋" w:hAnsi="仿宋" w:eastAsia="仿宋" w:cs="仿宋"/>
          <w:b w:val="0"/>
          <w:bCs/>
          <w:spacing w:val="-4"/>
          <w:sz w:val="32"/>
          <w:szCs w:val="32"/>
          <w:lang w:eastAsia="zh-CN"/>
        </w:rPr>
        <w:t>年度目标值</w:t>
      </w:r>
      <w:r>
        <w:rPr>
          <w:rStyle w:val="21"/>
          <w:rFonts w:hint="eastAsia" w:ascii="仿宋" w:hAnsi="仿宋" w:eastAsia="仿宋" w:cs="仿宋"/>
          <w:b w:val="0"/>
          <w:bCs/>
          <w:spacing w:val="-4"/>
          <w:sz w:val="32"/>
          <w:szCs w:val="32"/>
          <w:lang w:val="en-US" w:eastAsia="zh-CN"/>
        </w:rPr>
        <w:t>5万，完成值5万，</w:t>
      </w:r>
      <w:r>
        <w:rPr>
          <w:rFonts w:hint="eastAsia" w:ascii="仿宋_GB2312" w:hAnsi="仿宋_GB2312" w:eastAsia="仿宋_GB2312" w:cs="仿宋_GB2312"/>
          <w:b w:val="0"/>
          <w:bCs w:val="0"/>
          <w:kern w:val="2"/>
          <w:sz w:val="32"/>
          <w:szCs w:val="32"/>
          <w:lang w:val="en-US" w:eastAsia="zh-CN" w:bidi="ar-SA"/>
        </w:rPr>
        <w:t>指标完成率100%。</w:t>
      </w:r>
    </w:p>
    <w:p>
      <w:pPr>
        <w:pageBreakBefore w:val="0"/>
        <w:kinsoku/>
        <w:wordWrap/>
        <w:overflowPunct/>
        <w:topLinePunct w:val="0"/>
        <w:autoSpaceDE/>
        <w:autoSpaceDN/>
        <w:bidi w:val="0"/>
        <w:adjustRightInd/>
        <w:snapToGrid/>
        <w:spacing w:line="560" w:lineRule="exact"/>
        <w:ind w:firstLine="640" w:firstLineChars="200"/>
        <w:textAlignment w:val="auto"/>
        <w:rPr>
          <w:rFonts w:ascii="楷体_GB2312" w:hAnsi="楷体_GB2312" w:eastAsia="楷体_GB2312" w:cs="楷体_GB2312"/>
          <w:b/>
          <w:bCs/>
          <w:sz w:val="32"/>
          <w:szCs w:val="32"/>
        </w:rPr>
      </w:pPr>
      <w:r>
        <w:rPr>
          <w:rStyle w:val="50"/>
          <w:rFonts w:hint="eastAsia"/>
          <w:color w:val="auto"/>
          <w:lang w:val="en-US" w:eastAsia="zh-CN"/>
        </w:rPr>
        <w:t>时效指标方面：</w:t>
      </w:r>
      <w:r>
        <w:rPr>
          <w:rFonts w:hint="eastAsia" w:ascii="仿宋_GB2312" w:hAnsi="仿宋_GB2312" w:eastAsia="仿宋_GB2312" w:cs="仿宋_GB2312"/>
          <w:sz w:val="32"/>
          <w:szCs w:val="32"/>
        </w:rPr>
        <w:t>完成为民办事工作</w:t>
      </w:r>
      <w:r>
        <w:rPr>
          <w:rFonts w:hint="eastAsia" w:ascii="仿宋_GB2312" w:hAnsi="仿宋_GB2312" w:eastAsia="仿宋_GB2312" w:cs="仿宋_GB2312"/>
          <w:sz w:val="32"/>
          <w:szCs w:val="32"/>
          <w:lang w:eastAsia="zh-CN"/>
        </w:rPr>
        <w:t>，</w:t>
      </w:r>
      <w:r>
        <w:rPr>
          <w:rStyle w:val="21"/>
          <w:rFonts w:hint="eastAsia" w:ascii="仿宋" w:hAnsi="仿宋" w:eastAsia="仿宋" w:cs="仿宋"/>
          <w:b w:val="0"/>
          <w:bCs/>
          <w:spacing w:val="-4"/>
          <w:sz w:val="32"/>
          <w:szCs w:val="32"/>
          <w:lang w:eastAsia="zh-CN"/>
        </w:rPr>
        <w:t>年度目标值</w:t>
      </w:r>
      <w:r>
        <w:rPr>
          <w:rStyle w:val="21"/>
          <w:rFonts w:hint="eastAsia" w:ascii="仿宋" w:hAnsi="仿宋" w:eastAsia="仿宋" w:cs="仿宋"/>
          <w:b w:val="0"/>
          <w:bCs/>
          <w:spacing w:val="-4"/>
          <w:sz w:val="32"/>
          <w:szCs w:val="32"/>
          <w:lang w:val="en-US" w:eastAsia="zh-CN"/>
        </w:rPr>
        <w:t>2020年1月-12月，完成时间2020年1月-12月，</w:t>
      </w:r>
      <w:r>
        <w:rPr>
          <w:rFonts w:hint="eastAsia" w:ascii="仿宋_GB2312" w:hAnsi="仿宋_GB2312" w:eastAsia="仿宋_GB2312" w:cs="仿宋_GB2312"/>
          <w:sz w:val="32"/>
          <w:szCs w:val="32"/>
        </w:rPr>
        <w:t>指标完成率</w:t>
      </w:r>
      <w:r>
        <w:rPr>
          <w:rFonts w:hint="eastAsia" w:ascii="仿宋_GB2312" w:hAnsi="仿宋_GB2312" w:eastAsia="仿宋_GB2312" w:cs="仿宋_GB2312"/>
          <w:sz w:val="32"/>
          <w:szCs w:val="32"/>
          <w:lang w:val="en-US" w:eastAsia="zh-CN"/>
        </w:rPr>
        <w:t>100%。</w:t>
      </w:r>
    </w:p>
    <w:p>
      <w:pPr>
        <w:pStyle w:val="18"/>
        <w:pageBreakBefore w:val="0"/>
        <w:numPr>
          <w:ilvl w:val="0"/>
          <w:numId w:val="3"/>
        </w:numPr>
        <w:kinsoku/>
        <w:wordWrap/>
        <w:overflowPunct/>
        <w:topLinePunct w:val="0"/>
        <w:autoSpaceDE/>
        <w:autoSpaceDN/>
        <w:bidi w:val="0"/>
        <w:adjustRightInd/>
        <w:snapToGrid/>
        <w:spacing w:after="0" w:line="56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效益情况</w:t>
      </w:r>
    </w:p>
    <w:p>
      <w:pPr>
        <w:pageBreakBefore w:val="0"/>
        <w:kinsoku/>
        <w:wordWrap/>
        <w:overflowPunct/>
        <w:topLinePunct w:val="0"/>
        <w:autoSpaceDE/>
        <w:autoSpaceDN/>
        <w:bidi w:val="0"/>
        <w:adjustRightInd/>
        <w:snapToGrid/>
        <w:spacing w:line="560" w:lineRule="exact"/>
        <w:ind w:firstLine="640" w:firstLineChars="200"/>
        <w:textAlignment w:val="auto"/>
        <w:rPr>
          <w:rStyle w:val="50"/>
          <w:rFonts w:hint="eastAsia" w:eastAsia="仿宋"/>
          <w:color w:val="auto"/>
          <w:lang w:eastAsia="zh-CN"/>
        </w:rPr>
      </w:pPr>
      <w:r>
        <w:rPr>
          <w:rStyle w:val="50"/>
          <w:rFonts w:hint="eastAsia"/>
          <w:color w:val="auto"/>
        </w:rPr>
        <w:t>社会效益指标方面：</w:t>
      </w:r>
      <w:r>
        <w:rPr>
          <w:rFonts w:hint="eastAsia" w:ascii="仿宋" w:hAnsi="仿宋" w:eastAsia="仿宋"/>
          <w:sz w:val="32"/>
          <w:szCs w:val="32"/>
        </w:rPr>
        <w:t>切实解决了基层组织最需要</w:t>
      </w:r>
      <w:r>
        <w:rPr>
          <w:rFonts w:hint="eastAsia" w:ascii="仿宋" w:hAnsi="仿宋" w:eastAsia="仿宋"/>
          <w:sz w:val="32"/>
          <w:szCs w:val="32"/>
          <w:lang w:eastAsia="zh-CN"/>
        </w:rPr>
        <w:t>、</w:t>
      </w:r>
      <w:r>
        <w:rPr>
          <w:rFonts w:hint="eastAsia" w:ascii="仿宋" w:hAnsi="仿宋" w:eastAsia="仿宋"/>
          <w:sz w:val="32"/>
          <w:szCs w:val="32"/>
        </w:rPr>
        <w:t>最关心的实际问题</w:t>
      </w:r>
      <w:r>
        <w:rPr>
          <w:rFonts w:hint="eastAsia" w:ascii="仿宋" w:hAnsi="仿宋" w:eastAsia="仿宋"/>
          <w:sz w:val="32"/>
          <w:szCs w:val="32"/>
          <w:lang w:eastAsia="zh-CN"/>
        </w:rPr>
        <w:t>，</w:t>
      </w:r>
      <w:r>
        <w:rPr>
          <w:rFonts w:hint="eastAsia" w:ascii="仿宋_GB2312" w:hAnsi="仿宋_GB2312" w:eastAsia="仿宋_GB2312" w:cs="仿宋_GB2312"/>
          <w:sz w:val="32"/>
          <w:szCs w:val="32"/>
        </w:rPr>
        <w:t>指标完成率</w:t>
      </w:r>
      <w:r>
        <w:rPr>
          <w:rFonts w:hint="eastAsia" w:ascii="仿宋_GB2312" w:hAnsi="仿宋_GB2312" w:eastAsia="仿宋_GB2312" w:cs="仿宋_GB2312"/>
          <w:sz w:val="32"/>
          <w:szCs w:val="32"/>
          <w:lang w:val="en-US" w:eastAsia="zh-CN"/>
        </w:rPr>
        <w:t>100%</w:t>
      </w:r>
      <w:r>
        <w:rPr>
          <w:rFonts w:hint="eastAsia" w:ascii="仿宋_GB2312" w:hAnsi="仿宋_GB2312" w:eastAsia="仿宋_GB2312" w:cs="仿宋_GB2312"/>
          <w:sz w:val="32"/>
          <w:szCs w:val="32"/>
        </w:rPr>
        <w:t>；</w:t>
      </w:r>
    </w:p>
    <w:p>
      <w:pPr>
        <w:pageBreakBefore w:val="0"/>
        <w:kinsoku/>
        <w:wordWrap/>
        <w:overflowPunct/>
        <w:topLinePunct w:val="0"/>
        <w:autoSpaceDE/>
        <w:autoSpaceDN/>
        <w:bidi w:val="0"/>
        <w:adjustRightInd/>
        <w:snapToGrid/>
        <w:spacing w:line="560" w:lineRule="exact"/>
        <w:ind w:firstLine="640" w:firstLineChars="200"/>
        <w:textAlignment w:val="auto"/>
        <w:rPr>
          <w:rStyle w:val="50"/>
          <w:color w:val="auto"/>
        </w:rPr>
      </w:pPr>
      <w:r>
        <w:rPr>
          <w:rStyle w:val="50"/>
          <w:color w:val="auto"/>
        </w:rPr>
        <w:t>可持续影响指标</w:t>
      </w:r>
      <w:r>
        <w:rPr>
          <w:rStyle w:val="50"/>
          <w:rFonts w:hint="eastAsia"/>
          <w:color w:val="auto"/>
        </w:rPr>
        <w:t>方面：</w:t>
      </w:r>
      <w:r>
        <w:rPr>
          <w:rStyle w:val="50"/>
          <w:rFonts w:hint="eastAsia" w:eastAsia="仿宋_GB2312"/>
          <w:color w:val="auto"/>
          <w:lang w:eastAsia="zh-CN"/>
        </w:rPr>
        <w:t>通过工作队的工作，村队全体的凝聚力提高，</w:t>
      </w:r>
      <w:r>
        <w:rPr>
          <w:rFonts w:hint="eastAsia" w:ascii="仿宋_GB2312" w:hAnsi="仿宋_GB2312" w:eastAsia="仿宋_GB2312" w:cs="仿宋_GB2312"/>
          <w:sz w:val="32"/>
          <w:szCs w:val="32"/>
        </w:rPr>
        <w:t>指标完成率</w:t>
      </w:r>
      <w:r>
        <w:rPr>
          <w:rFonts w:hint="eastAsia" w:ascii="仿宋_GB2312" w:hAnsi="仿宋_GB2312" w:eastAsia="仿宋_GB2312" w:cs="仿宋_GB2312"/>
          <w:sz w:val="32"/>
          <w:szCs w:val="32"/>
          <w:lang w:val="en-US" w:eastAsia="zh-CN"/>
        </w:rPr>
        <w:t>100%。</w:t>
      </w:r>
    </w:p>
    <w:p>
      <w:pPr>
        <w:pageBreakBefore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Style w:val="50"/>
          <w:color w:val="auto"/>
        </w:rPr>
        <w:t>满意度指标</w:t>
      </w:r>
      <w:r>
        <w:rPr>
          <w:rStyle w:val="50"/>
          <w:rFonts w:hint="eastAsia"/>
          <w:color w:val="auto"/>
        </w:rPr>
        <w:t>方面：</w:t>
      </w:r>
      <w:r>
        <w:rPr>
          <w:rStyle w:val="50"/>
          <w:rFonts w:hint="eastAsia" w:eastAsia="仿宋_GB2312"/>
          <w:color w:val="auto"/>
          <w:lang w:eastAsia="zh-CN"/>
        </w:rPr>
        <w:t>工作队的工作成绩有所提高，居住百姓对工作效率满意度提高，分值</w:t>
      </w:r>
      <w:r>
        <w:rPr>
          <w:rStyle w:val="50"/>
          <w:rFonts w:hint="eastAsia" w:eastAsia="仿宋_GB2312"/>
          <w:color w:val="auto"/>
          <w:lang w:val="en-US" w:eastAsia="zh-CN"/>
        </w:rPr>
        <w:t>10分，完成10分，执行率100%。</w:t>
      </w:r>
    </w:p>
    <w:p>
      <w:pPr>
        <w:pageBreakBefore w:val="0"/>
        <w:kinsoku/>
        <w:wordWrap/>
        <w:overflowPunct/>
        <w:topLinePunct w:val="0"/>
        <w:autoSpaceDE/>
        <w:autoSpaceDN/>
        <w:bidi w:val="0"/>
        <w:adjustRightInd/>
        <w:snapToGrid/>
        <w:spacing w:line="560" w:lineRule="exact"/>
        <w:ind w:firstLine="643" w:firstLineChars="200"/>
        <w:textAlignment w:val="auto"/>
        <w:rPr>
          <w:rStyle w:val="50"/>
          <w:b/>
          <w:bCs/>
          <w:color w:val="auto"/>
        </w:rPr>
      </w:pPr>
      <w:r>
        <w:rPr>
          <w:rFonts w:hint="eastAsia" w:ascii="黑体" w:hAnsi="黑体" w:eastAsia="黑体"/>
          <w:b/>
          <w:bCs/>
          <w:sz w:val="32"/>
          <w:szCs w:val="32"/>
        </w:rPr>
        <w:t>五、主要经验及做法、存在的问题及原因分析</w:t>
      </w:r>
    </w:p>
    <w:p>
      <w:pPr>
        <w:pageBreakBefore w:val="0"/>
        <w:kinsoku/>
        <w:wordWrap/>
        <w:overflowPunct/>
        <w:topLinePunct w:val="0"/>
        <w:autoSpaceDE/>
        <w:autoSpaceDN/>
        <w:bidi w:val="0"/>
        <w:adjustRightInd/>
        <w:snapToGrid/>
        <w:spacing w:line="560" w:lineRule="exact"/>
        <w:ind w:firstLine="627" w:firstLineChars="200"/>
        <w:textAlignment w:val="auto"/>
        <w:rPr>
          <w:rFonts w:ascii="楷体" w:hAnsi="楷体" w:eastAsia="楷体"/>
          <w:b/>
          <w:spacing w:val="-4"/>
          <w:sz w:val="32"/>
          <w:szCs w:val="32"/>
        </w:rPr>
      </w:pPr>
      <w:r>
        <w:rPr>
          <w:rFonts w:hint="eastAsia" w:ascii="楷体" w:hAnsi="楷体" w:eastAsia="楷体"/>
          <w:b/>
          <w:spacing w:val="-4"/>
          <w:sz w:val="32"/>
          <w:szCs w:val="32"/>
        </w:rPr>
        <w:t>（一）主要经验及做法</w:t>
      </w:r>
    </w:p>
    <w:p>
      <w:pPr>
        <w:pageBreakBefore w:val="0"/>
        <w:kinsoku/>
        <w:wordWrap/>
        <w:overflowPunct/>
        <w:topLinePunct w:val="0"/>
        <w:autoSpaceDE/>
        <w:autoSpaceDN/>
        <w:bidi w:val="0"/>
        <w:adjustRightInd/>
        <w:snapToGrid/>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为确保项目顺利进行，提前做好项目规划，将所列计划再三审核。在项目实施过程中做好定期监督检查，严格按照项目管理规范进行，在项目资金使用过程中，严格落实把关，按照项目资金使用范围做好审核工作，让项目资金落于实处。在项目完成后，做好受益群众民意调查及项目防范工作。</w:t>
      </w:r>
    </w:p>
    <w:p>
      <w:pPr>
        <w:pStyle w:val="2"/>
        <w:pageBreakBefore w:val="0"/>
        <w:kinsoku/>
        <w:wordWrap/>
        <w:overflowPunct/>
        <w:topLinePunct w:val="0"/>
        <w:autoSpaceDE/>
        <w:autoSpaceDN/>
        <w:bidi w:val="0"/>
        <w:adjustRightInd/>
        <w:snapToGrid/>
        <w:spacing w:before="0" w:after="0" w:line="560" w:lineRule="exact"/>
        <w:ind w:firstLine="640" w:firstLineChars="200"/>
        <w:textAlignment w:val="auto"/>
        <w:rPr>
          <w:rFonts w:ascii="仿宋_GB2312" w:hAnsi="仿宋_GB2312" w:eastAsia="仿宋_GB2312" w:cs="仿宋_GB2312"/>
          <w:b w:val="0"/>
          <w:bCs w:val="0"/>
          <w:kern w:val="2"/>
        </w:rPr>
      </w:pPr>
      <w:r>
        <w:rPr>
          <w:rFonts w:hint="eastAsia" w:ascii="仿宋_GB2312" w:hAnsi="仿宋_GB2312" w:eastAsia="仿宋_GB2312" w:cs="仿宋_GB2312"/>
          <w:b w:val="0"/>
          <w:bCs w:val="0"/>
          <w:kern w:val="2"/>
        </w:rPr>
        <w:t>严格坚持先做事、后验收、再拨付的原则，基本杜绝了资金被挤占和挪用现象的发生，跟踪检查到位。财政、纪检、监察等职能部门全面参与专项资金事前、事中和事后全过程的监管。在监督环节上，实行关口前移，从事后监督管理转向事前审核，事中监督和事后检查稽核相结合的监督制度上来，形成多环节全过程的监督管理格局，尽量早发现问题，早解决问题。</w:t>
      </w:r>
    </w:p>
    <w:p>
      <w:pPr>
        <w:keepNext/>
        <w:keepLines/>
        <w:pageBreakBefore w:val="0"/>
        <w:numPr>
          <w:ilvl w:val="0"/>
          <w:numId w:val="4"/>
        </w:numPr>
        <w:kinsoku/>
        <w:wordWrap/>
        <w:overflowPunct/>
        <w:topLinePunct w:val="0"/>
        <w:autoSpaceDE/>
        <w:autoSpaceDN/>
        <w:bidi w:val="0"/>
        <w:adjustRightInd/>
        <w:snapToGrid/>
        <w:spacing w:line="56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存在的问题及原因分析</w:t>
      </w:r>
    </w:p>
    <w:p>
      <w:pPr>
        <w:pStyle w:val="2"/>
        <w:pageBreakBefore w:val="0"/>
        <w:numPr>
          <w:ilvl w:val="0"/>
          <w:numId w:val="5"/>
        </w:numPr>
        <w:kinsoku/>
        <w:wordWrap/>
        <w:overflowPunct/>
        <w:topLinePunct w:val="0"/>
        <w:autoSpaceDE/>
        <w:autoSpaceDN/>
        <w:bidi w:val="0"/>
        <w:adjustRightInd/>
        <w:snapToGrid/>
        <w:spacing w:before="0" w:after="0" w:line="560" w:lineRule="exact"/>
        <w:ind w:firstLine="643" w:firstLineChars="200"/>
        <w:jc w:val="both"/>
        <w:textAlignment w:val="auto"/>
        <w:rPr>
          <w:rFonts w:hint="eastAsia" w:ascii="仿宋_GB2312" w:hAnsi="仿宋_GB2312" w:eastAsia="仿宋_GB2312" w:cs="仿宋_GB2312"/>
          <w:b/>
          <w:bCs/>
          <w:kern w:val="2"/>
        </w:rPr>
      </w:pPr>
      <w:r>
        <w:rPr>
          <w:rFonts w:hint="eastAsia" w:ascii="仿宋_GB2312" w:hAnsi="仿宋_GB2312" w:eastAsia="仿宋_GB2312" w:cs="仿宋_GB2312"/>
          <w:b/>
          <w:bCs/>
          <w:kern w:val="2"/>
        </w:rPr>
        <w:t>存在的问题</w:t>
      </w:r>
    </w:p>
    <w:p>
      <w:pPr>
        <w:pageBreakBefore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sz w:val="32"/>
          <w:szCs w:val="32"/>
        </w:rPr>
        <w:t>存在的问题是在实际实施绩效监控和绩效评价时较为困难，绩效目标的设置应符合量化、细化的要求</w:t>
      </w:r>
      <w:r>
        <w:rPr>
          <w:rFonts w:hint="eastAsia" w:ascii="仿宋_GB2312" w:hAnsi="仿宋_GB2312" w:eastAsia="仿宋_GB2312" w:cs="仿宋_GB2312"/>
          <w:b w:val="0"/>
          <w:bCs w:val="0"/>
          <w:kern w:val="2"/>
          <w:sz w:val="32"/>
          <w:szCs w:val="32"/>
          <w:lang w:val="en-US" w:eastAsia="zh-CN" w:bidi="ar-SA"/>
        </w:rPr>
        <w:t>。</w:t>
      </w:r>
    </w:p>
    <w:p>
      <w:pPr>
        <w:pageBreakBefore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2、原因分析</w:t>
      </w:r>
    </w:p>
    <w:p>
      <w:pPr>
        <w:pageBreakBefore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项目前期工作不全面，没有深入细致科学规划地做好各项前期工作，项目实施前期已根据项目建设内容设置绩效目标，但项目绩效目标级绩效指标设置过于笼统，不够细化</w:t>
      </w:r>
      <w:r>
        <w:rPr>
          <w:rFonts w:hint="eastAsia" w:ascii="仿宋_GB2312" w:hAnsi="仿宋_GB2312" w:eastAsia="仿宋_GB2312" w:cs="仿宋_GB2312"/>
          <w:sz w:val="32"/>
          <w:szCs w:val="32"/>
          <w:lang w:eastAsia="zh-CN"/>
        </w:rPr>
        <w:t>。</w:t>
      </w:r>
    </w:p>
    <w:p>
      <w:pPr>
        <w:pageBreakBefore w:val="0"/>
        <w:numPr>
          <w:ilvl w:val="0"/>
          <w:numId w:val="6"/>
        </w:numPr>
        <w:kinsoku/>
        <w:wordWrap/>
        <w:overflowPunct/>
        <w:topLinePunct w:val="0"/>
        <w:autoSpaceDE/>
        <w:autoSpaceDN/>
        <w:bidi w:val="0"/>
        <w:adjustRightInd/>
        <w:snapToGrid/>
        <w:spacing w:line="560" w:lineRule="exact"/>
        <w:ind w:firstLine="643" w:firstLineChars="200"/>
        <w:textAlignment w:val="auto"/>
        <w:rPr>
          <w:rFonts w:ascii="黑体" w:hAnsi="黑体" w:eastAsia="黑体"/>
          <w:b/>
          <w:bCs/>
          <w:sz w:val="32"/>
          <w:szCs w:val="32"/>
        </w:rPr>
      </w:pPr>
      <w:r>
        <w:rPr>
          <w:rFonts w:hint="eastAsia" w:ascii="黑体" w:hAnsi="黑体" w:eastAsia="黑体"/>
          <w:b/>
          <w:bCs/>
          <w:sz w:val="32"/>
          <w:szCs w:val="32"/>
        </w:rPr>
        <w:t>有关建议</w:t>
      </w:r>
    </w:p>
    <w:p>
      <w:pPr>
        <w:pageBreakBefore w:val="0"/>
        <w:numPr>
          <w:ilvl w:val="0"/>
          <w:numId w:val="7"/>
        </w:numPr>
        <w:kinsoku/>
        <w:wordWrap/>
        <w:overflowPunct/>
        <w:topLinePunct w:val="0"/>
        <w:autoSpaceDE/>
        <w:autoSpaceDN/>
        <w:bidi w:val="0"/>
        <w:adjustRightInd/>
        <w:snapToGrid/>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加大项目绩效管理培训力度，贯彻落实相关办法及制度。采取集中学习、讲座、专题会议等方式，加大对参与绩效管理工作的人员培训力度，进一步统一认识，充实业务知识。以提高工作人员素质，以达到预算绩效管理标准化、常态化的要求，最终实现提高绩效管理工作效率及质量的目标。 </w:t>
      </w:r>
    </w:p>
    <w:p>
      <w:pPr>
        <w:pageBreakBefore w:val="0"/>
        <w:numPr>
          <w:ilvl w:val="0"/>
          <w:numId w:val="7"/>
        </w:numPr>
        <w:kinsoku/>
        <w:wordWrap/>
        <w:overflowPunct/>
        <w:topLinePunct w:val="0"/>
        <w:autoSpaceDE/>
        <w:autoSpaceDN/>
        <w:bidi w:val="0"/>
        <w:adjustRightInd/>
        <w:snapToGrid/>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财政和项目实施单位严格实行“三专”管理，即设专户、建专帐、定专人。同时，资金拨付除坚持按项目计划、工程进度和质量分阶段验收拨款外，还坚持部门联审制，项目单位先做事、后</w:t>
      </w:r>
      <w:r>
        <w:rPr>
          <w:rFonts w:hint="eastAsia" w:ascii="仿宋_GB2312" w:hAnsi="仿宋_GB2312" w:eastAsia="仿宋_GB2312" w:cs="仿宋_GB2312"/>
          <w:sz w:val="32"/>
          <w:szCs w:val="32"/>
          <w:lang w:eastAsia="zh-CN"/>
        </w:rPr>
        <w:t>报账</w:t>
      </w:r>
      <w:r>
        <w:rPr>
          <w:rFonts w:hint="eastAsia" w:ascii="仿宋_GB2312" w:hAnsi="仿宋_GB2312" w:eastAsia="仿宋_GB2312" w:cs="仿宋_GB2312"/>
          <w:sz w:val="32"/>
          <w:szCs w:val="32"/>
        </w:rPr>
        <w:t>，从而确保专项资金专款专用，有效地防止了截留、挤占和挪用。</w:t>
      </w:r>
    </w:p>
    <w:p>
      <w:pPr>
        <w:pageBreakBefore w:val="0"/>
        <w:numPr>
          <w:ilvl w:val="0"/>
          <w:numId w:val="6"/>
        </w:numPr>
        <w:kinsoku/>
        <w:wordWrap/>
        <w:overflowPunct/>
        <w:topLinePunct w:val="0"/>
        <w:autoSpaceDE/>
        <w:autoSpaceDN/>
        <w:bidi w:val="0"/>
        <w:adjustRightInd/>
        <w:snapToGrid/>
        <w:spacing w:line="560" w:lineRule="exact"/>
        <w:ind w:firstLine="643" w:firstLineChars="200"/>
        <w:textAlignment w:val="auto"/>
        <w:rPr>
          <w:rFonts w:ascii="黑体" w:hAnsi="黑体" w:eastAsia="黑体"/>
          <w:b/>
          <w:bCs/>
          <w:sz w:val="32"/>
          <w:szCs w:val="32"/>
        </w:rPr>
      </w:pPr>
      <w:r>
        <w:rPr>
          <w:rFonts w:hint="eastAsia" w:ascii="黑体" w:hAnsi="黑体" w:eastAsia="黑体"/>
          <w:b/>
          <w:bCs/>
          <w:sz w:val="32"/>
          <w:szCs w:val="32"/>
        </w:rPr>
        <w:t>其他需要说</w:t>
      </w:r>
      <w:bookmarkStart w:id="1" w:name="page8"/>
      <w:bookmarkEnd w:id="1"/>
      <w:r>
        <w:rPr>
          <w:rFonts w:hint="eastAsia" w:ascii="黑体" w:hAnsi="黑体" w:eastAsia="黑体"/>
          <w:b/>
          <w:bCs/>
          <w:sz w:val="32"/>
          <w:szCs w:val="32"/>
        </w:rPr>
        <w:t>明的问题</w:t>
      </w:r>
    </w:p>
    <w:p>
      <w:pPr>
        <w:pageBreakBefore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无。</w:t>
      </w:r>
    </w:p>
    <w:p>
      <w:pPr>
        <w:pStyle w:val="2"/>
        <w:jc w:val="both"/>
        <w:rPr>
          <w:rFonts w:hint="eastAsia" w:ascii="黑体" w:hAnsi="黑体" w:eastAsia="黑体"/>
          <w:sz w:val="32"/>
          <w:szCs w:val="32"/>
        </w:rPr>
      </w:pPr>
    </w:p>
    <w:p>
      <w:pPr>
        <w:rPr>
          <w:rFonts w:hint="eastAsia" w:ascii="黑体" w:hAnsi="黑体" w:eastAsia="黑体"/>
          <w:sz w:val="32"/>
          <w:szCs w:val="32"/>
        </w:rPr>
      </w:pPr>
    </w:p>
    <w:p>
      <w:pPr>
        <w:pStyle w:val="2"/>
        <w:rPr>
          <w:rFonts w:hint="eastAsia"/>
        </w:rPr>
      </w:pPr>
    </w:p>
    <w:p/>
    <w:tbl>
      <w:tblPr>
        <w:tblStyle w:val="19"/>
        <w:tblW w:w="9345" w:type="dxa"/>
        <w:tblInd w:w="0" w:type="dxa"/>
        <w:shd w:val="clear" w:color="auto" w:fill="auto"/>
        <w:tblLayout w:type="autofit"/>
        <w:tblCellMar>
          <w:top w:w="0" w:type="dxa"/>
          <w:left w:w="0" w:type="dxa"/>
          <w:bottom w:w="0" w:type="dxa"/>
          <w:right w:w="0" w:type="dxa"/>
        </w:tblCellMar>
      </w:tblPr>
      <w:tblGrid>
        <w:gridCol w:w="840"/>
        <w:gridCol w:w="840"/>
        <w:gridCol w:w="840"/>
        <w:gridCol w:w="840"/>
        <w:gridCol w:w="840"/>
        <w:gridCol w:w="840"/>
        <w:gridCol w:w="840"/>
        <w:gridCol w:w="1485"/>
        <w:gridCol w:w="495"/>
        <w:gridCol w:w="1485"/>
      </w:tblGrid>
      <w:tr>
        <w:tblPrEx>
          <w:shd w:val="clear" w:color="auto" w:fill="auto"/>
          <w:tblCellMar>
            <w:top w:w="0" w:type="dxa"/>
            <w:left w:w="0" w:type="dxa"/>
            <w:bottom w:w="0" w:type="dxa"/>
            <w:right w:w="0" w:type="dxa"/>
          </w:tblCellMar>
        </w:tblPrEx>
        <w:trPr>
          <w:trHeight w:val="409" w:hRule="atLeast"/>
        </w:trPr>
        <w:tc>
          <w:tcPr>
            <w:tcW w:w="9345" w:type="dxa"/>
            <w:gridSpan w:val="10"/>
            <w:tcBorders>
              <w:top w:val="nil"/>
              <w:left w:val="nil"/>
              <w:bottom w:val="nil"/>
              <w:right w:val="nil"/>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b/>
                <w:i w:val="0"/>
                <w:color w:val="000000"/>
                <w:sz w:val="32"/>
                <w:szCs w:val="32"/>
                <w:u w:val="none"/>
              </w:rPr>
            </w:pPr>
            <w:r>
              <w:rPr>
                <w:rFonts w:hint="eastAsia" w:ascii="宋体" w:hAnsi="宋体" w:eastAsia="宋体" w:cs="宋体"/>
                <w:b/>
                <w:i w:val="0"/>
                <w:color w:val="000000"/>
                <w:kern w:val="0"/>
                <w:sz w:val="32"/>
                <w:szCs w:val="32"/>
                <w:u w:val="none"/>
                <w:lang w:val="en-US" w:eastAsia="zh-CN" w:bidi="ar"/>
              </w:rPr>
              <w:t>项目支出绩效自评表</w:t>
            </w:r>
          </w:p>
        </w:tc>
      </w:tr>
      <w:tr>
        <w:tblPrEx>
          <w:shd w:val="clear" w:color="auto" w:fill="auto"/>
          <w:tblCellMar>
            <w:top w:w="0" w:type="dxa"/>
            <w:left w:w="0" w:type="dxa"/>
            <w:bottom w:w="0" w:type="dxa"/>
            <w:right w:w="0" w:type="dxa"/>
          </w:tblCellMar>
        </w:tblPrEx>
        <w:trPr>
          <w:trHeight w:val="409" w:hRule="atLeast"/>
        </w:trPr>
        <w:tc>
          <w:tcPr>
            <w:tcW w:w="9345" w:type="dxa"/>
            <w:gridSpan w:val="10"/>
            <w:tcBorders>
              <w:top w:val="nil"/>
              <w:left w:val="nil"/>
              <w:bottom w:val="nil"/>
              <w:right w:val="nil"/>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32"/>
                <w:szCs w:val="32"/>
                <w:u w:val="none"/>
              </w:rPr>
            </w:pPr>
            <w:r>
              <w:rPr>
                <w:rFonts w:hint="eastAsia" w:ascii="宋体" w:hAnsi="宋体" w:eastAsia="宋体" w:cs="宋体"/>
                <w:i w:val="0"/>
                <w:color w:val="000000"/>
                <w:kern w:val="0"/>
                <w:sz w:val="32"/>
                <w:szCs w:val="32"/>
                <w:u w:val="none"/>
                <w:lang w:val="en-US" w:eastAsia="zh-CN" w:bidi="ar"/>
              </w:rPr>
              <w:t>（   2020 年度）</w:t>
            </w:r>
          </w:p>
        </w:tc>
      </w:tr>
      <w:tr>
        <w:tblPrEx>
          <w:shd w:val="clear" w:color="auto" w:fill="auto"/>
          <w:tblCellMar>
            <w:top w:w="0" w:type="dxa"/>
            <w:left w:w="0" w:type="dxa"/>
            <w:bottom w:w="0" w:type="dxa"/>
            <w:right w:w="0" w:type="dxa"/>
          </w:tblCellMar>
        </w:tblPrEx>
        <w:trPr>
          <w:trHeight w:val="270" w:hRule="atLeast"/>
        </w:trPr>
        <w:tc>
          <w:tcPr>
            <w:tcW w:w="9345" w:type="dxa"/>
            <w:gridSpan w:val="10"/>
            <w:tcBorders>
              <w:top w:val="nil"/>
              <w:left w:val="nil"/>
              <w:bottom w:val="nil"/>
              <w:right w:val="nil"/>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22"/>
                <w:szCs w:val="22"/>
                <w:u w:val="none"/>
              </w:rPr>
            </w:pPr>
          </w:p>
        </w:tc>
      </w:tr>
      <w:tr>
        <w:tblPrEx>
          <w:shd w:val="clear" w:color="auto" w:fill="auto"/>
          <w:tblCellMar>
            <w:top w:w="0" w:type="dxa"/>
            <w:left w:w="0" w:type="dxa"/>
            <w:bottom w:w="0" w:type="dxa"/>
            <w:right w:w="0" w:type="dxa"/>
          </w:tblCellMar>
        </w:tblPrEx>
        <w:trPr>
          <w:trHeight w:val="270"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项目名称</w:t>
            </w:r>
          </w:p>
        </w:tc>
        <w:tc>
          <w:tcPr>
            <w:tcW w:w="7665" w:type="dxa"/>
            <w:gridSpan w:val="8"/>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为民办实事经费</w:t>
            </w:r>
          </w:p>
        </w:tc>
      </w:tr>
      <w:tr>
        <w:tblPrEx>
          <w:shd w:val="clear" w:color="auto" w:fill="auto"/>
          <w:tblCellMar>
            <w:top w:w="0" w:type="dxa"/>
            <w:left w:w="0" w:type="dxa"/>
            <w:bottom w:w="0" w:type="dxa"/>
            <w:right w:w="0" w:type="dxa"/>
          </w:tblCellMar>
        </w:tblPrEx>
        <w:trPr>
          <w:trHeight w:val="270"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主管部门</w:t>
            </w:r>
          </w:p>
        </w:tc>
        <w:tc>
          <w:tcPr>
            <w:tcW w:w="4200" w:type="dxa"/>
            <w:gridSpan w:val="5"/>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实施单位</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塔城地区交通局</w:t>
            </w:r>
          </w:p>
        </w:tc>
      </w:tr>
      <w:tr>
        <w:tblPrEx>
          <w:shd w:val="clear" w:color="auto" w:fill="auto"/>
          <w:tblCellMar>
            <w:top w:w="0" w:type="dxa"/>
            <w:left w:w="0" w:type="dxa"/>
            <w:bottom w:w="0" w:type="dxa"/>
            <w:right w:w="0" w:type="dxa"/>
          </w:tblCellMar>
        </w:tblPrEx>
        <w:trPr>
          <w:trHeight w:val="392"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项目资金</w:t>
            </w:r>
          </w:p>
        </w:tc>
        <w:tc>
          <w:tcPr>
            <w:tcW w:w="0" w:type="auto"/>
            <w:tcBorders>
              <w:top w:val="nil"/>
              <w:left w:val="nil"/>
              <w:bottom w:val="nil"/>
              <w:right w:val="nil"/>
            </w:tcBorders>
            <w:shd w:val="clear" w:color="auto" w:fill="auto"/>
            <w:noWrap/>
            <w:tcMar>
              <w:top w:w="15" w:type="dxa"/>
              <w:left w:w="15" w:type="dxa"/>
              <w:right w:w="15" w:type="dxa"/>
            </w:tcMar>
            <w:vAlign w:val="bottom"/>
          </w:tcPr>
          <w:p>
            <w:pPr>
              <w:rPr>
                <w:rFonts w:hint="eastAsia" w:ascii="Arial" w:hAnsi="Arial" w:cs="Arial"/>
                <w:i w:val="0"/>
                <w:color w:val="000000"/>
                <w:sz w:val="20"/>
                <w:szCs w:val="20"/>
                <w:u w:val="none"/>
              </w:rPr>
            </w:pPr>
          </w:p>
        </w:tc>
        <w:tc>
          <w:tcPr>
            <w:tcW w:w="0" w:type="auto"/>
            <w:tcBorders>
              <w:top w:val="nil"/>
              <w:left w:val="nil"/>
              <w:bottom w:val="nil"/>
              <w:right w:val="nil"/>
            </w:tcBorders>
            <w:shd w:val="clear" w:color="auto" w:fill="auto"/>
            <w:noWrap/>
            <w:tcMar>
              <w:top w:w="15" w:type="dxa"/>
              <w:left w:w="15" w:type="dxa"/>
              <w:right w:w="15" w:type="dxa"/>
            </w:tcMar>
            <w:vAlign w:val="bottom"/>
          </w:tcPr>
          <w:p>
            <w:pPr>
              <w:rPr>
                <w:rFonts w:hint="default" w:ascii="Arial" w:hAnsi="Arial" w:cs="Arial"/>
                <w:i w:val="0"/>
                <w:color w:val="000000"/>
                <w:sz w:val="20"/>
                <w:szCs w:val="20"/>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年初预算数</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全年预算数</w:t>
            </w:r>
          </w:p>
        </w:tc>
        <w:tc>
          <w:tcPr>
            <w:tcW w:w="1980"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全年执行数</w:t>
            </w:r>
          </w:p>
        </w:tc>
        <w:tc>
          <w:tcPr>
            <w:tcW w:w="1485"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执行率</w:t>
            </w:r>
          </w:p>
        </w:tc>
      </w:tr>
      <w:tr>
        <w:tblPrEx>
          <w:shd w:val="clear" w:color="auto" w:fill="auto"/>
          <w:tblCellMar>
            <w:top w:w="0" w:type="dxa"/>
            <w:left w:w="0" w:type="dxa"/>
            <w:bottom w:w="0" w:type="dxa"/>
            <w:right w:w="0" w:type="dxa"/>
          </w:tblCellMar>
        </w:tblPrEx>
        <w:trPr>
          <w:trHeight w:val="270"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（万元）</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年度资金总额</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980"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485"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100.00%</w:t>
            </w:r>
          </w:p>
        </w:tc>
      </w:tr>
      <w:tr>
        <w:tblPrEx>
          <w:shd w:val="clear" w:color="auto" w:fill="auto"/>
          <w:tblCellMar>
            <w:top w:w="0" w:type="dxa"/>
            <w:left w:w="0" w:type="dxa"/>
            <w:bottom w:w="0" w:type="dxa"/>
            <w:right w:w="0" w:type="dxa"/>
          </w:tblCellMar>
        </w:tblPrEx>
        <w:trPr>
          <w:trHeight w:val="372"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22"/>
                <w:szCs w:val="22"/>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其中：当年财政拨款</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5.00</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5.00</w:t>
            </w:r>
          </w:p>
        </w:tc>
        <w:tc>
          <w:tcPr>
            <w:tcW w:w="1980"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5.00</w:t>
            </w:r>
          </w:p>
        </w:tc>
        <w:tc>
          <w:tcPr>
            <w:tcW w:w="1485"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w:t>
            </w:r>
          </w:p>
        </w:tc>
      </w:tr>
      <w:tr>
        <w:tblPrEx>
          <w:shd w:val="clear" w:color="auto" w:fill="auto"/>
          <w:tblCellMar>
            <w:top w:w="0" w:type="dxa"/>
            <w:left w:w="0" w:type="dxa"/>
            <w:bottom w:w="0" w:type="dxa"/>
            <w:right w:w="0" w:type="dxa"/>
          </w:tblCellMar>
        </w:tblPrEx>
        <w:trPr>
          <w:trHeight w:val="433"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22"/>
                <w:szCs w:val="22"/>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      上年结转资金</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980"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485"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w:t>
            </w:r>
          </w:p>
        </w:tc>
      </w:tr>
      <w:tr>
        <w:tblPrEx>
          <w:shd w:val="clear" w:color="auto" w:fill="auto"/>
          <w:tblCellMar>
            <w:top w:w="0" w:type="dxa"/>
            <w:left w:w="0" w:type="dxa"/>
            <w:bottom w:w="0" w:type="dxa"/>
            <w:right w:w="0" w:type="dxa"/>
          </w:tblCellMar>
        </w:tblPrEx>
        <w:trPr>
          <w:trHeight w:val="270"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22"/>
                <w:szCs w:val="22"/>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  其他资金</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980"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485"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w:t>
            </w:r>
          </w:p>
        </w:tc>
      </w:tr>
      <w:tr>
        <w:tblPrEx>
          <w:shd w:val="clear" w:color="auto" w:fill="auto"/>
          <w:tblCellMar>
            <w:top w:w="0" w:type="dxa"/>
            <w:left w:w="0" w:type="dxa"/>
            <w:bottom w:w="0" w:type="dxa"/>
            <w:right w:w="0" w:type="dxa"/>
          </w:tblCellMar>
        </w:tblPrEx>
        <w:trPr>
          <w:trHeight w:val="433"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年度总体目标</w:t>
            </w:r>
          </w:p>
        </w:tc>
        <w:tc>
          <w:tcPr>
            <w:tcW w:w="5040"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预期目标</w:t>
            </w:r>
          </w:p>
        </w:tc>
        <w:tc>
          <w:tcPr>
            <w:tcW w:w="3465"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实际完成情况</w:t>
            </w:r>
          </w:p>
        </w:tc>
      </w:tr>
      <w:tr>
        <w:tblPrEx>
          <w:shd w:val="clear" w:color="auto" w:fill="auto"/>
          <w:tblCellMar>
            <w:top w:w="0" w:type="dxa"/>
            <w:left w:w="0" w:type="dxa"/>
            <w:bottom w:w="0" w:type="dxa"/>
            <w:right w:w="0" w:type="dxa"/>
          </w:tblCellMar>
        </w:tblPrEx>
        <w:trPr>
          <w:trHeight w:val="144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5040"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为切实管好用好“为民办事”驻村工作各项经费，进一步提高工作队和基层党组织服务群众，为民办事的能力，进一步争取和凝聚民心，拨付第一书记工作经费、为民办实事经费。</w:t>
            </w:r>
          </w:p>
        </w:tc>
        <w:tc>
          <w:tcPr>
            <w:tcW w:w="3465"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为切实管好用好“为民办事”驻村工作各项经费，进一步提高工作队和基层党组织服务群众，为民办事的能力，进一步争取和凝聚民心，拨付第一书记工作经费、为民办实事经费。</w:t>
            </w:r>
          </w:p>
        </w:tc>
      </w:tr>
      <w:tr>
        <w:tblPrEx>
          <w:shd w:val="clear" w:color="auto" w:fill="auto"/>
          <w:tblCellMar>
            <w:top w:w="0" w:type="dxa"/>
            <w:left w:w="0" w:type="dxa"/>
            <w:bottom w:w="0" w:type="dxa"/>
            <w:right w:w="0" w:type="dxa"/>
          </w:tblCellMar>
        </w:tblPrEx>
        <w:trPr>
          <w:trHeight w:val="412"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一级指标</w:t>
            </w: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二级指标</w:t>
            </w:r>
          </w:p>
        </w:tc>
        <w:tc>
          <w:tcPr>
            <w:tcW w:w="2520" w:type="dxa"/>
            <w:gridSpan w:val="3"/>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三级指标</w:t>
            </w: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年度指标值</w:t>
            </w:r>
          </w:p>
        </w:tc>
        <w:tc>
          <w:tcPr>
            <w:tcW w:w="1485"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实际完成值</w:t>
            </w:r>
          </w:p>
        </w:tc>
        <w:tc>
          <w:tcPr>
            <w:tcW w:w="1980" w:type="dxa"/>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偏差原因分析及改进措施</w:t>
            </w:r>
          </w:p>
        </w:tc>
      </w:tr>
      <w:tr>
        <w:tblPrEx>
          <w:shd w:val="clear" w:color="auto" w:fill="auto"/>
          <w:tblCellMar>
            <w:top w:w="0" w:type="dxa"/>
            <w:left w:w="0" w:type="dxa"/>
            <w:bottom w:w="0" w:type="dxa"/>
            <w:right w:w="0"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2520"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14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198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shd w:val="clear" w:color="auto" w:fill="auto"/>
          <w:tblCellMar>
            <w:top w:w="0" w:type="dxa"/>
            <w:left w:w="0" w:type="dxa"/>
            <w:bottom w:w="0" w:type="dxa"/>
            <w:right w:w="0" w:type="dxa"/>
          </w:tblCellMar>
        </w:tblPrEx>
        <w:trPr>
          <w:trHeight w:val="1165"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年度绩效指标完成情况</w:t>
            </w: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产出指标</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数量指标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为民办事村队</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=1个</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1个</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962"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质量指标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办公设备合格率</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962"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资金使用合规性</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1165"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时效指标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完成为民办事工作</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2020年1-12月</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2020年1-12月</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1043"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成本指标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村队投资成本 </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≤25350元</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25350元</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1043"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办公设备购置</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≤24650元</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24650元</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1003"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tcBorders>
              <w:top w:val="nil"/>
              <w:left w:val="single" w:color="000000" w:sz="4" w:space="0"/>
              <w:bottom w:val="nil"/>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社会效益指标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提升村民保障能力</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&gt;60%</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60%</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r>
        <w:tblPrEx>
          <w:tblCellMar>
            <w:top w:w="0" w:type="dxa"/>
            <w:left w:w="0" w:type="dxa"/>
            <w:bottom w:w="0" w:type="dxa"/>
            <w:right w:w="0" w:type="dxa"/>
          </w:tblCellMar>
        </w:tblPrEx>
        <w:trPr>
          <w:trHeight w:val="1124"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满意度指标</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服务对象满意度指标</w:t>
            </w:r>
          </w:p>
        </w:tc>
        <w:tc>
          <w:tcPr>
            <w:tcW w:w="252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村队满意度</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≥90%</w:t>
            </w:r>
          </w:p>
        </w:tc>
        <w:tc>
          <w:tcPr>
            <w:tcW w:w="14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90%</w:t>
            </w:r>
          </w:p>
        </w:tc>
        <w:tc>
          <w:tcPr>
            <w:tcW w:w="198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eastAsia" w:ascii="宋体" w:hAnsi="宋体" w:eastAsia="宋体" w:cs="宋体"/>
                <w:i w:val="0"/>
                <w:color w:val="000000"/>
                <w:sz w:val="18"/>
                <w:szCs w:val="18"/>
                <w:u w:val="none"/>
              </w:rPr>
            </w:pPr>
          </w:p>
        </w:tc>
      </w:tr>
    </w:tbl>
    <w:p>
      <w:pPr>
        <w:spacing w:line="600" w:lineRule="exact"/>
        <w:rPr>
          <w:rFonts w:hint="eastAsia" w:ascii="仿宋_GB2312"/>
          <w:bCs/>
          <w:sz w:val="32"/>
          <w:szCs w:val="32"/>
          <w:lang w:val="en-US" w:eastAsia="zh-CN"/>
        </w:rPr>
        <w:sectPr>
          <w:headerReference r:id="rId3" w:type="default"/>
          <w:footerReference r:id="rId4" w:type="default"/>
          <w:pgSz w:w="11906" w:h="16838"/>
          <w:pgMar w:top="1440" w:right="1558" w:bottom="1440" w:left="1800" w:header="851" w:footer="992" w:gutter="0"/>
          <w:cols w:space="425" w:num="1"/>
          <w:docGrid w:type="lines" w:linePitch="312" w:charSpace="0"/>
        </w:sectPr>
      </w:pPr>
    </w:p>
    <w:p>
      <w:pPr>
        <w:spacing w:line="600" w:lineRule="exact"/>
        <w:rPr>
          <w:rFonts w:hint="eastAsia" w:ascii="仿宋_GB2312"/>
          <w:bCs/>
          <w:sz w:val="32"/>
          <w:szCs w:val="32"/>
          <w:lang w:val="en-US" w:eastAsia="zh-CN"/>
        </w:rPr>
      </w:pPr>
      <w:r>
        <w:rPr>
          <w:rFonts w:hint="eastAsia" w:ascii="仿宋_GB2312"/>
          <w:bCs/>
          <w:sz w:val="32"/>
          <w:szCs w:val="32"/>
          <w:lang w:val="en-US" w:eastAsia="zh-CN"/>
        </w:rPr>
        <w:t>附件1</w:t>
      </w:r>
    </w:p>
    <w:tbl>
      <w:tblPr>
        <w:tblStyle w:val="19"/>
        <w:tblW w:w="4474"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837"/>
        <w:gridCol w:w="766"/>
        <w:gridCol w:w="873"/>
        <w:gridCol w:w="2353"/>
        <w:gridCol w:w="5191"/>
        <w:gridCol w:w="1300"/>
        <w:gridCol w:w="136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692" w:hRule="atLeast"/>
          <w:tblHeader/>
          <w:jc w:val="center"/>
        </w:trPr>
        <w:tc>
          <w:tcPr>
            <w:tcW w:w="330" w:type="pct"/>
            <w:shd w:val="clear" w:color="auto" w:fill="FFFFFF"/>
            <w:noWrap w:val="0"/>
            <w:vAlign w:val="center"/>
          </w:tcPr>
          <w:p>
            <w:pPr>
              <w:widowControl/>
              <w:spacing w:line="0" w:lineRule="atLeast"/>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一级指标</w:t>
            </w:r>
          </w:p>
        </w:tc>
        <w:tc>
          <w:tcPr>
            <w:tcW w:w="302" w:type="pct"/>
            <w:shd w:val="clear" w:color="auto" w:fill="FFFFFF"/>
            <w:noWrap w:val="0"/>
            <w:vAlign w:val="center"/>
          </w:tcPr>
          <w:p>
            <w:pPr>
              <w:widowControl/>
              <w:spacing w:line="0" w:lineRule="atLeast"/>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二级指标</w:t>
            </w:r>
          </w:p>
        </w:tc>
        <w:tc>
          <w:tcPr>
            <w:tcW w:w="344" w:type="pct"/>
            <w:shd w:val="clear" w:color="auto" w:fill="FFFFFF"/>
            <w:noWrap w:val="0"/>
            <w:vAlign w:val="center"/>
          </w:tcPr>
          <w:p>
            <w:pPr>
              <w:widowControl/>
              <w:spacing w:line="0" w:lineRule="atLeast"/>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三级指标</w:t>
            </w:r>
          </w:p>
        </w:tc>
        <w:tc>
          <w:tcPr>
            <w:tcW w:w="927" w:type="pct"/>
            <w:shd w:val="clear" w:color="auto" w:fill="FFFFFF"/>
            <w:noWrap w:val="0"/>
            <w:vAlign w:val="center"/>
          </w:tcPr>
          <w:p>
            <w:pPr>
              <w:widowControl/>
              <w:spacing w:line="0" w:lineRule="atLeast"/>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指标解释</w:t>
            </w:r>
          </w:p>
        </w:tc>
        <w:tc>
          <w:tcPr>
            <w:tcW w:w="2045" w:type="pct"/>
            <w:shd w:val="clear" w:color="auto" w:fill="FFFFFF"/>
            <w:noWrap w:val="0"/>
            <w:vAlign w:val="center"/>
          </w:tcPr>
          <w:p>
            <w:pPr>
              <w:widowControl/>
              <w:spacing w:line="0" w:lineRule="atLeast"/>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指标说明</w:t>
            </w:r>
          </w:p>
        </w:tc>
        <w:tc>
          <w:tcPr>
            <w:tcW w:w="512" w:type="pct"/>
            <w:shd w:val="clear" w:color="auto" w:fill="FFFFFF"/>
            <w:noWrap w:val="0"/>
            <w:vAlign w:val="center"/>
          </w:tcPr>
          <w:p>
            <w:pPr>
              <w:widowControl/>
              <w:spacing w:line="0" w:lineRule="atLeast"/>
              <w:jc w:val="center"/>
              <w:rPr>
                <w:rFonts w:hint="eastAsia" w:ascii="宋体" w:hAnsi="宋体" w:eastAsia="宋体" w:cs="宋体"/>
                <w:b/>
                <w:bCs/>
                <w:color w:val="000000"/>
                <w:kern w:val="0"/>
                <w:sz w:val="22"/>
                <w:szCs w:val="22"/>
                <w:lang w:val="en-US" w:eastAsia="zh-CN"/>
              </w:rPr>
            </w:pPr>
            <w:r>
              <w:rPr>
                <w:rFonts w:hint="eastAsia" w:ascii="宋体" w:hAnsi="宋体" w:cs="宋体"/>
                <w:b/>
                <w:bCs/>
                <w:color w:val="000000"/>
                <w:kern w:val="0"/>
                <w:sz w:val="22"/>
                <w:szCs w:val="22"/>
                <w:lang w:val="en-US" w:eastAsia="zh-CN"/>
              </w:rPr>
              <w:t>权重</w:t>
            </w:r>
          </w:p>
        </w:tc>
        <w:tc>
          <w:tcPr>
            <w:tcW w:w="537" w:type="pct"/>
            <w:shd w:val="clear" w:color="auto" w:fill="FFFFFF"/>
            <w:noWrap w:val="0"/>
            <w:vAlign w:val="center"/>
          </w:tcPr>
          <w:p>
            <w:pPr>
              <w:widowControl/>
              <w:spacing w:line="0" w:lineRule="atLeast"/>
              <w:jc w:val="center"/>
              <w:rPr>
                <w:rFonts w:hint="eastAsia" w:ascii="宋体" w:hAnsi="宋体" w:eastAsia="宋体" w:cs="宋体"/>
                <w:b/>
                <w:bCs/>
                <w:color w:val="000000"/>
                <w:kern w:val="0"/>
                <w:sz w:val="22"/>
                <w:szCs w:val="22"/>
                <w:lang w:val="en-US" w:eastAsia="zh-CN"/>
              </w:rPr>
            </w:pPr>
            <w:r>
              <w:rPr>
                <w:rFonts w:hint="eastAsia" w:ascii="宋体" w:hAnsi="宋体" w:cs="宋体"/>
                <w:b/>
                <w:bCs/>
                <w:color w:val="000000"/>
                <w:kern w:val="0"/>
                <w:sz w:val="22"/>
                <w:szCs w:val="22"/>
                <w:lang w:val="en-US" w:eastAsia="zh-CN"/>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318" w:hRule="atLeast"/>
          <w:jc w:val="center"/>
        </w:trPr>
        <w:tc>
          <w:tcPr>
            <w:tcW w:w="330"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决策　</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tc>
        <w:tc>
          <w:tcPr>
            <w:tcW w:w="302"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项目立项　</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立项依据</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充分性</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项目立项是否符合法律法规、相关政策、发展规划以及部门职责，用以反映和考核项目立项依据情况。</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①项目立项是否符合国家法律法规、国民经济发展规划和相关政策；</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②项目立项是否符合行业发展规划和政策要求；</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③项目立项是否与部门职责范围相符，属于部门履职所需；</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④项目是否属于公共财政支持范围，是否符合中央、地方事权支出责任划分原则；</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⑤项目是否与相关部门同类项目或部门内部相关项目重复。</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0.5分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0.5分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640"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立项程序</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规范性</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项目申请、设立过程是否符合相关要求，用以反映和考核项目立项的规范情况。</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①项目是否按照规定的程序申请设立；</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②审批文件、材料是否符合相关要求；</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③事前是否已经过必要的可行性研究、专家论证、风险评估、绩效评估、集体决策。</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0.5分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0.5分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919"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绩效目标　</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绩效目标</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合理性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项目所设定的绩效目标是否依据充分，是否符合客观实际，用以反映和考核项目绩效目标与项目实施的相符情况。</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（如未设定预算绩效目标，也可考核其他工作任务目标）</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①项目是否有绩效目标；</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②项目绩效目标与实际工作内容是否具有相关性；</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③项目预期产出效益和效果是否符合正常的业绩水平；</w:t>
            </w:r>
          </w:p>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④是否与预算确定的项目投资额或资金量相匹配。</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464" w:hRule="atLeast"/>
          <w:jc w:val="center"/>
        </w:trPr>
        <w:tc>
          <w:tcPr>
            <w:tcW w:w="330"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决策　</w:t>
            </w: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绩效目标</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绩效指标</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明确性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依据绩效目标设定的绩效指标是否清晰、细化、可衡量等，用以反映和考核项目绩效目标的明细化情况。</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①是否将项目绩效目标细化分解为具体的绩效指标；</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②是否通过清晰、可衡量的指标值予以体现；</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③是否与项目目标任务数或计划数相对应。</w:t>
            </w:r>
            <w:r>
              <w:rPr>
                <w:rFonts w:hint="eastAsia" w:ascii="宋体" w:hAnsi="宋体" w:eastAsia="宋体" w:cs="宋体"/>
                <w:color w:val="000000"/>
                <w:kern w:val="0"/>
                <w:sz w:val="18"/>
                <w:szCs w:val="18"/>
              </w:rPr>
              <w:br w:type="textWrapping"/>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942"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资金投入</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预算编制</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科学性</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项目预算编制是否经过科学论证、有明确标准，资金额度与年度目标是否相适应，用以反映和考核项目预算编制的科学性、合理性情况。</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①预算编制是否经过科学论证；</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②预算内容与项目内容是否匹配；</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③预算额度测算依据是否充分，是否按照标准编制；</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④预算确定的项目投资额或资金量是否与工作任务相匹配。</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6" w:hRule="atLeast"/>
          <w:jc w:val="center"/>
        </w:trPr>
        <w:tc>
          <w:tcPr>
            <w:tcW w:w="330"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资金分配</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合理性</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项目预算资金分配是否有测算依据，与补助单位或地方实际是否相适应，用以反映和考核项目预算资金分配的科学性、合理性情况。</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①预算资金分配依据是否充分；</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②资金分配额度是否合理，与项目单位或地方实际是否相适应。</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415" w:hRule="atLeast"/>
          <w:jc w:val="center"/>
        </w:trPr>
        <w:tc>
          <w:tcPr>
            <w:tcW w:w="330" w:type="pct"/>
            <w:vMerge w:val="restart"/>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过程</w:t>
            </w:r>
          </w:p>
        </w:tc>
        <w:tc>
          <w:tcPr>
            <w:tcW w:w="302"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资金管理</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资金到位率</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实际到位资金与预算资金的比率，用以反映和考核资金落实情况对项目实施的总体保障程度。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资金到位率=（实际到位资金/预算资金）×100%。</w:t>
            </w:r>
          </w:p>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实际到位资金：一定时期（本年度或项目期）内落实到具体项目的资金。</w:t>
            </w:r>
          </w:p>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预算资金：一定时期（本年度或项目期）内预算安排到具体项目的资金。</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320"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预算执行率</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项目预算资金是否按照计划执行，用以反映或考核项目预算执行情况。</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预算执行率=（实际支出资金/实际到位资金）×100%。</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实际支出资金：一定时期（本年度或项目期）内项目实际拨付的资金。</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076" w:hRule="atLeast"/>
          <w:jc w:val="center"/>
        </w:trPr>
        <w:tc>
          <w:tcPr>
            <w:tcW w:w="330"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过程　</w:t>
            </w: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资金管理</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资金使用</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合规性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项目资金使用是否符合相关的财务管理制度规定，用以反映和考核项目资金的规范运行情况。</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①是否符合国家财经法规和财务管理制度以及有关专项资金管理办法的规定；</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②资金的拨付是否有完整的审批程序和手续；</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③是否符合项目预算批复或合同规定的用途；</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④是否存在截留、挤占、挪用、虚列支出等情况。</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97"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组织实施</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管理制度</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健全性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项目实施单位的财务和业务管理制度是否健全，用以反映和考核财务和业务管理制度对项目顺利实施的保障情况。</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①是否已制定或具有相应的财务和业务管理制度；</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②财务和业务管理制度是否合法、合规、完整。</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69" w:hRule="atLeast"/>
          <w:jc w:val="center"/>
        </w:trPr>
        <w:tc>
          <w:tcPr>
            <w:tcW w:w="330"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制度执行</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有效性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项目实施是否符合相关管理规定，用以反映和考核相关管理制度的有效执行情况。</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评价要点：</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①是否遵守相关法律法规和相关管理规定；</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②项目调整及支出调整手续是否完备；</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③项目合同书、验收报告、技术鉴定等资料是否齐全并及时归档；</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④项目实施的人员条件、场地设备、信息支撑等是否落实到位。</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917" w:hRule="atLeast"/>
          <w:jc w:val="center"/>
        </w:trPr>
        <w:tc>
          <w:tcPr>
            <w:tcW w:w="330"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w:t>
            </w: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产出数量</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实际完成率</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项目实施的实际产出数与计划产出数的比率，用以反映和考核项目产出数量目标的实现程度。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实际完成率=（实际产出数/计划产出数）×100%。</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实际产出数：一定时期（本年度或项目期）内项目实际产出的产品或提供的服务数量。</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计划产出数：项目绩效目标确定的在一定时期（本年度或项目期）内计划产出的产品或提供的服务数量。</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15分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15分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18" w:hRule="atLeast"/>
          <w:jc w:val="center"/>
        </w:trPr>
        <w:tc>
          <w:tcPr>
            <w:tcW w:w="330"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w:t>
            </w: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产出质量</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质量达标率</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项目完成的质量达标产出数与实际产出数的比率，用以反映和考核项目产出质量目标的实现程度。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质量达标率=（质量达标产出数/实际产出数）×100%。</w:t>
            </w:r>
          </w:p>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10分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10分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506" w:hRule="atLeast"/>
          <w:jc w:val="center"/>
        </w:trPr>
        <w:tc>
          <w:tcPr>
            <w:tcW w:w="330" w:type="pct"/>
            <w:vMerge w:val="continue"/>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shd w:val="clear" w:color="auto" w:fill="FFFFFF"/>
            <w:noWrap w:val="0"/>
            <w:vAlign w:val="center"/>
          </w:tcPr>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产出时效</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完成及时性</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项目实际完成时间与计划完成时间的比较，用以反映和考核项目产出时效目标的实现程度。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实际完成时间：项目实施单位完成该项目实际所耗用的时间。</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计划完成时间：按照项目实施计划或相关规定完成该项目所需的时间。</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15分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15分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076" w:hRule="atLeast"/>
          <w:jc w:val="center"/>
        </w:trPr>
        <w:tc>
          <w:tcPr>
            <w:tcW w:w="330"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产出成本</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成本节约率</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完成项目计划工作目标的实际节约成本与计划成本的比率，用以反映和考核项目的成本节约程度。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成本节约率=[（计划成本</w:t>
            </w:r>
            <w:r>
              <w:rPr>
                <w:rFonts w:hint="eastAsia" w:ascii="宋体" w:hAnsi="宋体" w:eastAsia="宋体" w:cs="宋体"/>
                <w:color w:val="000000"/>
                <w:kern w:val="0"/>
                <w:sz w:val="18"/>
                <w:szCs w:val="18"/>
                <w:lang w:eastAsia="zh-CN"/>
              </w:rPr>
              <w:t>－</w:t>
            </w:r>
            <w:r>
              <w:rPr>
                <w:rFonts w:hint="eastAsia" w:ascii="宋体" w:hAnsi="宋体" w:eastAsia="宋体" w:cs="宋体"/>
                <w:color w:val="000000"/>
                <w:kern w:val="0"/>
                <w:sz w:val="18"/>
                <w:szCs w:val="18"/>
              </w:rPr>
              <w:t>实际成本）/计划成本]×100%。</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实际成本：项目实施单位如期、保质、保量完成既定工作目标实际所耗费的支出。</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计划成本：项目实施单位为完成工作目标计划安排的支出，一般以项目预算为参考。</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10分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10分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889" w:hRule="atLeast"/>
          <w:jc w:val="center"/>
        </w:trPr>
        <w:tc>
          <w:tcPr>
            <w:tcW w:w="330"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效益　</w:t>
            </w:r>
          </w:p>
        </w:tc>
        <w:tc>
          <w:tcPr>
            <w:tcW w:w="302" w:type="pct"/>
            <w:vMerge w:val="restar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项目效益　</w:t>
            </w: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实施效益</w:t>
            </w:r>
          </w:p>
        </w:tc>
        <w:tc>
          <w:tcPr>
            <w:tcW w:w="92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项目实施所产生的效益。</w:t>
            </w:r>
          </w:p>
        </w:tc>
        <w:tc>
          <w:tcPr>
            <w:tcW w:w="2045"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项目实施所产生的社会效益、经济效益、生态效益、可持续影响等。可根据项目实际情况有选择地设置和细化。</w:t>
            </w:r>
          </w:p>
        </w:tc>
        <w:tc>
          <w:tcPr>
            <w:tcW w:w="512"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30分</w:t>
            </w:r>
          </w:p>
        </w:tc>
        <w:tc>
          <w:tcPr>
            <w:tcW w:w="537"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bidi="ar-SA"/>
              </w:rPr>
            </w:pPr>
            <w:r>
              <w:rPr>
                <w:rFonts w:hint="eastAsia" w:ascii="宋体" w:hAnsi="宋体" w:eastAsia="宋体" w:cs="宋体"/>
                <w:color w:val="000000"/>
                <w:kern w:val="0"/>
                <w:sz w:val="18"/>
                <w:szCs w:val="18"/>
                <w:lang w:val="en-US" w:eastAsia="zh-CN"/>
              </w:rPr>
              <w:t>30分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137" w:hRule="atLeast"/>
          <w:jc w:val="center"/>
        </w:trPr>
        <w:tc>
          <w:tcPr>
            <w:tcW w:w="330"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02" w:type="pct"/>
            <w:vMerge w:val="continue"/>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p>
        </w:tc>
        <w:tc>
          <w:tcPr>
            <w:tcW w:w="344" w:type="pct"/>
            <w:shd w:val="clear" w:color="auto"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满意度</w:t>
            </w:r>
          </w:p>
        </w:tc>
        <w:tc>
          <w:tcPr>
            <w:tcW w:w="92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社会公众或服务对象对项目实施效果的满意程度。</w:t>
            </w:r>
          </w:p>
        </w:tc>
        <w:tc>
          <w:tcPr>
            <w:tcW w:w="2045"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社会公众或服务对象是指因该项目实施而受到影响的部门（单位）、群体或个人。一般采取社会调查的方式。</w:t>
            </w:r>
          </w:p>
        </w:tc>
        <w:tc>
          <w:tcPr>
            <w:tcW w:w="512"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10分</w:t>
            </w:r>
          </w:p>
        </w:tc>
        <w:tc>
          <w:tcPr>
            <w:tcW w:w="537" w:type="pct"/>
            <w:shd w:val="clear" w:color="000000" w:fill="FFFFFF"/>
            <w:noWrap w:val="0"/>
            <w:vAlign w:val="center"/>
          </w:tcPr>
          <w:p>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宋体" w:hAnsi="宋体" w:eastAsia="宋体" w:cs="宋体"/>
                <w:color w:val="000000"/>
                <w:kern w:val="0"/>
                <w:sz w:val="18"/>
                <w:szCs w:val="18"/>
                <w:lang w:val="en-US" w:eastAsia="zh-CN"/>
              </w:rPr>
            </w:pPr>
            <w:r>
              <w:rPr>
                <w:rFonts w:hint="eastAsia" w:ascii="宋体" w:hAnsi="宋体" w:eastAsia="宋体" w:cs="宋体"/>
                <w:color w:val="000000"/>
                <w:kern w:val="0"/>
                <w:sz w:val="18"/>
                <w:szCs w:val="18"/>
                <w:lang w:val="en-US" w:eastAsia="zh-CN"/>
              </w:rPr>
              <w:t>8分</w:t>
            </w:r>
          </w:p>
        </w:tc>
      </w:tr>
    </w:tbl>
    <w:p>
      <w:pPr>
        <w:pStyle w:val="2"/>
        <w:keepNext w:val="0"/>
        <w:keepLines w:val="0"/>
        <w:pageBreakBefore w:val="0"/>
        <w:kinsoku/>
        <w:wordWrap/>
        <w:overflowPunct/>
        <w:topLinePunct w:val="0"/>
        <w:autoSpaceDE/>
        <w:autoSpaceDN/>
        <w:bidi w:val="0"/>
        <w:adjustRightInd/>
        <w:snapToGrid/>
        <w:spacing w:before="0" w:after="0" w:line="560" w:lineRule="exact"/>
        <w:textAlignment w:val="auto"/>
        <w:rPr>
          <w:rFonts w:hint="eastAsia" w:ascii="宋体" w:hAnsi="宋体" w:eastAsia="宋体" w:cs="宋体"/>
          <w:lang w:val="en-US" w:eastAsia="zh-CN"/>
        </w:rPr>
      </w:pPr>
    </w:p>
    <w:p>
      <w:pPr>
        <w:keepNext w:val="0"/>
        <w:keepLines w:val="0"/>
        <w:pageBreakBefore w:val="0"/>
        <w:kinsoku/>
        <w:wordWrap/>
        <w:overflowPunct/>
        <w:topLinePunct w:val="0"/>
        <w:autoSpaceDE/>
        <w:autoSpaceDN/>
        <w:bidi w:val="0"/>
        <w:adjustRightInd/>
        <w:snapToGrid/>
        <w:spacing w:line="560" w:lineRule="exact"/>
        <w:textAlignment w:val="auto"/>
        <w:rPr>
          <w:rFonts w:hint="eastAsia" w:ascii="宋体" w:hAnsi="宋体" w:eastAsia="宋体" w:cs="宋体"/>
        </w:rPr>
      </w:pPr>
    </w:p>
    <w:p>
      <w:pPr>
        <w:spacing w:line="540" w:lineRule="exact"/>
        <w:ind w:firstLine="640"/>
        <w:rPr>
          <w:rStyle w:val="21"/>
          <w:rFonts w:hint="eastAsia" w:ascii="宋体" w:hAnsi="宋体" w:eastAsia="宋体" w:cs="宋体"/>
          <w:bCs w:val="0"/>
          <w:spacing w:val="-4"/>
          <w:sz w:val="32"/>
          <w:szCs w:val="32"/>
        </w:rPr>
      </w:pPr>
    </w:p>
    <w:p>
      <w:pPr>
        <w:spacing w:line="540" w:lineRule="exact"/>
        <w:ind w:firstLine="640"/>
        <w:rPr>
          <w:rStyle w:val="21"/>
          <w:rFonts w:ascii="黑体" w:hAnsi="黑体" w:eastAsia="黑体"/>
          <w:bCs w:val="0"/>
          <w:spacing w:val="-4"/>
          <w:sz w:val="32"/>
          <w:szCs w:val="32"/>
        </w:rPr>
      </w:pPr>
    </w:p>
    <w:p>
      <w:pPr>
        <w:spacing w:line="540" w:lineRule="exact"/>
        <w:ind w:firstLine="640"/>
        <w:rPr>
          <w:rStyle w:val="21"/>
          <w:rFonts w:ascii="黑体" w:hAnsi="黑体" w:eastAsia="黑体"/>
          <w:bCs w:val="0"/>
          <w:spacing w:val="-4"/>
          <w:sz w:val="32"/>
          <w:szCs w:val="32"/>
        </w:rPr>
      </w:pPr>
    </w:p>
    <w:p>
      <w:pPr>
        <w:spacing w:line="540" w:lineRule="exact"/>
        <w:rPr>
          <w:rStyle w:val="21"/>
          <w:rFonts w:ascii="黑体" w:hAnsi="黑体" w:eastAsia="黑体"/>
          <w:bCs w:val="0"/>
          <w:spacing w:val="-4"/>
          <w:sz w:val="32"/>
          <w:szCs w:val="32"/>
        </w:rPr>
      </w:pPr>
    </w:p>
    <w:p>
      <w:pPr>
        <w:pStyle w:val="2"/>
        <w:rPr>
          <w:rStyle w:val="21"/>
          <w:rFonts w:ascii="黑体" w:hAnsi="黑体" w:eastAsia="黑体"/>
          <w:b/>
          <w:bCs w:val="0"/>
          <w:spacing w:val="-4"/>
          <w:sz w:val="32"/>
          <w:szCs w:val="32"/>
        </w:rPr>
      </w:pPr>
    </w:p>
    <w:p/>
    <w:p>
      <w:pPr>
        <w:spacing w:line="540" w:lineRule="exact"/>
        <w:ind w:firstLine="640"/>
        <w:rPr>
          <w:rStyle w:val="21"/>
          <w:rFonts w:ascii="黑体" w:hAnsi="黑体" w:eastAsia="黑体"/>
          <w:bCs w:val="0"/>
          <w:spacing w:val="-4"/>
          <w:sz w:val="32"/>
          <w:szCs w:val="32"/>
        </w:rPr>
      </w:pPr>
    </w:p>
    <w:p>
      <w:pPr>
        <w:pStyle w:val="2"/>
      </w:pPr>
    </w:p>
    <w:sectPr>
      <w:pgSz w:w="16838" w:h="11906" w:orient="landscape"/>
      <w:pgMar w:top="1800" w:right="1440" w:bottom="1558"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83332E8-27B8-4885-8A87-B8DA8366C239}"/>
  </w:font>
  <w:font w:name="Arial">
    <w:panose1 w:val="020B0604020202020204"/>
    <w:charset w:val="01"/>
    <w:family w:val="swiss"/>
    <w:pitch w:val="default"/>
    <w:sig w:usb0="E0002AFF" w:usb1="C0007843" w:usb2="00000009" w:usb3="00000000" w:csb0="400001FF" w:csb1="FFFF0000"/>
    <w:embedRegular r:id="rId2" w:fontKey="{72266725-D693-4056-873B-29749636A57B}"/>
  </w:font>
  <w:font w:name="黑体">
    <w:panose1 w:val="02010609060101010101"/>
    <w:charset w:val="86"/>
    <w:family w:val="auto"/>
    <w:pitch w:val="default"/>
    <w:sig w:usb0="800002BF" w:usb1="38CF7CFA" w:usb2="00000016" w:usb3="00000000" w:csb0="00040001" w:csb1="00000000"/>
    <w:embedRegular r:id="rId3" w:fontKey="{E7A076C8-0C74-4F6C-9F07-2B103AD64DAC}"/>
  </w:font>
  <w:font w:name="Courier New">
    <w:panose1 w:val="02070309020205020404"/>
    <w:charset w:val="01"/>
    <w:family w:val="modern"/>
    <w:pitch w:val="default"/>
    <w:sig w:usb0="E0002AFF" w:usb1="C0007843" w:usb2="00000009" w:usb3="00000000" w:csb0="400001FF" w:csb1="FFFF0000"/>
    <w:embedRegular r:id="rId4" w:fontKey="{7354C62B-17EC-4892-AFC8-62AE0ED6E21A}"/>
  </w:font>
  <w:font w:name="Symbol">
    <w:panose1 w:val="05050102010706020507"/>
    <w:charset w:val="02"/>
    <w:family w:val="roman"/>
    <w:pitch w:val="default"/>
    <w:sig w:usb0="00000000" w:usb1="00000000" w:usb2="00000000" w:usb3="00000000" w:csb0="80000000" w:csb1="00000000"/>
    <w:embedRegular r:id="rId5" w:fontKey="{E3CF4BF7-96C5-417D-9F95-D8D563353604}"/>
  </w:font>
  <w:font w:name="Calibri">
    <w:panose1 w:val="020F0502020204030204"/>
    <w:charset w:val="00"/>
    <w:family w:val="swiss"/>
    <w:pitch w:val="default"/>
    <w:sig w:usb0="E00002FF" w:usb1="4000ACFF" w:usb2="00000001" w:usb3="00000000" w:csb0="2000019F" w:csb1="00000000"/>
    <w:embedRegular r:id="rId6" w:fontKey="{138E3B47-EA8A-4724-AF4D-C28D192ACE2C}"/>
  </w:font>
  <w:font w:name="Cambria">
    <w:panose1 w:val="02040503050406030204"/>
    <w:charset w:val="00"/>
    <w:family w:val="roman"/>
    <w:pitch w:val="default"/>
    <w:sig w:usb0="E00002FF" w:usb1="400004FF" w:usb2="00000000" w:usb3="00000000" w:csb0="2000019F" w:csb1="00000000"/>
    <w:embedRegular r:id="rId7" w:fontKey="{CDB5E526-E457-4B8C-B902-90C47D4E2826}"/>
  </w:font>
  <w:font w:name="仿宋_GB2312">
    <w:panose1 w:val="02010609030101010101"/>
    <w:charset w:val="86"/>
    <w:family w:val="modern"/>
    <w:pitch w:val="default"/>
    <w:sig w:usb0="00000001" w:usb1="080E0000" w:usb2="00000000" w:usb3="00000000" w:csb0="00040000" w:csb1="00000000"/>
    <w:embedRegular r:id="rId8" w:fontKey="{76FF0E4B-07AF-4040-867D-2B9F5986E7E0}"/>
  </w:font>
  <w:font w:name="华文中宋">
    <w:panose1 w:val="02010600040101010101"/>
    <w:charset w:val="86"/>
    <w:family w:val="auto"/>
    <w:pitch w:val="default"/>
    <w:sig w:usb0="00000287" w:usb1="080F0000" w:usb2="00000000" w:usb3="00000000" w:csb0="0004009F" w:csb1="DFD70000"/>
    <w:embedRegular r:id="rId9" w:fontKey="{70C94D79-A75B-405B-9CFF-A89241991CBA}"/>
  </w:font>
  <w:font w:name="方正小标宋简体">
    <w:panose1 w:val="03000509000000000000"/>
    <w:charset w:val="86"/>
    <w:family w:val="auto"/>
    <w:pitch w:val="default"/>
    <w:sig w:usb0="00000001" w:usb1="080E0000" w:usb2="00000000" w:usb3="00000000" w:csb0="00040000" w:csb1="00000000"/>
    <w:embedRegular r:id="rId10" w:fontKey="{A665310C-73E1-44BE-AF65-FDD8E3CE029E}"/>
  </w:font>
  <w:font w:name="楷体_GB2312">
    <w:panose1 w:val="02010609030101010101"/>
    <w:charset w:val="86"/>
    <w:family w:val="auto"/>
    <w:pitch w:val="default"/>
    <w:sig w:usb0="00000001" w:usb1="080E0000" w:usb2="00000000" w:usb3="00000000" w:csb0="00040000" w:csb1="00000000"/>
    <w:embedRegular r:id="rId11" w:fontKey="{FDCC27DC-17E2-40CE-B59A-F85755A1FCCE}"/>
  </w:font>
  <w:font w:name="仿宋">
    <w:panose1 w:val="02010609060101010101"/>
    <w:charset w:val="86"/>
    <w:family w:val="modern"/>
    <w:pitch w:val="default"/>
    <w:sig w:usb0="800002BF" w:usb1="38CF7CFA" w:usb2="00000016" w:usb3="00000000" w:csb0="00040001" w:csb1="00000000"/>
    <w:embedRegular r:id="rId12" w:fontKey="{4993DD8A-F6FB-45AC-A181-8E370F5539F5}"/>
  </w:font>
  <w:font w:name="楷体">
    <w:panose1 w:val="02010609060101010101"/>
    <w:charset w:val="86"/>
    <w:family w:val="modern"/>
    <w:pitch w:val="default"/>
    <w:sig w:usb0="800002BF" w:usb1="38CF7CFA" w:usb2="00000016" w:usb3="00000000" w:csb0="00040001" w:csb1="00000000"/>
    <w:embedRegular r:id="rId13" w:fontKey="{32CC2F21-9542-43B6-B763-15532EE5D16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22003363"/>
    </w:sdtPr>
    <w:sdtContent>
      <w:p>
        <w:pPr>
          <w:pStyle w:val="15"/>
          <w:jc w:val="center"/>
        </w:pPr>
        <w:r>
          <w:fldChar w:fldCharType="begin"/>
        </w:r>
        <w:r>
          <w:instrText xml:space="preserve">PAGE   \* MERGEFORMAT</w:instrText>
        </w:r>
        <w:r>
          <w:fldChar w:fldCharType="separate"/>
        </w:r>
        <w:r>
          <w:rPr>
            <w:lang w:val="zh-CN"/>
          </w:rPr>
          <w:t>2</w:t>
        </w:r>
        <w:r>
          <w:fldChar w:fldCharType="end"/>
        </w:r>
      </w:p>
    </w:sdtContent>
  </w:sdt>
  <w:p>
    <w:pPr>
      <w:pStyle w:val="1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3D2FA9"/>
    <w:multiLevelType w:val="singleLevel"/>
    <w:tmpl w:val="9D3D2FA9"/>
    <w:lvl w:ilvl="0" w:tentative="0">
      <w:start w:val="6"/>
      <w:numFmt w:val="chineseCounting"/>
      <w:suff w:val="nothing"/>
      <w:lvlText w:val="%1、"/>
      <w:lvlJc w:val="left"/>
      <w:rPr>
        <w:rFonts w:hint="eastAsia"/>
      </w:rPr>
    </w:lvl>
  </w:abstractNum>
  <w:abstractNum w:abstractNumId="1">
    <w:nsid w:val="D066BB0D"/>
    <w:multiLevelType w:val="singleLevel"/>
    <w:tmpl w:val="D066BB0D"/>
    <w:lvl w:ilvl="0" w:tentative="0">
      <w:start w:val="1"/>
      <w:numFmt w:val="decimal"/>
      <w:suff w:val="nothing"/>
      <w:lvlText w:val="%1、"/>
      <w:lvlJc w:val="left"/>
    </w:lvl>
  </w:abstractNum>
  <w:abstractNum w:abstractNumId="2">
    <w:nsid w:val="DEF60FE1"/>
    <w:multiLevelType w:val="singleLevel"/>
    <w:tmpl w:val="DEF60FE1"/>
    <w:lvl w:ilvl="0" w:tentative="0">
      <w:start w:val="1"/>
      <w:numFmt w:val="decimal"/>
      <w:suff w:val="nothing"/>
      <w:lvlText w:val="（%1）"/>
      <w:lvlJc w:val="left"/>
    </w:lvl>
  </w:abstractNum>
  <w:abstractNum w:abstractNumId="3">
    <w:nsid w:val="FF4BB6DE"/>
    <w:multiLevelType w:val="singleLevel"/>
    <w:tmpl w:val="FF4BB6DE"/>
    <w:lvl w:ilvl="0" w:tentative="0">
      <w:start w:val="1"/>
      <w:numFmt w:val="decimal"/>
      <w:suff w:val="nothing"/>
      <w:lvlText w:val="%1、"/>
      <w:lvlJc w:val="left"/>
    </w:lvl>
  </w:abstractNum>
  <w:abstractNum w:abstractNumId="4">
    <w:nsid w:val="FF9379A8"/>
    <w:multiLevelType w:val="singleLevel"/>
    <w:tmpl w:val="FF9379A8"/>
    <w:lvl w:ilvl="0" w:tentative="0">
      <w:start w:val="2"/>
      <w:numFmt w:val="chineseCounting"/>
      <w:suff w:val="nothing"/>
      <w:lvlText w:val="（%1）"/>
      <w:lvlJc w:val="left"/>
      <w:rPr>
        <w:rFonts w:hint="eastAsia"/>
      </w:rPr>
    </w:lvl>
  </w:abstractNum>
  <w:abstractNum w:abstractNumId="5">
    <w:nsid w:val="116B29BF"/>
    <w:multiLevelType w:val="singleLevel"/>
    <w:tmpl w:val="116B29BF"/>
    <w:lvl w:ilvl="0" w:tentative="0">
      <w:start w:val="3"/>
      <w:numFmt w:val="chineseCounting"/>
      <w:suff w:val="nothing"/>
      <w:lvlText w:val="%1、"/>
      <w:lvlJc w:val="left"/>
      <w:rPr>
        <w:rFonts w:hint="eastAsia"/>
      </w:rPr>
    </w:lvl>
  </w:abstractNum>
  <w:abstractNum w:abstractNumId="6">
    <w:nsid w:val="6FAA0AB1"/>
    <w:multiLevelType w:val="singleLevel"/>
    <w:tmpl w:val="6FAA0AB1"/>
    <w:lvl w:ilvl="0" w:tentative="0">
      <w:start w:val="2"/>
      <w:numFmt w:val="chineseCounting"/>
      <w:suff w:val="nothing"/>
      <w:lvlText w:val="（%1）"/>
      <w:lvlJc w:val="left"/>
      <w:rPr>
        <w:rFonts w:hint="eastAsia"/>
      </w:rPr>
    </w:lvl>
  </w:abstractNum>
  <w:num w:numId="1">
    <w:abstractNumId w:val="2"/>
  </w:num>
  <w:num w:numId="2">
    <w:abstractNumId w:val="5"/>
  </w:num>
  <w:num w:numId="3">
    <w:abstractNumId w:val="6"/>
  </w:num>
  <w:num w:numId="4">
    <w:abstractNumId w:val="4"/>
  </w:num>
  <w:num w:numId="5">
    <w:abstractNumId w:val="1"/>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6457"/>
    <w:rsid w:val="00056465"/>
    <w:rsid w:val="000E50F0"/>
    <w:rsid w:val="000E586C"/>
    <w:rsid w:val="00121AE4"/>
    <w:rsid w:val="00146AAD"/>
    <w:rsid w:val="001B3A40"/>
    <w:rsid w:val="003C18BC"/>
    <w:rsid w:val="004366A8"/>
    <w:rsid w:val="00464900"/>
    <w:rsid w:val="00502BA7"/>
    <w:rsid w:val="005162F1"/>
    <w:rsid w:val="00535153"/>
    <w:rsid w:val="00554F82"/>
    <w:rsid w:val="0056390D"/>
    <w:rsid w:val="005719B0"/>
    <w:rsid w:val="005D10D6"/>
    <w:rsid w:val="007806A5"/>
    <w:rsid w:val="00855E3A"/>
    <w:rsid w:val="00922CB9"/>
    <w:rsid w:val="009E5CD9"/>
    <w:rsid w:val="00A26421"/>
    <w:rsid w:val="00A4293B"/>
    <w:rsid w:val="00A67D50"/>
    <w:rsid w:val="00A8691A"/>
    <w:rsid w:val="00AC1946"/>
    <w:rsid w:val="00B40063"/>
    <w:rsid w:val="00B41F61"/>
    <w:rsid w:val="00B72908"/>
    <w:rsid w:val="00BA46E6"/>
    <w:rsid w:val="00C56C72"/>
    <w:rsid w:val="00CA6457"/>
    <w:rsid w:val="00D17F2E"/>
    <w:rsid w:val="00D30354"/>
    <w:rsid w:val="00DF42A0"/>
    <w:rsid w:val="00DF7C45"/>
    <w:rsid w:val="00E31565"/>
    <w:rsid w:val="00E46C51"/>
    <w:rsid w:val="00E769FE"/>
    <w:rsid w:val="00EA2CBE"/>
    <w:rsid w:val="00F32FEE"/>
    <w:rsid w:val="00F71278"/>
    <w:rsid w:val="00FB10BB"/>
    <w:rsid w:val="051A56F5"/>
    <w:rsid w:val="066D6EAA"/>
    <w:rsid w:val="0880030A"/>
    <w:rsid w:val="08C662D4"/>
    <w:rsid w:val="09BD4D95"/>
    <w:rsid w:val="0ADC4788"/>
    <w:rsid w:val="0E820056"/>
    <w:rsid w:val="0F8D41CB"/>
    <w:rsid w:val="11C75270"/>
    <w:rsid w:val="12637CC3"/>
    <w:rsid w:val="12E657C5"/>
    <w:rsid w:val="137D512E"/>
    <w:rsid w:val="167C7687"/>
    <w:rsid w:val="168B3546"/>
    <w:rsid w:val="182C178C"/>
    <w:rsid w:val="185E3443"/>
    <w:rsid w:val="1A2374E0"/>
    <w:rsid w:val="1B7330FA"/>
    <w:rsid w:val="1BCB21DB"/>
    <w:rsid w:val="1C130925"/>
    <w:rsid w:val="1C317CE2"/>
    <w:rsid w:val="1D5D592E"/>
    <w:rsid w:val="1DD45808"/>
    <w:rsid w:val="1DED42AC"/>
    <w:rsid w:val="20005763"/>
    <w:rsid w:val="20FB313D"/>
    <w:rsid w:val="220B4804"/>
    <w:rsid w:val="241B6EE2"/>
    <w:rsid w:val="282475E3"/>
    <w:rsid w:val="2ADE0CBF"/>
    <w:rsid w:val="2C6100C1"/>
    <w:rsid w:val="3212176C"/>
    <w:rsid w:val="32277F7A"/>
    <w:rsid w:val="3264220D"/>
    <w:rsid w:val="32925ECC"/>
    <w:rsid w:val="35B30258"/>
    <w:rsid w:val="36547A3B"/>
    <w:rsid w:val="37481F86"/>
    <w:rsid w:val="378B22DD"/>
    <w:rsid w:val="37DE4AEA"/>
    <w:rsid w:val="3963178C"/>
    <w:rsid w:val="3AA45590"/>
    <w:rsid w:val="41CC2676"/>
    <w:rsid w:val="46B21672"/>
    <w:rsid w:val="4F552460"/>
    <w:rsid w:val="4FCC6863"/>
    <w:rsid w:val="500A214A"/>
    <w:rsid w:val="51B32FE6"/>
    <w:rsid w:val="522D604D"/>
    <w:rsid w:val="5297585E"/>
    <w:rsid w:val="52AD7D6F"/>
    <w:rsid w:val="5324321C"/>
    <w:rsid w:val="53B81383"/>
    <w:rsid w:val="5549519D"/>
    <w:rsid w:val="5557596B"/>
    <w:rsid w:val="57881C92"/>
    <w:rsid w:val="5B596DFC"/>
    <w:rsid w:val="5DF03945"/>
    <w:rsid w:val="5F7341A7"/>
    <w:rsid w:val="637C2815"/>
    <w:rsid w:val="670536F6"/>
    <w:rsid w:val="6C894133"/>
    <w:rsid w:val="705150DD"/>
    <w:rsid w:val="72EC3B5B"/>
    <w:rsid w:val="7A353D0B"/>
    <w:rsid w:val="7D3A5E2F"/>
    <w:rsid w:val="7EFB27FF"/>
    <w:rsid w:val="7EFF55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3"/>
    <w:qFormat/>
    <w:uiPriority w:val="9"/>
    <w:pPr>
      <w:keepNext/>
      <w:widowControl/>
      <w:spacing w:before="240" w:after="60"/>
      <w:jc w:val="left"/>
      <w:outlineLvl w:val="0"/>
    </w:pPr>
    <w:rPr>
      <w:rFonts w:asciiTheme="majorHAnsi" w:hAnsiTheme="majorHAnsi" w:eastAsiaTheme="majorEastAsia"/>
      <w:b/>
      <w:bCs/>
      <w:kern w:val="32"/>
      <w:sz w:val="32"/>
      <w:szCs w:val="32"/>
    </w:rPr>
  </w:style>
  <w:style w:type="paragraph" w:styleId="4">
    <w:name w:val="heading 2"/>
    <w:basedOn w:val="1"/>
    <w:next w:val="1"/>
    <w:link w:val="24"/>
    <w:semiHidden/>
    <w:unhideWhenUsed/>
    <w:qFormat/>
    <w:uiPriority w:val="9"/>
    <w:pPr>
      <w:keepNext/>
      <w:widowControl/>
      <w:spacing w:before="240" w:after="60"/>
      <w:jc w:val="left"/>
      <w:outlineLvl w:val="1"/>
    </w:pPr>
    <w:rPr>
      <w:rFonts w:asciiTheme="majorHAnsi" w:hAnsiTheme="majorHAnsi" w:eastAsiaTheme="majorEastAsia"/>
      <w:b/>
      <w:bCs/>
      <w:i/>
      <w:iCs/>
      <w:kern w:val="0"/>
      <w:sz w:val="28"/>
      <w:szCs w:val="28"/>
    </w:rPr>
  </w:style>
  <w:style w:type="paragraph" w:styleId="5">
    <w:name w:val="heading 3"/>
    <w:basedOn w:val="1"/>
    <w:next w:val="1"/>
    <w:link w:val="25"/>
    <w:semiHidden/>
    <w:unhideWhenUsed/>
    <w:qFormat/>
    <w:uiPriority w:val="9"/>
    <w:pPr>
      <w:keepNext/>
      <w:widowControl/>
      <w:spacing w:before="240" w:after="60"/>
      <w:jc w:val="left"/>
      <w:outlineLvl w:val="2"/>
    </w:pPr>
    <w:rPr>
      <w:rFonts w:asciiTheme="majorHAnsi" w:hAnsiTheme="majorHAnsi" w:eastAsiaTheme="majorEastAsia"/>
      <w:b/>
      <w:bCs/>
      <w:kern w:val="0"/>
      <w:sz w:val="26"/>
      <w:szCs w:val="26"/>
    </w:rPr>
  </w:style>
  <w:style w:type="paragraph" w:styleId="6">
    <w:name w:val="heading 4"/>
    <w:basedOn w:val="1"/>
    <w:next w:val="1"/>
    <w:link w:val="26"/>
    <w:semiHidden/>
    <w:unhideWhenUsed/>
    <w:qFormat/>
    <w:uiPriority w:val="9"/>
    <w:pPr>
      <w:keepNext/>
      <w:widowControl/>
      <w:spacing w:before="240" w:after="60"/>
      <w:jc w:val="left"/>
      <w:outlineLvl w:val="3"/>
    </w:pPr>
    <w:rPr>
      <w:rFonts w:asciiTheme="minorHAnsi" w:hAnsiTheme="minorHAnsi" w:eastAsiaTheme="minorEastAsia"/>
      <w:b/>
      <w:bCs/>
      <w:kern w:val="0"/>
      <w:sz w:val="28"/>
      <w:szCs w:val="28"/>
    </w:rPr>
  </w:style>
  <w:style w:type="paragraph" w:styleId="7">
    <w:name w:val="heading 5"/>
    <w:basedOn w:val="1"/>
    <w:next w:val="1"/>
    <w:link w:val="27"/>
    <w:semiHidden/>
    <w:unhideWhenUsed/>
    <w:qFormat/>
    <w:uiPriority w:val="9"/>
    <w:pPr>
      <w:widowControl/>
      <w:spacing w:before="240" w:after="60"/>
      <w:jc w:val="left"/>
      <w:outlineLvl w:val="4"/>
    </w:pPr>
    <w:rPr>
      <w:rFonts w:asciiTheme="minorHAnsi" w:hAnsiTheme="minorHAnsi" w:eastAsiaTheme="minorEastAsia"/>
      <w:b/>
      <w:bCs/>
      <w:i/>
      <w:iCs/>
      <w:kern w:val="0"/>
      <w:sz w:val="26"/>
      <w:szCs w:val="26"/>
    </w:rPr>
  </w:style>
  <w:style w:type="paragraph" w:styleId="8">
    <w:name w:val="heading 6"/>
    <w:basedOn w:val="1"/>
    <w:next w:val="1"/>
    <w:link w:val="28"/>
    <w:semiHidden/>
    <w:unhideWhenUsed/>
    <w:qFormat/>
    <w:uiPriority w:val="9"/>
    <w:pPr>
      <w:widowControl/>
      <w:spacing w:before="240" w:after="60"/>
      <w:jc w:val="left"/>
      <w:outlineLvl w:val="5"/>
    </w:pPr>
    <w:rPr>
      <w:rFonts w:asciiTheme="minorHAnsi" w:hAnsiTheme="minorHAnsi" w:eastAsiaTheme="minorEastAsia"/>
      <w:b/>
      <w:bCs/>
      <w:kern w:val="0"/>
      <w:sz w:val="22"/>
      <w:szCs w:val="22"/>
    </w:rPr>
  </w:style>
  <w:style w:type="paragraph" w:styleId="9">
    <w:name w:val="heading 7"/>
    <w:basedOn w:val="1"/>
    <w:next w:val="1"/>
    <w:link w:val="29"/>
    <w:semiHidden/>
    <w:unhideWhenUsed/>
    <w:qFormat/>
    <w:uiPriority w:val="9"/>
    <w:pPr>
      <w:widowControl/>
      <w:spacing w:before="240" w:after="60"/>
      <w:jc w:val="left"/>
      <w:outlineLvl w:val="6"/>
    </w:pPr>
    <w:rPr>
      <w:rFonts w:asciiTheme="minorHAnsi" w:hAnsiTheme="minorHAnsi" w:eastAsiaTheme="minorEastAsia"/>
      <w:kern w:val="0"/>
      <w:sz w:val="24"/>
    </w:rPr>
  </w:style>
  <w:style w:type="paragraph" w:styleId="10">
    <w:name w:val="heading 8"/>
    <w:basedOn w:val="1"/>
    <w:next w:val="1"/>
    <w:link w:val="30"/>
    <w:semiHidden/>
    <w:unhideWhenUsed/>
    <w:qFormat/>
    <w:uiPriority w:val="9"/>
    <w:pPr>
      <w:widowControl/>
      <w:spacing w:before="240" w:after="60"/>
      <w:jc w:val="left"/>
      <w:outlineLvl w:val="7"/>
    </w:pPr>
    <w:rPr>
      <w:rFonts w:asciiTheme="minorHAnsi" w:hAnsiTheme="minorHAnsi" w:eastAsiaTheme="minorEastAsia"/>
      <w:i/>
      <w:iCs/>
      <w:kern w:val="0"/>
      <w:sz w:val="24"/>
    </w:rPr>
  </w:style>
  <w:style w:type="paragraph" w:styleId="11">
    <w:name w:val="heading 9"/>
    <w:basedOn w:val="1"/>
    <w:next w:val="1"/>
    <w:link w:val="31"/>
    <w:semiHidden/>
    <w:unhideWhenUsed/>
    <w:qFormat/>
    <w:uiPriority w:val="9"/>
    <w:pPr>
      <w:widowControl/>
      <w:spacing w:before="240" w:after="60"/>
      <w:jc w:val="left"/>
      <w:outlineLvl w:val="8"/>
    </w:pPr>
    <w:rPr>
      <w:rFonts w:asciiTheme="majorHAnsi" w:hAnsiTheme="majorHAnsi" w:eastAsiaTheme="majorEastAsia"/>
      <w:kern w:val="0"/>
      <w:sz w:val="22"/>
      <w:szCs w:val="22"/>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2">
    <w:name w:val="Title"/>
    <w:basedOn w:val="1"/>
    <w:next w:val="1"/>
    <w:link w:val="32"/>
    <w:qFormat/>
    <w:uiPriority w:val="10"/>
    <w:pPr>
      <w:widowControl/>
      <w:spacing w:before="240" w:after="60"/>
      <w:jc w:val="center"/>
      <w:outlineLvl w:val="0"/>
    </w:pPr>
    <w:rPr>
      <w:rFonts w:asciiTheme="majorHAnsi" w:hAnsiTheme="majorHAnsi" w:eastAsiaTheme="majorEastAsia"/>
      <w:b/>
      <w:bCs/>
      <w:kern w:val="28"/>
      <w:sz w:val="32"/>
      <w:szCs w:val="32"/>
    </w:rPr>
  </w:style>
  <w:style w:type="paragraph" w:styleId="12">
    <w:name w:val="annotation text"/>
    <w:basedOn w:val="1"/>
    <w:semiHidden/>
    <w:unhideWhenUsed/>
    <w:qFormat/>
    <w:uiPriority w:val="99"/>
    <w:pPr>
      <w:jc w:val="left"/>
    </w:pPr>
  </w:style>
  <w:style w:type="paragraph" w:styleId="13">
    <w:name w:val="Body Text"/>
    <w:basedOn w:val="1"/>
    <w:qFormat/>
    <w:uiPriority w:val="0"/>
    <w:pPr>
      <w:spacing w:after="120"/>
    </w:pPr>
  </w:style>
  <w:style w:type="paragraph" w:styleId="14">
    <w:name w:val="Balloon Text"/>
    <w:basedOn w:val="1"/>
    <w:link w:val="48"/>
    <w:semiHidden/>
    <w:unhideWhenUsed/>
    <w:qFormat/>
    <w:uiPriority w:val="99"/>
    <w:rPr>
      <w:sz w:val="18"/>
      <w:szCs w:val="18"/>
    </w:rPr>
  </w:style>
  <w:style w:type="paragraph" w:styleId="15">
    <w:name w:val="footer"/>
    <w:basedOn w:val="1"/>
    <w:link w:val="47"/>
    <w:unhideWhenUsed/>
    <w:qFormat/>
    <w:uiPriority w:val="99"/>
    <w:pPr>
      <w:tabs>
        <w:tab w:val="center" w:pos="4153"/>
        <w:tab w:val="right" w:pos="8306"/>
      </w:tabs>
      <w:snapToGrid w:val="0"/>
      <w:jc w:val="left"/>
    </w:pPr>
    <w:rPr>
      <w:rFonts w:ascii="Calibri" w:hAnsi="Calibri"/>
      <w:sz w:val="18"/>
      <w:szCs w:val="18"/>
    </w:rPr>
  </w:style>
  <w:style w:type="paragraph" w:styleId="16">
    <w:name w:val="header"/>
    <w:basedOn w:val="1"/>
    <w:link w:val="46"/>
    <w:unhideWhenUsed/>
    <w:qFormat/>
    <w:uiPriority w:val="99"/>
    <w:pPr>
      <w:pBdr>
        <w:bottom w:val="single" w:color="auto" w:sz="6" w:space="1"/>
      </w:pBdr>
      <w:tabs>
        <w:tab w:val="center" w:pos="4153"/>
        <w:tab w:val="right" w:pos="8306"/>
      </w:tabs>
      <w:snapToGrid w:val="0"/>
      <w:jc w:val="center"/>
    </w:pPr>
    <w:rPr>
      <w:rFonts w:ascii="Calibri" w:hAnsi="Calibri"/>
      <w:sz w:val="18"/>
      <w:szCs w:val="18"/>
    </w:rPr>
  </w:style>
  <w:style w:type="paragraph" w:styleId="17">
    <w:name w:val="Subtitle"/>
    <w:basedOn w:val="1"/>
    <w:next w:val="1"/>
    <w:link w:val="33"/>
    <w:qFormat/>
    <w:uiPriority w:val="11"/>
    <w:pPr>
      <w:widowControl/>
      <w:spacing w:after="60"/>
      <w:jc w:val="center"/>
      <w:outlineLvl w:val="1"/>
    </w:pPr>
    <w:rPr>
      <w:rFonts w:asciiTheme="majorHAnsi" w:hAnsiTheme="majorHAnsi" w:eastAsiaTheme="majorEastAsia"/>
      <w:kern w:val="0"/>
      <w:sz w:val="24"/>
    </w:rPr>
  </w:style>
  <w:style w:type="paragraph" w:styleId="18">
    <w:name w:val="Body Text First Indent"/>
    <w:basedOn w:val="13"/>
    <w:qFormat/>
    <w:uiPriority w:val="0"/>
    <w:pPr>
      <w:spacing w:after="0"/>
      <w:ind w:firstLine="200" w:firstLineChars="200"/>
    </w:pPr>
  </w:style>
  <w:style w:type="character" w:styleId="21">
    <w:name w:val="Strong"/>
    <w:basedOn w:val="20"/>
    <w:qFormat/>
    <w:uiPriority w:val="0"/>
    <w:rPr>
      <w:b/>
      <w:bCs/>
    </w:rPr>
  </w:style>
  <w:style w:type="character" w:styleId="22">
    <w:name w:val="Emphasis"/>
    <w:basedOn w:val="20"/>
    <w:qFormat/>
    <w:uiPriority w:val="20"/>
    <w:rPr>
      <w:rFonts w:asciiTheme="minorHAnsi" w:hAnsiTheme="minorHAnsi"/>
      <w:b/>
      <w:i/>
      <w:iCs/>
    </w:rPr>
  </w:style>
  <w:style w:type="character" w:customStyle="1" w:styleId="23">
    <w:name w:val="标题 1 字符"/>
    <w:basedOn w:val="20"/>
    <w:link w:val="3"/>
    <w:qFormat/>
    <w:uiPriority w:val="9"/>
    <w:rPr>
      <w:rFonts w:asciiTheme="majorHAnsi" w:hAnsiTheme="majorHAnsi" w:eastAsiaTheme="majorEastAsia"/>
      <w:b/>
      <w:bCs/>
      <w:kern w:val="32"/>
      <w:sz w:val="32"/>
      <w:szCs w:val="32"/>
    </w:rPr>
  </w:style>
  <w:style w:type="character" w:customStyle="1" w:styleId="24">
    <w:name w:val="标题 2 字符"/>
    <w:basedOn w:val="20"/>
    <w:link w:val="4"/>
    <w:semiHidden/>
    <w:qFormat/>
    <w:uiPriority w:val="9"/>
    <w:rPr>
      <w:rFonts w:asciiTheme="majorHAnsi" w:hAnsiTheme="majorHAnsi" w:eastAsiaTheme="majorEastAsia"/>
      <w:b/>
      <w:bCs/>
      <w:i/>
      <w:iCs/>
      <w:sz w:val="28"/>
      <w:szCs w:val="28"/>
    </w:rPr>
  </w:style>
  <w:style w:type="character" w:customStyle="1" w:styleId="25">
    <w:name w:val="标题 3 字符"/>
    <w:basedOn w:val="20"/>
    <w:link w:val="5"/>
    <w:semiHidden/>
    <w:qFormat/>
    <w:uiPriority w:val="9"/>
    <w:rPr>
      <w:rFonts w:asciiTheme="majorHAnsi" w:hAnsiTheme="majorHAnsi" w:eastAsiaTheme="majorEastAsia"/>
      <w:b/>
      <w:bCs/>
      <w:sz w:val="26"/>
      <w:szCs w:val="26"/>
    </w:rPr>
  </w:style>
  <w:style w:type="character" w:customStyle="1" w:styleId="26">
    <w:name w:val="标题 4 字符"/>
    <w:basedOn w:val="20"/>
    <w:link w:val="6"/>
    <w:semiHidden/>
    <w:qFormat/>
    <w:uiPriority w:val="9"/>
    <w:rPr>
      <w:b/>
      <w:bCs/>
      <w:sz w:val="28"/>
      <w:szCs w:val="28"/>
    </w:rPr>
  </w:style>
  <w:style w:type="character" w:customStyle="1" w:styleId="27">
    <w:name w:val="标题 5 字符"/>
    <w:basedOn w:val="20"/>
    <w:link w:val="7"/>
    <w:semiHidden/>
    <w:qFormat/>
    <w:uiPriority w:val="9"/>
    <w:rPr>
      <w:b/>
      <w:bCs/>
      <w:i/>
      <w:iCs/>
      <w:sz w:val="26"/>
      <w:szCs w:val="26"/>
    </w:rPr>
  </w:style>
  <w:style w:type="character" w:customStyle="1" w:styleId="28">
    <w:name w:val="标题 6 字符"/>
    <w:basedOn w:val="20"/>
    <w:link w:val="8"/>
    <w:semiHidden/>
    <w:qFormat/>
    <w:uiPriority w:val="9"/>
    <w:rPr>
      <w:b/>
      <w:bCs/>
    </w:rPr>
  </w:style>
  <w:style w:type="character" w:customStyle="1" w:styleId="29">
    <w:name w:val="标题 7 字符"/>
    <w:basedOn w:val="20"/>
    <w:link w:val="9"/>
    <w:semiHidden/>
    <w:qFormat/>
    <w:uiPriority w:val="9"/>
    <w:rPr>
      <w:sz w:val="24"/>
      <w:szCs w:val="24"/>
    </w:rPr>
  </w:style>
  <w:style w:type="character" w:customStyle="1" w:styleId="30">
    <w:name w:val="标题 8 字符"/>
    <w:basedOn w:val="20"/>
    <w:link w:val="10"/>
    <w:semiHidden/>
    <w:qFormat/>
    <w:uiPriority w:val="9"/>
    <w:rPr>
      <w:i/>
      <w:iCs/>
      <w:sz w:val="24"/>
      <w:szCs w:val="24"/>
    </w:rPr>
  </w:style>
  <w:style w:type="character" w:customStyle="1" w:styleId="31">
    <w:name w:val="标题 9 字符"/>
    <w:basedOn w:val="20"/>
    <w:link w:val="11"/>
    <w:semiHidden/>
    <w:qFormat/>
    <w:uiPriority w:val="9"/>
    <w:rPr>
      <w:rFonts w:asciiTheme="majorHAnsi" w:hAnsiTheme="majorHAnsi" w:eastAsiaTheme="majorEastAsia"/>
    </w:rPr>
  </w:style>
  <w:style w:type="character" w:customStyle="1" w:styleId="32">
    <w:name w:val="标题 字符"/>
    <w:basedOn w:val="20"/>
    <w:link w:val="2"/>
    <w:qFormat/>
    <w:uiPriority w:val="10"/>
    <w:rPr>
      <w:rFonts w:asciiTheme="majorHAnsi" w:hAnsiTheme="majorHAnsi" w:eastAsiaTheme="majorEastAsia"/>
      <w:b/>
      <w:bCs/>
      <w:kern w:val="28"/>
      <w:sz w:val="32"/>
      <w:szCs w:val="32"/>
    </w:rPr>
  </w:style>
  <w:style w:type="character" w:customStyle="1" w:styleId="33">
    <w:name w:val="副标题 字符"/>
    <w:basedOn w:val="20"/>
    <w:link w:val="17"/>
    <w:qFormat/>
    <w:uiPriority w:val="11"/>
    <w:rPr>
      <w:rFonts w:asciiTheme="majorHAnsi" w:hAnsiTheme="majorHAnsi" w:eastAsiaTheme="majorEastAsia"/>
      <w:sz w:val="24"/>
      <w:szCs w:val="24"/>
    </w:rPr>
  </w:style>
  <w:style w:type="paragraph" w:styleId="34">
    <w:name w:val="No Spacing"/>
    <w:basedOn w:val="1"/>
    <w:qFormat/>
    <w:uiPriority w:val="1"/>
    <w:pPr>
      <w:widowControl/>
      <w:jc w:val="left"/>
    </w:pPr>
    <w:rPr>
      <w:rFonts w:asciiTheme="minorHAnsi" w:hAnsiTheme="minorHAnsi" w:eastAsiaTheme="minorEastAsia"/>
      <w:kern w:val="0"/>
      <w:sz w:val="24"/>
      <w:szCs w:val="32"/>
      <w:lang w:eastAsia="en-US" w:bidi="en-US"/>
    </w:rPr>
  </w:style>
  <w:style w:type="paragraph" w:styleId="35">
    <w:name w:val="List Paragraph"/>
    <w:basedOn w:val="1"/>
    <w:qFormat/>
    <w:uiPriority w:val="34"/>
    <w:pPr>
      <w:widowControl/>
      <w:ind w:left="720"/>
      <w:contextualSpacing/>
      <w:jc w:val="left"/>
    </w:pPr>
    <w:rPr>
      <w:rFonts w:asciiTheme="minorHAnsi" w:hAnsiTheme="minorHAnsi" w:eastAsiaTheme="minorEastAsia"/>
      <w:kern w:val="0"/>
      <w:sz w:val="24"/>
      <w:lang w:eastAsia="en-US" w:bidi="en-US"/>
    </w:rPr>
  </w:style>
  <w:style w:type="paragraph" w:styleId="36">
    <w:name w:val="Quote"/>
    <w:basedOn w:val="1"/>
    <w:next w:val="1"/>
    <w:link w:val="37"/>
    <w:qFormat/>
    <w:uiPriority w:val="29"/>
    <w:pPr>
      <w:widowControl/>
      <w:jc w:val="left"/>
    </w:pPr>
    <w:rPr>
      <w:rFonts w:asciiTheme="minorHAnsi" w:hAnsiTheme="minorHAnsi" w:eastAsiaTheme="minorEastAsia"/>
      <w:i/>
      <w:kern w:val="0"/>
      <w:sz w:val="24"/>
    </w:rPr>
  </w:style>
  <w:style w:type="character" w:customStyle="1" w:styleId="37">
    <w:name w:val="引用 字符"/>
    <w:basedOn w:val="20"/>
    <w:link w:val="36"/>
    <w:qFormat/>
    <w:uiPriority w:val="29"/>
    <w:rPr>
      <w:i/>
      <w:sz w:val="24"/>
      <w:szCs w:val="24"/>
    </w:rPr>
  </w:style>
  <w:style w:type="paragraph" w:styleId="38">
    <w:name w:val="Intense Quote"/>
    <w:basedOn w:val="1"/>
    <w:next w:val="1"/>
    <w:link w:val="39"/>
    <w:qFormat/>
    <w:uiPriority w:val="30"/>
    <w:pPr>
      <w:widowControl/>
      <w:ind w:left="720" w:right="720"/>
      <w:jc w:val="left"/>
    </w:pPr>
    <w:rPr>
      <w:rFonts w:asciiTheme="minorHAnsi" w:hAnsiTheme="minorHAnsi" w:eastAsiaTheme="minorEastAsia"/>
      <w:b/>
      <w:i/>
      <w:kern w:val="0"/>
      <w:sz w:val="24"/>
      <w:szCs w:val="22"/>
    </w:rPr>
  </w:style>
  <w:style w:type="character" w:customStyle="1" w:styleId="39">
    <w:name w:val="明显引用 字符"/>
    <w:basedOn w:val="20"/>
    <w:link w:val="38"/>
    <w:qFormat/>
    <w:uiPriority w:val="30"/>
    <w:rPr>
      <w:b/>
      <w:i/>
      <w:sz w:val="24"/>
    </w:rPr>
  </w:style>
  <w:style w:type="character" w:customStyle="1" w:styleId="40">
    <w:name w:val="不明显强调1"/>
    <w:qFormat/>
    <w:uiPriority w:val="19"/>
    <w:rPr>
      <w:i/>
      <w:color w:val="595959" w:themeColor="text1" w:themeTint="A6"/>
      <w14:textFill>
        <w14:solidFill>
          <w14:schemeClr w14:val="tx1">
            <w14:lumMod w14:val="65000"/>
            <w14:lumOff w14:val="35000"/>
          </w14:schemeClr>
        </w14:solidFill>
      </w14:textFill>
    </w:rPr>
  </w:style>
  <w:style w:type="character" w:customStyle="1" w:styleId="41">
    <w:name w:val="明显强调1"/>
    <w:basedOn w:val="20"/>
    <w:qFormat/>
    <w:uiPriority w:val="21"/>
    <w:rPr>
      <w:b/>
      <w:i/>
      <w:sz w:val="24"/>
      <w:szCs w:val="24"/>
      <w:u w:val="single"/>
    </w:rPr>
  </w:style>
  <w:style w:type="character" w:customStyle="1" w:styleId="42">
    <w:name w:val="不明显参考1"/>
    <w:basedOn w:val="20"/>
    <w:qFormat/>
    <w:uiPriority w:val="31"/>
    <w:rPr>
      <w:sz w:val="24"/>
      <w:szCs w:val="24"/>
      <w:u w:val="single"/>
    </w:rPr>
  </w:style>
  <w:style w:type="character" w:customStyle="1" w:styleId="43">
    <w:name w:val="明显参考1"/>
    <w:basedOn w:val="20"/>
    <w:qFormat/>
    <w:uiPriority w:val="32"/>
    <w:rPr>
      <w:b/>
      <w:sz w:val="24"/>
      <w:u w:val="single"/>
    </w:rPr>
  </w:style>
  <w:style w:type="character" w:customStyle="1" w:styleId="44">
    <w:name w:val="书籍标题1"/>
    <w:basedOn w:val="20"/>
    <w:qFormat/>
    <w:uiPriority w:val="33"/>
    <w:rPr>
      <w:rFonts w:asciiTheme="majorHAnsi" w:hAnsiTheme="majorHAnsi" w:eastAsiaTheme="majorEastAsia"/>
      <w:b/>
      <w:i/>
      <w:sz w:val="24"/>
      <w:szCs w:val="24"/>
    </w:rPr>
  </w:style>
  <w:style w:type="paragraph" w:customStyle="1" w:styleId="45">
    <w:name w:val="TOC 标题1"/>
    <w:basedOn w:val="3"/>
    <w:next w:val="1"/>
    <w:semiHidden/>
    <w:unhideWhenUsed/>
    <w:qFormat/>
    <w:uiPriority w:val="39"/>
    <w:pPr>
      <w:outlineLvl w:val="9"/>
    </w:pPr>
    <w:rPr>
      <w:lang w:eastAsia="en-US" w:bidi="en-US"/>
    </w:rPr>
  </w:style>
  <w:style w:type="character" w:customStyle="1" w:styleId="46">
    <w:name w:val="页眉 字符"/>
    <w:basedOn w:val="20"/>
    <w:link w:val="16"/>
    <w:qFormat/>
    <w:uiPriority w:val="99"/>
    <w:rPr>
      <w:rFonts w:ascii="Calibri" w:hAnsi="Calibri" w:eastAsia="宋体"/>
      <w:kern w:val="2"/>
      <w:sz w:val="18"/>
      <w:szCs w:val="18"/>
    </w:rPr>
  </w:style>
  <w:style w:type="character" w:customStyle="1" w:styleId="47">
    <w:name w:val="页脚 字符"/>
    <w:basedOn w:val="20"/>
    <w:link w:val="15"/>
    <w:qFormat/>
    <w:uiPriority w:val="99"/>
    <w:rPr>
      <w:rFonts w:ascii="Calibri" w:hAnsi="Calibri" w:eastAsia="宋体"/>
      <w:kern w:val="2"/>
      <w:sz w:val="18"/>
      <w:szCs w:val="18"/>
    </w:rPr>
  </w:style>
  <w:style w:type="character" w:customStyle="1" w:styleId="48">
    <w:name w:val="批注框文本 字符"/>
    <w:basedOn w:val="20"/>
    <w:link w:val="14"/>
    <w:semiHidden/>
    <w:qFormat/>
    <w:uiPriority w:val="99"/>
    <w:rPr>
      <w:rFonts w:ascii="Times New Roman" w:hAnsi="Times New Roman" w:eastAsia="宋体"/>
      <w:kern w:val="2"/>
      <w:sz w:val="18"/>
      <w:szCs w:val="18"/>
    </w:rPr>
  </w:style>
  <w:style w:type="paragraph" w:customStyle="1" w:styleId="49">
    <w:name w:val="Heading2"/>
    <w:next w:val="1"/>
    <w:qFormat/>
    <w:uiPriority w:val="0"/>
    <w:pPr>
      <w:keepNext/>
      <w:keepLines/>
      <w:widowControl w:val="0"/>
      <w:spacing w:before="260" w:after="260" w:line="413" w:lineRule="auto"/>
      <w:jc w:val="both"/>
    </w:pPr>
    <w:rPr>
      <w:rFonts w:ascii="Arial" w:hAnsi="Arial" w:eastAsia="黑体" w:cs="Times New Roman"/>
      <w:b/>
      <w:kern w:val="2"/>
      <w:sz w:val="32"/>
      <w:szCs w:val="22"/>
      <w:lang w:val="en-US" w:eastAsia="zh-CN" w:bidi="ar-SA"/>
    </w:rPr>
  </w:style>
  <w:style w:type="character" w:customStyle="1" w:styleId="50">
    <w:name w:val="fontstyle01"/>
    <w:qFormat/>
    <w:uiPriority w:val="0"/>
    <w:rPr>
      <w:rFonts w:ascii="仿宋_GB2312" w:hAnsi="仿宋_GB2312" w:eastAsia="仿宋_GB2312" w:cs="仿宋_GB2312"/>
      <w:color w:val="000000"/>
      <w:sz w:val="32"/>
      <w:szCs w:val="32"/>
    </w:rPr>
  </w:style>
  <w:style w:type="character" w:customStyle="1" w:styleId="51">
    <w:name w:val="font41"/>
    <w:basedOn w:val="20"/>
    <w:qFormat/>
    <w:uiPriority w:val="0"/>
    <w:rPr>
      <w:rFonts w:hint="default" w:ascii="Arial" w:hAnsi="Arial" w:cs="Arial"/>
      <w:color w:val="000000"/>
      <w:sz w:val="18"/>
      <w:szCs w:val="18"/>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1340</Words>
  <Characters>7640</Characters>
  <Lines>63</Lines>
  <Paragraphs>17</Paragraphs>
  <TotalTime>10</TotalTime>
  <ScaleCrop>false</ScaleCrop>
  <LinksUpToDate>false</LinksUpToDate>
  <CharactersWithSpaces>8963</CharactersWithSpaces>
  <Application>WPS Office_11.8.2.12055_F1E327BC-269C-435d-A152-05C5408002CA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2020-07-04T08:35:00Z</dcterms:created>
  <dc:creator>赵 恺（预算处）</dc:creator>
  <cp:lastModifiedBy>Administrator</cp:lastModifiedBy>
  <cp:lastPrinted>2019-12-31T08:02:00Z</cp:lastPrinted>
  <dcterms:modified xsi:type="dcterms:W3CDTF">2025-09-08T01:53:42Z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2052-11.8.2.12055</vt:lpwstr>
  </property>
  <property fmtid="{D5CDD505-2E9C-101B-9397-08002B2CF9AE}" pid="3" name="ICV">
    <vt:lpwstr>E81C2CD606774486877E81512C195A19</vt:lpwstr>
  </property>
  <property fmtid="{D5CDD505-2E9C-101B-9397-08002B2CF9AE}" pid="4" name="KSOSaveFontToCloudKey">
    <vt:lpwstr>229835342_cloud</vt:lpwstr>
  </property>
</Properties>
</file>