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4"/>
          <w:szCs w:val="44"/>
        </w:rPr>
      </w:pPr>
    </w:p>
    <w:p>
      <w:pPr>
        <w:spacing w:line="540" w:lineRule="exact"/>
        <w:jc w:val="center"/>
        <w:rPr>
          <w:rFonts w:hint="eastAsia" w:ascii="方正小标宋简体" w:hAnsi="方正小标宋简体" w:eastAsia="方正小标宋简体" w:cs="方正小标宋简体"/>
          <w:kern w:val="0"/>
          <w:sz w:val="44"/>
          <w:szCs w:val="44"/>
          <w:lang w:eastAsia="zh-CN"/>
        </w:rPr>
      </w:pPr>
      <w:r>
        <w:rPr>
          <w:rFonts w:hint="eastAsia" w:ascii="方正小标宋简体" w:hAnsi="方正小标宋简体" w:eastAsia="方正小标宋简体" w:cs="方正小标宋简体"/>
          <w:kern w:val="0"/>
          <w:sz w:val="44"/>
          <w:szCs w:val="44"/>
          <w:lang w:eastAsia="zh-CN"/>
        </w:rPr>
        <w:t>塔城职业技术学院二期建设项目</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2"/>
      </w:pP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eastAsia="zh-CN"/>
        </w:rPr>
        <w:t>塔城职业技术学院二期建设项目</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塔城地区中等职业技术学校</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塔城地区教育局</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程新军</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30</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2"/>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近几年，塔城地区中等职业技术学校针对国家对职业教育发展的要求，推进技能人才培养的系统化、办学类型与学习形式多样化，办学规模稳中有升，各层次、各类型技能人才培养体系基本形成，专业设置对接区域经济发展，实施建立产教融合、校企合作机制，提高技能人才培养质量，提升服务塔城地区经济社会发展的能力。塔城地区中等职业技术学校坚持改革与发展的方针，与时俱进、开拓创新，塔城职业技术学院二期建设项目不断完善职业教育硬件条件，为塔城地区技术性人才的提供了坚实基础，促进了当地经济社会的发展。</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sz w:val="32"/>
          <w:szCs w:val="32"/>
        </w:rPr>
      </w:pPr>
      <w:r>
        <w:rPr>
          <w:rFonts w:hint="eastAsia" w:ascii="仿宋_GB2312" w:eastAsia="仿宋_GB2312"/>
          <w:sz w:val="32"/>
          <w:szCs w:val="32"/>
        </w:rPr>
        <w:t>根据中共中央、国务院《中国教育现代化2035》、《国家职业教育改革实施方案》（国发〔2019〕4号）、中共中央办公厅、国务院办公厅《加快推进教育现代化实施方案（2018-2022）》、《教育部关于“十三五”时期高等学校设置工作的意见》（教发〔2017〕3号）《关于进一步加强职业教育工作的意见》（新党厅字〔2017〕102号）《新疆维吾尔自治区普通高等学校高等职业教育（专科）专业设置管理实施细则（暂行）》《新疆维吾尔自治区经济社会发展“十三五”规划》和《塔城地区国民经济和社会发展第十三个五年规划纲要》精神，加快构建现代职业教育体系，满足塔城地区社会经济快速发展对高素质技术技能人才的需求，办好人民满意的职业教育，更好地服务社会稳定和长治久安总目标，塔城地区决定申请创建塔城职业技术学院。</w:t>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lang w:val="en-US" w:eastAsia="zh-CN"/>
        </w:rPr>
      </w:pPr>
      <w:r>
        <w:rPr>
          <w:rFonts w:hint="eastAsia" w:ascii="仿宋_GB2312" w:eastAsia="仿宋_GB2312"/>
          <w:sz w:val="32"/>
          <w:szCs w:val="32"/>
        </w:rPr>
        <w:t>经自治区第十三届人民政府第66次常务会议研究，下达关于设置塔城职业技术学院的批复，新政函【2019】134号文件，批准同意成立塔城职业技术学院。</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sz w:val="32"/>
          <w:szCs w:val="32"/>
        </w:rPr>
      </w:pPr>
      <w:r>
        <w:rPr>
          <w:rFonts w:hint="eastAsia" w:ascii="仿宋_GB2312" w:eastAsia="仿宋_GB2312"/>
          <w:sz w:val="32"/>
          <w:szCs w:val="32"/>
        </w:rPr>
        <w:t>①项目名称：塔城职业技术学院二期建设项目。</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sz w:val="32"/>
          <w:szCs w:val="32"/>
        </w:rPr>
      </w:pPr>
      <w:r>
        <w:rPr>
          <w:rFonts w:hint="eastAsia" w:ascii="仿宋_GB2312" w:eastAsia="仿宋_GB2312"/>
          <w:sz w:val="32"/>
          <w:szCs w:val="32"/>
        </w:rPr>
        <w:t>②项目地点：塔城市和睦大道以南、千泉路以东（塔城地区中等职业技术学校新校区内）。</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sz w:val="32"/>
          <w:szCs w:val="32"/>
        </w:rPr>
      </w:pPr>
      <w:r>
        <w:rPr>
          <w:rFonts w:hint="eastAsia" w:ascii="仿宋_GB2312" w:eastAsia="仿宋_GB2312"/>
          <w:sz w:val="32"/>
          <w:szCs w:val="32"/>
        </w:rPr>
        <w:t>③项目建设性质：新建</w:t>
      </w:r>
    </w:p>
    <w:p>
      <w:pPr>
        <w:pageBreakBefore w:val="0"/>
        <w:kinsoku/>
        <w:wordWrap/>
        <w:overflowPunct/>
        <w:topLinePunct w:val="0"/>
        <w:autoSpaceDE/>
        <w:autoSpaceDN/>
        <w:bidi w:val="0"/>
        <w:adjustRightInd/>
        <w:snapToGrid/>
        <w:spacing w:line="560" w:lineRule="atLeast"/>
        <w:ind w:firstLine="640" w:firstLineChars="200"/>
        <w:textAlignment w:val="auto"/>
        <w:rPr>
          <w:rStyle w:val="22"/>
          <w:rFonts w:hint="eastAsia" w:ascii="黑体" w:hAnsi="黑体" w:eastAsia="仿宋_GB2312"/>
          <w:bCs w:val="0"/>
          <w:spacing w:val="-4"/>
          <w:sz w:val="32"/>
          <w:szCs w:val="32"/>
          <w:highlight w:val="yellow"/>
          <w:lang w:val="en-US" w:eastAsia="zh-CN"/>
        </w:rPr>
      </w:pPr>
      <w:r>
        <w:rPr>
          <w:rFonts w:hint="eastAsia" w:ascii="仿宋_GB2312" w:eastAsia="仿宋_GB2312"/>
          <w:sz w:val="32"/>
          <w:szCs w:val="32"/>
        </w:rPr>
        <w:t>④项目</w:t>
      </w:r>
      <w:r>
        <w:rPr>
          <w:rFonts w:hint="eastAsia" w:ascii="仿宋_GB2312" w:eastAsia="仿宋_GB2312"/>
          <w:sz w:val="32"/>
          <w:szCs w:val="32"/>
          <w:lang w:eastAsia="zh-CN"/>
        </w:rPr>
        <w:t>计划</w:t>
      </w:r>
      <w:r>
        <w:rPr>
          <w:rFonts w:hint="eastAsia" w:ascii="仿宋_GB2312" w:eastAsia="仿宋_GB2312"/>
          <w:sz w:val="32"/>
          <w:szCs w:val="32"/>
        </w:rPr>
        <w:t>建设期限：2020年4月-2020年11月</w:t>
      </w:r>
    </w:p>
    <w:p>
      <w:pPr>
        <w:pageBreakBefore w:val="0"/>
        <w:numPr>
          <w:ilvl w:val="0"/>
          <w:numId w:val="0"/>
        </w:numPr>
        <w:kinsoku/>
        <w:wordWrap/>
        <w:overflowPunct/>
        <w:topLinePunct w:val="0"/>
        <w:autoSpaceDE/>
        <w:autoSpaceDN/>
        <w:bidi w:val="0"/>
        <w:adjustRightInd/>
        <w:snapToGrid/>
        <w:spacing w:line="560" w:lineRule="atLeast"/>
        <w:ind w:firstLine="643" w:firstLineChars="200"/>
        <w:textAlignment w:val="auto"/>
        <w:rPr>
          <w:b/>
          <w:bCs/>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项目主要内容及实施情况</w:t>
      </w:r>
      <w:r>
        <w:rPr>
          <w:rFonts w:hint="eastAsia" w:ascii="仿宋_GB2312" w:hAnsi="仿宋_GB2312" w:eastAsia="仿宋_GB2312" w:cs="仿宋_GB2312"/>
          <w:b/>
          <w:bCs/>
          <w:sz w:val="32"/>
          <w:szCs w:val="32"/>
          <w:lang w:val="en-US" w:eastAsia="zh-CN"/>
        </w:rPr>
        <w:t xml:space="preserve"> </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Times New Roman" w:eastAsia="仿宋_GB2312" w:cs="Times New Roman"/>
          <w:sz w:val="32"/>
          <w:szCs w:val="32"/>
        </w:rPr>
        <w:t>项目主要内容：</w:t>
      </w:r>
      <w:r>
        <w:rPr>
          <w:rFonts w:hint="eastAsia" w:ascii="仿宋_GB2312" w:eastAsia="仿宋_GB2312"/>
          <w:sz w:val="32"/>
          <w:szCs w:val="32"/>
          <w:lang w:eastAsia="zh-CN"/>
        </w:rPr>
        <w:t>女生</w:t>
      </w:r>
      <w:r>
        <w:rPr>
          <w:rFonts w:hint="eastAsia" w:ascii="仿宋_GB2312" w:eastAsia="仿宋_GB2312"/>
          <w:sz w:val="32"/>
          <w:szCs w:val="32"/>
        </w:rPr>
        <w:t>宿舍38</w:t>
      </w:r>
      <w:r>
        <w:rPr>
          <w:rFonts w:hint="eastAsia" w:ascii="仿宋_GB2312" w:eastAsia="仿宋_GB2312"/>
          <w:sz w:val="32"/>
          <w:szCs w:val="32"/>
          <w:lang w:val="en-US" w:eastAsia="zh-CN"/>
        </w:rPr>
        <w:t>7</w:t>
      </w:r>
      <w:r>
        <w:rPr>
          <w:rFonts w:hint="eastAsia" w:ascii="仿宋_GB2312" w:eastAsia="仿宋_GB2312"/>
          <w:sz w:val="32"/>
          <w:szCs w:val="32"/>
        </w:rPr>
        <w:t>0平方米；</w:t>
      </w:r>
      <w:r>
        <w:rPr>
          <w:rFonts w:hint="eastAsia" w:ascii="仿宋_GB2312" w:eastAsia="仿宋_GB2312"/>
          <w:sz w:val="32"/>
          <w:szCs w:val="32"/>
          <w:lang w:eastAsia="zh-CN"/>
        </w:rPr>
        <w:t>男生宿舍</w:t>
      </w:r>
      <w:r>
        <w:rPr>
          <w:rFonts w:hint="eastAsia" w:ascii="仿宋_GB2312" w:eastAsia="仿宋_GB2312"/>
          <w:sz w:val="32"/>
          <w:szCs w:val="32"/>
        </w:rPr>
        <w:t>38</w:t>
      </w:r>
      <w:r>
        <w:rPr>
          <w:rFonts w:hint="eastAsia" w:ascii="仿宋_GB2312" w:eastAsia="仿宋_GB2312"/>
          <w:sz w:val="32"/>
          <w:szCs w:val="32"/>
          <w:lang w:val="en-US" w:eastAsia="zh-CN"/>
        </w:rPr>
        <w:t>7</w:t>
      </w:r>
      <w:r>
        <w:rPr>
          <w:rFonts w:hint="eastAsia" w:ascii="仿宋_GB2312" w:eastAsia="仿宋_GB2312"/>
          <w:sz w:val="32"/>
          <w:szCs w:val="32"/>
        </w:rPr>
        <w:t>0平方米；学生食堂2</w:t>
      </w:r>
      <w:r>
        <w:rPr>
          <w:rFonts w:hint="eastAsia" w:ascii="仿宋_GB2312" w:eastAsia="仿宋_GB2312"/>
          <w:sz w:val="32"/>
          <w:szCs w:val="32"/>
          <w:lang w:val="en-US" w:eastAsia="zh-CN"/>
        </w:rPr>
        <w:t>299.4</w:t>
      </w:r>
      <w:r>
        <w:rPr>
          <w:rFonts w:hint="eastAsia" w:ascii="仿宋_GB2312" w:eastAsia="仿宋_GB2312"/>
          <w:sz w:val="32"/>
          <w:szCs w:val="32"/>
        </w:rPr>
        <w:t>平方米；学生看台，100米；</w:t>
      </w:r>
      <w:r>
        <w:rPr>
          <w:rFonts w:hint="eastAsia" w:ascii="仿宋_GB2312" w:eastAsia="仿宋_GB2312"/>
          <w:sz w:val="32"/>
          <w:szCs w:val="32"/>
          <w:lang w:eastAsia="zh-CN"/>
        </w:rPr>
        <w:t>实训楼</w:t>
      </w:r>
      <w:r>
        <w:rPr>
          <w:rFonts w:hint="eastAsia" w:ascii="仿宋_GB2312" w:eastAsia="仿宋_GB2312"/>
          <w:sz w:val="32"/>
          <w:szCs w:val="32"/>
        </w:rPr>
        <w:t>38</w:t>
      </w:r>
      <w:r>
        <w:rPr>
          <w:rFonts w:hint="eastAsia" w:ascii="仿宋_GB2312" w:eastAsia="仿宋_GB2312"/>
          <w:sz w:val="32"/>
          <w:szCs w:val="32"/>
          <w:lang w:val="en-US" w:eastAsia="zh-CN"/>
        </w:rPr>
        <w:t>7</w:t>
      </w:r>
      <w:r>
        <w:rPr>
          <w:rFonts w:hint="eastAsia" w:ascii="仿宋_GB2312" w:eastAsia="仿宋_GB2312"/>
          <w:sz w:val="32"/>
          <w:szCs w:val="32"/>
        </w:rPr>
        <w:t>0平方米；教学楼</w:t>
      </w:r>
      <w:r>
        <w:rPr>
          <w:rFonts w:hint="eastAsia"/>
          <w:sz w:val="28"/>
          <w:szCs w:val="28"/>
          <w:lang w:val="en-US" w:eastAsia="zh-CN"/>
        </w:rPr>
        <w:t>7375.27</w:t>
      </w:r>
      <w:r>
        <w:rPr>
          <w:rFonts w:hint="eastAsia" w:ascii="仿宋_GB2312" w:eastAsia="仿宋_GB2312"/>
          <w:sz w:val="32"/>
          <w:szCs w:val="32"/>
        </w:rPr>
        <w:t>平方米；</w:t>
      </w:r>
      <w:r>
        <w:rPr>
          <w:rFonts w:hint="eastAsia" w:ascii="仿宋_GB2312" w:eastAsia="仿宋_GB2312"/>
          <w:sz w:val="32"/>
          <w:szCs w:val="32"/>
          <w:lang w:eastAsia="zh-CN"/>
        </w:rPr>
        <w:t>运动场看台</w:t>
      </w:r>
      <w:r>
        <w:rPr>
          <w:rFonts w:hint="eastAsia" w:ascii="仿宋_GB2312" w:eastAsia="仿宋_GB2312"/>
          <w:sz w:val="32"/>
          <w:szCs w:val="32"/>
        </w:rPr>
        <w:t>；校园配套设施（给水、排水、供暖、供电等）</w:t>
      </w:r>
      <w:r>
        <w:rPr>
          <w:rFonts w:hint="eastAsia" w:ascii="仿宋_GB2312" w:eastAsia="仿宋_GB2312"/>
          <w:sz w:val="32"/>
          <w:szCs w:val="32"/>
          <w:lang w:eastAsia="zh-CN"/>
        </w:rPr>
        <w:t>。</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项目实施情况：</w:t>
      </w:r>
      <w:r>
        <w:rPr>
          <w:rFonts w:hint="eastAsia" w:ascii="仿宋_GB2312" w:hAnsi="Times New Roman" w:eastAsia="仿宋_GB2312" w:cs="Times New Roman"/>
          <w:sz w:val="32"/>
          <w:szCs w:val="32"/>
          <w:lang w:val="en-US" w:eastAsia="zh-CN"/>
        </w:rPr>
        <w:t>塔城职业技术学院二期建设项目于2020年7月13日正式开工建设，由于临近冬季于2020年11月正式停工。施工单位现已正式进场进行钢筋编制工作及其他前期准备工作，计划2021年7月30日完成竣工验收。</w:t>
      </w:r>
      <w:r>
        <w:rPr>
          <w:rFonts w:hint="eastAsia" w:ascii="仿宋_GB2312" w:hAnsi="仿宋_GB2312" w:eastAsia="仿宋_GB2312" w:cs="仿宋_GB2312"/>
          <w:sz w:val="32"/>
          <w:szCs w:val="32"/>
        </w:rPr>
        <w:t>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6000</w:t>
      </w:r>
      <w:r>
        <w:rPr>
          <w:rFonts w:hint="eastAsia" w:ascii="仿宋_GB2312" w:hAnsi="仿宋_GB2312" w:eastAsia="仿宋_GB2312" w:cs="仿宋_GB2312"/>
          <w:sz w:val="32"/>
          <w:szCs w:val="32"/>
        </w:rPr>
        <w:t>万元，其中：</w:t>
      </w:r>
      <w:r>
        <w:rPr>
          <w:rFonts w:hint="eastAsia" w:ascii="仿宋_GB2312" w:eastAsia="仿宋_GB2312"/>
          <w:sz w:val="32"/>
          <w:szCs w:val="32"/>
        </w:rPr>
        <w:t>申请地方政府新增债券资金6000 万元</w:t>
      </w:r>
      <w:r>
        <w:rPr>
          <w:rFonts w:hint="eastAsia" w:ascii="仿宋_GB2312" w:hAnsi="仿宋_GB2312" w:eastAsia="仿宋_GB2312" w:cs="仿宋_GB2312"/>
          <w:sz w:val="32"/>
          <w:szCs w:val="32"/>
        </w:rPr>
        <w:t>。项目实际支出</w:t>
      </w:r>
      <w:r>
        <w:rPr>
          <w:rFonts w:hint="eastAsia" w:ascii="仿宋_GB2312" w:hAnsi="仿宋_GB2312" w:eastAsia="仿宋_GB2312" w:cs="仿宋_GB2312"/>
          <w:sz w:val="32"/>
          <w:szCs w:val="32"/>
          <w:lang w:val="en-US" w:eastAsia="zh-CN"/>
        </w:rPr>
        <w:t>6000</w:t>
      </w:r>
      <w:r>
        <w:rPr>
          <w:rFonts w:hint="eastAsia" w:ascii="仿宋_GB2312" w:hAnsi="仿宋_GB2312" w:eastAsia="仿宋_GB2312" w:cs="仿宋_GB2312"/>
          <w:sz w:val="32"/>
          <w:szCs w:val="32"/>
        </w:rPr>
        <w:t>万元，支出率为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w:t>
      </w:r>
      <w:r>
        <w:rPr>
          <w:rFonts w:hint="eastAsia" w:ascii="仿宋_GB2312" w:hAnsi="仿宋_GB2312" w:eastAsia="仿宋_GB2312" w:cs="仿宋_GB2312"/>
          <w:sz w:val="32"/>
          <w:szCs w:val="32"/>
          <w:lang w:eastAsia="zh-CN"/>
        </w:rPr>
        <w:t>投资</w:t>
      </w:r>
      <w:r>
        <w:rPr>
          <w:rFonts w:hint="eastAsia" w:ascii="仿宋_GB2312" w:hAnsi="仿宋_GB2312" w:eastAsia="仿宋_GB2312" w:cs="仿宋_GB2312"/>
          <w:sz w:val="32"/>
          <w:szCs w:val="32"/>
          <w:lang w:val="en-US" w:eastAsia="zh-CN"/>
        </w:rPr>
        <w:t>6000</w:t>
      </w:r>
      <w:r>
        <w:rPr>
          <w:rFonts w:hint="eastAsia" w:ascii="仿宋_GB2312" w:hAnsi="仿宋_GB2312" w:eastAsia="仿宋_GB2312" w:cs="仿宋_GB2312"/>
          <w:sz w:val="32"/>
          <w:szCs w:val="32"/>
        </w:rPr>
        <w:t>万元，按照《</w:t>
      </w:r>
      <w:r>
        <w:rPr>
          <w:rFonts w:hint="default" w:ascii="仿宋_GB2312" w:hAnsi="仿宋_GB2312" w:eastAsia="仿宋_GB2312" w:cs="仿宋_GB2312"/>
          <w:sz w:val="32"/>
          <w:szCs w:val="32"/>
        </w:rPr>
        <w:t>塔城地区中等职业技术学校基础建设</w:t>
      </w:r>
      <w:r>
        <w:rPr>
          <w:rFonts w:hint="eastAsia" w:ascii="仿宋_GB2312" w:hAnsi="仿宋_GB2312" w:eastAsia="仿宋_GB2312" w:cs="仿宋_GB2312"/>
          <w:sz w:val="32"/>
          <w:szCs w:val="32"/>
        </w:rPr>
        <w:t>资金管理办法》及单位财务制度等相关规定，资金支出符合</w:t>
      </w:r>
      <w:r>
        <w:rPr>
          <w:rFonts w:hint="eastAsia" w:ascii="仿宋_GB2312" w:eastAsia="仿宋_GB2312"/>
          <w:sz w:val="32"/>
          <w:szCs w:val="32"/>
        </w:rPr>
        <w:t>地方政府新增债券</w:t>
      </w:r>
      <w:r>
        <w:rPr>
          <w:rFonts w:hint="default" w:ascii="仿宋_GB2312" w:eastAsia="仿宋_GB2312"/>
          <w:sz w:val="32"/>
          <w:szCs w:val="32"/>
        </w:rPr>
        <w:t>项目</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default" w:ascii="仿宋_GB2312" w:hAnsi="仿宋_GB2312" w:eastAsia="仿宋_GB2312" w:cs="仿宋_GB2312"/>
          <w:sz w:val="32"/>
          <w:szCs w:val="32"/>
        </w:rPr>
        <w:t>逐级上报审批，经校党委会议研究同意后进行</w:t>
      </w:r>
      <w:r>
        <w:rPr>
          <w:rFonts w:hint="eastAsia" w:ascii="仿宋_GB2312" w:hAnsi="仿宋_GB2312" w:eastAsia="仿宋_GB2312" w:cs="仿宋_GB2312"/>
          <w:sz w:val="32"/>
          <w:szCs w:val="32"/>
        </w:rPr>
        <w:t>资金拨付的程序，认真审核项目实施各阶段的相关材料和手续，根据项目实施进展情况拨付资金。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default" w:ascii="仿宋_GB2312" w:hAnsi="仿宋_GB2312" w:eastAsia="仿宋_GB2312" w:cs="仿宋_GB2312"/>
          <w:sz w:val="32"/>
          <w:szCs w:val="32"/>
        </w:rPr>
        <w:t>2020年第五批</w:t>
      </w:r>
      <w:r>
        <w:rPr>
          <w:rFonts w:hint="eastAsia" w:ascii="仿宋_GB2312" w:hAnsi="仿宋_GB2312" w:eastAsia="仿宋_GB2312" w:cs="仿宋_GB2312"/>
          <w:sz w:val="32"/>
          <w:szCs w:val="32"/>
        </w:rPr>
        <w:t>地方政府新增债券</w:t>
      </w:r>
      <w:r>
        <w:rPr>
          <w:rFonts w:hint="default" w:ascii="仿宋_GB2312" w:hAnsi="仿宋_GB2312" w:eastAsia="仿宋_GB2312" w:cs="仿宋_GB2312"/>
          <w:sz w:val="32"/>
          <w:szCs w:val="32"/>
        </w:rPr>
        <w:t>项目资金3000万元，</w:t>
      </w:r>
      <w:r>
        <w:rPr>
          <w:rFonts w:hint="eastAsia" w:ascii="仿宋_GB2312" w:hAnsi="仿宋_GB2312" w:eastAsia="仿宋_GB2312" w:cs="仿宋_GB2312"/>
          <w:sz w:val="32"/>
          <w:szCs w:val="32"/>
          <w:lang w:val="en-US" w:eastAsia="zh-CN"/>
        </w:rPr>
        <w:t>第</w:t>
      </w:r>
      <w:r>
        <w:rPr>
          <w:rFonts w:hint="default" w:ascii="仿宋_GB2312" w:hAnsi="仿宋_GB2312" w:eastAsia="仿宋_GB2312" w:cs="仿宋_GB2312"/>
          <w:sz w:val="32"/>
          <w:szCs w:val="32"/>
          <w:lang w:eastAsia="zh-CN"/>
        </w:rPr>
        <w:t>七</w:t>
      </w:r>
      <w:r>
        <w:rPr>
          <w:rFonts w:hint="eastAsia" w:ascii="仿宋_GB2312" w:hAnsi="仿宋_GB2312" w:eastAsia="仿宋_GB2312" w:cs="仿宋_GB2312"/>
          <w:sz w:val="32"/>
          <w:szCs w:val="32"/>
          <w:lang w:val="en-US" w:eastAsia="zh-CN"/>
        </w:rPr>
        <w:t>批</w:t>
      </w:r>
      <w:r>
        <w:rPr>
          <w:rFonts w:hint="eastAsia" w:ascii="仿宋_GB2312" w:hAnsi="仿宋_GB2312" w:eastAsia="仿宋_GB2312" w:cs="仿宋_GB2312"/>
          <w:sz w:val="32"/>
          <w:szCs w:val="32"/>
        </w:rPr>
        <w:t>地方政府新增债券</w:t>
      </w:r>
      <w:r>
        <w:rPr>
          <w:rFonts w:hint="eastAsia" w:ascii="仿宋_GB2312" w:hAnsi="仿宋_GB2312" w:eastAsia="仿宋_GB2312" w:cs="仿宋_GB2312"/>
          <w:sz w:val="32"/>
          <w:szCs w:val="32"/>
          <w:lang w:eastAsia="zh-CN"/>
        </w:rPr>
        <w:t>项目资金</w:t>
      </w:r>
      <w:r>
        <w:rPr>
          <w:rFonts w:hint="eastAsia" w:ascii="仿宋_GB2312" w:hAnsi="仿宋_GB2312" w:eastAsia="仿宋_GB2312" w:cs="仿宋_GB2312"/>
          <w:sz w:val="32"/>
          <w:szCs w:val="32"/>
          <w:lang w:val="en-US" w:eastAsia="zh-CN"/>
        </w:rPr>
        <w:t>3000万元</w:t>
      </w:r>
      <w:r>
        <w:rPr>
          <w:rFonts w:hint="default" w:ascii="仿宋_GB2312" w:hAnsi="仿宋_GB2312" w:eastAsia="仿宋_GB2312" w:cs="仿宋_GB2312"/>
          <w:sz w:val="32"/>
          <w:szCs w:val="32"/>
        </w:rPr>
        <w:t>，合计</w:t>
      </w:r>
      <w:r>
        <w:rPr>
          <w:rFonts w:hint="eastAsia" w:ascii="仿宋_GB2312" w:hAnsi="仿宋_GB2312" w:eastAsia="仿宋_GB2312" w:cs="仿宋_GB2312"/>
          <w:sz w:val="32"/>
          <w:szCs w:val="32"/>
        </w:rPr>
        <w:t>批复资金</w:t>
      </w:r>
      <w:r>
        <w:rPr>
          <w:rFonts w:hint="default" w:ascii="仿宋_GB2312" w:hAnsi="仿宋_GB2312" w:eastAsia="仿宋_GB2312" w:cs="仿宋_GB2312"/>
          <w:sz w:val="32"/>
          <w:szCs w:val="32"/>
        </w:rPr>
        <w:t>6000万元</w:t>
      </w:r>
      <w:r>
        <w:rPr>
          <w:rFonts w:hint="eastAsia" w:ascii="仿宋_GB2312" w:hAnsi="仿宋_GB2312" w:eastAsia="仿宋_GB2312" w:cs="仿宋_GB2312"/>
          <w:sz w:val="32"/>
          <w:szCs w:val="32"/>
        </w:rPr>
        <w:t>，项目资金到位</w:t>
      </w:r>
      <w:r>
        <w:rPr>
          <w:rFonts w:hint="default" w:ascii="仿宋_GB2312" w:hAnsi="仿宋_GB2312" w:eastAsia="仿宋_GB2312" w:cs="仿宋_GB2312"/>
          <w:sz w:val="32"/>
          <w:szCs w:val="32"/>
        </w:rPr>
        <w:t>6000</w:t>
      </w:r>
      <w:r>
        <w:rPr>
          <w:rFonts w:hint="eastAsia" w:ascii="仿宋_GB2312" w:hAnsi="仿宋_GB2312" w:eastAsia="仿宋_GB2312" w:cs="仿宋_GB2312"/>
          <w:sz w:val="32"/>
          <w:szCs w:val="32"/>
        </w:rPr>
        <w:t>万元，实际支出6000万元，用于支付项目实施进程中的各项费用。</w:t>
      </w:r>
    </w:p>
    <w:p>
      <w:pPr>
        <w:pageBreakBefore w:val="0"/>
        <w:kinsoku/>
        <w:wordWrap/>
        <w:overflowPunct/>
        <w:topLinePunct w:val="0"/>
        <w:autoSpaceDE/>
        <w:autoSpaceDN/>
        <w:bidi w:val="0"/>
        <w:adjustRightInd/>
        <w:snapToGrid/>
        <w:spacing w:line="560" w:lineRule="atLeast"/>
        <w:ind w:firstLine="641"/>
        <w:textAlignment w:val="auto"/>
        <w:rPr>
          <w:rFonts w:hint="default"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atLeast"/>
        <w:ind w:firstLine="579" w:firstLineChars="181"/>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本项目的建设，完善新校区教学功能和硬件配套设施建设，满足现代化教学需求，进一步提高职业教育培训工作的质量和效益，不断完善职业教育培训方式，突出培训的特点、重点和系统性。“加快现代职业教育体系建设，深化产教融合、校企合作，培养高素质劳动者和技能型人才。”习近平总书记指出，要牢牢把握服务发展、促进就业的办学方向，深化体制机制改革，创新各层次各类型职业教育模式，坚持产教融合、校企合作，坚持工学结合、知行合一，引导社会各界特别是行业企业积极支持职业教育，努力建设中国特色职业教育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default" w:ascii="仿宋_GB2312" w:hAnsi="仿宋_GB2312" w:eastAsia="仿宋_GB2312" w:cs="仿宋_GB2312"/>
          <w:sz w:val="32"/>
          <w:szCs w:val="32"/>
        </w:rPr>
        <w:t>塔城地区中等职业技术学校基础建设领导小组会议研究制定实施方案</w:t>
      </w:r>
      <w:r>
        <w:rPr>
          <w:rFonts w:hint="eastAsia" w:ascii="仿宋_GB2312" w:hAnsi="仿宋_GB2312" w:eastAsia="仿宋_GB2312" w:cs="仿宋_GB2312"/>
          <w:sz w:val="32"/>
          <w:szCs w:val="32"/>
        </w:rPr>
        <w:t>，通过制定项目实施方案，经</w:t>
      </w:r>
      <w:r>
        <w:rPr>
          <w:rFonts w:hint="default" w:ascii="仿宋_GB2312" w:hAnsi="仿宋_GB2312" w:eastAsia="仿宋_GB2312" w:cs="仿宋_GB2312"/>
          <w:sz w:val="32"/>
          <w:szCs w:val="32"/>
        </w:rPr>
        <w:t>基础建设领导小组</w:t>
      </w:r>
      <w:r>
        <w:rPr>
          <w:rFonts w:hint="eastAsia" w:ascii="仿宋_GB2312" w:hAnsi="仿宋_GB2312" w:eastAsia="仿宋_GB2312" w:cs="仿宋_GB2312"/>
          <w:sz w:val="32"/>
          <w:szCs w:val="32"/>
        </w:rPr>
        <w:t>审核通过后，</w:t>
      </w:r>
      <w:r>
        <w:rPr>
          <w:rFonts w:hint="default" w:ascii="仿宋_GB2312" w:hAnsi="仿宋_GB2312" w:eastAsia="仿宋_GB2312" w:cs="仿宋_GB2312"/>
          <w:sz w:val="32"/>
          <w:szCs w:val="32"/>
        </w:rPr>
        <w:t>由下设办公室主任</w:t>
      </w:r>
      <w:r>
        <w:rPr>
          <w:rFonts w:hint="eastAsia" w:ascii="仿宋_GB2312" w:hAnsi="仿宋_GB2312" w:eastAsia="仿宋_GB2312" w:cs="仿宋_GB2312"/>
          <w:sz w:val="32"/>
          <w:szCs w:val="32"/>
        </w:rPr>
        <w:t>有序开展后续工程。</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方案》要求逐一进行项目部署安排，提高项目质量及效率性。</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b w:val="0"/>
          <w:bCs w:val="0"/>
          <w:kern w:val="2"/>
        </w:rPr>
      </w:pPr>
      <w:r>
        <w:rPr>
          <w:rFonts w:hint="eastAsia" w:ascii="仿宋_GB2312" w:eastAsia="仿宋_GB2312"/>
          <w:sz w:val="32"/>
          <w:szCs w:val="32"/>
          <w:lang w:eastAsia="zh-CN"/>
        </w:rPr>
        <w:t>对</w:t>
      </w:r>
      <w:r>
        <w:rPr>
          <w:rFonts w:hint="eastAsia" w:ascii="仿宋_GB2312" w:eastAsia="仿宋_GB2312"/>
          <w:sz w:val="32"/>
          <w:szCs w:val="32"/>
        </w:rPr>
        <w:t>塔城职业技术学院二期建设项目</w:t>
      </w:r>
      <w:r>
        <w:rPr>
          <w:rFonts w:hint="eastAsia" w:ascii="仿宋_GB2312" w:eastAsia="仿宋_GB2312"/>
          <w:sz w:val="32"/>
          <w:szCs w:val="32"/>
          <w:lang w:eastAsia="zh-CN"/>
        </w:rPr>
        <w:t>进行评价，项目包括新建男生宿舍楼、女生宿舍楼、实训楼、食堂、教学楼共五栋，相关附属工程包括</w:t>
      </w:r>
      <w:r>
        <w:rPr>
          <w:rFonts w:hint="eastAsia" w:ascii="仿宋_GB2312" w:eastAsia="仿宋_GB2312"/>
          <w:sz w:val="32"/>
          <w:szCs w:val="32"/>
        </w:rPr>
        <w:t>学生看台</w:t>
      </w:r>
      <w:r>
        <w:rPr>
          <w:rFonts w:hint="eastAsia" w:ascii="仿宋_GB2312" w:eastAsia="仿宋_GB2312"/>
          <w:sz w:val="32"/>
          <w:szCs w:val="32"/>
          <w:lang w:eastAsia="zh-CN"/>
        </w:rPr>
        <w:t>、运动场看台、停车场及校园配套设施</w:t>
      </w:r>
      <w:r>
        <w:rPr>
          <w:rFonts w:hint="eastAsia" w:ascii="仿宋_GB2312" w:eastAsia="仿宋_GB2312"/>
          <w:sz w:val="32"/>
          <w:szCs w:val="32"/>
        </w:rPr>
        <w:t>（给水、排水、供暖、供电等）</w:t>
      </w:r>
      <w:r>
        <w:rPr>
          <w:rFonts w:hint="eastAsia" w:ascii="仿宋_GB2312" w:eastAsia="仿宋_GB2312"/>
          <w:sz w:val="32"/>
          <w:szCs w:val="32"/>
          <w:lang w:eastAsia="zh-CN"/>
        </w:rPr>
        <w:t>。</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eastAsia="zh-CN"/>
        </w:rPr>
      </w:pPr>
      <w:r>
        <w:rPr>
          <w:rFonts w:hint="eastAsia" w:ascii="仿宋_GB2312" w:hAnsi="仿宋_GB2312" w:eastAsia="仿宋_GB2312" w:cs="仿宋_GB2312"/>
          <w:color w:val="000000"/>
          <w:spacing w:val="17"/>
          <w:sz w:val="32"/>
          <w:szCs w:val="32"/>
        </w:rPr>
        <w:t>绩效评价</w:t>
      </w:r>
      <w:r>
        <w:rPr>
          <w:rFonts w:hint="eastAsia" w:ascii="仿宋_GB2312" w:hAnsi="仿宋_GB2312" w:eastAsia="仿宋_GB2312" w:cs="仿宋_GB2312"/>
          <w:color w:val="000000"/>
          <w:spacing w:val="17"/>
          <w:sz w:val="32"/>
          <w:szCs w:val="32"/>
          <w:lang w:eastAsia="zh-CN"/>
        </w:rPr>
        <w:t>范围包括</w:t>
      </w:r>
      <w:r>
        <w:rPr>
          <w:rFonts w:hint="eastAsia" w:ascii="仿宋_GB2312" w:hAnsi="仿宋_GB2312" w:eastAsia="仿宋_GB2312" w:cs="仿宋_GB2312"/>
          <w:color w:val="000000"/>
          <w:spacing w:val="17"/>
          <w:sz w:val="32"/>
          <w:szCs w:val="32"/>
        </w:rPr>
        <w:t>项目决策、项目过程、项目产出、项目效益。</w:t>
      </w:r>
      <w:r>
        <w:rPr>
          <w:rFonts w:hint="eastAsia" w:ascii="仿宋_GB2312" w:hAnsi="仿宋_GB2312" w:eastAsia="仿宋_GB2312" w:cs="仿宋_GB2312"/>
          <w:color w:val="000000"/>
          <w:spacing w:val="17"/>
          <w:sz w:val="32"/>
          <w:szCs w:val="32"/>
          <w:lang w:eastAsia="zh-CN"/>
        </w:rPr>
        <w:t>项目决策评价范围是相关政策依据、资金来源等，项目过程评价范围是项目的管理、执行，资金的执行，项目产出评价范围是项目实际所完成的内容，主要为</w:t>
      </w:r>
      <w:r>
        <w:rPr>
          <w:rFonts w:hint="eastAsia" w:ascii="仿宋_GB2312" w:eastAsia="仿宋_GB2312"/>
          <w:sz w:val="32"/>
          <w:szCs w:val="32"/>
        </w:rPr>
        <w:t>建设项目</w:t>
      </w:r>
      <w:r>
        <w:rPr>
          <w:rFonts w:hint="eastAsia" w:ascii="仿宋_GB2312" w:eastAsia="仿宋_GB2312"/>
          <w:sz w:val="32"/>
          <w:szCs w:val="32"/>
          <w:lang w:eastAsia="zh-CN"/>
        </w:rPr>
        <w:t>的数量、质量等，</w:t>
      </w:r>
      <w:r>
        <w:rPr>
          <w:rFonts w:hint="eastAsia" w:ascii="仿宋_GB2312" w:hAnsi="仿宋_GB2312" w:eastAsia="仿宋_GB2312" w:cs="仿宋_GB2312"/>
          <w:color w:val="000000"/>
          <w:spacing w:val="17"/>
          <w:sz w:val="32"/>
          <w:szCs w:val="32"/>
        </w:rPr>
        <w:t>项目效益</w:t>
      </w:r>
      <w:r>
        <w:rPr>
          <w:rFonts w:hint="eastAsia" w:ascii="仿宋_GB2312" w:hAnsi="仿宋_GB2312" w:eastAsia="仿宋_GB2312" w:cs="仿宋_GB2312"/>
          <w:color w:val="000000"/>
          <w:spacing w:val="17"/>
          <w:sz w:val="32"/>
          <w:szCs w:val="32"/>
          <w:lang w:eastAsia="zh-CN"/>
        </w:rPr>
        <w:t>评价范围是项目实施后预期未来能够取得的经济效益、社会效益等。</w:t>
      </w:r>
    </w:p>
    <w:p>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w:t>
      </w:r>
      <w:r>
        <w:rPr>
          <w:rFonts w:hint="eastAsia" w:ascii="仿宋_GB2312" w:hAnsi="仿宋_GB2312" w:eastAsia="仿宋_GB2312" w:cs="仿宋_GB2312"/>
          <w:color w:val="auto"/>
          <w:spacing w:val="17"/>
          <w:sz w:val="32"/>
          <w:szCs w:val="32"/>
          <w:highlight w:val="none"/>
        </w:rPr>
        <w:t>重为</w:t>
      </w:r>
      <w:r>
        <w:rPr>
          <w:rFonts w:hint="eastAsia" w:ascii="仿宋_GB2312" w:hAnsi="仿宋_GB2312" w:eastAsia="仿宋_GB2312" w:cs="仿宋_GB2312"/>
          <w:color w:val="auto"/>
          <w:spacing w:val="17"/>
          <w:sz w:val="32"/>
          <w:szCs w:val="32"/>
          <w:highlight w:val="none"/>
          <w:lang w:val="en-US" w:eastAsia="zh-CN"/>
        </w:rPr>
        <w:t>5%</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auto"/>
          <w:spacing w:val="17"/>
          <w:sz w:val="32"/>
          <w:szCs w:val="32"/>
          <w:highlight w:val="none"/>
        </w:rPr>
        <w:t>权重值占</w:t>
      </w:r>
      <w:r>
        <w:rPr>
          <w:rFonts w:hint="eastAsia" w:ascii="仿宋_GB2312" w:hAnsi="仿宋_GB2312" w:eastAsia="仿宋_GB2312" w:cs="仿宋_GB2312"/>
          <w:color w:val="auto"/>
          <w:spacing w:val="17"/>
          <w:sz w:val="32"/>
          <w:szCs w:val="32"/>
          <w:highlight w:val="none"/>
          <w:lang w:val="en-US" w:eastAsia="zh-CN"/>
        </w:rPr>
        <w:t>5%</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产出</w:t>
      </w:r>
      <w:r>
        <w:rPr>
          <w:rFonts w:hint="eastAsia" w:ascii="仿宋_GB2312" w:hAnsi="仿宋_GB2312" w:eastAsia="仿宋_GB2312" w:cs="仿宋_GB2312"/>
          <w:color w:val="auto"/>
          <w:spacing w:val="17"/>
          <w:sz w:val="32"/>
          <w:szCs w:val="32"/>
          <w:highlight w:val="none"/>
        </w:rPr>
        <w:t>权重值占</w:t>
      </w:r>
      <w:r>
        <w:rPr>
          <w:rFonts w:hint="eastAsia" w:ascii="仿宋_GB2312" w:hAnsi="仿宋_GB2312" w:eastAsia="仿宋_GB2312" w:cs="仿宋_GB2312"/>
          <w:color w:val="auto"/>
          <w:spacing w:val="17"/>
          <w:sz w:val="32"/>
          <w:szCs w:val="32"/>
          <w:highlight w:val="none"/>
          <w:lang w:val="en-US" w:eastAsia="zh-CN"/>
        </w:rPr>
        <w:t>50%</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效益</w:t>
      </w:r>
      <w:r>
        <w:rPr>
          <w:rFonts w:hint="eastAsia" w:ascii="仿宋_GB2312" w:hAnsi="仿宋_GB2312" w:eastAsia="仿宋_GB2312" w:cs="仿宋_GB2312"/>
          <w:color w:val="auto"/>
          <w:spacing w:val="17"/>
          <w:sz w:val="32"/>
          <w:szCs w:val="32"/>
          <w:highlight w:val="none"/>
        </w:rPr>
        <w:t>权重占</w:t>
      </w:r>
      <w:r>
        <w:rPr>
          <w:rFonts w:hint="eastAsia" w:ascii="仿宋_GB2312" w:hAnsi="仿宋_GB2312" w:eastAsia="仿宋_GB2312" w:cs="仿宋_GB2312"/>
          <w:color w:val="auto"/>
          <w:spacing w:val="17"/>
          <w:sz w:val="32"/>
          <w:szCs w:val="32"/>
          <w:highlight w:val="none"/>
          <w:lang w:val="en-US" w:eastAsia="zh-CN"/>
        </w:rPr>
        <w:t>40%</w:t>
      </w:r>
      <w:r>
        <w:rPr>
          <w:rFonts w:hint="eastAsia" w:ascii="仿宋_GB2312" w:hAnsi="仿宋_GB2312" w:eastAsia="仿宋_GB2312" w:cs="仿宋_GB2312"/>
          <w:color w:val="auto"/>
          <w:spacing w:val="17"/>
          <w:sz w:val="32"/>
          <w:szCs w:val="32"/>
          <w:highlight w:val="none"/>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color w:val="000000"/>
          <w:spacing w:val="17"/>
          <w:kern w:val="2"/>
          <w:sz w:val="32"/>
          <w:szCs w:val="32"/>
          <w:lang w:val="en-US" w:eastAsia="zh-CN" w:bidi="ar-SA"/>
        </w:rPr>
      </w:pPr>
      <w:r>
        <w:rPr>
          <w:rFonts w:hint="eastAsia" w:ascii="仿宋_GB2312" w:hAnsi="仿宋_GB2312" w:eastAsia="仿宋_GB2312" w:cs="仿宋_GB2312"/>
          <w:b/>
          <w:bCs/>
          <w:color w:val="000000"/>
          <w:spacing w:val="17"/>
          <w:kern w:val="2"/>
          <w:sz w:val="32"/>
          <w:szCs w:val="32"/>
          <w:lang w:val="en-US" w:eastAsia="zh-CN" w:bidi="ar-SA"/>
        </w:rPr>
        <w:t>4、评价标准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atLeast"/>
        <w:ind w:firstLine="641"/>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Style w:val="19"/>
        <w:pageBreakBefore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color w:val="000000"/>
          <w:spacing w:val="17"/>
          <w:sz w:val="32"/>
          <w:szCs w:val="32"/>
        </w:rPr>
      </w:pP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塔城职业技术学院二期建设</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93.5</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w:t>
      </w:r>
      <w:r>
        <w:rPr>
          <w:rFonts w:hint="eastAsia" w:ascii="仿宋_GB2312" w:hAnsi="仿宋_GB2312" w:eastAsia="仿宋_GB2312" w:cs="仿宋_GB2312"/>
          <w:b w:val="0"/>
          <w:bCs w:val="0"/>
          <w:highlight w:val="none"/>
          <w:lang w:val="en-US" w:eastAsia="zh-CN"/>
        </w:rPr>
        <w:t>4.5</w:t>
      </w:r>
      <w:r>
        <w:rPr>
          <w:rFonts w:hint="eastAsia" w:ascii="仿宋_GB2312" w:hAnsi="仿宋_GB2312" w:eastAsia="仿宋_GB2312" w:cs="仿宋_GB2312"/>
          <w:b w:val="0"/>
          <w:bCs w:val="0"/>
          <w:highlight w:val="none"/>
        </w:rPr>
        <w:t xml:space="preserve"> 分，得分率为 </w:t>
      </w:r>
      <w:r>
        <w:rPr>
          <w:rFonts w:hint="eastAsia" w:ascii="仿宋_GB2312" w:hAnsi="仿宋_GB2312" w:eastAsia="仿宋_GB2312" w:cs="仿宋_GB2312"/>
          <w:b w:val="0"/>
          <w:bCs w:val="0"/>
          <w:highlight w:val="none"/>
          <w:lang w:val="en-US" w:eastAsia="zh-CN"/>
        </w:rPr>
        <w:t>90</w:t>
      </w:r>
      <w:r>
        <w:rPr>
          <w:rFonts w:hint="eastAsia" w:ascii="仿宋_GB2312" w:hAnsi="仿宋_GB2312" w:eastAsia="仿宋_GB2312" w:cs="仿宋_GB2312"/>
          <w:b w:val="0"/>
          <w:bCs w:val="0"/>
          <w:highlight w:val="none"/>
        </w:rPr>
        <w:t>%。项目产出类指标权重为50分，得分为</w:t>
      </w:r>
      <w:r>
        <w:rPr>
          <w:rFonts w:hint="eastAsia" w:ascii="仿宋_GB2312" w:hAnsi="仿宋_GB2312" w:eastAsia="仿宋_GB2312" w:cs="仿宋_GB2312"/>
          <w:b w:val="0"/>
          <w:bCs w:val="0"/>
          <w:highlight w:val="none"/>
          <w:lang w:val="en-US" w:eastAsia="zh-CN"/>
        </w:rPr>
        <w:t>47</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94</w:t>
      </w:r>
      <w:r>
        <w:rPr>
          <w:rFonts w:hint="eastAsia" w:ascii="仿宋_GB2312" w:hAnsi="仿宋_GB2312" w:eastAsia="仿宋_GB2312" w:cs="仿宋_GB2312"/>
          <w:b w:val="0"/>
          <w:bCs w:val="0"/>
          <w:highlight w:val="none"/>
        </w:rPr>
        <w:t>%。项目效益类指标权重为40分，得分为</w:t>
      </w:r>
      <w:r>
        <w:rPr>
          <w:rFonts w:hint="eastAsia" w:ascii="仿宋_GB2312" w:hAnsi="仿宋_GB2312" w:eastAsia="仿宋_GB2312" w:cs="仿宋_GB2312"/>
          <w:b w:val="0"/>
          <w:bCs w:val="0"/>
          <w:highlight w:val="none"/>
          <w:lang w:val="en-US" w:eastAsia="zh-CN"/>
        </w:rPr>
        <w:t>37</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92</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atLeast"/>
        <w:textAlignment w:val="auto"/>
      </w:pPr>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rPr>
              <w:t>资金</w:t>
            </w:r>
            <w:r>
              <w:rPr>
                <w:rFonts w:hint="eastAsia" w:ascii="宋体" w:hAnsi="宋体" w:cs="宋体"/>
                <w:color w:val="000000"/>
                <w:kern w:val="0"/>
                <w:sz w:val="22"/>
                <w:szCs w:val="22"/>
                <w:lang w:eastAsia="zh-CN"/>
              </w:rPr>
              <w:t>执行</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80%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70%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70%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完成地基</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完成地基</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80%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80%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eastAsia="zh-CN"/>
              </w:rPr>
              <w:t>完善校园硬件设施</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eastAsia="zh-CN"/>
              </w:rPr>
              <w:t>有所完善</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90%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eastAsia="zh-CN"/>
              </w:rPr>
              <w:t>师生满意度</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100%满意</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zh-TW"/>
        </w:rPr>
        <w:t>我单位根据</w:t>
      </w:r>
      <w:r>
        <w:rPr>
          <w:rFonts w:hint="eastAsia" w:ascii="仿宋_GB2312" w:hAnsi="仿宋_GB2312" w:eastAsia="仿宋_GB2312" w:cs="仿宋_GB2312"/>
          <w:sz w:val="32"/>
          <w:szCs w:val="32"/>
          <w:lang w:val="zh-TW" w:eastAsia="zh-CN"/>
        </w:rPr>
        <w:t>财政部门</w:t>
      </w:r>
      <w:r>
        <w:rPr>
          <w:rFonts w:hint="eastAsia" w:ascii="仿宋_GB2312" w:hAnsi="仿宋_GB2312" w:eastAsia="仿宋_GB2312" w:cs="仿宋_GB2312"/>
          <w:sz w:val="32"/>
          <w:szCs w:val="32"/>
          <w:lang w:val="zh-TW"/>
        </w:rPr>
        <w:t>下达</w:t>
      </w:r>
      <w:r>
        <w:rPr>
          <w:rFonts w:hint="eastAsia" w:ascii="仿宋_GB2312" w:hAnsi="仿宋_GB2312" w:eastAsia="仿宋_GB2312" w:cs="仿宋_GB2312"/>
          <w:sz w:val="32"/>
          <w:szCs w:val="32"/>
          <w:lang w:val="zh-TW" w:eastAsia="zh-CN"/>
        </w:rPr>
        <w:t>有关地方新增债券资金使用要求等</w:t>
      </w:r>
      <w:r>
        <w:rPr>
          <w:rFonts w:hint="eastAsia" w:ascii="仿宋_GB2312" w:hAnsi="仿宋_GB2312" w:eastAsia="仿宋_GB2312" w:cs="仿宋_GB2312"/>
          <w:sz w:val="32"/>
          <w:szCs w:val="32"/>
          <w:lang w:val="zh-TW"/>
        </w:rPr>
        <w:t>相关文件支出项目资金；</w:t>
      </w:r>
      <w:r>
        <w:rPr>
          <w:rFonts w:hint="eastAsia" w:ascii="仿宋_GB2312" w:hAnsi="仿宋_GB2312" w:eastAsia="仿宋_GB2312" w:cs="仿宋_GB2312"/>
          <w:sz w:val="32"/>
          <w:szCs w:val="32"/>
        </w:rPr>
        <w:t>项目立项与我单位部门职责范围相符，属于部门履职所需；项目属于</w:t>
      </w:r>
      <w:r>
        <w:rPr>
          <w:rFonts w:hint="eastAsia" w:ascii="仿宋_GB2312" w:hAnsi="仿宋_GB2312" w:eastAsia="仿宋_GB2312" w:cs="仿宋_GB2312"/>
          <w:color w:val="auto"/>
          <w:sz w:val="32"/>
          <w:szCs w:val="32"/>
        </w:rPr>
        <w:t>公共财政支</w:t>
      </w:r>
      <w:r>
        <w:rPr>
          <w:rFonts w:hint="eastAsia" w:ascii="仿宋_GB2312" w:hAnsi="仿宋_GB2312" w:eastAsia="仿宋_GB2312" w:cs="仿宋_GB2312"/>
          <w:sz w:val="32"/>
          <w:szCs w:val="32"/>
        </w:rPr>
        <w:t>持范围，符合中央、地方事权支出责任划分原则：项目按照规定的程序申请设立；财政下达文件，拨付资金，我单位规范项目资金管理，按照规定支付项目资金，与预算确定的项目投资额或资金量相匹配，预算项目资金</w:t>
      </w:r>
      <w:r>
        <w:rPr>
          <w:rFonts w:hint="eastAsia" w:ascii="仿宋_GB2312" w:hAnsi="仿宋_GB2312" w:eastAsia="仿宋_GB2312" w:cs="仿宋_GB2312"/>
          <w:sz w:val="32"/>
          <w:szCs w:val="32"/>
          <w:lang w:val="en-US" w:eastAsia="zh-CN"/>
        </w:rPr>
        <w:t>6000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6000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pStyle w:val="5"/>
        <w:keepNext w:val="0"/>
        <w:keepLines w:val="0"/>
        <w:pageBreakBefore w:val="0"/>
        <w:numPr>
          <w:ilvl w:val="2"/>
          <w:numId w:val="0"/>
        </w:numPr>
        <w:kinsoku/>
        <w:wordWrap/>
        <w:overflowPunct/>
        <w:topLinePunct w:val="0"/>
        <w:autoSpaceDE/>
        <w:autoSpaceDN/>
        <w:bidi w:val="0"/>
        <w:adjustRightInd/>
        <w:snapToGrid/>
        <w:spacing w:before="0" w:after="0" w:line="560" w:lineRule="atLeas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对于“项目立项”，</w:t>
      </w:r>
      <w:r>
        <w:rPr>
          <w:rFonts w:hint="eastAsia" w:ascii="仿宋_GB2312" w:hAnsi="仿宋_GB2312" w:eastAsia="仿宋_GB2312" w:cs="仿宋_GB2312"/>
          <w:b w:val="0"/>
          <w:bCs w:val="0"/>
          <w:kern w:val="2"/>
          <w:sz w:val="32"/>
          <w:szCs w:val="32"/>
          <w:lang w:val="en-US" w:eastAsia="zh-CN" w:bidi="ar-SA"/>
        </w:rPr>
        <w:t>塔城职业技术学院二期建设项目</w:t>
      </w:r>
      <w:r>
        <w:rPr>
          <w:rFonts w:hint="eastAsia" w:ascii="仿宋_GB2312" w:hAnsi="仿宋_GB2312" w:eastAsia="仿宋_GB2312" w:cs="仿宋_GB2312"/>
          <w:b w:val="0"/>
          <w:kern w:val="2"/>
          <w:sz w:val="32"/>
          <w:szCs w:val="32"/>
          <w:lang w:val="en-US" w:eastAsia="zh-CN" w:bidi="ar-SA"/>
        </w:rPr>
        <w:t>批复等有关要求，在合理工期内完成工程建设任务，保障工程建设质量，有效控制投资概算，实现项目批复要求的经济、社会、可持续影响效益指标。项目的立项符合规划，项目单位的绩效指标设置表述清晰、设置合理、指标设置完整。根据评分标准，实际得分率为100%。</w:t>
      </w:r>
    </w:p>
    <w:p>
      <w:pPr>
        <w:pStyle w:val="5"/>
        <w:keepNext w:val="0"/>
        <w:keepLines w:val="0"/>
        <w:pageBreakBefore w:val="0"/>
        <w:numPr>
          <w:ilvl w:val="2"/>
          <w:numId w:val="0"/>
        </w:numPr>
        <w:kinsoku/>
        <w:wordWrap/>
        <w:overflowPunct/>
        <w:topLinePunct w:val="0"/>
        <w:autoSpaceDE/>
        <w:autoSpaceDN/>
        <w:bidi w:val="0"/>
        <w:adjustRightInd/>
        <w:snapToGrid/>
        <w:spacing w:before="0" w:after="0" w:line="560" w:lineRule="atLeas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对于“绩效目标”，我校塔城职业技术学院二期建设项目，设置了较为详细的项目支出绩效目标，项目绩效目标的设置，满足合理性和明确性的要求，详细设置年度目标中分年度目标设置。根据评分标准，该指标实际得分率100%。</w:t>
      </w:r>
    </w:p>
    <w:p>
      <w:pPr>
        <w:pStyle w:val="4"/>
        <w:keepNext/>
        <w:keepLines/>
        <w:pageBreakBefore w:val="0"/>
        <w:widowControl w:val="0"/>
        <w:numPr>
          <w:ilvl w:val="1"/>
          <w:numId w:val="0"/>
        </w:numPr>
        <w:kinsoku/>
        <w:wordWrap/>
        <w:overflowPunct/>
        <w:topLinePunct w:val="0"/>
        <w:autoSpaceDE/>
        <w:autoSpaceDN/>
        <w:bidi w:val="0"/>
        <w:adjustRightInd/>
        <w:snapToGrid/>
        <w:spacing w:before="0" w:after="0" w:line="560" w:lineRule="atLeast"/>
        <w:ind w:firstLine="640" w:firstLineChars="200"/>
        <w:textAlignment w:val="auto"/>
        <w:rPr>
          <w:rFonts w:hint="eastAsia" w:ascii="仿宋_GB2312" w:hAnsi="仿宋_GB2312" w:eastAsia="仿宋_GB2312" w:cs="仿宋_GB2312"/>
          <w:b w:val="0"/>
          <w:bCs/>
          <w:i w:val="0"/>
          <w:iCs w:val="0"/>
          <w:kern w:val="2"/>
          <w:sz w:val="32"/>
          <w:szCs w:val="32"/>
          <w:lang w:val="en-US" w:eastAsia="zh-CN" w:bidi="ar-SA"/>
        </w:rPr>
      </w:pPr>
      <w:r>
        <w:rPr>
          <w:rFonts w:hint="eastAsia" w:ascii="仿宋_GB2312" w:hAnsi="仿宋_GB2312" w:eastAsia="仿宋_GB2312" w:cs="仿宋_GB2312"/>
          <w:b w:val="0"/>
          <w:bCs/>
          <w:i w:val="0"/>
          <w:iCs w:val="0"/>
          <w:kern w:val="2"/>
          <w:sz w:val="32"/>
          <w:szCs w:val="32"/>
          <w:lang w:val="en-US" w:eastAsia="zh-CN" w:bidi="ar-SA"/>
        </w:rPr>
        <w:t>对于“资金投入”，我校针对塔城职业技术学院二期建设项目，资金全部投入到位，总投资6000万元。根据评分标准，该指标实际得分率100%。</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rPr>
      </w:pPr>
      <w:r>
        <w:rPr>
          <w:rFonts w:hint="eastAsia" w:ascii="仿宋_GB2312" w:hAnsi="仿宋_GB2312" w:eastAsia="仿宋_GB2312" w:cs="仿宋_GB2312"/>
          <w:sz w:val="32"/>
          <w:szCs w:val="32"/>
        </w:rPr>
        <w:t>决策项目分值: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分，我单位经过自评得分：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对于“资金执行”，</w:t>
      </w:r>
      <w:r>
        <w:rPr>
          <w:rFonts w:hint="eastAsia" w:ascii="仿宋_GB2312" w:hAnsi="仿宋_GB2312" w:eastAsia="仿宋_GB2312" w:cs="仿宋_GB2312"/>
          <w:b w:val="0"/>
          <w:kern w:val="2"/>
          <w:sz w:val="32"/>
          <w:szCs w:val="32"/>
          <w:lang w:val="en-US" w:eastAsia="zh-CN" w:bidi="ar-SA"/>
        </w:rPr>
        <w:t>我校塔城职业技术学院二期建设项目，</w:t>
      </w:r>
      <w:r>
        <w:rPr>
          <w:rFonts w:hint="eastAsia" w:ascii="仿宋_GB2312" w:hAnsi="仿宋_GB2312" w:eastAsia="仿宋_GB2312" w:cs="仿宋_GB2312"/>
          <w:sz w:val="32"/>
          <w:szCs w:val="32"/>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执行</w:t>
      </w:r>
      <w:r>
        <w:rPr>
          <w:rFonts w:hint="eastAsia" w:ascii="仿宋_GB2312" w:hAnsi="仿宋_GB2312" w:eastAsia="仿宋_GB2312" w:cs="仿宋_GB2312"/>
          <w:sz w:val="32"/>
          <w:szCs w:val="32"/>
        </w:rPr>
        <w:t>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项目资金采取</w:t>
      </w:r>
      <w:r>
        <w:rPr>
          <w:rFonts w:hint="eastAsia" w:ascii="仿宋_GB2312" w:hAnsi="仿宋_GB2312" w:eastAsia="仿宋_GB2312" w:cs="仿宋_GB2312"/>
          <w:sz w:val="32"/>
          <w:szCs w:val="32"/>
          <w:lang w:eastAsia="zh-CN"/>
        </w:rPr>
        <w:t>教育和科学技术局</w:t>
      </w:r>
      <w:r>
        <w:rPr>
          <w:rFonts w:hint="eastAsia" w:ascii="仿宋_GB2312" w:hAnsi="仿宋_GB2312" w:eastAsia="仿宋_GB2312" w:cs="仿宋_GB2312"/>
          <w:sz w:val="32"/>
          <w:szCs w:val="32"/>
        </w:rPr>
        <w:t>、财政局联合监管的办法。档案管理完整规范，数据全部实行信息化处理。</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对于“资金管理”，</w:t>
      </w:r>
      <w:r>
        <w:rPr>
          <w:rFonts w:hint="eastAsia" w:ascii="仿宋_GB2312" w:hAnsi="仿宋_GB2312" w:eastAsia="仿宋_GB2312" w:cs="仿宋_GB2312"/>
          <w:b w:val="0"/>
          <w:kern w:val="2"/>
          <w:sz w:val="32"/>
          <w:szCs w:val="32"/>
          <w:lang w:val="en-US" w:eastAsia="zh-CN" w:bidi="ar-SA"/>
        </w:rPr>
        <w:t>我校塔城职业技术学院二期建设项目，资金使用合规性=100%，</w:t>
      </w:r>
      <w:r>
        <w:rPr>
          <w:rFonts w:hint="eastAsia" w:ascii="仿宋_GB2312" w:hAnsi="仿宋_GB2312" w:eastAsia="仿宋_GB2312" w:cs="仿宋_GB2312"/>
          <w:sz w:val="32"/>
          <w:szCs w:val="32"/>
        </w:rPr>
        <w:t>符合国家财经法规和财务管理制度以及有关专项资金管理办法的规定；资金的拨付有完整的审批程序和手续；符合项目预算批复或合同规定的用途；我单位不存在截留、挤占、挪用、虚列支出等情况。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w:t>
      </w:r>
      <w:r>
        <w:rPr>
          <w:rFonts w:hint="eastAsia" w:ascii="仿宋_GB2312" w:hAnsi="仿宋_GB2312" w:eastAsia="仿宋_GB2312" w:cs="仿宋_GB2312"/>
          <w:sz w:val="32"/>
          <w:szCs w:val="32"/>
        </w:rPr>
        <w:t>组织实施</w:t>
      </w:r>
      <w:r>
        <w:rPr>
          <w:rFonts w:hint="eastAsia" w:ascii="仿宋_GB2312" w:hAnsi="仿宋_GB2312" w:eastAsia="仿宋_GB2312" w:cs="仿宋_GB2312"/>
          <w:sz w:val="32"/>
          <w:szCs w:val="32"/>
          <w:lang w:eastAsia="zh-CN"/>
        </w:rPr>
        <w:t>”，我校</w:t>
      </w:r>
      <w:r>
        <w:rPr>
          <w:rFonts w:hint="eastAsia" w:ascii="仿宋_GB2312" w:hAnsi="仿宋_GB2312" w:eastAsia="仿宋_GB2312" w:cs="仿宋_GB2312"/>
          <w:sz w:val="32"/>
          <w:szCs w:val="32"/>
        </w:rPr>
        <w:t>己制定相应的财务和业务管理制度；财务和业务管理制度合法、合规、完整。符合相关法律法规和相关管理规定；项目调整及支出调整手续完备；</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项目过程分值:5分，我单位经过自评得分：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分</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数量指标方面：设计建筑面积，年度指标值为≥30000平方米，实际完成值21350平方米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开工建筑数量，年度指标值为≥5栋，实际完成值5栋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占地面积，年度指标值为≥70亩，实际完成值70亩</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eastAsia="仿宋_GB2312"/>
          <w:sz w:val="32"/>
          <w:szCs w:val="32"/>
        </w:rPr>
        <w:t>塔城职业技术学院二期建设项目</w:t>
      </w:r>
      <w:r>
        <w:rPr>
          <w:rFonts w:hint="eastAsia" w:ascii="仿宋_GB2312" w:eastAsia="仿宋_GB2312"/>
          <w:sz w:val="32"/>
          <w:szCs w:val="32"/>
          <w:lang w:eastAsia="zh-CN"/>
        </w:rPr>
        <w:t>，主要建设建筑</w:t>
      </w:r>
      <w:r>
        <w:rPr>
          <w:rFonts w:hint="eastAsia" w:ascii="仿宋_GB2312" w:eastAsia="仿宋_GB2312"/>
          <w:sz w:val="32"/>
          <w:szCs w:val="32"/>
          <w:lang w:val="en-US" w:eastAsia="zh-CN"/>
        </w:rPr>
        <w:t>5栋，</w:t>
      </w:r>
      <w:r>
        <w:rPr>
          <w:rFonts w:hint="eastAsia" w:ascii="仿宋_GB2312" w:eastAsia="仿宋_GB2312"/>
          <w:sz w:val="32"/>
          <w:szCs w:val="32"/>
          <w:lang w:eastAsia="zh-CN"/>
        </w:rPr>
        <w:t>女生</w:t>
      </w:r>
      <w:r>
        <w:rPr>
          <w:rFonts w:hint="eastAsia" w:ascii="仿宋_GB2312" w:eastAsia="仿宋_GB2312"/>
          <w:sz w:val="32"/>
          <w:szCs w:val="32"/>
        </w:rPr>
        <w:t>宿舍38</w:t>
      </w:r>
      <w:r>
        <w:rPr>
          <w:rFonts w:hint="eastAsia" w:ascii="仿宋_GB2312" w:eastAsia="仿宋_GB2312"/>
          <w:sz w:val="32"/>
          <w:szCs w:val="32"/>
          <w:lang w:val="en-US" w:eastAsia="zh-CN"/>
        </w:rPr>
        <w:t>7</w:t>
      </w:r>
      <w:r>
        <w:rPr>
          <w:rFonts w:hint="eastAsia" w:ascii="仿宋_GB2312" w:eastAsia="仿宋_GB2312"/>
          <w:sz w:val="32"/>
          <w:szCs w:val="32"/>
        </w:rPr>
        <w:t>0平方米；</w:t>
      </w:r>
      <w:r>
        <w:rPr>
          <w:rFonts w:hint="eastAsia" w:ascii="仿宋_GB2312" w:eastAsia="仿宋_GB2312"/>
          <w:sz w:val="32"/>
          <w:szCs w:val="32"/>
          <w:lang w:eastAsia="zh-CN"/>
        </w:rPr>
        <w:t>男生宿舍</w:t>
      </w:r>
      <w:r>
        <w:rPr>
          <w:rFonts w:hint="eastAsia" w:ascii="仿宋_GB2312" w:eastAsia="仿宋_GB2312"/>
          <w:sz w:val="32"/>
          <w:szCs w:val="32"/>
        </w:rPr>
        <w:t>38</w:t>
      </w:r>
      <w:r>
        <w:rPr>
          <w:rFonts w:hint="eastAsia" w:ascii="仿宋_GB2312" w:eastAsia="仿宋_GB2312"/>
          <w:sz w:val="32"/>
          <w:szCs w:val="32"/>
          <w:lang w:val="en-US" w:eastAsia="zh-CN"/>
        </w:rPr>
        <w:t>7</w:t>
      </w:r>
      <w:r>
        <w:rPr>
          <w:rFonts w:hint="eastAsia" w:ascii="仿宋_GB2312" w:eastAsia="仿宋_GB2312"/>
          <w:sz w:val="32"/>
          <w:szCs w:val="32"/>
        </w:rPr>
        <w:t>0平方米；学生食堂2</w:t>
      </w:r>
      <w:r>
        <w:rPr>
          <w:rFonts w:hint="eastAsia" w:ascii="仿宋_GB2312" w:eastAsia="仿宋_GB2312"/>
          <w:sz w:val="32"/>
          <w:szCs w:val="32"/>
          <w:lang w:val="en-US" w:eastAsia="zh-CN"/>
        </w:rPr>
        <w:t>299.4</w:t>
      </w:r>
      <w:r>
        <w:rPr>
          <w:rFonts w:hint="eastAsia" w:ascii="仿宋_GB2312" w:eastAsia="仿宋_GB2312"/>
          <w:sz w:val="32"/>
          <w:szCs w:val="32"/>
        </w:rPr>
        <w:t>平方米；</w:t>
      </w:r>
      <w:r>
        <w:rPr>
          <w:rFonts w:hint="eastAsia" w:ascii="仿宋_GB2312" w:eastAsia="仿宋_GB2312"/>
          <w:sz w:val="32"/>
          <w:szCs w:val="32"/>
          <w:lang w:eastAsia="zh-CN"/>
        </w:rPr>
        <w:t>实训楼</w:t>
      </w:r>
      <w:r>
        <w:rPr>
          <w:rFonts w:hint="eastAsia" w:ascii="仿宋_GB2312" w:eastAsia="仿宋_GB2312"/>
          <w:sz w:val="32"/>
          <w:szCs w:val="32"/>
        </w:rPr>
        <w:t>38</w:t>
      </w:r>
      <w:r>
        <w:rPr>
          <w:rFonts w:hint="eastAsia" w:ascii="仿宋_GB2312" w:eastAsia="仿宋_GB2312"/>
          <w:sz w:val="32"/>
          <w:szCs w:val="32"/>
          <w:lang w:val="en-US" w:eastAsia="zh-CN"/>
        </w:rPr>
        <w:t>7</w:t>
      </w:r>
      <w:r>
        <w:rPr>
          <w:rFonts w:hint="eastAsia" w:ascii="仿宋_GB2312" w:eastAsia="仿宋_GB2312"/>
          <w:sz w:val="32"/>
          <w:szCs w:val="32"/>
        </w:rPr>
        <w:t>0平方米；教学楼</w:t>
      </w:r>
      <w:r>
        <w:rPr>
          <w:rFonts w:hint="eastAsia" w:ascii="仿宋_GB2312" w:eastAsia="仿宋_GB2312"/>
          <w:sz w:val="32"/>
          <w:szCs w:val="32"/>
          <w:lang w:val="en-US" w:eastAsia="zh-CN"/>
        </w:rPr>
        <w:t>7375.27</w:t>
      </w:r>
      <w:r>
        <w:rPr>
          <w:rFonts w:hint="eastAsia" w:ascii="仿宋_GB2312" w:eastAsia="仿宋_GB2312"/>
          <w:sz w:val="32"/>
          <w:szCs w:val="32"/>
        </w:rPr>
        <w:t>平方米</w:t>
      </w:r>
      <w:r>
        <w:rPr>
          <w:rFonts w:hint="eastAsia" w:ascii="仿宋_GB2312" w:eastAsia="仿宋_GB2312"/>
          <w:sz w:val="32"/>
          <w:szCs w:val="32"/>
          <w:lang w:eastAsia="zh-CN"/>
        </w:rPr>
        <w:t>等。</w:t>
      </w:r>
      <w:r>
        <w:rPr>
          <w:rFonts w:hint="eastAsia" w:ascii="仿宋_GB2312" w:hAnsi="仿宋_GB2312" w:eastAsia="仿宋_GB2312" w:cs="仿宋_GB2312"/>
          <w:color w:val="auto"/>
          <w:sz w:val="32"/>
          <w:szCs w:val="32"/>
        </w:rPr>
        <w:t>经过了解和取证。根据评分标准，该指标实际得分率100%。</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Style w:val="51"/>
          <w:rFonts w:hint="eastAsia" w:eastAsia="仿宋_GB2312"/>
          <w:color w:val="auto"/>
          <w:lang w:eastAsia="zh-CN"/>
        </w:rPr>
      </w:pPr>
      <w:r>
        <w:rPr>
          <w:rStyle w:val="51"/>
          <w:rFonts w:hint="eastAsia"/>
          <w:color w:val="auto"/>
        </w:rPr>
        <w:t>质量指标方面：施工质量合格率，年度指标值为=100%，实际完成值=100%</w:t>
      </w:r>
      <w:r>
        <w:rPr>
          <w:rStyle w:val="51"/>
          <w:rFonts w:hint="eastAsia" w:eastAsia="仿宋_GB2312"/>
          <w:color w:val="auto"/>
          <w:lang w:eastAsia="zh-CN"/>
        </w:rPr>
        <w:t>；</w:t>
      </w:r>
      <w:r>
        <w:rPr>
          <w:rStyle w:val="51"/>
          <w:rFonts w:hint="eastAsia"/>
          <w:color w:val="auto"/>
        </w:rPr>
        <w:t>本次支付完成率，年度指标值为=100%，实际完成值=100%</w:t>
      </w:r>
      <w:r>
        <w:rPr>
          <w:rStyle w:val="51"/>
          <w:rFonts w:hint="eastAsia" w:eastAsia="仿宋_GB2312"/>
          <w:color w:val="auto"/>
          <w:lang w:eastAsia="zh-CN"/>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Style w:val="51"/>
          <w:rFonts w:hint="eastAsia"/>
          <w:color w:val="auto"/>
        </w:rPr>
      </w:pPr>
      <w:r>
        <w:rPr>
          <w:rFonts w:hint="eastAsia" w:ascii="仿宋_GB2312" w:hAnsi="仿宋_GB2312" w:eastAsia="仿宋_GB2312" w:cs="仿宋_GB2312"/>
          <w:color w:val="auto"/>
          <w:sz w:val="32"/>
          <w:szCs w:val="32"/>
        </w:rPr>
        <w:t>根据合同规定完成工程质量达到工程质量评定标准。根据评分标准，该指标扣不扣分。</w:t>
      </w:r>
    </w:p>
    <w:p>
      <w:pPr>
        <w:pageBreakBefore w:val="0"/>
        <w:kinsoku/>
        <w:wordWrap/>
        <w:overflowPunct/>
        <w:topLinePunct w:val="0"/>
        <w:autoSpaceDE/>
        <w:autoSpaceDN/>
        <w:bidi w:val="0"/>
        <w:adjustRightInd/>
        <w:snapToGrid/>
        <w:spacing w:line="560" w:lineRule="atLeast"/>
        <w:ind w:firstLine="640" w:firstLineChars="200"/>
        <w:textAlignment w:val="auto"/>
        <w:rPr>
          <w:rStyle w:val="51"/>
          <w:rFonts w:hint="eastAsia"/>
          <w:b w:val="0"/>
          <w:bCs w:val="0"/>
          <w:color w:val="auto"/>
          <w:lang w:val="en-US" w:eastAsia="zh-CN"/>
        </w:rPr>
      </w:pPr>
      <w:r>
        <w:rPr>
          <w:rStyle w:val="51"/>
          <w:rFonts w:hint="eastAsia"/>
          <w:b w:val="0"/>
          <w:bCs w:val="0"/>
          <w:color w:val="auto"/>
          <w:lang w:val="en-US" w:eastAsia="zh-CN"/>
        </w:rPr>
        <w:t>成本指标方面：本年支付工程总成本，年度指标值为≤6000万元，实际完成值6000万元。</w:t>
      </w:r>
      <w:r>
        <w:rPr>
          <w:rFonts w:hint="eastAsia" w:ascii="仿宋_GB2312" w:hAnsi="仿宋_GB2312" w:eastAsia="仿宋_GB2312" w:cs="仿宋_GB2312"/>
          <w:color w:val="auto"/>
          <w:sz w:val="32"/>
          <w:szCs w:val="32"/>
        </w:rPr>
        <w:t>根据年初设定的计划投资额，未超出计划投资额，该指标不扣分。</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auto"/>
          <w:sz w:val="32"/>
          <w:szCs w:val="32"/>
        </w:rPr>
      </w:pPr>
      <w:r>
        <w:rPr>
          <w:rStyle w:val="51"/>
          <w:rFonts w:hint="eastAsia"/>
          <w:color w:val="auto"/>
          <w:lang w:val="en-US" w:eastAsia="zh-CN"/>
        </w:rPr>
        <w:t>时效指标方面：支付及时率，年度指标值为=100%，实际完成值=100%。</w:t>
      </w:r>
      <w:r>
        <w:rPr>
          <w:rFonts w:hint="eastAsia" w:ascii="仿宋_GB2312" w:hAnsi="仿宋_GB2312" w:eastAsia="仿宋_GB2312" w:cs="仿宋_GB2312"/>
          <w:color w:val="auto"/>
          <w:sz w:val="32"/>
          <w:szCs w:val="32"/>
        </w:rPr>
        <w:t>项目计划开工时间为20</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月，完工时间为20</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月，实际开工时间为20</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月，按指标评分标准，</w:t>
      </w:r>
      <w:r>
        <w:rPr>
          <w:rFonts w:hint="eastAsia" w:ascii="仿宋_GB2312" w:hAnsi="仿宋_GB2312" w:eastAsia="仿宋_GB2312" w:cs="仿宋_GB2312"/>
          <w:color w:val="auto"/>
          <w:sz w:val="32"/>
          <w:szCs w:val="32"/>
          <w:lang w:eastAsia="zh-CN"/>
        </w:rPr>
        <w:t>疫情影响导致开工较晚，</w:t>
      </w:r>
      <w:r>
        <w:rPr>
          <w:rFonts w:hint="eastAsia" w:ascii="仿宋_GB2312" w:hAnsi="仿宋_GB2312" w:eastAsia="仿宋_GB2312" w:cs="仿宋_GB2312"/>
          <w:color w:val="auto"/>
          <w:sz w:val="32"/>
          <w:szCs w:val="32"/>
        </w:rPr>
        <w:t>该指标实际得分</w:t>
      </w:r>
      <w:r>
        <w:rPr>
          <w:rFonts w:hint="eastAsia" w:ascii="仿宋_GB2312" w:hAnsi="仿宋_GB2312" w:eastAsia="仿宋_GB2312" w:cs="仿宋_GB2312"/>
          <w:color w:val="auto"/>
          <w:sz w:val="32"/>
          <w:szCs w:val="32"/>
          <w:lang w:val="en-US" w:eastAsia="zh-CN"/>
        </w:rPr>
        <w:t>12分</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产出</w:t>
      </w:r>
      <w:r>
        <w:rPr>
          <w:rFonts w:hint="eastAsia" w:ascii="仿宋_GB2312" w:hAnsi="仿宋_GB2312" w:eastAsia="仿宋_GB2312" w:cs="仿宋_GB2312"/>
          <w:sz w:val="32"/>
          <w:szCs w:val="32"/>
        </w:rPr>
        <w:t>分值:</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分，我单位经过自评得分：</w:t>
      </w:r>
      <w:r>
        <w:rPr>
          <w:rFonts w:hint="eastAsia" w:ascii="仿宋_GB2312" w:hAnsi="仿宋_GB2312" w:eastAsia="仿宋_GB2312" w:cs="仿宋_GB2312"/>
          <w:sz w:val="32"/>
          <w:szCs w:val="32"/>
          <w:lang w:val="en-US" w:eastAsia="zh-CN"/>
        </w:rPr>
        <w:t>4</w:t>
      </w:r>
      <w:bookmarkStart w:id="3" w:name="_GoBack"/>
      <w:bookmarkEnd w:id="3"/>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分</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pPr>
        <w:pageBreakBefore w:val="0"/>
        <w:kinsoku/>
        <w:wordWrap/>
        <w:overflowPunct/>
        <w:topLinePunct w:val="0"/>
        <w:autoSpaceDE/>
        <w:autoSpaceDN/>
        <w:bidi w:val="0"/>
        <w:adjustRightInd/>
        <w:snapToGrid/>
        <w:spacing w:line="560" w:lineRule="atLeast"/>
        <w:ind w:firstLine="640"/>
        <w:textAlignment w:val="auto"/>
        <w:rPr>
          <w:rStyle w:val="51"/>
          <w:rFonts w:hint="eastAsia" w:eastAsia="仿宋_GB2312"/>
          <w:color w:val="auto"/>
          <w:lang w:eastAsia="zh-CN"/>
        </w:rPr>
      </w:pPr>
      <w:r>
        <w:rPr>
          <w:rStyle w:val="51"/>
          <w:rFonts w:hint="eastAsia"/>
          <w:color w:val="auto"/>
        </w:rPr>
        <w:t>社会效益指标方面：提升我校教育教学水平，年度指标值为有所提升，实际完成值80%</w:t>
      </w:r>
      <w:r>
        <w:rPr>
          <w:rStyle w:val="51"/>
          <w:rFonts w:hint="eastAsia" w:eastAsia="仿宋_GB2312"/>
          <w:color w:val="auto"/>
          <w:lang w:eastAsia="zh-CN"/>
        </w:rPr>
        <w:t>；</w:t>
      </w:r>
      <w:r>
        <w:rPr>
          <w:rStyle w:val="51"/>
          <w:rFonts w:hint="eastAsia"/>
          <w:color w:val="auto"/>
        </w:rPr>
        <w:t>完善职业技术学院硬件条件，年度指标值为有所完善，实际完成值80%</w:t>
      </w:r>
      <w:r>
        <w:rPr>
          <w:rStyle w:val="51"/>
          <w:rFonts w:hint="eastAsia" w:eastAsia="仿宋_GB2312"/>
          <w:color w:val="auto"/>
          <w:lang w:eastAsia="zh-CN"/>
        </w:rPr>
        <w:t>。</w:t>
      </w:r>
    </w:p>
    <w:p>
      <w:pPr>
        <w:pageBreakBefore w:val="0"/>
        <w:kinsoku/>
        <w:wordWrap/>
        <w:overflowPunct/>
        <w:topLinePunct w:val="0"/>
        <w:autoSpaceDE/>
        <w:autoSpaceDN/>
        <w:bidi w:val="0"/>
        <w:adjustRightInd/>
        <w:snapToGrid/>
        <w:spacing w:line="560" w:lineRule="atLeast"/>
        <w:ind w:firstLine="640"/>
        <w:textAlignment w:val="auto"/>
        <w:rPr>
          <w:rStyle w:val="51"/>
          <w:rFonts w:hint="eastAsia"/>
          <w:color w:val="auto"/>
        </w:rPr>
      </w:pPr>
      <w:r>
        <w:rPr>
          <w:rFonts w:hint="eastAsia" w:ascii="仿宋_GB2312" w:hAnsi="仿宋_GB2312" w:eastAsia="仿宋_GB2312" w:cs="仿宋_GB2312"/>
          <w:color w:val="auto"/>
          <w:sz w:val="32"/>
          <w:szCs w:val="32"/>
        </w:rPr>
        <w:t>项目实施后的社会效益较高，我单位专项工作开展有助于社会经济发展，维护</w:t>
      </w:r>
      <w:r>
        <w:rPr>
          <w:rFonts w:hint="eastAsia" w:ascii="仿宋_GB2312" w:hAnsi="仿宋_GB2312" w:eastAsia="仿宋_GB2312" w:cs="仿宋_GB2312"/>
          <w:color w:val="auto"/>
          <w:sz w:val="32"/>
          <w:szCs w:val="32"/>
          <w:lang w:eastAsia="zh-CN"/>
        </w:rPr>
        <w:t>在校生师生学习</w:t>
      </w:r>
      <w:r>
        <w:rPr>
          <w:rFonts w:hint="eastAsia" w:ascii="仿宋_GB2312" w:hAnsi="仿宋_GB2312" w:eastAsia="仿宋_GB2312" w:cs="仿宋_GB2312"/>
          <w:color w:val="auto"/>
          <w:sz w:val="32"/>
          <w:szCs w:val="32"/>
        </w:rPr>
        <w:t>权益，促进了</w:t>
      </w:r>
      <w:r>
        <w:rPr>
          <w:rFonts w:hint="eastAsia" w:ascii="仿宋_GB2312" w:hAnsi="仿宋_GB2312" w:eastAsia="仿宋_GB2312" w:cs="仿宋_GB2312"/>
          <w:color w:val="auto"/>
          <w:sz w:val="32"/>
          <w:szCs w:val="32"/>
          <w:lang w:eastAsia="zh-CN"/>
        </w:rPr>
        <w:t>当地社会经济可持续发展</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Style w:val="51"/>
          <w:rFonts w:hint="eastAsia" w:eastAsia="仿宋_GB2312"/>
          <w:color w:val="auto"/>
          <w:lang w:eastAsia="zh-CN"/>
        </w:rPr>
      </w:pPr>
      <w:r>
        <w:rPr>
          <w:rStyle w:val="51"/>
          <w:color w:val="auto"/>
        </w:rPr>
        <w:t>可持续影响指标</w:t>
      </w:r>
      <w:r>
        <w:rPr>
          <w:rStyle w:val="51"/>
          <w:rFonts w:hint="eastAsia"/>
          <w:color w:val="auto"/>
        </w:rPr>
        <w:t>方面：建筑预计使用年限，年度指标值为≥15年，实际完成值20年</w:t>
      </w:r>
      <w:r>
        <w:rPr>
          <w:rStyle w:val="51"/>
          <w:rFonts w:hint="eastAsia" w:eastAsia="仿宋_GB2312"/>
          <w:color w:val="auto"/>
          <w:lang w:eastAsia="zh-CN"/>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Style w:val="51"/>
          <w:color w:val="auto"/>
        </w:rPr>
      </w:pPr>
      <w:r>
        <w:rPr>
          <w:rFonts w:hint="eastAsia" w:ascii="仿宋_GB2312" w:hAnsi="仿宋_GB2312" w:eastAsia="仿宋_GB2312" w:cs="仿宋_GB2312"/>
          <w:color w:val="auto"/>
          <w:sz w:val="32"/>
          <w:szCs w:val="32"/>
        </w:rPr>
        <w:t>项目实施的实施，</w:t>
      </w:r>
      <w:r>
        <w:rPr>
          <w:rFonts w:hint="eastAsia" w:ascii="仿宋_GB2312" w:hAnsi="仿宋_GB2312" w:eastAsia="仿宋_GB2312" w:cs="仿宋_GB2312"/>
          <w:color w:val="auto"/>
          <w:sz w:val="32"/>
          <w:szCs w:val="32"/>
          <w:lang w:eastAsia="zh-CN"/>
        </w:rPr>
        <w:t>将进一步完善学校基础设施，提高学校教学质量，有利于学校可持续发展；学校技术人才的不断输出，对于社会经济优化升级提供了动力，有助于社会经济的可持续发展。</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auto"/>
          <w:sz w:val="32"/>
          <w:szCs w:val="32"/>
          <w:lang w:eastAsia="zh-CN"/>
        </w:rPr>
      </w:pPr>
      <w:r>
        <w:rPr>
          <w:rStyle w:val="51"/>
          <w:color w:val="auto"/>
        </w:rPr>
        <w:t>满意度指标</w:t>
      </w:r>
      <w:r>
        <w:rPr>
          <w:rStyle w:val="51"/>
          <w:rFonts w:hint="eastAsia"/>
          <w:color w:val="auto"/>
        </w:rPr>
        <w:t>方面：</w:t>
      </w:r>
      <w:r>
        <w:rPr>
          <w:rFonts w:hint="eastAsia" w:ascii="仿宋_GB2312" w:hAnsi="仿宋_GB2312" w:eastAsia="仿宋_GB2312" w:cs="仿宋_GB2312"/>
          <w:color w:val="auto"/>
          <w:sz w:val="32"/>
          <w:szCs w:val="32"/>
          <w:lang w:eastAsia="zh-CN"/>
        </w:rPr>
        <w:t>被抽样调查学生满意度，年度指标值为≥95%，实际完成值=100%。</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我单位专项工作开展有助于社会经济发展，维护</w:t>
      </w:r>
      <w:r>
        <w:rPr>
          <w:rFonts w:hint="eastAsia" w:ascii="仿宋_GB2312" w:hAnsi="仿宋_GB2312" w:eastAsia="仿宋_GB2312" w:cs="仿宋_GB2312"/>
          <w:color w:val="auto"/>
          <w:sz w:val="32"/>
          <w:szCs w:val="32"/>
          <w:lang w:eastAsia="zh-CN"/>
        </w:rPr>
        <w:t>在校师生</w:t>
      </w:r>
      <w:r>
        <w:rPr>
          <w:rFonts w:hint="eastAsia" w:ascii="仿宋_GB2312" w:hAnsi="仿宋_GB2312" w:eastAsia="仿宋_GB2312" w:cs="仿宋_GB2312"/>
          <w:color w:val="auto"/>
          <w:sz w:val="32"/>
          <w:szCs w:val="32"/>
        </w:rPr>
        <w:t>权益，促进了</w:t>
      </w:r>
      <w:r>
        <w:rPr>
          <w:rFonts w:hint="eastAsia" w:ascii="仿宋_GB2312" w:hAnsi="仿宋_GB2312" w:eastAsia="仿宋_GB2312" w:cs="仿宋_GB2312"/>
          <w:color w:val="auto"/>
          <w:sz w:val="32"/>
          <w:szCs w:val="32"/>
          <w:lang w:eastAsia="zh-CN"/>
        </w:rPr>
        <w:t>学校可持续发展</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在校师生</w:t>
      </w:r>
      <w:r>
        <w:rPr>
          <w:rFonts w:hint="eastAsia" w:ascii="仿宋_GB2312" w:hAnsi="仿宋_GB2312" w:eastAsia="仿宋_GB2312" w:cs="仿宋_GB2312"/>
          <w:color w:val="auto"/>
          <w:sz w:val="32"/>
          <w:szCs w:val="32"/>
        </w:rPr>
        <w:t>满意度为满意。</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FF"/>
          <w:sz w:val="32"/>
          <w:szCs w:val="32"/>
          <w:lang w:eastAsia="zh-CN"/>
        </w:rPr>
      </w:pPr>
      <w:r>
        <w:rPr>
          <w:rFonts w:hint="eastAsia" w:ascii="仿宋_GB2312" w:hAnsi="仿宋_GB2312" w:eastAsia="仿宋_GB2312" w:cs="仿宋_GB2312"/>
          <w:color w:val="auto"/>
          <w:sz w:val="32"/>
          <w:szCs w:val="32"/>
        </w:rPr>
        <w:t>项目效益分值:</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我单位经过自评得分：</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分</w:t>
      </w:r>
    </w:p>
    <w:p>
      <w:pPr>
        <w:pageBreakBefore w:val="0"/>
        <w:kinsoku/>
        <w:wordWrap/>
        <w:overflowPunct/>
        <w:topLinePunct w:val="0"/>
        <w:autoSpaceDE/>
        <w:autoSpaceDN/>
        <w:bidi w:val="0"/>
        <w:adjustRightInd/>
        <w:snapToGrid/>
        <w:spacing w:line="560" w:lineRule="atLeast"/>
        <w:ind w:firstLine="641"/>
        <w:textAlignment w:val="auto"/>
        <w:rPr>
          <w:rStyle w:val="51"/>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1、存在的问题</w:t>
      </w:r>
    </w:p>
    <w:p>
      <w:pPr>
        <w:pageBreakBefore w:val="0"/>
        <w:kinsoku/>
        <w:wordWrap/>
        <w:overflowPunct/>
        <w:topLinePunct w:val="0"/>
        <w:autoSpaceDE/>
        <w:autoSpaceDN/>
        <w:bidi w:val="0"/>
        <w:adjustRightInd/>
        <w:snapToGrid/>
        <w:spacing w:line="560" w:lineRule="atLeast"/>
        <w:textAlignment w:val="auto"/>
        <w:rPr>
          <w:rFonts w:hint="default" w:eastAsia="宋体"/>
          <w:lang w:val="en-US" w:eastAsia="zh-CN"/>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无。</w:t>
      </w:r>
    </w:p>
    <w:p>
      <w:pPr>
        <w:pageBreakBefore w:val="0"/>
        <w:numPr>
          <w:ilvl w:val="0"/>
          <w:numId w:val="4"/>
        </w:numPr>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原因分析</w:t>
      </w:r>
    </w:p>
    <w:p>
      <w:pPr>
        <w:pageBreakBefore w:val="0"/>
        <w:numPr>
          <w:ilvl w:val="0"/>
          <w:numId w:val="0"/>
        </w:numPr>
        <w:kinsoku/>
        <w:wordWrap/>
        <w:overflowPunct/>
        <w:topLinePunct w:val="0"/>
        <w:autoSpaceDE/>
        <w:autoSpaceDN/>
        <w:bidi w:val="0"/>
        <w:adjustRightInd/>
        <w:snapToGrid/>
        <w:spacing w:line="560" w:lineRule="atLeast"/>
        <w:ind w:firstLine="1280" w:firstLineChars="4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pStyle w:val="2"/>
        <w:pageBreakBefore w:val="0"/>
        <w:kinsoku/>
        <w:wordWrap/>
        <w:overflowPunct/>
        <w:topLinePunct w:val="0"/>
        <w:autoSpaceDE/>
        <w:autoSpaceDN/>
        <w:bidi w:val="0"/>
        <w:adjustRightInd/>
        <w:snapToGrid/>
        <w:spacing w:before="0" w:after="0" w:line="560" w:lineRule="atLeast"/>
        <w:textAlignment w:val="auto"/>
        <w:rPr>
          <w:rFonts w:hint="eastAsia"/>
          <w:lang w:eastAsia="zh-CN"/>
        </w:rPr>
      </w:pPr>
    </w:p>
    <w:p>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无。</w:t>
      </w:r>
    </w:p>
    <w:p>
      <w:pPr>
        <w:numPr>
          <w:ilvl w:val="0"/>
          <w:numId w:val="0"/>
        </w:numPr>
        <w:spacing w:line="600" w:lineRule="exact"/>
        <w:ind w:firstLine="1280" w:firstLineChars="400"/>
        <w:rPr>
          <w:rFonts w:hint="eastAsia" w:ascii="仿宋_GB2312" w:hAnsi="仿宋_GB2312" w:eastAsia="仿宋_GB2312" w:cs="仿宋_GB2312"/>
          <w:sz w:val="32"/>
          <w:szCs w:val="32"/>
          <w:lang w:eastAsia="zh-CN"/>
        </w:r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4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rPr>
            </w:pPr>
            <w:r>
              <w:rPr>
                <w:rFonts w:hint="eastAsia" w:ascii="宋体" w:hAnsi="宋体" w:cs="宋体"/>
                <w:color w:val="000000"/>
                <w:kern w:val="0"/>
                <w:sz w:val="22"/>
                <w:szCs w:val="22"/>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rPr>
            </w:pPr>
            <w:r>
              <w:rPr>
                <w:rFonts w:hint="eastAsia" w:ascii="宋体" w:hAnsi="宋体" w:cs="宋体"/>
                <w:color w:val="000000"/>
                <w:kern w:val="0"/>
                <w:sz w:val="22"/>
                <w:szCs w:val="22"/>
                <w:lang w:val="en-US" w:eastAsia="zh-CN"/>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highlight w:val="none"/>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10</w:t>
            </w:r>
          </w:p>
        </w:tc>
      </w:tr>
    </w:tbl>
    <w:p>
      <w:pPr>
        <w:pStyle w:val="2"/>
        <w:rPr>
          <w:rFonts w:hint="default"/>
          <w:lang w:val="en-US" w:eastAsia="zh-CN"/>
        </w:rPr>
      </w:pPr>
    </w:p>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ectPr>
          <w:pgSz w:w="16838" w:h="11906" w:orient="landscape"/>
          <w:pgMar w:top="1800" w:right="1440" w:bottom="1558" w:left="1440" w:header="851" w:footer="992" w:gutter="0"/>
          <w:cols w:space="425" w:num="1"/>
          <w:docGrid w:type="lines" w:linePitch="312" w:charSpace="0"/>
        </w:sectPr>
      </w:pPr>
    </w:p>
    <w:tbl>
      <w:tblPr>
        <w:tblStyle w:val="20"/>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688"/>
        <w:gridCol w:w="690"/>
        <w:gridCol w:w="688"/>
        <w:gridCol w:w="688"/>
        <w:gridCol w:w="1020"/>
        <w:gridCol w:w="1090"/>
        <w:gridCol w:w="1106"/>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07" w:hRule="atLeast"/>
        </w:trPr>
        <w:tc>
          <w:tcPr>
            <w:tcW w:w="8980"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36"/>
                <w:szCs w:val="36"/>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8980"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32"/>
                <w:szCs w:val="32"/>
                <w:u w:val="none"/>
                <w:lang w:val="en-US" w:eastAsia="zh-CN" w:bidi="ar"/>
              </w:rPr>
              <w:t>（   2020 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8980" w:type="dxa"/>
            <w:gridSpan w:val="8"/>
            <w:tcBorders>
              <w:top w:val="nil"/>
              <w:left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1378"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项目名称</w:t>
            </w:r>
          </w:p>
        </w:tc>
        <w:tc>
          <w:tcPr>
            <w:tcW w:w="7602" w:type="dxa"/>
            <w:gridSpan w:val="6"/>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职业技术学院二期建设项目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137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主管部门</w:t>
            </w:r>
          </w:p>
        </w:tc>
        <w:tc>
          <w:tcPr>
            <w:tcW w:w="3486" w:type="dxa"/>
            <w:gridSpan w:val="4"/>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实施单位</w:t>
            </w:r>
          </w:p>
        </w:tc>
        <w:tc>
          <w:tcPr>
            <w:tcW w:w="3010"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塔城地区中等职业技术学校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1378" w:type="dxa"/>
            <w:gridSpan w:val="2"/>
            <w:tcBorders>
              <w:top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项目资金</w:t>
            </w:r>
          </w:p>
        </w:tc>
        <w:tc>
          <w:tcPr>
            <w:tcW w:w="688" w:type="dxa"/>
            <w:tcBorders>
              <w:top w:val="single" w:color="auto" w:sz="4" w:space="0"/>
              <w:left w:val="single" w:color="auto" w:sz="4" w:space="0"/>
              <w:bottom w:val="single" w:color="auto" w:sz="4" w:space="0"/>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2"/>
                <w:szCs w:val="22"/>
                <w:u w:val="none"/>
              </w:rPr>
            </w:pPr>
          </w:p>
        </w:tc>
        <w:tc>
          <w:tcPr>
            <w:tcW w:w="688" w:type="dxa"/>
            <w:tcBorders>
              <w:top w:val="single" w:color="auto" w:sz="4" w:space="0"/>
              <w:left w:val="nil"/>
              <w:bottom w:val="single" w:color="auto" w:sz="4" w:space="0"/>
              <w:right w:val="single" w:color="auto" w:sz="4" w:space="0"/>
            </w:tcBorders>
            <w:shd w:val="clear" w:color="auto" w:fill="auto"/>
            <w:noWrap/>
            <w:tcMar>
              <w:top w:w="15" w:type="dxa"/>
              <w:left w:w="15" w:type="dxa"/>
              <w:right w:w="15" w:type="dxa"/>
            </w:tcMar>
            <w:vAlign w:val="bottom"/>
          </w:tcPr>
          <w:p/>
        </w:tc>
        <w:tc>
          <w:tcPr>
            <w:tcW w:w="1020" w:type="dxa"/>
            <w:tcBorders>
              <w:top w:val="single" w:color="auto" w:sz="4" w:space="0"/>
              <w:left w:val="single" w:color="auto" w:sz="4" w:space="0"/>
              <w:bottom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全年预算数</w:t>
            </w:r>
          </w:p>
        </w:tc>
        <w:tc>
          <w:tcPr>
            <w:tcW w:w="110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全年执行数</w:t>
            </w:r>
          </w:p>
        </w:tc>
        <w:tc>
          <w:tcPr>
            <w:tcW w:w="301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1378" w:type="dxa"/>
            <w:gridSpan w:val="2"/>
            <w:tcBorders>
              <w:top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（万元）</w:t>
            </w:r>
          </w:p>
        </w:tc>
        <w:tc>
          <w:tcPr>
            <w:tcW w:w="1376" w:type="dxa"/>
            <w:gridSpan w:val="2"/>
            <w:tcBorders>
              <w:top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年度资金总额</w:t>
            </w:r>
          </w:p>
        </w:tc>
        <w:tc>
          <w:tcPr>
            <w:tcW w:w="1020" w:type="dxa"/>
            <w:tcBorders>
              <w:top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6000</w:t>
            </w:r>
          </w:p>
        </w:tc>
        <w:tc>
          <w:tcPr>
            <w:tcW w:w="110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6000</w:t>
            </w:r>
          </w:p>
        </w:tc>
        <w:tc>
          <w:tcPr>
            <w:tcW w:w="301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1378" w:type="dxa"/>
            <w:gridSpan w:val="2"/>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6"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20" w:type="dxa"/>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0.00</w:t>
            </w:r>
          </w:p>
        </w:tc>
        <w:tc>
          <w:tcPr>
            <w:tcW w:w="1090"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6000.00</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6000.00</w:t>
            </w:r>
          </w:p>
        </w:tc>
        <w:tc>
          <w:tcPr>
            <w:tcW w:w="3010"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1378" w:type="dxa"/>
            <w:gridSpan w:val="2"/>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6"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20" w:type="dxa"/>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090"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w:t>
            </w:r>
          </w:p>
        </w:tc>
        <w:tc>
          <w:tcPr>
            <w:tcW w:w="3010"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1378" w:type="dxa"/>
            <w:gridSpan w:val="2"/>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76"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20" w:type="dxa"/>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090" w:type="dxa"/>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w:t>
            </w:r>
          </w:p>
        </w:tc>
        <w:tc>
          <w:tcPr>
            <w:tcW w:w="3010" w:type="dxa"/>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68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年度总体目标</w:t>
            </w:r>
          </w:p>
        </w:tc>
        <w:tc>
          <w:tcPr>
            <w:tcW w:w="417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预期目标</w:t>
            </w:r>
          </w:p>
        </w:tc>
        <w:tc>
          <w:tcPr>
            <w:tcW w:w="4116"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6" w:hRule="atLeast"/>
        </w:trPr>
        <w:tc>
          <w:tcPr>
            <w:tcW w:w="688"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bookmarkStart w:id="2" w:name="OLE_LINK1" w:colFirst="3" w:colLast="5"/>
          </w:p>
        </w:tc>
        <w:tc>
          <w:tcPr>
            <w:tcW w:w="4176" w:type="dxa"/>
            <w:gridSpan w:val="5"/>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用于塔城职业技术学院建设项目，计划建设宿舍楼两栋，实训楼一栋，食堂一栋，教学楼一栋，以及相关附属工程建设</w:t>
            </w:r>
          </w:p>
        </w:tc>
        <w:tc>
          <w:tcPr>
            <w:tcW w:w="4116"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用于塔城职业技术学院建设项目，计划建设宿舍楼两栋，实训楼一栋，食堂一栋，教学楼一栋，以及相关附属工程建设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688"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一级指标</w:t>
            </w:r>
          </w:p>
        </w:tc>
        <w:tc>
          <w:tcPr>
            <w:tcW w:w="6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二级指标</w:t>
            </w:r>
          </w:p>
        </w:tc>
        <w:tc>
          <w:tcPr>
            <w:tcW w:w="170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年度指标值</w:t>
            </w:r>
          </w:p>
        </w:tc>
        <w:tc>
          <w:tcPr>
            <w:tcW w:w="110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实际完成值</w:t>
            </w:r>
          </w:p>
        </w:tc>
        <w:tc>
          <w:tcPr>
            <w:tcW w:w="301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68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90" w:type="dxa"/>
            <w:vMerge w:val="restart"/>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产出指标</w:t>
            </w:r>
          </w:p>
        </w:tc>
        <w:tc>
          <w:tcPr>
            <w:tcW w:w="68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数量指标</w:t>
            </w:r>
          </w:p>
        </w:tc>
        <w:tc>
          <w:tcPr>
            <w:tcW w:w="170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建筑面积</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≥30000平方米</w:t>
            </w:r>
          </w:p>
        </w:tc>
        <w:tc>
          <w:tcPr>
            <w:tcW w:w="110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21350平方米</w:t>
            </w:r>
          </w:p>
        </w:tc>
        <w:tc>
          <w:tcPr>
            <w:tcW w:w="301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年初预测不准确；加强项目前期管理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0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建筑数量</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≥5栋</w:t>
            </w:r>
          </w:p>
        </w:tc>
        <w:tc>
          <w:tcPr>
            <w:tcW w:w="110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5栋</w:t>
            </w:r>
          </w:p>
        </w:tc>
        <w:tc>
          <w:tcPr>
            <w:tcW w:w="3010"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8"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08"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占地面积</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≥70亩</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70亩</w:t>
            </w:r>
          </w:p>
        </w:tc>
        <w:tc>
          <w:tcPr>
            <w:tcW w:w="3010"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质量指标</w:t>
            </w:r>
          </w:p>
        </w:tc>
        <w:tc>
          <w:tcPr>
            <w:tcW w:w="1708"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施工质量合格率</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=100%</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100%</w:t>
            </w:r>
          </w:p>
        </w:tc>
        <w:tc>
          <w:tcPr>
            <w:tcW w:w="3010"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时效指标</w:t>
            </w:r>
          </w:p>
        </w:tc>
        <w:tc>
          <w:tcPr>
            <w:tcW w:w="1708"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支付及时率</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=100%</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100%</w:t>
            </w:r>
          </w:p>
        </w:tc>
        <w:tc>
          <w:tcPr>
            <w:tcW w:w="3010"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成本指标</w:t>
            </w:r>
          </w:p>
        </w:tc>
        <w:tc>
          <w:tcPr>
            <w:tcW w:w="170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本年支付工程总成本</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≤6000万元</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6000万元</w:t>
            </w:r>
          </w:p>
        </w:tc>
        <w:tc>
          <w:tcPr>
            <w:tcW w:w="3010"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rPr>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vMerge w:val="restart"/>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效益指标</w:t>
            </w:r>
          </w:p>
        </w:tc>
        <w:tc>
          <w:tcPr>
            <w:tcW w:w="6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经济效益指标</w:t>
            </w:r>
          </w:p>
        </w:tc>
        <w:tc>
          <w:tcPr>
            <w:tcW w:w="1708"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完善职业技术学院硬件条件</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有所完善</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有所完善</w:t>
            </w:r>
          </w:p>
        </w:tc>
        <w:tc>
          <w:tcPr>
            <w:tcW w:w="3010"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6" w:hRule="atLeast"/>
        </w:trPr>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可持续影响指标</w:t>
            </w:r>
          </w:p>
        </w:tc>
        <w:tc>
          <w:tcPr>
            <w:tcW w:w="1708"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建筑预计使用年限</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≥15年</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15年</w:t>
            </w:r>
          </w:p>
        </w:tc>
        <w:tc>
          <w:tcPr>
            <w:tcW w:w="3010"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6" w:hRule="atLeast"/>
        </w:trPr>
        <w:tc>
          <w:tcPr>
            <w:tcW w:w="688"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满意度指标</w:t>
            </w:r>
          </w:p>
        </w:tc>
        <w:tc>
          <w:tcPr>
            <w:tcW w:w="6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708" w:type="dxa"/>
            <w:gridSpan w:val="2"/>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被抽样调查学生满意度</w:t>
            </w:r>
          </w:p>
        </w:tc>
        <w:tc>
          <w:tcPr>
            <w:tcW w:w="1090"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≥95%</w:t>
            </w:r>
          </w:p>
        </w:tc>
        <w:tc>
          <w:tcPr>
            <w:tcW w:w="1106"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100%</w:t>
            </w:r>
          </w:p>
        </w:tc>
        <w:tc>
          <w:tcPr>
            <w:tcW w:w="3010"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8980" w:type="dxa"/>
            <w:gridSpan w:val="8"/>
            <w:tcBorders>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r>
      <w:bookmarkEnd w:id="2"/>
    </w:tbl>
    <w:p>
      <w:pPr>
        <w:pStyle w:val="2"/>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B3C6A939"/>
    <w:multiLevelType w:val="singleLevel"/>
    <w:tmpl w:val="B3C6A939"/>
    <w:lvl w:ilvl="0" w:tentative="0">
      <w:start w:val="2"/>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074A"/>
    <w:rsid w:val="00EA2CBE"/>
    <w:rsid w:val="00F32FEE"/>
    <w:rsid w:val="00F71278"/>
    <w:rsid w:val="00FB10BB"/>
    <w:rsid w:val="03496F09"/>
    <w:rsid w:val="051A56F5"/>
    <w:rsid w:val="066D6EAA"/>
    <w:rsid w:val="08C662D4"/>
    <w:rsid w:val="09BD4D95"/>
    <w:rsid w:val="0E9E53CE"/>
    <w:rsid w:val="0F8D41CB"/>
    <w:rsid w:val="11C75270"/>
    <w:rsid w:val="12637CC3"/>
    <w:rsid w:val="12E657C5"/>
    <w:rsid w:val="167C7687"/>
    <w:rsid w:val="168B3546"/>
    <w:rsid w:val="1A2374E0"/>
    <w:rsid w:val="1AC44CA3"/>
    <w:rsid w:val="1C317CE2"/>
    <w:rsid w:val="1DD45808"/>
    <w:rsid w:val="1DED42AC"/>
    <w:rsid w:val="20005763"/>
    <w:rsid w:val="20FB313D"/>
    <w:rsid w:val="220B4804"/>
    <w:rsid w:val="24751E2D"/>
    <w:rsid w:val="282475E3"/>
    <w:rsid w:val="2C6100C1"/>
    <w:rsid w:val="3264220D"/>
    <w:rsid w:val="37F27951"/>
    <w:rsid w:val="3963178C"/>
    <w:rsid w:val="3B8915E1"/>
    <w:rsid w:val="41CC2676"/>
    <w:rsid w:val="46B21672"/>
    <w:rsid w:val="48E979D3"/>
    <w:rsid w:val="4F552460"/>
    <w:rsid w:val="4FA57521"/>
    <w:rsid w:val="4FCC6863"/>
    <w:rsid w:val="500A214A"/>
    <w:rsid w:val="522D604D"/>
    <w:rsid w:val="5297585E"/>
    <w:rsid w:val="52AD7D6F"/>
    <w:rsid w:val="533A1D56"/>
    <w:rsid w:val="5549519D"/>
    <w:rsid w:val="5557596B"/>
    <w:rsid w:val="5856645F"/>
    <w:rsid w:val="5B596DFC"/>
    <w:rsid w:val="5DF03945"/>
    <w:rsid w:val="637C2815"/>
    <w:rsid w:val="695568E9"/>
    <w:rsid w:val="6F877E47"/>
    <w:rsid w:val="792A2AD6"/>
    <w:rsid w:val="7A353D0B"/>
    <w:rsid w:val="7C1207B5"/>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line="240" w:lineRule="exact"/>
      <w:ind w:firstLine="412" w:firstLineChars="200"/>
      <w:jc w:val="left"/>
    </w:pPr>
    <w:rPr>
      <w:rFonts w:ascii="宋体" w:hAnsi="Times New Roman" w:eastAsia="宋体"/>
      <w:bCs/>
      <w:sz w:val="21"/>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16</TotalTime>
  <ScaleCrop>false</ScaleCrop>
  <LinksUpToDate>false</LinksUpToDate>
  <CharactersWithSpaces>8963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2021-05-29T05:06:57Z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9E05D23B5C374885B89263242565099D</vt:lpwstr>
  </property>
  <property fmtid="{D5CDD505-2E9C-101B-9397-08002B2CF9AE}" pid="4" name="KSOSaveFontToCloudKey">
    <vt:lpwstr>390855185_btnclosed</vt:lpwstr>
  </property>
</Properties>
</file>