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kern w:val="0"/>
          <w:sz w:val="48"/>
          <w:szCs w:val="48"/>
          <w:lang w:eastAsia="zh-CN"/>
        </w:rPr>
      </w:pPr>
    </w:p>
    <w:p>
      <w:pPr>
        <w:spacing w:line="540" w:lineRule="exact"/>
        <w:jc w:val="center"/>
        <w:rPr>
          <w:rFonts w:hint="eastAsia" w:ascii="方正小标宋简体" w:hAnsi="方正小标宋简体" w:eastAsia="方正小标宋简体" w:cs="方正小标宋简体"/>
          <w:b/>
          <w:bCs/>
          <w:kern w:val="0"/>
          <w:sz w:val="44"/>
          <w:szCs w:val="44"/>
        </w:rPr>
      </w:pPr>
      <w:r>
        <w:rPr>
          <w:rFonts w:hint="eastAsia" w:ascii="方正小标宋简体" w:hAnsi="方正小标宋简体" w:eastAsia="方正小标宋简体" w:cs="方正小标宋简体"/>
          <w:b/>
          <w:bCs/>
          <w:kern w:val="0"/>
          <w:sz w:val="44"/>
          <w:szCs w:val="44"/>
        </w:rPr>
        <w:t>门诊、住院综合楼资金项目支出绩效评价</w:t>
      </w:r>
    </w:p>
    <w:p>
      <w:pPr>
        <w:spacing w:line="540" w:lineRule="exact"/>
        <w:jc w:val="center"/>
        <w:rPr>
          <w:rFonts w:hint="eastAsia" w:ascii="方正小标宋简体" w:hAnsi="方正小标宋简体" w:eastAsia="方正小标宋简体" w:cs="方正小标宋简体"/>
          <w:b/>
          <w:bCs/>
          <w:kern w:val="0"/>
          <w:sz w:val="44"/>
          <w:szCs w:val="44"/>
        </w:rPr>
      </w:pPr>
      <w:r>
        <w:rPr>
          <w:rFonts w:hint="eastAsia" w:ascii="方正小标宋简体" w:hAnsi="方正小标宋简体" w:eastAsia="方正小标宋简体" w:cs="方正小标宋简体"/>
          <w:b/>
          <w:bCs/>
          <w:kern w:val="0"/>
          <w:sz w:val="44"/>
          <w:szCs w:val="44"/>
        </w:rPr>
        <w:t>报告</w:t>
      </w:r>
    </w:p>
    <w:p>
      <w:pPr>
        <w:pStyle w:val="2"/>
        <w:rPr>
          <w:rFonts w:hint="eastAsia"/>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项目名称：</w:t>
      </w:r>
      <w:r>
        <w:rPr>
          <w:rFonts w:hint="eastAsia" w:ascii="仿宋_GB2312" w:hAnsi="仿宋_GB2312" w:eastAsia="仿宋_GB2312" w:cs="仿宋_GB2312"/>
          <w:kern w:val="0"/>
          <w:sz w:val="36"/>
          <w:szCs w:val="36"/>
          <w:lang w:eastAsia="zh-CN"/>
        </w:rPr>
        <w:t>门诊、住院综合楼项目</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val="en-US" w:eastAsia="zh-CN"/>
        </w:rPr>
        <w:t>塔城地区中医医院</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eastAsia="zh-CN"/>
        </w:rPr>
        <w:t>塔城地区卫生健康委员会</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贾学斌</w:t>
      </w:r>
    </w:p>
    <w:p>
      <w:pPr>
        <w:spacing w:line="700" w:lineRule="exact"/>
        <w:ind w:firstLine="720" w:firstLineChars="200"/>
        <w:jc w:val="left"/>
        <w:rPr>
          <w:rFonts w:hAnsi="宋体" w:eastAsia="仿宋_GB2312" w:cs="宋体"/>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4</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6</w:t>
      </w:r>
      <w:r>
        <w:rPr>
          <w:rFonts w:hint="eastAsia" w:ascii="仿宋_GB2312" w:hAnsi="仿宋_GB2312" w:eastAsia="仿宋_GB2312" w:cs="仿宋_GB2312"/>
          <w:kern w:val="0"/>
          <w:sz w:val="36"/>
          <w:szCs w:val="36"/>
        </w:rPr>
        <w:t>日</w:t>
      </w:r>
    </w:p>
    <w:p>
      <w:pPr>
        <w:spacing w:line="540" w:lineRule="exact"/>
        <w:jc w:val="center"/>
        <w:rPr>
          <w:rFonts w:hAnsi="宋体" w:eastAsia="仿宋_GB2312" w:cs="宋体"/>
          <w:kern w:val="0"/>
          <w:sz w:val="30"/>
          <w:szCs w:val="30"/>
        </w:rPr>
      </w:pPr>
    </w:p>
    <w:p>
      <w:pPr>
        <w:spacing w:line="540" w:lineRule="exact"/>
        <w:rPr>
          <w:rStyle w:val="21"/>
          <w:rFonts w:ascii="黑体" w:hAnsi="黑体" w:eastAsia="黑体"/>
          <w:b w:val="0"/>
          <w:spacing w:val="-4"/>
          <w:sz w:val="32"/>
          <w:szCs w:val="32"/>
        </w:rPr>
      </w:pPr>
    </w:p>
    <w:p>
      <w:pPr>
        <w:spacing w:line="600" w:lineRule="exact"/>
        <w:jc w:val="both"/>
        <w:rPr>
          <w:rFonts w:hint="eastAsia" w:ascii="黑体" w:hAnsi="黑体" w:eastAsia="黑体" w:cs="黑体"/>
          <w:bCs/>
          <w:sz w:val="32"/>
          <w:szCs w:val="32"/>
          <w:lang w:val="en-US" w:eastAsia="zh-CN"/>
        </w:rPr>
      </w:pP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（1）项目实施的政策背景</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根据塔城地区中医医院门诊楼、住院综合楼建设项目可行性研究报告的批复》下达我院门诊、住院综合楼项目资金。</w:t>
      </w:r>
    </w:p>
    <w:p>
      <w:pPr>
        <w:pageBreakBefore w:val="0"/>
        <w:numPr>
          <w:ilvl w:val="0"/>
          <w:numId w:val="1"/>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项目实施的历史概况</w:t>
      </w:r>
    </w:p>
    <w:p>
      <w:pPr>
        <w:pageBreakBefore w:val="0"/>
        <w:kinsoku/>
        <w:wordWrap/>
        <w:overflowPunct/>
        <w:topLinePunct w:val="0"/>
        <w:autoSpaceDE/>
        <w:autoSpaceDN/>
        <w:bidi w:val="0"/>
        <w:adjustRightInd/>
        <w:snapToGrid/>
        <w:spacing w:line="560" w:lineRule="atLeast"/>
        <w:ind w:firstLine="640" w:firstLineChars="200"/>
        <w:textAlignment w:val="auto"/>
        <w:rPr>
          <w:rStyle w:val="21"/>
          <w:rFonts w:ascii="黑体" w:hAnsi="黑体" w:eastAsia="黑体"/>
          <w:bCs w:val="0"/>
          <w:spacing w:val="-4"/>
          <w:sz w:val="32"/>
          <w:szCs w:val="32"/>
        </w:rPr>
      </w:pPr>
      <w:r>
        <w:rPr>
          <w:rFonts w:hint="eastAsia" w:ascii="仿宋_GB2312" w:hAnsi="仿宋_GB2312" w:eastAsia="仿宋_GB2312" w:cs="仿宋_GB2312"/>
          <w:b w:val="0"/>
          <w:bCs w:val="0"/>
          <w:kern w:val="0"/>
          <w:sz w:val="32"/>
          <w:szCs w:val="32"/>
          <w:lang w:val="en-US" w:eastAsia="zh-CN" w:bidi="ar-SA"/>
        </w:rPr>
        <w:t>规划建筑面积10038平方米，其中:急诊业务用房建筑面积691平方米，门诊业务用房建筑面积3996平方米，中医传统疗法中心500平方米，医技业务用房建筑面积3586平方米，住院业务用房建筑面积1265平方米。,规划建筑8层，框架结构,项目总投资2710万元（主体合同价2608万元，由新疆正塔建筑安装有限公司施工）,2016年开工建设，2017年主体已封顶并于同年因不能举债建设停工，主体工程款及其他前期费共已付款1525.5万元（主体工程款1430万元）。2020年申请专项</w:t>
      </w:r>
      <w:r>
        <w:rPr>
          <w:rFonts w:hint="eastAsia" w:ascii="仿宋_GB2312" w:hAnsi="仿宋_GB2312" w:eastAsia="仿宋_GB2312" w:cs="仿宋_GB2312"/>
          <w:b w:val="0"/>
          <w:bCs w:val="0"/>
          <w:color w:val="auto"/>
          <w:kern w:val="0"/>
          <w:sz w:val="32"/>
          <w:szCs w:val="32"/>
          <w:lang w:val="en-US" w:eastAsia="zh-CN" w:bidi="ar-SA"/>
        </w:rPr>
        <w:t>1000万元，资金于5月28日下达，工程2020年6月复工，目前已完成主体工程总进度95%，工程待验收中。</w:t>
      </w:r>
    </w:p>
    <w:p>
      <w:pPr>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0"/>
          <w:sz w:val="32"/>
          <w:szCs w:val="32"/>
          <w:lang w:val="en-US" w:eastAsia="zh-CN" w:bidi="ar-SA"/>
        </w:rPr>
        <w:t>项目主要内容：医院根据资金使用经费支出的内容和标准，依据审计要求，全部使用于门诊、住院综合楼工程款，本年度完成支付。施工内容为门诊、住院综合楼的内部装修和外墙保温等。</w:t>
      </w:r>
    </w:p>
    <w:p>
      <w:pPr>
        <w:pageBreakBefore w:val="0"/>
        <w:kinsoku/>
        <w:wordWrap/>
        <w:overflowPunct/>
        <w:topLinePunct w:val="0"/>
        <w:autoSpaceDE/>
        <w:autoSpaceDN/>
        <w:bidi w:val="0"/>
        <w:adjustRightInd/>
        <w:snapToGrid/>
        <w:spacing w:line="560" w:lineRule="atLeast"/>
        <w:ind w:firstLine="640" w:firstLineChars="200"/>
        <w:textAlignment w:val="auto"/>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w:t>
      </w:r>
      <w:r>
        <w:rPr>
          <w:rFonts w:hint="eastAsia" w:ascii="仿宋_GB2312" w:hAnsi="仿宋_GB2312" w:eastAsia="仿宋_GB2312" w:cs="仿宋_GB2312"/>
          <w:sz w:val="32"/>
          <w:szCs w:val="32"/>
          <w:highlight w:val="none"/>
        </w:rPr>
        <w:t>资</w:t>
      </w:r>
      <w:r>
        <w:rPr>
          <w:rFonts w:hint="eastAsia" w:ascii="仿宋_GB2312" w:hAnsi="仿宋_GB2312" w:eastAsia="仿宋_GB2312" w:cs="仿宋_GB2312"/>
          <w:sz w:val="32"/>
          <w:szCs w:val="32"/>
          <w:highlight w:val="none"/>
          <w:lang w:val="en-US" w:eastAsia="zh-CN"/>
        </w:rPr>
        <w:t>1000</w:t>
      </w:r>
      <w:r>
        <w:rPr>
          <w:rFonts w:hint="eastAsia" w:ascii="仿宋_GB2312" w:hAnsi="仿宋_GB2312" w:eastAsia="仿宋_GB2312" w:cs="仿宋_GB2312"/>
          <w:sz w:val="32"/>
          <w:szCs w:val="32"/>
          <w:highlight w:val="none"/>
        </w:rPr>
        <w:t>万</w:t>
      </w:r>
      <w:r>
        <w:rPr>
          <w:rFonts w:hint="eastAsia" w:ascii="仿宋_GB2312" w:hAnsi="仿宋_GB2312" w:eastAsia="仿宋_GB2312" w:cs="仿宋_GB2312"/>
          <w:sz w:val="32"/>
          <w:szCs w:val="32"/>
        </w:rPr>
        <w:t>元，其中：</w:t>
      </w:r>
      <w:r>
        <w:rPr>
          <w:rFonts w:hint="eastAsia" w:ascii="仿宋_GB2312" w:hAnsi="仿宋_GB2312" w:eastAsia="仿宋_GB2312" w:cs="仿宋_GB2312"/>
          <w:sz w:val="32"/>
          <w:szCs w:val="32"/>
          <w:lang w:eastAsia="zh-CN"/>
        </w:rPr>
        <w:t>自治区财政下达地方</w:t>
      </w:r>
      <w:r>
        <w:rPr>
          <w:rFonts w:hint="eastAsia" w:ascii="仿宋_GB2312" w:hAnsi="仿宋_GB2312" w:eastAsia="仿宋_GB2312" w:cs="仿宋_GB2312"/>
          <w:sz w:val="32"/>
          <w:szCs w:val="32"/>
          <w:lang w:val="en-US" w:eastAsia="zh-CN"/>
        </w:rPr>
        <w:t>专项</w:t>
      </w:r>
      <w:r>
        <w:rPr>
          <w:rFonts w:hint="eastAsia" w:ascii="仿宋_GB2312" w:hAnsi="仿宋_GB2312" w:eastAsia="仿宋_GB2312" w:cs="仿宋_GB2312"/>
          <w:sz w:val="32"/>
          <w:szCs w:val="32"/>
          <w:lang w:eastAsia="zh-CN"/>
        </w:rPr>
        <w:t>资金</w:t>
      </w:r>
      <w:r>
        <w:rPr>
          <w:rFonts w:hint="eastAsia" w:ascii="仿宋_GB2312" w:hAnsi="仿宋_GB2312" w:eastAsia="仿宋_GB2312" w:cs="仿宋_GB2312"/>
          <w:sz w:val="32"/>
          <w:szCs w:val="32"/>
          <w:lang w:val="en-US" w:eastAsia="zh-CN"/>
        </w:rPr>
        <w:t>1000万元，</w:t>
      </w:r>
      <w:r>
        <w:rPr>
          <w:rFonts w:hint="eastAsia" w:ascii="仿宋_GB2312" w:hAnsi="仿宋_GB2312" w:eastAsia="仿宋_GB2312" w:cs="仿宋_GB2312"/>
          <w:sz w:val="32"/>
          <w:szCs w:val="32"/>
        </w:rPr>
        <w:t>项目实际支</w:t>
      </w:r>
      <w:r>
        <w:rPr>
          <w:rFonts w:hint="eastAsia" w:ascii="仿宋_GB2312" w:hAnsi="仿宋_GB2312" w:eastAsia="仿宋_GB2312" w:cs="仿宋_GB2312"/>
          <w:sz w:val="32"/>
          <w:szCs w:val="32"/>
          <w:highlight w:val="none"/>
        </w:rPr>
        <w:t>出</w:t>
      </w:r>
      <w:r>
        <w:rPr>
          <w:rFonts w:hint="eastAsia" w:ascii="仿宋_GB2312" w:hAnsi="仿宋_GB2312" w:eastAsia="仿宋_GB2312" w:cs="仿宋_GB2312"/>
          <w:sz w:val="32"/>
          <w:szCs w:val="32"/>
          <w:highlight w:val="none"/>
          <w:lang w:val="en-US" w:eastAsia="zh-CN"/>
        </w:rPr>
        <w:t>1000</w:t>
      </w:r>
      <w:r>
        <w:rPr>
          <w:rFonts w:hint="eastAsia" w:ascii="仿宋_GB2312" w:hAnsi="仿宋_GB2312" w:eastAsia="仿宋_GB2312" w:cs="仿宋_GB2312"/>
          <w:sz w:val="32"/>
          <w:szCs w:val="32"/>
          <w:highlight w:val="none"/>
        </w:rPr>
        <w:t>万</w:t>
      </w:r>
      <w:r>
        <w:rPr>
          <w:rFonts w:hint="eastAsia" w:ascii="仿宋_GB2312" w:hAnsi="仿宋_GB2312" w:eastAsia="仿宋_GB2312" w:cs="仿宋_GB2312"/>
          <w:sz w:val="32"/>
          <w:szCs w:val="32"/>
        </w:rPr>
        <w:t>元， 支出率为100%。</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20"/>
          <w:szCs w:val="20"/>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atLeast"/>
        <w:ind w:firstLine="579" w:firstLineChars="18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highlight w:val="none"/>
        </w:rPr>
        <w:t>总投资</w:t>
      </w:r>
      <w:r>
        <w:rPr>
          <w:rFonts w:hint="eastAsia" w:ascii="仿宋_GB2312" w:hAnsi="仿宋_GB2312" w:eastAsia="仿宋_GB2312" w:cs="仿宋_GB2312"/>
          <w:sz w:val="32"/>
          <w:szCs w:val="32"/>
          <w:highlight w:val="none"/>
          <w:lang w:val="en-US" w:eastAsia="zh-CN"/>
        </w:rPr>
        <w:t>1000</w:t>
      </w:r>
      <w:r>
        <w:rPr>
          <w:rFonts w:hint="eastAsia" w:ascii="仿宋_GB2312" w:hAnsi="仿宋_GB2312" w:eastAsia="仿宋_GB2312" w:cs="仿宋_GB2312"/>
          <w:sz w:val="32"/>
          <w:szCs w:val="32"/>
          <w:highlight w:val="none"/>
        </w:rPr>
        <w:t>万元，按</w:t>
      </w:r>
      <w:r>
        <w:rPr>
          <w:rFonts w:hint="eastAsia" w:ascii="仿宋_GB2312" w:hAnsi="仿宋_GB2312" w:eastAsia="仿宋_GB2312" w:cs="仿宋_GB2312"/>
          <w:sz w:val="32"/>
          <w:szCs w:val="32"/>
        </w:rPr>
        <w:t>照</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资金管理办法》及单位财务制度等相关规定，资金支出符合</w:t>
      </w:r>
      <w:r>
        <w:rPr>
          <w:rFonts w:hint="eastAsia" w:ascii="仿宋_GB2312" w:hAnsi="仿宋_GB2312" w:eastAsia="仿宋_GB2312" w:cs="仿宋_GB2312"/>
          <w:sz w:val="32"/>
          <w:szCs w:val="32"/>
          <w:highlight w:val="none"/>
          <w:lang w:val="en-US" w:eastAsia="zh-CN"/>
        </w:rPr>
        <w:t>门诊、住院综合楼</w:t>
      </w:r>
      <w:r>
        <w:rPr>
          <w:rFonts w:hint="eastAsia" w:ascii="仿宋_GB2312" w:hAnsi="仿宋_GB2312" w:eastAsia="仿宋_GB2312" w:cs="仿宋_GB2312"/>
          <w:sz w:val="32"/>
          <w:szCs w:val="32"/>
          <w:highlight w:val="none"/>
        </w:rPr>
        <w:t>专项资</w:t>
      </w:r>
      <w:r>
        <w:rPr>
          <w:rFonts w:hint="eastAsia" w:ascii="仿宋_GB2312" w:hAnsi="仿宋_GB2312" w:eastAsia="仿宋_GB2312" w:cs="仿宋_GB2312"/>
          <w:sz w:val="32"/>
          <w:szCs w:val="32"/>
        </w:rPr>
        <w:t>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highlight w:val="none"/>
          <w:lang w:val="en-US" w:eastAsia="zh-CN"/>
        </w:rPr>
        <w:t>门诊、住院综合楼项目</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w:t>
      </w:r>
      <w:r>
        <w:rPr>
          <w:rFonts w:hint="eastAsia" w:ascii="仿宋_GB2312" w:hAnsi="仿宋_GB2312" w:eastAsia="仿宋_GB2312" w:cs="仿宋_GB2312"/>
          <w:sz w:val="32"/>
          <w:szCs w:val="32"/>
          <w:lang w:val="en-US" w:eastAsia="zh-CN"/>
        </w:rPr>
        <w:t>门诊楼、住院综合楼建设项目</w:t>
      </w:r>
      <w:r>
        <w:rPr>
          <w:rFonts w:hint="eastAsia" w:ascii="仿宋_GB2312" w:hAnsi="仿宋_GB2312" w:eastAsia="仿宋_GB2312" w:cs="仿宋_GB2312"/>
          <w:sz w:val="32"/>
          <w:szCs w:val="32"/>
        </w:rPr>
        <w:t>批复的资金，项目资金到位</w:t>
      </w:r>
      <w:r>
        <w:rPr>
          <w:rFonts w:hint="eastAsia" w:ascii="仿宋_GB2312" w:hAnsi="仿宋_GB2312" w:eastAsia="仿宋_GB2312" w:cs="仿宋_GB2312"/>
          <w:sz w:val="32"/>
          <w:szCs w:val="32"/>
          <w:lang w:val="en-US" w:eastAsia="zh-CN"/>
        </w:rPr>
        <w:t>1000</w:t>
      </w:r>
      <w:r>
        <w:rPr>
          <w:rFonts w:hint="eastAsia" w:ascii="仿宋_GB2312" w:hAnsi="仿宋_GB2312" w:eastAsia="仿宋_GB2312" w:cs="仿宋_GB2312"/>
          <w:sz w:val="32"/>
          <w:szCs w:val="32"/>
        </w:rPr>
        <w:t>万元，实际支出1000万元，用于支付项目实施进程中的各项费用。</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完成门诊、住院综合楼的基本建设。</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项目建成后为广大患者提供优质、高效的医疗服务，使患者享受到具有特色的中医药服务。</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促进传统中医民族医学的传承、弘扬发展。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2、阶段性目标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（1）前期准备：根据《</w:t>
      </w:r>
      <w:r>
        <w:rPr>
          <w:rFonts w:hint="eastAsia" w:ascii="仿宋_GB2312" w:hAnsi="仿宋_GB2312" w:eastAsia="仿宋_GB2312" w:cs="仿宋_GB2312"/>
          <w:sz w:val="32"/>
          <w:szCs w:val="32"/>
          <w:lang w:eastAsia="zh-CN"/>
        </w:rPr>
        <w:t>可研性研究报告</w:t>
      </w:r>
      <w:r>
        <w:rPr>
          <w:rFonts w:hint="eastAsia" w:ascii="仿宋_GB2312" w:hAnsi="仿宋_GB2312" w:eastAsia="仿宋_GB2312" w:cs="仿宋_GB2312"/>
          <w:sz w:val="32"/>
          <w:szCs w:val="32"/>
        </w:rPr>
        <w:t>》，通过制定项目实施方案，经项目负责人审核通过后，有序开展后续工程。</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（2）组织实施：资金一到位，立即根据项目要求实施项目。项目责任人按照《</w:t>
      </w:r>
      <w:r>
        <w:rPr>
          <w:rFonts w:hint="eastAsia" w:ascii="仿宋_GB2312" w:hAnsi="仿宋_GB2312" w:eastAsia="仿宋_GB2312" w:cs="仿宋_GB2312"/>
          <w:sz w:val="32"/>
          <w:szCs w:val="32"/>
          <w:lang w:eastAsia="zh-CN"/>
        </w:rPr>
        <w:t>项目实施</w:t>
      </w:r>
      <w:r>
        <w:rPr>
          <w:rFonts w:hint="eastAsia" w:ascii="仿宋_GB2312" w:hAnsi="仿宋_GB2312" w:eastAsia="仿宋_GB2312" w:cs="仿宋_GB2312"/>
          <w:sz w:val="32"/>
          <w:szCs w:val="32"/>
        </w:rPr>
        <w:t>方案》要求逐一进行项目部署安排，提高项目质量及效率性。</w:t>
      </w:r>
    </w:p>
    <w:p>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keepNext w:val="0"/>
        <w:keepLines w:val="0"/>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3"/>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2、绩效评价的对象</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绩效评价的对象</w:t>
      </w:r>
      <w:r>
        <w:rPr>
          <w:rFonts w:hint="eastAsia" w:ascii="仿宋_GB2312" w:hAnsi="仿宋_GB2312" w:eastAsia="仿宋_GB2312" w:cs="仿宋_GB2312"/>
          <w:sz w:val="32"/>
          <w:szCs w:val="32"/>
          <w:lang w:val="en-US" w:eastAsia="zh-CN"/>
        </w:rPr>
        <w:t>为“</w:t>
      </w:r>
      <w:r>
        <w:rPr>
          <w:rFonts w:hint="eastAsia" w:ascii="仿宋_GB2312" w:hAnsi="仿宋_GB2312" w:eastAsia="仿宋_GB2312" w:cs="仿宋_GB2312"/>
          <w:sz w:val="32"/>
          <w:szCs w:val="32"/>
        </w:rPr>
        <w:t>门诊、住院综合楼项目</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3、绩效评价的范围</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从</w:t>
      </w:r>
      <w:r>
        <w:rPr>
          <w:rFonts w:hint="eastAsia" w:ascii="仿宋_GB2312" w:hAnsi="仿宋_GB2312" w:eastAsia="仿宋_GB2312" w:cs="仿宋_GB2312"/>
          <w:sz w:val="32"/>
          <w:szCs w:val="32"/>
        </w:rPr>
        <w:t>门诊、住院综合楼项目</w:t>
      </w:r>
      <w:r>
        <w:rPr>
          <w:rFonts w:hint="default" w:ascii="仿宋_GB2312" w:hAnsi="仿宋_GB2312" w:eastAsia="仿宋_GB2312" w:cs="仿宋_GB2312"/>
          <w:sz w:val="32"/>
          <w:szCs w:val="32"/>
          <w:lang w:val="en-US" w:eastAsia="zh-CN"/>
        </w:rPr>
        <w:t>的决策、过程、产出、效益等方面进行评价。</w:t>
      </w:r>
    </w:p>
    <w:p>
      <w:pPr>
        <w:pageBreakBefore w:val="0"/>
        <w:kinsoku/>
        <w:wordWrap/>
        <w:overflowPunct/>
        <w:topLinePunct w:val="0"/>
        <w:autoSpaceDE/>
        <w:autoSpaceDN/>
        <w:bidi w:val="0"/>
        <w:adjustRightInd/>
        <w:snapToGri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w:t>
      </w:r>
      <w:r>
        <w:rPr>
          <w:rFonts w:hint="eastAsia" w:ascii="仿宋_GB2312" w:hAnsi="仿宋_GB2312" w:eastAsia="仿宋_GB2312" w:cs="仿宋_GB2312"/>
          <w:color w:val="000000"/>
          <w:spacing w:val="17"/>
          <w:sz w:val="32"/>
          <w:szCs w:val="32"/>
          <w:lang w:val="en-US" w:eastAsia="zh-CN"/>
        </w:rPr>
        <w:t>目决策</w:t>
      </w:r>
      <w:r>
        <w:rPr>
          <w:rFonts w:hint="eastAsia" w:ascii="仿宋_GB2312" w:hAnsi="仿宋_GB2312" w:eastAsia="仿宋_GB2312" w:cs="仿宋_GB2312"/>
          <w:color w:val="000000"/>
          <w:spacing w:val="17"/>
          <w:sz w:val="32"/>
          <w:szCs w:val="32"/>
        </w:rPr>
        <w:t>权重</w:t>
      </w:r>
      <w:r>
        <w:rPr>
          <w:rFonts w:hint="eastAsia" w:ascii="仿宋_GB2312" w:hAnsi="仿宋_GB2312" w:eastAsia="仿宋_GB2312" w:cs="仿宋_GB2312"/>
          <w:color w:val="000000"/>
          <w:spacing w:val="17"/>
          <w:sz w:val="32"/>
          <w:szCs w:val="32"/>
          <w:lang w:val="en-US" w:eastAsia="zh-CN"/>
        </w:rPr>
        <w:t>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w:t>
      </w:r>
      <w:r>
        <w:rPr>
          <w:rFonts w:hint="eastAsia" w:ascii="仿宋_GB2312" w:hAnsi="仿宋_GB2312" w:eastAsia="仿宋_GB2312" w:cs="仿宋_GB2312"/>
          <w:color w:val="000000"/>
          <w:spacing w:val="17"/>
          <w:sz w:val="32"/>
          <w:szCs w:val="32"/>
          <w:highlight w:val="none"/>
          <w:lang w:val="en-US" w:eastAsia="zh-CN"/>
        </w:rPr>
        <w:t>过程</w:t>
      </w:r>
      <w:r>
        <w:rPr>
          <w:rFonts w:hint="eastAsia" w:ascii="仿宋_GB2312" w:hAnsi="仿宋_GB2312" w:eastAsia="仿宋_GB2312" w:cs="仿宋_GB2312"/>
          <w:color w:val="000000"/>
          <w:spacing w:val="17"/>
          <w:sz w:val="32"/>
          <w:szCs w:val="32"/>
          <w:highlight w:val="none"/>
        </w:rPr>
        <w:t>权重占</w:t>
      </w:r>
      <w:r>
        <w:rPr>
          <w:rFonts w:hint="eastAsia" w:ascii="仿宋_GB2312" w:hAnsi="仿宋_GB2312" w:eastAsia="仿宋_GB2312" w:cs="仿宋_GB2312"/>
          <w:color w:val="000000"/>
          <w:spacing w:val="17"/>
          <w:sz w:val="32"/>
          <w:szCs w:val="32"/>
          <w:highlight w:val="none"/>
          <w:lang w:val="en-US" w:eastAsia="zh-CN"/>
        </w:rPr>
        <w:t>5%，</w:t>
      </w:r>
      <w:r>
        <w:rPr>
          <w:rFonts w:hint="eastAsia" w:ascii="仿宋_GB2312" w:hAnsi="仿宋_GB2312" w:eastAsia="仿宋_GB2312" w:cs="仿宋_GB2312"/>
          <w:color w:val="000000"/>
          <w:spacing w:val="17"/>
          <w:sz w:val="32"/>
          <w:szCs w:val="32"/>
          <w:highlight w:val="none"/>
        </w:rPr>
        <w:t>项目产出权重值占</w:t>
      </w:r>
      <w:r>
        <w:rPr>
          <w:rFonts w:hint="eastAsia" w:ascii="仿宋_GB2312" w:hAnsi="仿宋_GB2312" w:eastAsia="仿宋_GB2312" w:cs="仿宋_GB2312"/>
          <w:color w:val="000000"/>
          <w:spacing w:val="17"/>
          <w:sz w:val="32"/>
          <w:szCs w:val="32"/>
          <w:highlight w:val="none"/>
          <w:lang w:val="en-US" w:eastAsia="zh-CN"/>
        </w:rPr>
        <w:t>50%</w:t>
      </w:r>
      <w:r>
        <w:rPr>
          <w:rFonts w:hint="eastAsia" w:ascii="仿宋_GB2312" w:hAnsi="仿宋_GB2312" w:eastAsia="仿宋_GB2312" w:cs="仿宋_GB2312"/>
          <w:color w:val="000000"/>
          <w:spacing w:val="17"/>
          <w:sz w:val="32"/>
          <w:szCs w:val="32"/>
          <w:highlight w:val="none"/>
        </w:rPr>
        <w:t>，项目效</w:t>
      </w:r>
      <w:r>
        <w:rPr>
          <w:rFonts w:hint="eastAsia" w:ascii="仿宋_GB2312" w:hAnsi="仿宋_GB2312" w:eastAsia="仿宋_GB2312" w:cs="仿宋_GB2312"/>
          <w:color w:val="000000"/>
          <w:spacing w:val="17"/>
          <w:sz w:val="32"/>
          <w:szCs w:val="32"/>
        </w:rPr>
        <w:t>益权重值占</w:t>
      </w:r>
      <w:r>
        <w:rPr>
          <w:rFonts w:hint="eastAsia" w:ascii="仿宋_GB2312" w:hAnsi="仿宋_GB2312" w:eastAsia="仿宋_GB2312" w:cs="仿宋_GB2312"/>
          <w:color w:val="000000"/>
          <w:spacing w:val="17"/>
          <w:sz w:val="32"/>
          <w:szCs w:val="32"/>
          <w:lang w:val="en-US" w:eastAsia="zh-CN"/>
        </w:rPr>
        <w:t>40%</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atLeast"/>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w:t>
      </w:r>
      <w:r>
        <w:rPr>
          <w:rFonts w:hint="eastAsia" w:ascii="仿宋_GB2312" w:hAnsi="仿宋_GB2312" w:eastAsia="仿宋_GB2312" w:cs="仿宋_GB2312"/>
          <w:b/>
          <w:bCs/>
        </w:rPr>
        <w:t>、绩效评价</w:t>
      </w:r>
      <w:r>
        <w:rPr>
          <w:rFonts w:hint="eastAsia" w:ascii="仿宋_GB2312" w:hAnsi="仿宋_GB2312" w:eastAsia="仿宋_GB2312" w:cs="仿宋_GB2312"/>
          <w:b/>
          <w:bCs/>
          <w:lang w:val="en-US" w:eastAsia="zh-CN"/>
        </w:rPr>
        <w:t>标准</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highlight w:val="none"/>
        </w:rPr>
      </w:pPr>
      <w:r>
        <w:rPr>
          <w:rFonts w:hint="eastAsia" w:ascii="仿宋_GB2312" w:hAnsi="仿宋_GB2312" w:eastAsia="仿宋_GB2312" w:cs="仿宋_GB2312"/>
          <w:color w:val="000000"/>
          <w:spacing w:val="17"/>
          <w:sz w:val="32"/>
          <w:szCs w:val="32"/>
        </w:rPr>
        <w:t>绩效评价标准通常包括计划标准、行业标准、历史标准等，用于对绩效指标完成情况进行比较。</w:t>
      </w:r>
      <w:r>
        <w:rPr>
          <w:rFonts w:hint="eastAsia" w:ascii="仿宋_GB2312" w:hAnsi="仿宋_GB2312" w:eastAsia="仿宋_GB2312" w:cs="仿宋_GB2312"/>
          <w:color w:val="000000"/>
          <w:spacing w:val="17"/>
          <w:sz w:val="32"/>
          <w:szCs w:val="32"/>
          <w:highlight w:val="none"/>
        </w:rPr>
        <w:t>本次评价主要采用了计划标准和行业标准。</w:t>
      </w:r>
    </w:p>
    <w:p>
      <w:pPr>
        <w:pageBreakBefore w:val="0"/>
        <w:kinsoku/>
        <w:wordWrap/>
        <w:overflowPunct/>
        <w:topLinePunct w:val="0"/>
        <w:autoSpaceDE/>
        <w:autoSpaceDN/>
        <w:bidi w:val="0"/>
        <w:adjustRightInd/>
        <w:snapToGrid/>
        <w:spacing w:line="560" w:lineRule="atLeast"/>
        <w:ind w:firstLine="641"/>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（三）绩效评价工作过程</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highlight w:val="none"/>
          <w:lang w:val="en-US" w:eastAsia="zh-CN"/>
        </w:rPr>
        <w:t>1、前期准备。首先成立评价工作</w:t>
      </w:r>
      <w:r>
        <w:rPr>
          <w:rFonts w:hint="default" w:ascii="仿宋_GB2312" w:hAnsi="仿宋_GB2312" w:eastAsia="仿宋_GB2312" w:cs="仿宋_GB2312"/>
          <w:color w:val="000000"/>
          <w:spacing w:val="17"/>
          <w:sz w:val="32"/>
          <w:szCs w:val="32"/>
          <w:lang w:val="en-US" w:eastAsia="zh-CN"/>
        </w:rPr>
        <w:t>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pPr>
      <w:r>
        <w:rPr>
          <w:rFonts w:hint="default" w:ascii="仿宋_GB2312" w:hAnsi="仿宋_GB2312" w:eastAsia="仿宋_GB2312" w:cs="仿宋_GB2312"/>
          <w:color w:val="000000"/>
          <w:spacing w:val="17"/>
          <w:sz w:val="32"/>
          <w:szCs w:val="32"/>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4"/>
        </w:numPr>
        <w:kinsoku/>
        <w:wordWrap/>
        <w:overflowPunct/>
        <w:topLinePunct w:val="0"/>
        <w:autoSpaceDE/>
        <w:autoSpaceDN/>
        <w:bidi w:val="0"/>
        <w:adjustRightInd/>
        <w:snapToGrid/>
        <w:spacing w:line="560" w:lineRule="atLeast"/>
        <w:ind w:firstLine="641"/>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对</w:t>
      </w:r>
      <w:r>
        <w:rPr>
          <w:rFonts w:hint="eastAsia" w:ascii="仿宋_GB2312" w:hAnsi="仿宋_GB2312" w:eastAsia="仿宋_GB2312" w:cs="仿宋_GB2312"/>
          <w:b w:val="0"/>
          <w:bCs w:val="0"/>
          <w:highlight w:val="none"/>
          <w:lang w:eastAsia="zh-CN"/>
        </w:rPr>
        <w:t>门诊、住院综合楼</w:t>
      </w:r>
      <w:r>
        <w:rPr>
          <w:rFonts w:hint="eastAsia" w:ascii="仿宋_GB2312" w:hAnsi="仿宋_GB2312" w:eastAsia="仿宋_GB2312" w:cs="仿宋_GB2312"/>
          <w:b w:val="0"/>
          <w:bCs w:val="0"/>
          <w:highlight w:val="none"/>
        </w:rPr>
        <w:t xml:space="preserve">项目进行客观评价，最终评分结果：总得分为 </w:t>
      </w:r>
      <w:r>
        <w:rPr>
          <w:rFonts w:hint="eastAsia" w:ascii="仿宋_GB2312" w:hAnsi="仿宋_GB2312" w:eastAsia="仿宋_GB2312" w:cs="仿宋_GB2312"/>
          <w:b w:val="0"/>
          <w:bCs w:val="0"/>
          <w:highlight w:val="none"/>
          <w:lang w:val="en-US" w:eastAsia="zh-CN"/>
        </w:rPr>
        <w:t>99</w:t>
      </w:r>
      <w:r>
        <w:rPr>
          <w:rFonts w:hint="eastAsia" w:ascii="仿宋_GB2312" w:hAnsi="仿宋_GB2312" w:eastAsia="仿宋_GB2312" w:cs="仿宋_GB2312"/>
          <w:b w:val="0"/>
          <w:bCs w:val="0"/>
          <w:highlight w:val="none"/>
        </w:rPr>
        <w:t xml:space="preserve">分，属于“优”。其中，项目决策类指标权重为5分，得分为 </w:t>
      </w:r>
      <w:r>
        <w:rPr>
          <w:rFonts w:hint="eastAsia" w:ascii="仿宋_GB2312" w:hAnsi="仿宋_GB2312" w:eastAsia="仿宋_GB2312" w:cs="仿宋_GB2312"/>
          <w:b w:val="0"/>
          <w:bCs w:val="0"/>
          <w:highlight w:val="none"/>
          <w:lang w:val="en-US" w:eastAsia="zh-CN"/>
        </w:rPr>
        <w:t>5</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w:t>
      </w:r>
      <w:r>
        <w:rPr>
          <w:rFonts w:hint="eastAsia" w:ascii="仿宋_GB2312" w:hAnsi="仿宋_GB2312" w:eastAsia="仿宋_GB2312" w:cs="仿宋_GB2312"/>
          <w:b w:val="0"/>
          <w:bCs w:val="0"/>
          <w:highlight w:val="none"/>
        </w:rPr>
        <w:t>0%。项目过程类指标权重为5分，得分为</w:t>
      </w:r>
      <w:r>
        <w:rPr>
          <w:rFonts w:hint="eastAsia" w:ascii="仿宋_GB2312" w:hAnsi="仿宋_GB2312" w:eastAsia="仿宋_GB2312" w:cs="仿宋_GB2312"/>
          <w:b w:val="0"/>
          <w:bCs w:val="0"/>
          <w:highlight w:val="none"/>
          <w:lang w:val="en-US" w:eastAsia="zh-CN"/>
        </w:rPr>
        <w:t>4</w:t>
      </w:r>
      <w:r>
        <w:rPr>
          <w:rFonts w:hint="eastAsia" w:ascii="仿宋_GB2312" w:hAnsi="仿宋_GB2312" w:eastAsia="仿宋_GB2312" w:cs="仿宋_GB2312"/>
          <w:b w:val="0"/>
          <w:bCs w:val="0"/>
          <w:highlight w:val="none"/>
        </w:rPr>
        <w:t xml:space="preserve"> 分，得分率为 </w:t>
      </w:r>
      <w:r>
        <w:rPr>
          <w:rFonts w:hint="eastAsia" w:ascii="仿宋_GB2312" w:hAnsi="仿宋_GB2312" w:eastAsia="仿宋_GB2312" w:cs="仿宋_GB2312"/>
          <w:b w:val="0"/>
          <w:bCs w:val="0"/>
          <w:highlight w:val="none"/>
          <w:lang w:val="en-US" w:eastAsia="zh-CN"/>
        </w:rPr>
        <w:t>8</w:t>
      </w:r>
      <w:r>
        <w:rPr>
          <w:rFonts w:hint="eastAsia" w:ascii="仿宋_GB2312" w:hAnsi="仿宋_GB2312" w:eastAsia="仿宋_GB2312" w:cs="仿宋_GB2312"/>
          <w:b w:val="0"/>
          <w:bCs w:val="0"/>
          <w:highlight w:val="none"/>
        </w:rPr>
        <w:t>0%。项目产出类指标权重为50分，得分为50分，得分率为 100%。项目效益类指标权重为40分，得分为</w:t>
      </w:r>
      <w:r>
        <w:rPr>
          <w:rFonts w:hint="eastAsia" w:ascii="仿宋_GB2312" w:hAnsi="仿宋_GB2312" w:eastAsia="仿宋_GB2312" w:cs="仿宋_GB2312"/>
          <w:b w:val="0"/>
          <w:bCs w:val="0"/>
          <w:highlight w:val="none"/>
          <w:lang w:val="en-US" w:eastAsia="zh-CN"/>
        </w:rPr>
        <w:t>40</w:t>
      </w:r>
      <w:r>
        <w:rPr>
          <w:rFonts w:hint="eastAsia" w:ascii="仿宋_GB2312" w:hAnsi="仿宋_GB2312" w:eastAsia="仿宋_GB2312" w:cs="仿宋_GB2312"/>
          <w:b w:val="0"/>
          <w:bCs w:val="0"/>
          <w:highlight w:val="none"/>
        </w:rPr>
        <w:t xml:space="preserve">分，得分率为 </w:t>
      </w:r>
      <w:r>
        <w:rPr>
          <w:rFonts w:hint="eastAsia" w:ascii="仿宋_GB2312" w:hAnsi="仿宋_GB2312" w:eastAsia="仿宋_GB2312" w:cs="仿宋_GB2312"/>
          <w:b w:val="0"/>
          <w:bCs w:val="0"/>
          <w:highlight w:val="none"/>
          <w:lang w:val="en-US" w:eastAsia="zh-CN"/>
        </w:rPr>
        <w:t>100</w:t>
      </w:r>
      <w:r>
        <w:rPr>
          <w:rFonts w:hint="eastAsia" w:ascii="仿宋_GB2312" w:hAnsi="仿宋_GB2312" w:eastAsia="仿宋_GB2312" w:cs="仿宋_GB2312"/>
          <w:b w:val="0"/>
          <w:bCs w:val="0"/>
          <w:highlight w:val="none"/>
        </w:rPr>
        <w:t>%。</w:t>
      </w:r>
    </w:p>
    <w:p>
      <w:pPr>
        <w:pStyle w:val="2"/>
        <w:pageBreakBefore w:val="0"/>
        <w:kinsoku/>
        <w:wordWrap/>
        <w:overflowPunct/>
        <w:topLinePunct w:val="0"/>
        <w:autoSpaceDE/>
        <w:autoSpaceDN/>
        <w:bidi w:val="0"/>
        <w:adjustRightInd/>
        <w:snapToGrid/>
        <w:spacing w:before="0" w:after="0" w:line="560" w:lineRule="atLeast"/>
        <w:textAlignment w:val="auto"/>
        <w:rPr>
          <w:rFonts w:hint="eastAsia" w:ascii="仿宋_GB2312" w:hAnsi="仿宋_GB2312" w:eastAsia="仿宋_GB2312" w:cs="仿宋_GB2312"/>
          <w:sz w:val="30"/>
          <w:szCs w:val="30"/>
        </w:rPr>
      </w:pPr>
    </w:p>
    <w:p>
      <w:pPr>
        <w:pStyle w:val="2"/>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atLeast"/>
        <w:textAlignment w:val="auto"/>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ind w:firstLine="220" w:firstLineChars="100"/>
              <w:jc w:val="both"/>
              <w:textAlignment w:val="auto"/>
              <w:rPr>
                <w:rFonts w:hint="default" w:eastAsiaTheme="majorEastAsia"/>
                <w:lang w:val="en-US" w:eastAsia="zh-CN"/>
              </w:rPr>
            </w:pPr>
            <w:r>
              <w:rPr>
                <w:rFonts w:hint="eastAsia" w:ascii="宋体" w:hAnsi="宋体" w:cs="宋体"/>
                <w:color w:val="000000"/>
                <w:kern w:val="0"/>
                <w:sz w:val="22"/>
                <w:szCs w:val="22"/>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项目决策指标从项目立项、绩效目标</w:t>
      </w:r>
      <w:r>
        <w:rPr>
          <w:rFonts w:hint="eastAsia" w:ascii="仿宋_GB2312" w:hAnsi="仿宋_GB2312" w:eastAsia="仿宋_GB2312" w:cs="仿宋_GB2312"/>
          <w:color w:val="000000"/>
          <w:spacing w:val="17"/>
          <w:sz w:val="32"/>
          <w:szCs w:val="32"/>
          <w:lang w:eastAsia="zh-CN"/>
        </w:rPr>
        <w:t>、资金投入</w:t>
      </w:r>
      <w:r>
        <w:rPr>
          <w:rFonts w:hint="eastAsia" w:ascii="仿宋_GB2312" w:hAnsi="仿宋_GB2312" w:eastAsia="仿宋_GB2312" w:cs="仿宋_GB2312"/>
          <w:color w:val="000000"/>
          <w:spacing w:val="17"/>
          <w:sz w:val="32"/>
          <w:szCs w:val="32"/>
          <w:lang w:val="en-US" w:eastAsia="zh-CN"/>
        </w:rPr>
        <w:t>3</w:t>
      </w:r>
      <w:r>
        <w:rPr>
          <w:rFonts w:hint="eastAsia" w:ascii="仿宋_GB2312" w:hAnsi="仿宋_GB2312" w:eastAsia="仿宋_GB2312" w:cs="仿宋_GB2312"/>
          <w:color w:val="000000"/>
          <w:spacing w:val="17"/>
          <w:sz w:val="32"/>
          <w:szCs w:val="32"/>
        </w:rPr>
        <w:t>个方面对项目的立项决策目标完成情况进行考察，项目决策类指标分值</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分，实际得分</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分，得分率100%。</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对于“项目立项”，</w:t>
      </w:r>
      <w:r>
        <w:rPr>
          <w:rFonts w:hint="eastAsia" w:ascii="仿宋_GB2312" w:hAnsi="仿宋_GB2312" w:eastAsia="仿宋_GB2312" w:cs="仿宋_GB2312"/>
          <w:color w:val="000000"/>
          <w:spacing w:val="17"/>
          <w:sz w:val="32"/>
          <w:szCs w:val="32"/>
          <w:lang w:eastAsia="zh-CN"/>
        </w:rPr>
        <w:t>塔城地区中医医院“门诊、住院综合楼”</w:t>
      </w:r>
      <w:r>
        <w:rPr>
          <w:rFonts w:hint="eastAsia" w:ascii="仿宋_GB2312" w:hAnsi="仿宋_GB2312" w:eastAsia="仿宋_GB2312" w:cs="仿宋_GB2312"/>
          <w:color w:val="000000"/>
          <w:spacing w:val="17"/>
          <w:sz w:val="32"/>
          <w:szCs w:val="32"/>
        </w:rPr>
        <w:t>项目的立项符合规划，项目单位的绩效指标设置表述清晰、设置合理、指标设置完整。具体为时效指标设置清晰、指标设置完整，成本指标、社会效益指标可衡量。根据评分标准，实际得分率为100%。</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rPr>
        <w:t>对于“绩效目标”，</w:t>
      </w:r>
      <w:r>
        <w:rPr>
          <w:rFonts w:hint="eastAsia" w:ascii="仿宋_GB2312" w:hAnsi="仿宋_GB2312" w:eastAsia="仿宋_GB2312" w:cs="仿宋_GB2312"/>
          <w:color w:val="000000"/>
          <w:spacing w:val="17"/>
          <w:sz w:val="32"/>
          <w:szCs w:val="32"/>
          <w:lang w:eastAsia="zh-CN"/>
        </w:rPr>
        <w:t>塔城地区中医</w:t>
      </w:r>
      <w:r>
        <w:rPr>
          <w:rFonts w:hint="eastAsia" w:ascii="仿宋_GB2312" w:hAnsi="仿宋_GB2312" w:eastAsia="仿宋_GB2312" w:cs="仿宋_GB2312"/>
          <w:color w:val="000000"/>
          <w:spacing w:val="17"/>
          <w:sz w:val="32"/>
          <w:szCs w:val="32"/>
          <w:lang w:val="en-US" w:eastAsia="zh-CN"/>
        </w:rPr>
        <w:t>医院根据资金使用经费支出的内容和标准，依据审计要求，2020年该项目财政拨款1000万元，全部使用于门诊、住院综合楼工程款，并于当年度完成支付。</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项目绩效目标设置合理，目标明确。根据评分标准，该指标不扣分。</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对于“资金投入”，塔城地区中医医院根据《医院会计制度》和地方有关财务制度规定，严格按预算执行，全部使用于门诊、住院综合楼工程款，并于当年度完成支付。</w:t>
      </w:r>
      <w:r>
        <w:rPr>
          <w:rFonts w:hint="eastAsia" w:ascii="仿宋_GB2312" w:hAnsi="仿宋_GB2312" w:eastAsia="仿宋_GB2312" w:cs="仿宋_GB2312"/>
          <w:color w:val="000000"/>
          <w:spacing w:val="17"/>
          <w:sz w:val="32"/>
          <w:szCs w:val="32"/>
        </w:rPr>
        <w:t>项目绩效</w:t>
      </w:r>
      <w:r>
        <w:rPr>
          <w:rFonts w:hint="eastAsia" w:ascii="仿宋_GB2312" w:hAnsi="仿宋_GB2312" w:eastAsia="仿宋_GB2312" w:cs="仿宋_GB2312"/>
          <w:color w:val="000000"/>
          <w:spacing w:val="17"/>
          <w:sz w:val="32"/>
          <w:szCs w:val="32"/>
          <w:lang w:eastAsia="zh-CN"/>
        </w:rPr>
        <w:t>指标</w:t>
      </w:r>
      <w:r>
        <w:rPr>
          <w:rFonts w:hint="eastAsia" w:ascii="仿宋_GB2312" w:hAnsi="仿宋_GB2312" w:eastAsia="仿宋_GB2312" w:cs="仿宋_GB2312"/>
          <w:color w:val="000000"/>
          <w:spacing w:val="17"/>
          <w:sz w:val="32"/>
          <w:szCs w:val="32"/>
        </w:rPr>
        <w:t>设置合理，目标明确。根据评分标准，该指标不扣分。</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二</w:t>
      </w:r>
      <w:r>
        <w:rPr>
          <w:rFonts w:hint="eastAsia" w:ascii="楷体_GB2312" w:hAnsi="楷体_GB2312" w:eastAsia="楷体_GB2312" w:cs="楷体_GB2312"/>
          <w:lang w:eastAsia="zh-CN"/>
        </w:rPr>
        <w:t>）</w:t>
      </w: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atLeast"/>
        <w:ind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项目过程指标从项目资金的资金到位率、预算执行率、资金使用合规性、管理制度健全性、制度执行有效性，5个方面对项目的管理情况进行考察。</w:t>
      </w:r>
      <w:r>
        <w:rPr>
          <w:rFonts w:hint="eastAsia" w:ascii="仿宋_GB2312" w:hAnsi="仿宋_GB2312" w:eastAsia="仿宋_GB2312" w:cs="仿宋_GB2312"/>
          <w:color w:val="000000"/>
          <w:spacing w:val="17"/>
          <w:sz w:val="32"/>
          <w:szCs w:val="32"/>
          <w:highlight w:val="none"/>
          <w:lang w:val="en-US" w:eastAsia="zh-CN"/>
        </w:rPr>
        <w:t>项目过程类指标分值5分，实际得分4分，得分率为80%。</w:t>
      </w:r>
      <w:r>
        <w:rPr>
          <w:rFonts w:hint="eastAsia" w:ascii="仿宋_GB2312" w:hAnsi="仿宋_GB2312" w:eastAsia="仿宋_GB2312" w:cs="仿宋_GB2312"/>
          <w:color w:val="000000"/>
          <w:spacing w:val="17"/>
          <w:sz w:val="32"/>
          <w:szCs w:val="32"/>
          <w:lang w:val="en-US" w:eastAsia="zh-CN"/>
        </w:rPr>
        <w:t>项目管理指标得分情况如表所示。</w:t>
      </w:r>
    </w:p>
    <w:p>
      <w:pPr>
        <w:pageBreakBefore w:val="0"/>
        <w:kinsoku/>
        <w:wordWrap/>
        <w:overflowPunct/>
        <w:topLinePunct w:val="0"/>
        <w:autoSpaceDE/>
        <w:autoSpaceDN/>
        <w:bidi w:val="0"/>
        <w:adjustRightInd/>
        <w:snapToGrid/>
        <w:spacing w:line="560" w:lineRule="atLeast"/>
        <w:ind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对于“资金到位率”，基建项目资金到位及时，到位率为100%。根据评分标准，该指标不扣分。</w:t>
      </w:r>
    </w:p>
    <w:p>
      <w:pPr>
        <w:pageBreakBefore w:val="0"/>
        <w:kinsoku/>
        <w:wordWrap/>
        <w:overflowPunct/>
        <w:topLinePunct w:val="0"/>
        <w:autoSpaceDE/>
        <w:autoSpaceDN/>
        <w:bidi w:val="0"/>
        <w:adjustRightInd/>
        <w:snapToGrid/>
        <w:spacing w:line="560" w:lineRule="atLeast"/>
        <w:ind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预算执行率”，塔地发改社发（2016）33号《关于塔城地区中医医院门诊楼、住院综合楼建设项目可行性研究报告的批复》主要用于地区中医医院建设，预算执行与预算编制一致，根据评分标准，该指标实际得分率100%。</w:t>
      </w:r>
    </w:p>
    <w:p>
      <w:pPr>
        <w:pageBreakBefore w:val="0"/>
        <w:kinsoku/>
        <w:wordWrap/>
        <w:overflowPunct/>
        <w:topLinePunct w:val="0"/>
        <w:autoSpaceDE/>
        <w:autoSpaceDN/>
        <w:bidi w:val="0"/>
        <w:adjustRightInd/>
        <w:snapToGrid/>
        <w:spacing w:line="560" w:lineRule="atLeast"/>
        <w:ind w:firstLine="708" w:firstLineChars="200"/>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对于“资金使用合规性”，塔城地区中医医院能按照专项资金列支的范围使用资金，支出范围基本合规；资金支出能按财务制度执行，并能按国库集中支付制度规定执行，根据评分标准，该指标不扣分。</w:t>
      </w:r>
    </w:p>
    <w:p>
      <w:pPr>
        <w:pageBreakBefore w:val="0"/>
        <w:kinsoku/>
        <w:wordWrap/>
        <w:overflowPunct/>
        <w:topLinePunct w:val="0"/>
        <w:autoSpaceDE/>
        <w:autoSpaceDN/>
        <w:bidi w:val="0"/>
        <w:adjustRightInd/>
        <w:snapToGrid/>
        <w:spacing w:line="560" w:lineRule="atLeast"/>
        <w:ind w:firstLine="708" w:firstLineChars="200"/>
        <w:textAlignment w:val="auto"/>
        <w:rPr>
          <w:rFonts w:hint="eastAsia"/>
          <w:lang w:val="en-US" w:eastAsia="zh-CN"/>
        </w:rPr>
      </w:pPr>
      <w:r>
        <w:rPr>
          <w:rFonts w:hint="eastAsia" w:ascii="仿宋_GB2312" w:hAnsi="仿宋_GB2312" w:eastAsia="仿宋_GB2312" w:cs="仿宋_GB2312"/>
          <w:color w:val="000000"/>
          <w:spacing w:val="17"/>
          <w:sz w:val="32"/>
          <w:szCs w:val="32"/>
          <w:lang w:val="en-US" w:eastAsia="zh-CN"/>
        </w:rPr>
        <w:t>对于“管理制度健全性”，中医医院门诊、住院综合楼项目执行符合业务管理的规定；项目管理、实施人员均落实到位，能按照方案和计划执行；项目无调整，资料齐全；项目建立了监控结果反馈和应用机制，合同管理执行到位；资金使用依据合格，无虚列套取项目支出，无超标准开支。制定了项目资金管理制度，但相关制度有待于进一步完善。按评分标准，该指标实际得分0.5分，得分率50%。</w:t>
      </w:r>
    </w:p>
    <w:p>
      <w:pPr>
        <w:pageBreakBefore w:val="0"/>
        <w:kinsoku/>
        <w:wordWrap/>
        <w:overflowPunct/>
        <w:topLinePunct w:val="0"/>
        <w:autoSpaceDE/>
        <w:autoSpaceDN/>
        <w:bidi w:val="0"/>
        <w:adjustRightInd/>
        <w:snapToGrid/>
        <w:spacing w:line="560" w:lineRule="atLeast"/>
        <w:ind w:firstLine="708" w:firstLineChars="200"/>
        <w:textAlignment w:val="auto"/>
        <w:rPr>
          <w:rFonts w:hint="default"/>
          <w:lang w:val="en-US" w:eastAsia="zh-CN"/>
        </w:rPr>
      </w:pPr>
      <w:r>
        <w:rPr>
          <w:rFonts w:hint="eastAsia" w:ascii="仿宋_GB2312" w:hAnsi="仿宋_GB2312" w:eastAsia="仿宋_GB2312" w:cs="仿宋_GB2312"/>
          <w:color w:val="000000"/>
          <w:spacing w:val="17"/>
          <w:sz w:val="32"/>
          <w:szCs w:val="32"/>
          <w:lang w:val="en-US" w:eastAsia="zh-CN"/>
        </w:rPr>
        <w:t>对于“制度执行有效性”，塔城地区中医医院制定了项目执行相关管理制度，但制度执行率有待于加强，根据评分标准，该指标得分0.5分，得分率50%。</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三</w:t>
      </w:r>
      <w:r>
        <w:rPr>
          <w:rFonts w:hint="eastAsia" w:ascii="楷体_GB2312" w:hAnsi="楷体_GB2312" w:eastAsia="楷体_GB2312" w:cs="楷体_GB2312"/>
          <w:lang w:eastAsia="zh-CN"/>
        </w:rPr>
        <w:t>）项目产出</w:t>
      </w:r>
    </w:p>
    <w:p>
      <w:pPr>
        <w:pageBreakBefore w:val="0"/>
        <w:kinsoku/>
        <w:wordWrap/>
        <w:overflowPunct/>
        <w:topLinePunct w:val="0"/>
        <w:autoSpaceDE/>
        <w:autoSpaceDN/>
        <w:bidi w:val="0"/>
        <w:adjustRightInd/>
        <w:snapToGrid/>
        <w:spacing w:line="560" w:lineRule="atLeast"/>
        <w:ind w:firstLine="624" w:firstLineChars="200"/>
        <w:textAlignment w:val="auto"/>
        <w:rPr>
          <w:rStyle w:val="21"/>
          <w:rFonts w:hint="eastAsia" w:ascii="仿宋" w:hAnsi="仿宋" w:eastAsia="仿宋" w:cs="仿宋"/>
          <w:b w:val="0"/>
          <w:bCs/>
          <w:spacing w:val="-4"/>
          <w:sz w:val="32"/>
          <w:szCs w:val="32"/>
          <w:lang w:eastAsia="zh-CN"/>
        </w:rPr>
      </w:pPr>
      <w:r>
        <w:rPr>
          <w:rStyle w:val="21"/>
          <w:rFonts w:hint="eastAsia" w:ascii="仿宋" w:hAnsi="仿宋" w:eastAsia="仿宋" w:cs="仿宋"/>
          <w:b w:val="0"/>
          <w:bCs/>
          <w:spacing w:val="-4"/>
          <w:sz w:val="32"/>
          <w:szCs w:val="32"/>
        </w:rPr>
        <w:t>数量指标方面：</w:t>
      </w:r>
      <w:r>
        <w:rPr>
          <w:rStyle w:val="21"/>
          <w:rFonts w:hint="eastAsia" w:ascii="仿宋" w:hAnsi="仿宋" w:eastAsia="仿宋" w:cs="仿宋"/>
          <w:b w:val="0"/>
          <w:bCs/>
          <w:spacing w:val="-4"/>
          <w:sz w:val="32"/>
          <w:szCs w:val="32"/>
          <w:lang w:eastAsia="zh-CN"/>
        </w:rPr>
        <w:t>工程监理出据进度报告的次数指标，</w:t>
      </w:r>
      <w:r>
        <w:rPr>
          <w:rStyle w:val="21"/>
          <w:rFonts w:hint="eastAsia" w:ascii="仿宋" w:hAnsi="仿宋" w:eastAsia="仿宋" w:cs="仿宋"/>
          <w:b w:val="0"/>
          <w:bCs/>
          <w:spacing w:val="-4"/>
          <w:sz w:val="32"/>
          <w:szCs w:val="32"/>
          <w:lang w:val="en-US" w:eastAsia="zh-CN"/>
        </w:rPr>
        <w:t>年度目标值为≥1次，实际完成值为2次，完成率100%。</w:t>
      </w:r>
      <w:r>
        <w:rPr>
          <w:rFonts w:hint="eastAsia" w:ascii="仿宋_GB2312" w:hAnsi="仿宋_GB2312" w:eastAsia="仿宋_GB2312" w:cs="仿宋_GB2312"/>
          <w:color w:val="000000"/>
          <w:spacing w:val="17"/>
          <w:sz w:val="32"/>
          <w:szCs w:val="32"/>
          <w:lang w:val="en-US" w:eastAsia="zh-CN"/>
        </w:rPr>
        <w:t>根据评分标准，该指标实际得分率100%。</w:t>
      </w:r>
    </w:p>
    <w:p>
      <w:pPr>
        <w:pageBreakBefore w:val="0"/>
        <w:kinsoku/>
        <w:wordWrap/>
        <w:overflowPunct/>
        <w:topLinePunct w:val="0"/>
        <w:autoSpaceDE/>
        <w:autoSpaceDN/>
        <w:bidi w:val="0"/>
        <w:adjustRightInd/>
        <w:snapToGrid/>
        <w:spacing w:line="560" w:lineRule="atLeast"/>
        <w:ind w:firstLine="640" w:firstLineChars="200"/>
        <w:textAlignment w:val="auto"/>
        <w:rPr>
          <w:rStyle w:val="50"/>
          <w:rFonts w:hint="default" w:eastAsia="仿宋_GB2312"/>
          <w:color w:val="auto"/>
          <w:lang w:val="en-US" w:eastAsia="zh-CN"/>
        </w:rPr>
      </w:pPr>
      <w:r>
        <w:rPr>
          <w:rStyle w:val="50"/>
          <w:rFonts w:hint="eastAsia"/>
          <w:color w:val="auto"/>
        </w:rPr>
        <w:t>质量指标方面：</w:t>
      </w:r>
      <w:r>
        <w:rPr>
          <w:rStyle w:val="50"/>
          <w:rFonts w:hint="eastAsia" w:eastAsia="仿宋_GB2312"/>
          <w:color w:val="auto"/>
          <w:lang w:eastAsia="zh-CN"/>
        </w:rPr>
        <w:t>资金使用率指标，年度目标值为</w:t>
      </w:r>
      <w:r>
        <w:rPr>
          <w:rStyle w:val="50"/>
          <w:rFonts w:hint="eastAsia" w:eastAsia="仿宋_GB2312"/>
          <w:color w:val="auto"/>
          <w:lang w:val="en-US" w:eastAsia="zh-CN"/>
        </w:rPr>
        <w:t>100%，实际完成值为100%，完成率为100%。</w:t>
      </w:r>
      <w:r>
        <w:rPr>
          <w:rStyle w:val="50"/>
          <w:rFonts w:hint="eastAsia" w:eastAsia="仿宋_GB2312"/>
          <w:color w:val="auto"/>
          <w:lang w:eastAsia="zh-CN"/>
        </w:rPr>
        <w:t>施工安全率指标，年度目标值为</w:t>
      </w:r>
      <w:r>
        <w:rPr>
          <w:rStyle w:val="50"/>
          <w:rFonts w:hint="eastAsia" w:eastAsia="仿宋_GB2312"/>
          <w:color w:val="auto"/>
          <w:lang w:val="en-US" w:eastAsia="zh-CN"/>
        </w:rPr>
        <w:t>100%，实际完成值为100%，完成率为100%。</w:t>
      </w:r>
      <w:r>
        <w:rPr>
          <w:rFonts w:hint="eastAsia" w:ascii="仿宋_GB2312" w:hAnsi="仿宋_GB2312" w:eastAsia="仿宋_GB2312" w:cs="仿宋_GB2312"/>
          <w:color w:val="000000"/>
          <w:spacing w:val="17"/>
          <w:sz w:val="32"/>
          <w:szCs w:val="32"/>
          <w:lang w:val="en-US" w:eastAsia="zh-CN"/>
        </w:rPr>
        <w:t>根据评分标准，该指标不扣分。</w:t>
      </w:r>
    </w:p>
    <w:p>
      <w:pPr>
        <w:pageBreakBefore w:val="0"/>
        <w:kinsoku/>
        <w:wordWrap/>
        <w:overflowPunct/>
        <w:topLinePunct w:val="0"/>
        <w:autoSpaceDE/>
        <w:autoSpaceDN/>
        <w:bidi w:val="0"/>
        <w:adjustRightInd/>
        <w:snapToGrid/>
        <w:spacing w:line="560" w:lineRule="atLeast"/>
        <w:ind w:firstLine="640" w:firstLineChars="200"/>
        <w:textAlignment w:val="auto"/>
        <w:rPr>
          <w:rStyle w:val="50"/>
          <w:rFonts w:hint="eastAsia"/>
          <w:b w:val="0"/>
          <w:bCs w:val="0"/>
          <w:color w:val="auto"/>
          <w:lang w:val="en-US" w:eastAsia="zh-CN"/>
        </w:rPr>
      </w:pPr>
      <w:r>
        <w:rPr>
          <w:rStyle w:val="50"/>
          <w:rFonts w:hint="eastAsia"/>
          <w:b w:val="0"/>
          <w:bCs w:val="0"/>
          <w:color w:val="auto"/>
          <w:lang w:val="en-US" w:eastAsia="zh-CN"/>
        </w:rPr>
        <w:t>成本指标方面：项目投入资金指标，年度目标值1000万元，实际完成值1000万元，完成率100%。</w:t>
      </w:r>
      <w:r>
        <w:rPr>
          <w:rFonts w:hint="eastAsia" w:ascii="仿宋_GB2312" w:hAnsi="仿宋_GB2312" w:eastAsia="仿宋_GB2312" w:cs="仿宋_GB2312"/>
          <w:color w:val="000000"/>
          <w:spacing w:val="17"/>
          <w:sz w:val="32"/>
          <w:szCs w:val="32"/>
          <w:lang w:val="en-US" w:eastAsia="zh-CN"/>
        </w:rPr>
        <w:t>项目总成本及单位成本的合理性，经济性、效率性完整，根据评分标准，该指标不扣分。</w:t>
      </w:r>
    </w:p>
    <w:p>
      <w:pPr>
        <w:pageBreakBefore w:val="0"/>
        <w:kinsoku/>
        <w:wordWrap/>
        <w:overflowPunct/>
        <w:topLinePunct w:val="0"/>
        <w:autoSpaceDE/>
        <w:autoSpaceDN/>
        <w:bidi w:val="0"/>
        <w:adjustRightInd/>
        <w:snapToGrid/>
        <w:spacing w:line="560" w:lineRule="atLeast"/>
        <w:ind w:firstLine="640" w:firstLineChars="200"/>
        <w:textAlignment w:val="auto"/>
        <w:rPr>
          <w:rStyle w:val="50"/>
          <w:rFonts w:hint="eastAsia"/>
          <w:color w:val="auto"/>
          <w:lang w:val="en-US" w:eastAsia="zh-CN"/>
        </w:rPr>
      </w:pPr>
      <w:r>
        <w:rPr>
          <w:rStyle w:val="50"/>
          <w:rFonts w:hint="eastAsia"/>
          <w:color w:val="auto"/>
          <w:lang w:val="en-US" w:eastAsia="zh-CN"/>
        </w:rPr>
        <w:t>时效指标方面：资金支付完成时间指标，年度目标值2020年12月完成，实际完成值2020年12月完成，完成率100%。</w:t>
      </w:r>
      <w:r>
        <w:rPr>
          <w:rFonts w:hint="eastAsia" w:ascii="仿宋_GB2312" w:hAnsi="仿宋_GB2312" w:eastAsia="仿宋_GB2312" w:cs="仿宋_GB2312"/>
          <w:color w:val="000000"/>
          <w:spacing w:val="17"/>
          <w:sz w:val="32"/>
          <w:szCs w:val="32"/>
          <w:lang w:val="en-US" w:eastAsia="zh-CN"/>
        </w:rPr>
        <w:t>项目资金支付按计划完成，按指标评分标准，该指标不扣分。</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lang w:eastAsia="zh-CN"/>
        </w:rPr>
      </w:pPr>
      <w:r>
        <w:rPr>
          <w:rFonts w:hint="eastAsia" w:ascii="楷体_GB2312" w:hAnsi="楷体_GB2312" w:eastAsia="楷体_GB2312" w:cs="楷体_GB2312"/>
          <w:lang w:eastAsia="zh-CN"/>
        </w:rPr>
        <w:t>（</w:t>
      </w:r>
      <w:r>
        <w:rPr>
          <w:rFonts w:hint="eastAsia" w:ascii="楷体_GB2312" w:hAnsi="楷体_GB2312" w:eastAsia="楷体_GB2312" w:cs="楷体_GB2312"/>
          <w:lang w:val="en-US" w:eastAsia="zh-CN"/>
        </w:rPr>
        <w:t>四</w:t>
      </w:r>
      <w:r>
        <w:rPr>
          <w:rFonts w:hint="eastAsia" w:ascii="楷体_GB2312" w:hAnsi="楷体_GB2312" w:eastAsia="楷体_GB2312" w:cs="楷体_GB2312"/>
          <w:lang w:eastAsia="zh-CN"/>
        </w:rPr>
        <w:t>）效益情况</w:t>
      </w:r>
    </w:p>
    <w:p>
      <w:pPr>
        <w:pageBreakBefore w:val="0"/>
        <w:kinsoku/>
        <w:wordWrap/>
        <w:overflowPunct/>
        <w:topLinePunct w:val="0"/>
        <w:autoSpaceDE/>
        <w:autoSpaceDN/>
        <w:bidi w:val="0"/>
        <w:adjustRightInd/>
        <w:snapToGrid/>
        <w:spacing w:line="560" w:lineRule="atLeast"/>
        <w:ind w:firstLine="640" w:firstLineChars="200"/>
        <w:jc w:val="left"/>
        <w:textAlignment w:val="auto"/>
        <w:rPr>
          <w:rFonts w:hint="eastAsia" w:ascii="仿宋_GB2312" w:hAnsi="仿宋_GB2312" w:eastAsia="仿宋_GB2312" w:cs="仿宋_GB2312"/>
          <w:sz w:val="32"/>
          <w:szCs w:val="32"/>
          <w:lang w:val="en-US" w:eastAsia="zh-CN"/>
        </w:rPr>
      </w:pPr>
      <w:r>
        <w:rPr>
          <w:rStyle w:val="50"/>
          <w:rFonts w:hint="eastAsia"/>
          <w:color w:val="auto"/>
        </w:rPr>
        <w:t>经济效益指标方面：</w:t>
      </w:r>
      <w:r>
        <w:rPr>
          <w:rStyle w:val="50"/>
          <w:rFonts w:hint="eastAsia" w:eastAsia="仿宋_GB2312"/>
          <w:color w:val="auto"/>
          <w:lang w:eastAsia="zh-CN"/>
        </w:rPr>
        <w:t>中医诊疗服务项目指标，年度目标值≥</w:t>
      </w:r>
      <w:r>
        <w:rPr>
          <w:rStyle w:val="50"/>
          <w:rFonts w:hint="eastAsia" w:eastAsia="仿宋_GB2312"/>
          <w:color w:val="auto"/>
          <w:lang w:val="en-US" w:eastAsia="zh-CN"/>
        </w:rPr>
        <w:t>25项，实际完成值25项，完成率100%。</w:t>
      </w:r>
      <w:r>
        <w:rPr>
          <w:rStyle w:val="50"/>
          <w:rFonts w:hint="eastAsia" w:eastAsia="仿宋_GB2312"/>
          <w:color w:val="auto"/>
          <w:lang w:eastAsia="zh-CN"/>
        </w:rPr>
        <w:t>医疗收入指标，年度目标值≥</w:t>
      </w:r>
      <w:r>
        <w:rPr>
          <w:rStyle w:val="50"/>
          <w:rFonts w:hint="eastAsia" w:eastAsia="仿宋_GB2312"/>
          <w:color w:val="auto"/>
          <w:lang w:val="en-US" w:eastAsia="zh-CN"/>
        </w:rPr>
        <w:t>450万元，实际完成值610.95万元，完成率100%。</w:t>
      </w:r>
      <w:r>
        <w:rPr>
          <w:rFonts w:hint="eastAsia" w:ascii="仿宋_GB2312" w:hAnsi="仿宋_GB2312" w:eastAsia="仿宋_GB2312" w:cs="仿宋_GB2312"/>
          <w:sz w:val="32"/>
          <w:szCs w:val="32"/>
        </w:rPr>
        <w:t>根据指标评分标准，该指标不扣分。</w:t>
      </w:r>
    </w:p>
    <w:p>
      <w:pPr>
        <w:pageBreakBefore w:val="0"/>
        <w:kinsoku/>
        <w:wordWrap/>
        <w:overflowPunct/>
        <w:topLinePunct w:val="0"/>
        <w:autoSpaceDE/>
        <w:autoSpaceDN/>
        <w:bidi w:val="0"/>
        <w:adjustRightInd/>
        <w:snapToGrid/>
        <w:spacing w:line="560" w:lineRule="atLeast"/>
        <w:ind w:firstLine="640" w:firstLineChars="200"/>
        <w:jc w:val="left"/>
        <w:textAlignment w:val="auto"/>
        <w:rPr>
          <w:rStyle w:val="50"/>
          <w:rFonts w:hint="eastAsia" w:eastAsia="仿宋_GB2312"/>
          <w:color w:val="auto"/>
          <w:lang w:eastAsia="zh-CN"/>
        </w:rPr>
      </w:pPr>
      <w:r>
        <w:rPr>
          <w:rStyle w:val="50"/>
          <w:color w:val="auto"/>
        </w:rPr>
        <w:t>可持续影响指标</w:t>
      </w:r>
      <w:r>
        <w:rPr>
          <w:rStyle w:val="50"/>
          <w:rFonts w:hint="eastAsia"/>
          <w:color w:val="auto"/>
        </w:rPr>
        <w:t>方面：</w:t>
      </w:r>
      <w:r>
        <w:rPr>
          <w:rStyle w:val="50"/>
          <w:rFonts w:hint="eastAsia" w:eastAsia="仿宋_GB2312"/>
          <w:color w:val="auto"/>
          <w:lang w:eastAsia="zh-CN"/>
        </w:rPr>
        <w:t>医疗设施完备率指标，年度目标值为有所提升，实际完成值为有所提升，完成率</w:t>
      </w:r>
      <w:r>
        <w:rPr>
          <w:rStyle w:val="50"/>
          <w:rFonts w:hint="eastAsia" w:eastAsia="仿宋_GB2312"/>
          <w:color w:val="auto"/>
          <w:lang w:val="en-US" w:eastAsia="zh-CN"/>
        </w:rPr>
        <w:t>100%。</w:t>
      </w:r>
      <w:r>
        <w:rPr>
          <w:rStyle w:val="50"/>
          <w:rFonts w:hint="eastAsia" w:eastAsia="仿宋_GB2312"/>
          <w:color w:val="auto"/>
          <w:lang w:eastAsia="zh-CN"/>
        </w:rPr>
        <w:t>医疗服务能力指标，年度目标值为有所提升，实际完成值为有所提升，完成率</w:t>
      </w:r>
      <w:r>
        <w:rPr>
          <w:rStyle w:val="50"/>
          <w:rFonts w:hint="eastAsia" w:eastAsia="仿宋_GB2312"/>
          <w:color w:val="auto"/>
          <w:lang w:val="en-US" w:eastAsia="zh-CN"/>
        </w:rPr>
        <w:t>100%。</w:t>
      </w:r>
      <w:r>
        <w:rPr>
          <w:rFonts w:hint="eastAsia" w:ascii="仿宋_GB2312" w:hAnsi="仿宋_GB2312" w:eastAsia="仿宋_GB2312" w:cs="仿宋_GB2312"/>
          <w:sz w:val="32"/>
          <w:szCs w:val="32"/>
        </w:rPr>
        <w:t>根据指标评分标准，该指标不扣分。</w:t>
      </w:r>
    </w:p>
    <w:p>
      <w:pPr>
        <w:pageBreakBefore w:val="0"/>
        <w:kinsoku/>
        <w:wordWrap/>
        <w:overflowPunct/>
        <w:topLinePunct w:val="0"/>
        <w:autoSpaceDE/>
        <w:autoSpaceDN/>
        <w:bidi w:val="0"/>
        <w:adjustRightInd/>
        <w:snapToGrid/>
        <w:spacing w:line="560" w:lineRule="atLeast"/>
        <w:ind w:firstLine="640" w:firstLineChars="200"/>
        <w:textAlignment w:val="auto"/>
        <w:rPr>
          <w:rStyle w:val="50"/>
          <w:rFonts w:hint="eastAsia"/>
          <w:color w:val="auto"/>
          <w:lang w:eastAsia="zh-CN"/>
        </w:rPr>
      </w:pPr>
      <w:r>
        <w:rPr>
          <w:rStyle w:val="50"/>
          <w:color w:val="auto"/>
        </w:rPr>
        <w:t>满意度指标</w:t>
      </w:r>
      <w:r>
        <w:rPr>
          <w:rStyle w:val="50"/>
          <w:rFonts w:hint="eastAsia"/>
          <w:color w:val="auto"/>
        </w:rPr>
        <w:t>方面：</w:t>
      </w:r>
      <w:r>
        <w:rPr>
          <w:rStyle w:val="50"/>
          <w:rFonts w:hint="eastAsia"/>
          <w:color w:val="auto"/>
          <w:lang w:eastAsia="zh-CN"/>
        </w:rPr>
        <w:t>患者</w:t>
      </w:r>
      <w:r>
        <w:rPr>
          <w:rStyle w:val="50"/>
          <w:rFonts w:hint="eastAsia" w:eastAsia="仿宋_GB2312"/>
          <w:color w:val="auto"/>
          <w:lang w:eastAsia="zh-CN"/>
        </w:rPr>
        <w:t>满意度指标，年度目标值≥</w:t>
      </w:r>
      <w:r>
        <w:rPr>
          <w:rStyle w:val="50"/>
          <w:rFonts w:hint="eastAsia" w:eastAsia="仿宋_GB2312"/>
          <w:color w:val="auto"/>
          <w:lang w:val="en-US" w:eastAsia="zh-CN"/>
        </w:rPr>
        <w:t>90%，实际完成值90%，完成率100%。</w:t>
      </w:r>
      <w:r>
        <w:rPr>
          <w:rStyle w:val="50"/>
          <w:rFonts w:hint="eastAsia"/>
          <w:color w:val="auto"/>
        </w:rPr>
        <w:t>根据指标评分标准，该指标不扣分。</w:t>
      </w:r>
    </w:p>
    <w:p>
      <w:pPr>
        <w:pageBreakBefore w:val="0"/>
        <w:kinsoku/>
        <w:wordWrap/>
        <w:overflowPunct/>
        <w:topLinePunct w:val="0"/>
        <w:autoSpaceDE/>
        <w:autoSpaceDN/>
        <w:bidi w:val="0"/>
        <w:adjustRightInd/>
        <w:snapToGrid/>
        <w:spacing w:line="560" w:lineRule="atLeast"/>
        <w:ind w:firstLine="641"/>
        <w:textAlignment w:val="auto"/>
        <w:rPr>
          <w:rStyle w:val="50"/>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5"/>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6"/>
        </w:numPr>
        <w:kinsoku/>
        <w:wordWrap/>
        <w:overflowPunct/>
        <w:topLinePunct w:val="0"/>
        <w:autoSpaceDE/>
        <w:autoSpaceDN/>
        <w:bidi w:val="0"/>
        <w:adjustRightInd/>
        <w:snapToGrid/>
        <w:spacing w:before="0" w:after="0" w:line="560" w:lineRule="atLeast"/>
        <w:ind w:firstLine="643" w:firstLineChars="200"/>
        <w:jc w:val="both"/>
        <w:textAlignment w:val="auto"/>
        <w:rPr>
          <w:rFonts w:hint="eastAsia" w:ascii="仿宋_GB2312" w:hAnsi="仿宋_GB2312" w:eastAsia="仿宋_GB2312" w:cs="仿宋_GB2312"/>
          <w:b/>
          <w:bCs/>
          <w:kern w:val="2"/>
        </w:rPr>
      </w:pPr>
      <w:r>
        <w:rPr>
          <w:rFonts w:hint="eastAsia" w:ascii="仿宋_GB2312" w:hAnsi="仿宋_GB2312" w:eastAsia="仿宋_GB2312" w:cs="仿宋_GB2312"/>
          <w:b/>
          <w:bCs/>
          <w:kern w:val="2"/>
        </w:rPr>
        <w:t>存在的问题</w:t>
      </w:r>
    </w:p>
    <w:p>
      <w:pPr>
        <w:pStyle w:val="51"/>
        <w:pageBreakBefore w:val="0"/>
        <w:kinsoku/>
        <w:wordWrap/>
        <w:overflowPunct/>
        <w:topLinePunct w:val="0"/>
        <w:autoSpaceDE/>
        <w:autoSpaceDN/>
        <w:bidi w:val="0"/>
        <w:adjustRightInd/>
        <w:snapToGrid/>
        <w:spacing w:line="560" w:lineRule="atLeast"/>
        <w:ind w:left="0" w:leftChars="0" w:firstLine="640" w:firstLineChars="200"/>
        <w:textAlignment w:val="auto"/>
      </w:pPr>
      <w:r>
        <w:rPr>
          <w:rFonts w:hint="eastAsia" w:ascii="仿宋_GB2312" w:hAnsi="仿宋_GB2312" w:eastAsia="仿宋_GB2312" w:cs="仿宋_GB2312"/>
          <w:b w:val="0"/>
          <w:bCs w:val="0"/>
          <w:kern w:val="2"/>
          <w:sz w:val="32"/>
          <w:szCs w:val="32"/>
          <w:lang w:val="en-US" w:eastAsia="zh-CN" w:bidi="ar-SA"/>
        </w:rPr>
        <w:t>工程施工周期较长，项目进度较为缓慢。</w:t>
      </w:r>
    </w:p>
    <w:p>
      <w:pPr>
        <w:pageBreakBefore w:val="0"/>
        <w:numPr>
          <w:ilvl w:val="0"/>
          <w:numId w:val="6"/>
        </w:numPr>
        <w:kinsoku/>
        <w:wordWrap/>
        <w:overflowPunct/>
        <w:topLinePunct w:val="0"/>
        <w:autoSpaceDE/>
        <w:autoSpaceDN/>
        <w:bidi w:val="0"/>
        <w:adjustRightInd/>
        <w:snapToGrid/>
        <w:spacing w:line="560" w:lineRule="atLeast"/>
        <w:ind w:left="0" w:leftChars="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原因分析</w:t>
      </w:r>
    </w:p>
    <w:p>
      <w:pPr>
        <w:pStyle w:val="51"/>
        <w:pageBreakBefore w:val="0"/>
        <w:kinsoku/>
        <w:wordWrap/>
        <w:overflowPunct/>
        <w:topLinePunct w:val="0"/>
        <w:autoSpaceDE/>
        <w:autoSpaceDN/>
        <w:bidi w:val="0"/>
        <w:adjustRightInd/>
        <w:snapToGrid/>
        <w:spacing w:line="560" w:lineRule="atLeast"/>
        <w:ind w:left="0" w:leftChars="0" w:firstLine="640" w:firstLineChars="200"/>
        <w:textAlignment w:val="auto"/>
      </w:pPr>
      <w:r>
        <w:rPr>
          <w:rFonts w:hint="eastAsia" w:ascii="仿宋_GB2312" w:hAnsi="仿宋_GB2312" w:eastAsia="仿宋_GB2312" w:cs="仿宋_GB2312"/>
          <w:b w:val="0"/>
          <w:bCs w:val="0"/>
          <w:kern w:val="2"/>
          <w:sz w:val="32"/>
          <w:szCs w:val="32"/>
          <w:lang w:val="en-US" w:eastAsia="zh-CN" w:bidi="ar-SA"/>
        </w:rPr>
        <w:t>本年主要工程施工周期较长，项目进度较为缓慢。</w:t>
      </w:r>
    </w:p>
    <w:p>
      <w:pPr>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、定专人。同时，资金拨付除坚持按项目计划、工程进度和质量分阶段验收拨款外，还坚持部门联审制，项目单位先做事、后报</w:t>
      </w:r>
      <w:r>
        <w:rPr>
          <w:rFonts w:hint="eastAsia" w:ascii="仿宋_GB2312" w:hAnsi="仿宋_GB2312" w:eastAsia="仿宋_GB2312" w:cs="仿宋_GB2312"/>
          <w:sz w:val="32"/>
          <w:szCs w:val="32"/>
          <w:lang w:val="en-US" w:eastAsia="zh-CN"/>
        </w:rPr>
        <w:t>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7"/>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ageBreakBefore w:val="0"/>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pPr>
        <w:pStyle w:val="2"/>
        <w:pageBreakBefore w:val="0"/>
        <w:kinsoku/>
        <w:wordWrap/>
        <w:overflowPunct/>
        <w:topLinePunct w:val="0"/>
        <w:autoSpaceDE/>
        <w:autoSpaceDN/>
        <w:bidi w:val="0"/>
        <w:adjustRightInd/>
        <w:snapToGrid/>
        <w:spacing w:before="0" w:after="0" w:line="560" w:lineRule="atLeast"/>
        <w:textAlignment w:val="auto"/>
        <w:rPr>
          <w:rFonts w:hint="eastAsia" w:ascii="黑体" w:hAnsi="黑体" w:eastAsia="黑体"/>
          <w:sz w:val="32"/>
          <w:szCs w:val="32"/>
        </w:rPr>
      </w:pPr>
    </w:p>
    <w:p>
      <w:pPr>
        <w:pageBreakBefore w:val="0"/>
        <w:kinsoku/>
        <w:wordWrap/>
        <w:overflowPunct/>
        <w:topLinePunct w:val="0"/>
        <w:autoSpaceDE/>
        <w:autoSpaceDN/>
        <w:bidi w:val="0"/>
        <w:adjustRightInd/>
        <w:snapToGrid/>
        <w:spacing w:line="560" w:lineRule="atLeast"/>
        <w:textAlignment w:val="auto"/>
        <w:rPr>
          <w:rFonts w:hint="eastAsia" w:ascii="黑体" w:hAnsi="黑体" w:eastAsia="黑体"/>
          <w:sz w:val="32"/>
          <w:szCs w:val="32"/>
        </w:rPr>
      </w:pPr>
    </w:p>
    <w:p>
      <w:pPr>
        <w:pStyle w:val="2"/>
        <w:rPr>
          <w:rFonts w:hint="eastAsia" w:ascii="黑体" w:hAnsi="黑体" w:eastAsia="黑体"/>
          <w:sz w:val="32"/>
          <w:szCs w:val="32"/>
        </w:rPr>
      </w:pPr>
    </w:p>
    <w:p/>
    <w:p>
      <w:pPr>
        <w:pStyle w:val="2"/>
        <w:rPr>
          <w:rFonts w:hint="eastAsia" w:ascii="黑体" w:hAnsi="黑体" w:eastAsia="黑体"/>
          <w:sz w:val="32"/>
          <w:szCs w:val="32"/>
        </w:rPr>
      </w:pPr>
    </w:p>
    <w:p>
      <w:pPr>
        <w:rPr>
          <w:rFonts w:hint="eastAsia" w:ascii="黑体" w:hAnsi="黑体" w:eastAsia="黑体"/>
          <w:sz w:val="32"/>
          <w:szCs w:val="32"/>
        </w:rPr>
      </w:pPr>
    </w:p>
    <w:p>
      <w:pPr>
        <w:pStyle w:val="2"/>
        <w:jc w:val="both"/>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Style w:val="2"/>
        <w:rPr>
          <w:rFonts w:hint="default"/>
          <w:lang w:val="en-US" w:eastAsia="zh-CN"/>
        </w:rPr>
      </w:pPr>
    </w:p>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19"/>
        <w:tblpPr w:leftFromText="180" w:rightFromText="180" w:vertAnchor="text" w:horzAnchor="page" w:tblpX="1277" w:tblpY="141"/>
        <w:tblOverlap w:val="never"/>
        <w:tblW w:w="9090" w:type="dxa"/>
        <w:tblInd w:w="0" w:type="dxa"/>
        <w:shd w:val="clear" w:color="auto" w:fill="auto"/>
        <w:tblLayout w:type="fixed"/>
        <w:tblCellMar>
          <w:top w:w="0" w:type="dxa"/>
          <w:left w:w="0" w:type="dxa"/>
          <w:bottom w:w="0" w:type="dxa"/>
          <w:right w:w="0" w:type="dxa"/>
        </w:tblCellMar>
      </w:tblPr>
      <w:tblGrid>
        <w:gridCol w:w="701"/>
        <w:gridCol w:w="790"/>
        <w:gridCol w:w="701"/>
        <w:gridCol w:w="1023"/>
        <w:gridCol w:w="1200"/>
        <w:gridCol w:w="1095"/>
        <w:gridCol w:w="1605"/>
        <w:gridCol w:w="395"/>
        <w:gridCol w:w="1580"/>
      </w:tblGrid>
      <w:tr>
        <w:tblPrEx>
          <w:shd w:val="clear" w:color="auto" w:fill="auto"/>
          <w:tblCellMar>
            <w:top w:w="0" w:type="dxa"/>
            <w:left w:w="0" w:type="dxa"/>
            <w:bottom w:w="0" w:type="dxa"/>
            <w:right w:w="0" w:type="dxa"/>
          </w:tblCellMar>
        </w:tblPrEx>
        <w:trPr>
          <w:trHeight w:val="409" w:hRule="atLeast"/>
        </w:trPr>
        <w:tc>
          <w:tcPr>
            <w:tcW w:w="909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409" w:hRule="atLeast"/>
        </w:trPr>
        <w:tc>
          <w:tcPr>
            <w:tcW w:w="9090"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270" w:hRule="atLeast"/>
        </w:trPr>
        <w:tc>
          <w:tcPr>
            <w:tcW w:w="9090" w:type="dxa"/>
            <w:gridSpan w:val="9"/>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CellMar>
            <w:top w:w="0" w:type="dxa"/>
            <w:left w:w="0" w:type="dxa"/>
            <w:bottom w:w="0" w:type="dxa"/>
            <w:right w:w="0" w:type="dxa"/>
          </w:tblCellMar>
        </w:tblPrEx>
        <w:trPr>
          <w:trHeight w:val="270" w:hRule="atLeast"/>
        </w:trPr>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599"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门诊、住院综合楼</w:t>
            </w:r>
          </w:p>
        </w:tc>
      </w:tr>
      <w:tr>
        <w:tblPrEx>
          <w:shd w:val="clear" w:color="auto" w:fill="auto"/>
          <w:tblCellMar>
            <w:top w:w="0" w:type="dxa"/>
            <w:left w:w="0" w:type="dxa"/>
            <w:bottom w:w="0" w:type="dxa"/>
            <w:right w:w="0" w:type="dxa"/>
          </w:tblCellMar>
        </w:tblPrEx>
        <w:trPr>
          <w:trHeight w:val="270" w:hRule="atLeast"/>
        </w:trPr>
        <w:tc>
          <w:tcPr>
            <w:tcW w:w="149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01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塔城地区中医医院</w:t>
            </w:r>
          </w:p>
        </w:tc>
      </w:tr>
      <w:tr>
        <w:tblPrEx>
          <w:shd w:val="clear" w:color="auto" w:fill="auto"/>
          <w:tblCellMar>
            <w:top w:w="0" w:type="dxa"/>
            <w:left w:w="0" w:type="dxa"/>
            <w:bottom w:w="0" w:type="dxa"/>
            <w:right w:w="0" w:type="dxa"/>
          </w:tblCellMar>
        </w:tblPrEx>
        <w:trPr>
          <w:trHeight w:val="392" w:hRule="atLeast"/>
        </w:trPr>
        <w:tc>
          <w:tcPr>
            <w:tcW w:w="1491" w:type="dxa"/>
            <w:gridSpan w:val="2"/>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701"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bottom"/>
          </w:tcPr>
          <w:p>
            <w:pPr>
              <w:rPr>
                <w:rFonts w:hint="eastAsia" w:ascii="Arial" w:hAnsi="Arial" w:cs="Arial"/>
                <w:i w:val="0"/>
                <w:color w:val="000000"/>
                <w:sz w:val="20"/>
                <w:szCs w:val="20"/>
                <w:u w:val="none"/>
              </w:rPr>
            </w:pPr>
          </w:p>
        </w:tc>
        <w:tc>
          <w:tcPr>
            <w:tcW w:w="1023"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bottom"/>
          </w:tcP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270" w:hRule="atLeast"/>
        </w:trPr>
        <w:tc>
          <w:tcPr>
            <w:tcW w:w="1491" w:type="dxa"/>
            <w:gridSpan w:val="2"/>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1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100.00%</w:t>
            </w:r>
          </w:p>
        </w:tc>
      </w:tr>
      <w:tr>
        <w:tblPrEx>
          <w:shd w:val="clear" w:color="auto" w:fill="auto"/>
          <w:tblCellMar>
            <w:top w:w="0" w:type="dxa"/>
            <w:left w:w="0" w:type="dxa"/>
            <w:bottom w:w="0" w:type="dxa"/>
            <w:right w:w="0" w:type="dxa"/>
          </w:tblCellMar>
        </w:tblPrEx>
        <w:trPr>
          <w:trHeight w:val="473" w:hRule="atLeast"/>
        </w:trPr>
        <w:tc>
          <w:tcPr>
            <w:tcW w:w="1491" w:type="dxa"/>
            <w:gridSpan w:val="2"/>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1000.00</w:t>
            </w:r>
          </w:p>
        </w:tc>
        <w:tc>
          <w:tcPr>
            <w:tcW w:w="1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1491" w:type="dxa"/>
            <w:gridSpan w:val="2"/>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270" w:hRule="atLeast"/>
        </w:trPr>
        <w:tc>
          <w:tcPr>
            <w:tcW w:w="1491" w:type="dxa"/>
            <w:gridSpan w:val="2"/>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2"/>
                <w:szCs w:val="22"/>
                <w:u w:val="none"/>
              </w:rPr>
            </w:pPr>
          </w:p>
        </w:tc>
        <w:tc>
          <w:tcPr>
            <w:tcW w:w="172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2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9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433" w:hRule="atLeast"/>
        </w:trPr>
        <w:tc>
          <w:tcPr>
            <w:tcW w:w="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80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5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1189" w:hRule="atLeast"/>
        </w:trPr>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80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1、根据工程进度完成资金的支付，工程监理出据进度报告至少一次。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2、更新改善医院现有基础设施条件，提高就诊水平，医疗服务能力有所提升。</w:t>
            </w:r>
          </w:p>
        </w:tc>
        <w:tc>
          <w:tcPr>
            <w:tcW w:w="3580"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1、根据工程进度完成资金的支付，工程监理出据进度报告至少一次。</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2、更新改善医院现有基础设施条件，提高就诊水平，医疗服务能力有所提升。</w:t>
            </w:r>
          </w:p>
        </w:tc>
      </w:tr>
      <w:tr>
        <w:tblPrEx>
          <w:shd w:val="clear" w:color="auto" w:fill="auto"/>
          <w:tblCellMar>
            <w:top w:w="0" w:type="dxa"/>
            <w:left w:w="0" w:type="dxa"/>
            <w:bottom w:w="0" w:type="dxa"/>
            <w:right w:w="0" w:type="dxa"/>
          </w:tblCellMar>
        </w:tblPrEx>
        <w:trPr>
          <w:trHeight w:val="412" w:hRule="atLeast"/>
        </w:trPr>
        <w:tc>
          <w:tcPr>
            <w:tcW w:w="701" w:type="dxa"/>
            <w:tcBorders>
              <w:top w:val="nil"/>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22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实际完成值</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312" w:hRule="atLeast"/>
        </w:trPr>
        <w:tc>
          <w:tcPr>
            <w:tcW w:w="701" w:type="dxa"/>
            <w:vMerge w:val="restart"/>
            <w:tcBorders>
              <w:top w:val="nil"/>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90"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22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工程监理出据进度报告</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≥1次</w:t>
            </w:r>
          </w:p>
        </w:tc>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2次</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85" w:hRule="atLeast"/>
        </w:trPr>
        <w:tc>
          <w:tcPr>
            <w:tcW w:w="70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资金使用率</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57" w:hRule="atLeast"/>
        </w:trPr>
        <w:tc>
          <w:tcPr>
            <w:tcW w:w="70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施工安全率</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87" w:hRule="atLeast"/>
        </w:trPr>
        <w:tc>
          <w:tcPr>
            <w:tcW w:w="70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资金支付完成时间</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=2020.12月</w:t>
            </w:r>
          </w:p>
        </w:tc>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2020.12月</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69" w:hRule="atLeast"/>
        </w:trPr>
        <w:tc>
          <w:tcPr>
            <w:tcW w:w="70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项目投入资金</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=1000万元</w:t>
            </w:r>
          </w:p>
        </w:tc>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1000万元</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388" w:hRule="atLeast"/>
        </w:trPr>
        <w:tc>
          <w:tcPr>
            <w:tcW w:w="70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2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中医诊疗服务项目</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≥25项</w:t>
            </w:r>
          </w:p>
        </w:tc>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25项</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483" w:hRule="atLeast"/>
        </w:trPr>
        <w:tc>
          <w:tcPr>
            <w:tcW w:w="70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医疗收入</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≥450万元</w:t>
            </w:r>
          </w:p>
        </w:tc>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610.95万元</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年初设定目标值时不合理，本年因我</w:t>
            </w:r>
            <w:r>
              <w:rPr>
                <w:rFonts w:hint="eastAsia" w:ascii="宋体" w:hAnsi="宋体" w:cs="宋体"/>
                <w:i w:val="0"/>
                <w:color w:val="000000"/>
                <w:kern w:val="0"/>
                <w:sz w:val="18"/>
                <w:szCs w:val="18"/>
                <w:u w:val="none"/>
                <w:lang w:val="en-US" w:eastAsia="zh-CN" w:bidi="ar"/>
              </w:rPr>
              <w:t>单位</w:t>
            </w:r>
            <w:bookmarkStart w:id="2" w:name="_GoBack"/>
            <w:bookmarkEnd w:id="2"/>
            <w:r>
              <w:rPr>
                <w:rFonts w:hint="eastAsia" w:ascii="宋体" w:hAnsi="宋体" w:eastAsia="宋体" w:cs="宋体"/>
                <w:i w:val="0"/>
                <w:color w:val="000000"/>
                <w:kern w:val="0"/>
                <w:sz w:val="18"/>
                <w:szCs w:val="18"/>
                <w:u w:val="none"/>
                <w:lang w:val="en-US" w:eastAsia="zh-CN" w:bidi="ar"/>
              </w:rPr>
              <w:t>有辽宁援疆专家坐诊，收入增多。</w:t>
            </w:r>
          </w:p>
        </w:tc>
      </w:tr>
      <w:tr>
        <w:tblPrEx>
          <w:shd w:val="clear" w:color="auto" w:fill="auto"/>
          <w:tblCellMar>
            <w:top w:w="0" w:type="dxa"/>
            <w:left w:w="0" w:type="dxa"/>
            <w:bottom w:w="0" w:type="dxa"/>
            <w:right w:w="0" w:type="dxa"/>
          </w:tblCellMar>
        </w:tblPrEx>
        <w:trPr>
          <w:trHeight w:val="389" w:hRule="atLeast"/>
        </w:trPr>
        <w:tc>
          <w:tcPr>
            <w:tcW w:w="70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医疗设施完备率</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有所提升</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18" w:hRule="atLeast"/>
        </w:trPr>
        <w:tc>
          <w:tcPr>
            <w:tcW w:w="70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2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医疗服务能力</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有所提升</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10" w:hRule="atLeast"/>
        </w:trPr>
        <w:tc>
          <w:tcPr>
            <w:tcW w:w="701" w:type="dxa"/>
            <w:vMerge w:val="continue"/>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222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患者满意度</w:t>
            </w:r>
          </w:p>
        </w:tc>
        <w:tc>
          <w:tcPr>
            <w:tcW w:w="109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00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90%</w:t>
            </w:r>
          </w:p>
        </w:tc>
        <w:tc>
          <w:tcPr>
            <w:tcW w:w="15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bl>
    <w:p>
      <w:pPr>
        <w:spacing w:line="540" w:lineRule="exact"/>
        <w:rPr>
          <w:rStyle w:val="21"/>
          <w:rFonts w:ascii="仿宋" w:hAnsi="仿宋" w:eastAsia="仿宋"/>
          <w:b w:val="0"/>
          <w:spacing w:val="-4"/>
          <w:sz w:val="32"/>
          <w:szCs w:val="32"/>
        </w:rPr>
      </w:pPr>
    </w:p>
    <w:sectPr>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E5C6BF8"/>
    <w:multiLevelType w:val="singleLevel"/>
    <w:tmpl w:val="EE5C6BF8"/>
    <w:lvl w:ilvl="0" w:tentative="0">
      <w:start w:val="2"/>
      <w:numFmt w:val="decimal"/>
      <w:suff w:val="nothing"/>
      <w:lvlText w:val="%1、"/>
      <w:lvlJc w:val="left"/>
    </w:lvl>
  </w:abstractNum>
  <w:abstractNum w:abstractNumId="3">
    <w:nsid w:val="F0F175EE"/>
    <w:multiLevelType w:val="singleLevel"/>
    <w:tmpl w:val="F0F175EE"/>
    <w:lvl w:ilvl="0" w:tentative="0">
      <w:start w:val="2"/>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38CC9319"/>
    <w:multiLevelType w:val="singleLevel"/>
    <w:tmpl w:val="38CC9319"/>
    <w:lvl w:ilvl="0" w:tentative="0">
      <w:start w:val="1"/>
      <w:numFmt w:val="decimal"/>
      <w:suff w:val="nothing"/>
      <w:lvlText w:val="%1、"/>
      <w:lvlJc w:val="left"/>
    </w:lvl>
  </w:abstractNum>
  <w:num w:numId="1">
    <w:abstractNumId w:val="3"/>
  </w:num>
  <w:num w:numId="2">
    <w:abstractNumId w:val="2"/>
  </w:num>
  <w:num w:numId="3">
    <w:abstractNumId w:val="1"/>
  </w:num>
  <w:num w:numId="4">
    <w:abstractNumId w:val="6"/>
  </w:num>
  <w:num w:numId="5">
    <w:abstractNumId w:val="5"/>
  </w:num>
  <w:num w:numId="6">
    <w:abstractNumId w:val="7"/>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0D12"/>
    <w:rsid w:val="00CA6457"/>
    <w:rsid w:val="00D17F2E"/>
    <w:rsid w:val="00D30354"/>
    <w:rsid w:val="00DF42A0"/>
    <w:rsid w:val="00DF7C45"/>
    <w:rsid w:val="00E31565"/>
    <w:rsid w:val="00E46C51"/>
    <w:rsid w:val="00E769FE"/>
    <w:rsid w:val="00EA2CBE"/>
    <w:rsid w:val="00F32FEE"/>
    <w:rsid w:val="00F71278"/>
    <w:rsid w:val="00FB10BB"/>
    <w:rsid w:val="02AD2556"/>
    <w:rsid w:val="02B15353"/>
    <w:rsid w:val="03892CC6"/>
    <w:rsid w:val="038F72BA"/>
    <w:rsid w:val="051A56F5"/>
    <w:rsid w:val="066D6EAA"/>
    <w:rsid w:val="081E5A40"/>
    <w:rsid w:val="08C662D4"/>
    <w:rsid w:val="08C941B3"/>
    <w:rsid w:val="09BD4D95"/>
    <w:rsid w:val="09F845B4"/>
    <w:rsid w:val="0BC3085D"/>
    <w:rsid w:val="0ECD26B2"/>
    <w:rsid w:val="0F8D41CB"/>
    <w:rsid w:val="11C75270"/>
    <w:rsid w:val="12542896"/>
    <w:rsid w:val="12637CC3"/>
    <w:rsid w:val="12CF3E6C"/>
    <w:rsid w:val="12E657C5"/>
    <w:rsid w:val="14916C21"/>
    <w:rsid w:val="15EE720B"/>
    <w:rsid w:val="167C7687"/>
    <w:rsid w:val="168B3546"/>
    <w:rsid w:val="194F3A74"/>
    <w:rsid w:val="1A2374E0"/>
    <w:rsid w:val="1A262C9B"/>
    <w:rsid w:val="1C317CE2"/>
    <w:rsid w:val="1D210B1E"/>
    <w:rsid w:val="1DD45808"/>
    <w:rsid w:val="1DED42AC"/>
    <w:rsid w:val="20005763"/>
    <w:rsid w:val="20B11D03"/>
    <w:rsid w:val="20F243E7"/>
    <w:rsid w:val="20FB313D"/>
    <w:rsid w:val="220B4804"/>
    <w:rsid w:val="22597149"/>
    <w:rsid w:val="2346107C"/>
    <w:rsid w:val="23AF2017"/>
    <w:rsid w:val="24B7373D"/>
    <w:rsid w:val="252B2C98"/>
    <w:rsid w:val="269A4D68"/>
    <w:rsid w:val="281F1515"/>
    <w:rsid w:val="282475E3"/>
    <w:rsid w:val="29435C5D"/>
    <w:rsid w:val="29A6337F"/>
    <w:rsid w:val="29B63177"/>
    <w:rsid w:val="2B0F2320"/>
    <w:rsid w:val="2BA2667F"/>
    <w:rsid w:val="2BF71272"/>
    <w:rsid w:val="2C6100C1"/>
    <w:rsid w:val="2E1B0C41"/>
    <w:rsid w:val="2EB93F0B"/>
    <w:rsid w:val="2EE702AA"/>
    <w:rsid w:val="305F5484"/>
    <w:rsid w:val="30676AD9"/>
    <w:rsid w:val="30DA2F82"/>
    <w:rsid w:val="32356C47"/>
    <w:rsid w:val="3264220D"/>
    <w:rsid w:val="37290ED0"/>
    <w:rsid w:val="3963178C"/>
    <w:rsid w:val="3EAD0F3F"/>
    <w:rsid w:val="3EB04344"/>
    <w:rsid w:val="410174A2"/>
    <w:rsid w:val="41CC2676"/>
    <w:rsid w:val="420B48AF"/>
    <w:rsid w:val="42BD2E0C"/>
    <w:rsid w:val="441C4C75"/>
    <w:rsid w:val="45C82BEA"/>
    <w:rsid w:val="46B21672"/>
    <w:rsid w:val="481148EC"/>
    <w:rsid w:val="48396CD0"/>
    <w:rsid w:val="490966AC"/>
    <w:rsid w:val="4B312B3D"/>
    <w:rsid w:val="4D9D3FB8"/>
    <w:rsid w:val="4E8F192A"/>
    <w:rsid w:val="4F552460"/>
    <w:rsid w:val="4FCC6863"/>
    <w:rsid w:val="500A214A"/>
    <w:rsid w:val="5100203A"/>
    <w:rsid w:val="522D604D"/>
    <w:rsid w:val="5297585E"/>
    <w:rsid w:val="52AD7D6F"/>
    <w:rsid w:val="5549519D"/>
    <w:rsid w:val="5557596B"/>
    <w:rsid w:val="58947EFC"/>
    <w:rsid w:val="58BD4023"/>
    <w:rsid w:val="597166F3"/>
    <w:rsid w:val="5A747E14"/>
    <w:rsid w:val="5ABA11C9"/>
    <w:rsid w:val="5B596DFC"/>
    <w:rsid w:val="5D800812"/>
    <w:rsid w:val="5DF03945"/>
    <w:rsid w:val="5E3837F0"/>
    <w:rsid w:val="5EC43461"/>
    <w:rsid w:val="63660D05"/>
    <w:rsid w:val="637C2815"/>
    <w:rsid w:val="67B12EB4"/>
    <w:rsid w:val="6A6C641F"/>
    <w:rsid w:val="6B005606"/>
    <w:rsid w:val="6CE74021"/>
    <w:rsid w:val="6CF3190C"/>
    <w:rsid w:val="6D7B6554"/>
    <w:rsid w:val="6DBB564F"/>
    <w:rsid w:val="6E7230CD"/>
    <w:rsid w:val="6F02497C"/>
    <w:rsid w:val="704C3D90"/>
    <w:rsid w:val="72DC4155"/>
    <w:rsid w:val="74663AD0"/>
    <w:rsid w:val="74D04EE9"/>
    <w:rsid w:val="78747ED5"/>
    <w:rsid w:val="7A353D0B"/>
    <w:rsid w:val="7AF22B9C"/>
    <w:rsid w:val="7C4E579B"/>
    <w:rsid w:val="7C6E13A9"/>
    <w:rsid w:val="7D3A5E2F"/>
    <w:rsid w:val="7F592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48"/>
    <w:semiHidden/>
    <w:unhideWhenUsed/>
    <w:qFormat/>
    <w:uiPriority w:val="99"/>
    <w:rPr>
      <w:sz w:val="18"/>
      <w:szCs w:val="18"/>
    </w:rPr>
  </w:style>
  <w:style w:type="paragraph" w:styleId="15">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3"/>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2"/>
    <w:qFormat/>
    <w:uiPriority w:val="10"/>
    <w:rPr>
      <w:rFonts w:asciiTheme="majorHAnsi" w:hAnsiTheme="majorHAnsi" w:eastAsiaTheme="majorEastAsia"/>
      <w:b/>
      <w:bCs/>
      <w:kern w:val="28"/>
      <w:sz w:val="32"/>
      <w:szCs w:val="32"/>
    </w:rPr>
  </w:style>
  <w:style w:type="character" w:customStyle="1" w:styleId="33">
    <w:name w:val="副标题 字符"/>
    <w:basedOn w:val="20"/>
    <w:link w:val="17"/>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6"/>
    <w:qFormat/>
    <w:uiPriority w:val="99"/>
    <w:rPr>
      <w:rFonts w:ascii="Calibri" w:hAnsi="Calibri" w:eastAsia="宋体"/>
      <w:kern w:val="2"/>
      <w:sz w:val="18"/>
      <w:szCs w:val="18"/>
    </w:rPr>
  </w:style>
  <w:style w:type="character" w:customStyle="1" w:styleId="47">
    <w:name w:val="页脚 字符"/>
    <w:basedOn w:val="20"/>
    <w:link w:val="15"/>
    <w:qFormat/>
    <w:uiPriority w:val="99"/>
    <w:rPr>
      <w:rFonts w:ascii="Calibri" w:hAnsi="Calibri" w:eastAsia="宋体"/>
      <w:kern w:val="2"/>
      <w:sz w:val="18"/>
      <w:szCs w:val="18"/>
    </w:rPr>
  </w:style>
  <w:style w:type="character" w:customStyle="1" w:styleId="48">
    <w:name w:val="批注框文本 字符"/>
    <w:basedOn w:val="20"/>
    <w:link w:val="14"/>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 w:type="paragraph" w:customStyle="1" w:styleId="51">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12</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2025-09-09T02:50:58Z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390855185_btnclosed</vt:lpwstr>
  </property>
  <property fmtid="{D5CDD505-2E9C-101B-9397-08002B2CF9AE}" pid="4" name="ICV">
    <vt:lpwstr>2FDB345CA5DD43DCA8A84B4DC65E1158</vt:lpwstr>
  </property>
</Properties>
</file>