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val="en-US" w:eastAsia="zh-CN"/>
        </w:rPr>
        <w:t>部门预算</w:t>
      </w:r>
      <w:r>
        <w:rPr>
          <w:rFonts w:hint="eastAsia" w:ascii="方正小标宋简体" w:hAnsi="方正小标宋简体" w:eastAsia="方正小标宋简体" w:cs="方正小标宋简体"/>
          <w:kern w:val="0"/>
          <w:sz w:val="44"/>
          <w:szCs w:val="44"/>
        </w:rPr>
        <w:t>资金项目支出绩效评价</w:t>
      </w:r>
    </w:p>
    <w:p>
      <w:pPr>
        <w:pageBreakBefore w:val="0"/>
        <w:kinsoku/>
        <w:wordWrap/>
        <w:overflowPunct/>
        <w:topLinePunct w:val="0"/>
        <w:autoSpaceDE/>
        <w:autoSpaceDN/>
        <w:bidi w:val="0"/>
        <w:adjustRightInd/>
        <w:snapToGrid/>
        <w:spacing w:line="56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报告</w:t>
      </w: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6"/>
          <w:szCs w:val="36"/>
        </w:rPr>
      </w:pPr>
      <w:r>
        <w:rPr>
          <w:rFonts w:hint="eastAsia" w:hAnsi="宋体" w:eastAsia="仿宋_GB2312" w:cs="宋体"/>
          <w:kern w:val="0"/>
          <w:sz w:val="36"/>
          <w:szCs w:val="36"/>
        </w:rPr>
        <w:t>（ 20</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年度）</w:t>
      </w: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ind w:firstLine="720" w:firstLineChars="20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项目名称：</w:t>
      </w:r>
      <w:r>
        <w:rPr>
          <w:rFonts w:hint="eastAsia" w:hAnsi="宋体" w:eastAsia="仿宋_GB2312" w:cs="宋体"/>
          <w:kern w:val="0"/>
          <w:sz w:val="36"/>
          <w:szCs w:val="36"/>
          <w:lang w:val="en-US" w:eastAsia="zh-CN"/>
        </w:rPr>
        <w:t>塔城地区业余体校室外足球场、轮滑场项目建设</w:t>
      </w:r>
    </w:p>
    <w:p>
      <w:pPr>
        <w:pageBreakBefore w:val="0"/>
        <w:kinsoku/>
        <w:wordWrap/>
        <w:overflowPunct/>
        <w:topLinePunct w:val="0"/>
        <w:autoSpaceDE/>
        <w:autoSpaceDN/>
        <w:bidi w:val="0"/>
        <w:adjustRightInd/>
        <w:snapToGrid/>
        <w:spacing w:line="560" w:lineRule="exact"/>
        <w:ind w:firstLine="720" w:firstLineChars="20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实施单位（公章）：</w:t>
      </w:r>
      <w:r>
        <w:rPr>
          <w:rFonts w:hint="eastAsia" w:hAnsi="宋体" w:eastAsia="仿宋_GB2312" w:cs="宋体"/>
          <w:kern w:val="0"/>
          <w:sz w:val="36"/>
          <w:szCs w:val="36"/>
          <w:lang w:val="en-US" w:eastAsia="zh-CN"/>
        </w:rPr>
        <w:t>塔城地区业余体育学校</w:t>
      </w:r>
    </w:p>
    <w:p>
      <w:pPr>
        <w:pageBreakBefore w:val="0"/>
        <w:kinsoku/>
        <w:wordWrap/>
        <w:overflowPunct/>
        <w:topLinePunct w:val="0"/>
        <w:autoSpaceDE/>
        <w:autoSpaceDN/>
        <w:bidi w:val="0"/>
        <w:adjustRightInd/>
        <w:snapToGrid/>
        <w:spacing w:line="560" w:lineRule="exact"/>
        <w:ind w:firstLine="720" w:firstLineChars="200"/>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塔城地区文化体育广播电视和旅游局</w:t>
      </w:r>
    </w:p>
    <w:p>
      <w:pPr>
        <w:pageBreakBefore w:val="0"/>
        <w:kinsoku/>
        <w:wordWrap/>
        <w:overflowPunct/>
        <w:topLinePunct w:val="0"/>
        <w:autoSpaceDE/>
        <w:autoSpaceDN/>
        <w:bidi w:val="0"/>
        <w:adjustRightInd/>
        <w:snapToGrid/>
        <w:spacing w:line="560" w:lineRule="exact"/>
        <w:ind w:firstLine="720" w:firstLineChars="20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王建军</w:t>
      </w:r>
    </w:p>
    <w:p>
      <w:pPr>
        <w:pageBreakBefore w:val="0"/>
        <w:kinsoku/>
        <w:wordWrap/>
        <w:overflowPunct/>
        <w:topLinePunct w:val="0"/>
        <w:autoSpaceDE/>
        <w:autoSpaceDN/>
        <w:bidi w:val="0"/>
        <w:adjustRightInd/>
        <w:snapToGrid/>
        <w:spacing w:line="56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2021</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日</w:t>
      </w: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rPr>
          <w:rStyle w:val="11"/>
          <w:rFonts w:ascii="黑体" w:hAnsi="黑体" w:eastAsia="黑体"/>
          <w:b w:val="0"/>
          <w:spacing w:val="-4"/>
          <w:sz w:val="32"/>
          <w:szCs w:val="32"/>
        </w:rPr>
      </w:pPr>
    </w:p>
    <w:p>
      <w:pPr>
        <w:pageBreakBefore w:val="0"/>
        <w:kinsoku/>
        <w:wordWrap/>
        <w:overflowPunct/>
        <w:topLinePunct w:val="0"/>
        <w:autoSpaceDE/>
        <w:autoSpaceDN/>
        <w:bidi w:val="0"/>
        <w:adjustRightInd/>
        <w:snapToGrid/>
        <w:spacing w:line="560" w:lineRule="exact"/>
        <w:ind w:firstLine="640"/>
        <w:rPr>
          <w:rStyle w:val="11"/>
          <w:rFonts w:ascii="黑体" w:hAnsi="黑体" w:eastAsia="黑体"/>
          <w:b w:val="0"/>
          <w:spacing w:val="-4"/>
          <w:sz w:val="32"/>
          <w:szCs w:val="32"/>
        </w:rPr>
      </w:pPr>
    </w:p>
    <w:p>
      <w:pPr>
        <w:pageBreakBefore w:val="0"/>
        <w:kinsoku/>
        <w:wordWrap/>
        <w:overflowPunct/>
        <w:topLinePunct w:val="0"/>
        <w:autoSpaceDE/>
        <w:autoSpaceDN/>
        <w:bidi w:val="0"/>
        <w:adjustRightInd/>
        <w:snapToGrid/>
        <w:spacing w:line="560" w:lineRule="exact"/>
        <w:rPr>
          <w:rStyle w:val="11"/>
          <w:rFonts w:ascii="黑体" w:hAnsi="黑体" w:eastAsia="黑体"/>
          <w:b w:val="0"/>
          <w:spacing w:val="-4"/>
          <w:sz w:val="32"/>
          <w:szCs w:val="32"/>
        </w:rPr>
      </w:pPr>
    </w:p>
    <w:p>
      <w:pPr>
        <w:pageBreakBefore w:val="0"/>
        <w:kinsoku/>
        <w:wordWrap/>
        <w:overflowPunct/>
        <w:topLinePunct w:val="0"/>
        <w:autoSpaceDE/>
        <w:autoSpaceDN/>
        <w:bidi w:val="0"/>
        <w:adjustRightInd/>
        <w:snapToGrid/>
        <w:spacing w:line="560" w:lineRule="exact"/>
        <w:jc w:val="center"/>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目  录</w:t>
      </w:r>
    </w:p>
    <w:p>
      <w:pPr>
        <w:pageBreakBefore w:val="0"/>
        <w:kinsoku/>
        <w:wordWrap/>
        <w:overflowPunct/>
        <w:topLinePunct w:val="0"/>
        <w:autoSpaceDE/>
        <w:autoSpaceDN/>
        <w:bidi w:val="0"/>
        <w:adjustRightInd/>
        <w:snapToGrid/>
        <w:spacing w:line="560" w:lineRule="exact"/>
        <w:rPr>
          <w:rFonts w:hint="eastAsia" w:ascii="黑体" w:hAnsi="黑体" w:eastAsia="黑体" w:cs="黑体"/>
          <w:bCs/>
          <w:sz w:val="32"/>
          <w:szCs w:val="32"/>
        </w:rPr>
      </w:pPr>
    </w:p>
    <w:p>
      <w:pPr>
        <w:pStyle w:val="5"/>
        <w:pageBreakBefore w:val="0"/>
        <w:tabs>
          <w:tab w:val="right" w:leader="dot" w:pos="8306"/>
        </w:tabs>
        <w:kinsoku/>
        <w:wordWrap/>
        <w:overflowPunct/>
        <w:topLinePunct w:val="0"/>
        <w:autoSpaceDE/>
        <w:autoSpaceDN/>
        <w:bidi w:val="0"/>
        <w:adjustRightInd/>
        <w:snapToGrid/>
        <w:spacing w:before="0" w:after="0" w:line="560" w:lineRule="exact"/>
        <w:jc w:val="center"/>
      </w:pPr>
      <w:r>
        <w:rPr>
          <w:szCs w:val="44"/>
        </w:rPr>
        <w:fldChar w:fldCharType="begin"/>
      </w:r>
      <w:r>
        <w:rPr>
          <w:szCs w:val="44"/>
        </w:rPr>
        <w:instrText xml:space="preserve"> HYPERLINK \l _Toc4359 </w:instrText>
      </w:r>
      <w:r>
        <w:rPr>
          <w:szCs w:val="44"/>
        </w:rPr>
        <w:fldChar w:fldCharType="separate"/>
      </w:r>
      <w:r>
        <w:rPr>
          <w:rFonts w:hint="eastAsia"/>
          <w:lang w:eastAsia="zh-CN"/>
        </w:rPr>
        <w:t>一、</w:t>
      </w:r>
      <w:r>
        <w:rPr>
          <w:rFonts w:hint="eastAsia"/>
          <w:lang w:val="en-US" w:eastAsia="zh-CN"/>
        </w:rPr>
        <w:t>基本情况</w:t>
      </w:r>
      <w:r>
        <w:tab/>
      </w:r>
      <w:r>
        <w:rPr>
          <w:rFonts w:hint="eastAsia"/>
          <w:lang w:val="en-US" w:eastAsia="zh-CN"/>
        </w:rPr>
        <w:t>3</w:t>
      </w:r>
      <w:r>
        <w:rPr>
          <w:szCs w:val="44"/>
        </w:rPr>
        <w:fldChar w:fldCharType="end"/>
      </w:r>
    </w:p>
    <w:p>
      <w:pPr>
        <w:pStyle w:val="6"/>
        <w:pageBreakBefore w:val="0"/>
        <w:tabs>
          <w:tab w:val="right" w:leader="dot" w:pos="8306"/>
        </w:tabs>
        <w:kinsoku/>
        <w:wordWrap/>
        <w:overflowPunct/>
        <w:topLinePunct w:val="0"/>
        <w:autoSpaceDE/>
        <w:autoSpaceDN/>
        <w:bidi w:val="0"/>
        <w:adjustRightInd/>
        <w:snapToGrid/>
        <w:spacing w:line="560" w:lineRule="exact"/>
      </w:pPr>
      <w:r>
        <w:rPr>
          <w:szCs w:val="44"/>
        </w:rPr>
        <w:fldChar w:fldCharType="begin"/>
      </w:r>
      <w:r>
        <w:rPr>
          <w:szCs w:val="44"/>
        </w:rPr>
        <w:instrText xml:space="preserve"> HYPERLINK \l _Toc7007 </w:instrText>
      </w:r>
      <w:r>
        <w:rPr>
          <w:szCs w:val="44"/>
        </w:rPr>
        <w:fldChar w:fldCharType="separate"/>
      </w:r>
      <w:r>
        <w:rPr>
          <w:rFonts w:hint="eastAsia"/>
          <w:lang w:eastAsia="zh-CN"/>
        </w:rPr>
        <w:t>（一）项目</w:t>
      </w:r>
      <w:r>
        <w:rPr>
          <w:rFonts w:hint="eastAsia"/>
          <w:lang w:val="en-US" w:eastAsia="zh-CN"/>
        </w:rPr>
        <w:t>概况</w:t>
      </w:r>
      <w:r>
        <w:tab/>
      </w:r>
      <w:r>
        <w:rPr>
          <w:rFonts w:hint="eastAsia"/>
          <w:lang w:val="en-US" w:eastAsia="zh-CN"/>
        </w:rPr>
        <w:t>3</w:t>
      </w:r>
      <w:r>
        <w:rPr>
          <w:szCs w:val="44"/>
        </w:rPr>
        <w:fldChar w:fldCharType="end"/>
      </w:r>
    </w:p>
    <w:p>
      <w:pPr>
        <w:pStyle w:val="6"/>
        <w:pageBreakBefore w:val="0"/>
        <w:tabs>
          <w:tab w:val="right" w:leader="dot" w:pos="8306"/>
        </w:tabs>
        <w:kinsoku/>
        <w:wordWrap/>
        <w:overflowPunct/>
        <w:topLinePunct w:val="0"/>
        <w:autoSpaceDE/>
        <w:autoSpaceDN/>
        <w:bidi w:val="0"/>
        <w:adjustRightInd/>
        <w:snapToGrid/>
        <w:spacing w:line="560" w:lineRule="exact"/>
        <w:rPr>
          <w:rFonts w:hint="eastAsia" w:eastAsia="宋体"/>
          <w:lang w:val="en-US" w:eastAsia="zh-CN"/>
        </w:rPr>
      </w:pPr>
      <w:r>
        <w:rPr>
          <w:szCs w:val="44"/>
        </w:rPr>
        <w:fldChar w:fldCharType="begin"/>
      </w:r>
      <w:r>
        <w:rPr>
          <w:szCs w:val="44"/>
        </w:rPr>
        <w:instrText xml:space="preserve"> HYPERLINK \l _Toc559 </w:instrText>
      </w:r>
      <w:r>
        <w:rPr>
          <w:szCs w:val="44"/>
        </w:rPr>
        <w:fldChar w:fldCharType="separate"/>
      </w:r>
      <w:r>
        <w:rPr>
          <w:rFonts w:hint="eastAsia"/>
          <w:lang w:eastAsia="zh-CN"/>
        </w:rPr>
        <w:t>（二）项目绩效目标</w:t>
      </w:r>
      <w:r>
        <w:tab/>
      </w:r>
      <w:r>
        <w:rPr>
          <w:szCs w:val="44"/>
        </w:rPr>
        <w:fldChar w:fldCharType="end"/>
      </w:r>
      <w:r>
        <w:rPr>
          <w:rFonts w:hint="eastAsia"/>
          <w:szCs w:val="44"/>
          <w:lang w:val="en-US" w:eastAsia="zh-CN"/>
        </w:rPr>
        <w:t>4</w:t>
      </w:r>
    </w:p>
    <w:p>
      <w:pPr>
        <w:pStyle w:val="5"/>
        <w:pageBreakBefore w:val="0"/>
        <w:tabs>
          <w:tab w:val="right" w:leader="dot" w:pos="8306"/>
        </w:tabs>
        <w:kinsoku/>
        <w:wordWrap/>
        <w:overflowPunct/>
        <w:topLinePunct w:val="0"/>
        <w:autoSpaceDE/>
        <w:autoSpaceDN/>
        <w:bidi w:val="0"/>
        <w:adjustRightInd/>
        <w:snapToGrid/>
        <w:spacing w:before="0" w:after="0" w:line="560" w:lineRule="exact"/>
      </w:pPr>
      <w:r>
        <w:rPr>
          <w:szCs w:val="44"/>
        </w:rPr>
        <w:fldChar w:fldCharType="begin"/>
      </w:r>
      <w:r>
        <w:rPr>
          <w:szCs w:val="44"/>
        </w:rPr>
        <w:instrText xml:space="preserve"> HYPERLINK \l _Toc9195 </w:instrText>
      </w:r>
      <w:r>
        <w:rPr>
          <w:szCs w:val="44"/>
        </w:rPr>
        <w:fldChar w:fldCharType="separate"/>
      </w:r>
      <w:r>
        <w:rPr>
          <w:rFonts w:hint="eastAsia"/>
          <w:lang w:eastAsia="zh-CN"/>
        </w:rPr>
        <w:t>二、</w:t>
      </w:r>
      <w:r>
        <w:rPr>
          <w:rFonts w:hint="eastAsia"/>
          <w:lang w:val="en-US" w:eastAsia="zh-CN"/>
        </w:rPr>
        <w:t>绩效评价工作开展情况</w:t>
      </w:r>
      <w:r>
        <w:tab/>
      </w:r>
      <w:r>
        <w:rPr>
          <w:rFonts w:hint="eastAsia"/>
          <w:lang w:val="en-US" w:eastAsia="zh-CN"/>
        </w:rPr>
        <w:t>5</w:t>
      </w:r>
      <w:r>
        <w:rPr>
          <w:szCs w:val="44"/>
        </w:rPr>
        <w:fldChar w:fldCharType="end"/>
      </w:r>
    </w:p>
    <w:p>
      <w:pPr>
        <w:pStyle w:val="6"/>
        <w:pageBreakBefore w:val="0"/>
        <w:tabs>
          <w:tab w:val="right" w:leader="dot" w:pos="8306"/>
        </w:tabs>
        <w:kinsoku/>
        <w:wordWrap/>
        <w:overflowPunct/>
        <w:topLinePunct w:val="0"/>
        <w:autoSpaceDE/>
        <w:autoSpaceDN/>
        <w:bidi w:val="0"/>
        <w:adjustRightInd/>
        <w:snapToGrid/>
        <w:spacing w:line="560" w:lineRule="exact"/>
      </w:pPr>
      <w:r>
        <w:rPr>
          <w:szCs w:val="44"/>
        </w:rPr>
        <w:fldChar w:fldCharType="begin"/>
      </w:r>
      <w:r>
        <w:rPr>
          <w:szCs w:val="44"/>
        </w:rPr>
        <w:instrText xml:space="preserve"> HYPERLINK \l _Toc17693 </w:instrText>
      </w:r>
      <w:r>
        <w:rPr>
          <w:szCs w:val="44"/>
        </w:rPr>
        <w:fldChar w:fldCharType="separate"/>
      </w:r>
      <w:r>
        <w:rPr>
          <w:rFonts w:hint="eastAsia"/>
          <w:lang w:eastAsia="zh-CN"/>
        </w:rPr>
        <w:t>（一）</w:t>
      </w:r>
      <w:r>
        <w:rPr>
          <w:rFonts w:hint="eastAsia"/>
          <w:lang w:val="en-US" w:eastAsia="zh-CN"/>
        </w:rPr>
        <w:t>绩效评价目的、对象和范围</w:t>
      </w:r>
      <w:r>
        <w:tab/>
      </w:r>
      <w:r>
        <w:rPr>
          <w:rFonts w:hint="eastAsia"/>
          <w:lang w:val="en-US" w:eastAsia="zh-CN"/>
        </w:rPr>
        <w:t>5</w:t>
      </w:r>
      <w:r>
        <w:rPr>
          <w:szCs w:val="44"/>
        </w:rPr>
        <w:fldChar w:fldCharType="end"/>
      </w:r>
    </w:p>
    <w:p>
      <w:pPr>
        <w:pStyle w:val="6"/>
        <w:pageBreakBefore w:val="0"/>
        <w:tabs>
          <w:tab w:val="right" w:leader="dot" w:pos="8306"/>
        </w:tabs>
        <w:kinsoku/>
        <w:wordWrap/>
        <w:overflowPunct/>
        <w:topLinePunct w:val="0"/>
        <w:autoSpaceDE/>
        <w:autoSpaceDN/>
        <w:bidi w:val="0"/>
        <w:adjustRightInd/>
        <w:snapToGrid/>
        <w:spacing w:line="560" w:lineRule="exact"/>
      </w:pPr>
      <w:r>
        <w:rPr>
          <w:szCs w:val="44"/>
        </w:rPr>
        <w:fldChar w:fldCharType="begin"/>
      </w:r>
      <w:r>
        <w:rPr>
          <w:szCs w:val="44"/>
        </w:rPr>
        <w:instrText xml:space="preserve"> HYPERLINK \l _Toc29569 </w:instrText>
      </w:r>
      <w:r>
        <w:rPr>
          <w:szCs w:val="44"/>
        </w:rPr>
        <w:fldChar w:fldCharType="separate"/>
      </w:r>
      <w:r>
        <w:rPr>
          <w:rFonts w:hint="eastAsia"/>
          <w:lang w:eastAsia="zh-CN"/>
        </w:rPr>
        <w:t>（二）</w:t>
      </w:r>
      <w:r>
        <w:rPr>
          <w:rFonts w:hint="eastAsia"/>
          <w:lang w:val="en-US" w:eastAsia="zh-CN"/>
        </w:rPr>
        <w:t>绩效评价原则、评价指标体系</w:t>
      </w:r>
      <w:r>
        <w:tab/>
      </w:r>
      <w:r>
        <w:rPr>
          <w:rFonts w:hint="eastAsia"/>
          <w:lang w:val="en-US" w:eastAsia="zh-CN"/>
        </w:rPr>
        <w:t>6</w:t>
      </w:r>
      <w:r>
        <w:rPr>
          <w:szCs w:val="44"/>
        </w:rPr>
        <w:fldChar w:fldCharType="end"/>
      </w:r>
    </w:p>
    <w:p>
      <w:pPr>
        <w:pStyle w:val="6"/>
        <w:pageBreakBefore w:val="0"/>
        <w:tabs>
          <w:tab w:val="right" w:leader="dot" w:pos="8306"/>
        </w:tabs>
        <w:kinsoku/>
        <w:wordWrap/>
        <w:overflowPunct/>
        <w:topLinePunct w:val="0"/>
        <w:autoSpaceDE/>
        <w:autoSpaceDN/>
        <w:bidi w:val="0"/>
        <w:adjustRightInd/>
        <w:snapToGrid/>
        <w:spacing w:line="560" w:lineRule="exact"/>
      </w:pPr>
      <w:r>
        <w:rPr>
          <w:szCs w:val="44"/>
        </w:rPr>
        <w:fldChar w:fldCharType="begin"/>
      </w:r>
      <w:r>
        <w:rPr>
          <w:szCs w:val="44"/>
        </w:rPr>
        <w:instrText xml:space="preserve"> HYPERLINK \l _Toc731 </w:instrText>
      </w:r>
      <w:r>
        <w:rPr>
          <w:szCs w:val="44"/>
        </w:rPr>
        <w:fldChar w:fldCharType="separate"/>
      </w:r>
      <w:r>
        <w:rPr>
          <w:rFonts w:hint="eastAsia"/>
          <w:lang w:eastAsia="zh-CN"/>
        </w:rPr>
        <w:t>（三）</w:t>
      </w:r>
      <w:r>
        <w:rPr>
          <w:rFonts w:hint="eastAsia"/>
          <w:lang w:val="en-US" w:eastAsia="zh-CN"/>
        </w:rPr>
        <w:t>评价方法、评价标准</w:t>
      </w:r>
      <w:r>
        <w:tab/>
      </w:r>
      <w:r>
        <w:rPr>
          <w:rFonts w:hint="eastAsia"/>
          <w:lang w:val="en-US" w:eastAsia="zh-CN"/>
        </w:rPr>
        <w:t>6</w:t>
      </w:r>
      <w:r>
        <w:rPr>
          <w:szCs w:val="44"/>
        </w:rPr>
        <w:fldChar w:fldCharType="end"/>
      </w:r>
    </w:p>
    <w:p>
      <w:pPr>
        <w:pStyle w:val="5"/>
        <w:pageBreakBefore w:val="0"/>
        <w:tabs>
          <w:tab w:val="right" w:leader="dot" w:pos="8306"/>
        </w:tabs>
        <w:kinsoku/>
        <w:wordWrap/>
        <w:overflowPunct/>
        <w:topLinePunct w:val="0"/>
        <w:autoSpaceDE/>
        <w:autoSpaceDN/>
        <w:bidi w:val="0"/>
        <w:adjustRightInd/>
        <w:snapToGrid/>
        <w:spacing w:before="0" w:after="0" w:line="560" w:lineRule="exact"/>
      </w:pPr>
      <w:r>
        <w:rPr>
          <w:szCs w:val="44"/>
        </w:rPr>
        <w:fldChar w:fldCharType="begin"/>
      </w:r>
      <w:r>
        <w:rPr>
          <w:szCs w:val="44"/>
        </w:rPr>
        <w:instrText xml:space="preserve"> HYPERLINK \l _Toc21487 </w:instrText>
      </w:r>
      <w:r>
        <w:rPr>
          <w:szCs w:val="44"/>
        </w:rPr>
        <w:fldChar w:fldCharType="separate"/>
      </w:r>
      <w:r>
        <w:rPr>
          <w:rFonts w:hint="eastAsia"/>
          <w:lang w:eastAsia="zh-CN"/>
        </w:rPr>
        <w:t>三、</w:t>
      </w:r>
      <w:r>
        <w:rPr>
          <w:rFonts w:hint="eastAsia"/>
          <w:lang w:val="en-US" w:eastAsia="zh-CN"/>
        </w:rPr>
        <w:t>综合评价情况及评价结论</w:t>
      </w:r>
      <w:r>
        <w:tab/>
      </w:r>
      <w:r>
        <w:rPr>
          <w:rFonts w:hint="eastAsia"/>
          <w:lang w:val="en-US" w:eastAsia="zh-CN"/>
        </w:rPr>
        <w:t>8</w:t>
      </w:r>
      <w:r>
        <w:rPr>
          <w:szCs w:val="44"/>
        </w:rPr>
        <w:fldChar w:fldCharType="end"/>
      </w:r>
    </w:p>
    <w:p>
      <w:pPr>
        <w:pStyle w:val="5"/>
        <w:pageBreakBefore w:val="0"/>
        <w:tabs>
          <w:tab w:val="right" w:leader="dot" w:pos="8306"/>
        </w:tabs>
        <w:kinsoku/>
        <w:wordWrap/>
        <w:overflowPunct/>
        <w:topLinePunct w:val="0"/>
        <w:autoSpaceDE/>
        <w:autoSpaceDN/>
        <w:bidi w:val="0"/>
        <w:adjustRightInd/>
        <w:snapToGrid/>
        <w:spacing w:before="0" w:after="0" w:line="560" w:lineRule="exact"/>
        <w:rPr>
          <w:rFonts w:hint="eastAsia" w:eastAsia="宋体"/>
          <w:lang w:val="en-US" w:eastAsia="zh-CN"/>
        </w:rPr>
      </w:pPr>
      <w:r>
        <w:rPr>
          <w:szCs w:val="44"/>
        </w:rPr>
        <w:fldChar w:fldCharType="begin"/>
      </w:r>
      <w:r>
        <w:rPr>
          <w:szCs w:val="44"/>
        </w:rPr>
        <w:instrText xml:space="preserve"> HYPERLINK \l _Toc15117 </w:instrText>
      </w:r>
      <w:r>
        <w:rPr>
          <w:szCs w:val="44"/>
        </w:rPr>
        <w:fldChar w:fldCharType="separate"/>
      </w:r>
      <w:r>
        <w:rPr>
          <w:rFonts w:hint="eastAsia"/>
          <w:lang w:eastAsia="zh-CN"/>
        </w:rPr>
        <w:t>四、</w:t>
      </w:r>
      <w:r>
        <w:rPr>
          <w:rFonts w:hint="eastAsia"/>
          <w:lang w:val="en-US" w:eastAsia="zh-CN"/>
        </w:rPr>
        <w:t>绩效评价指标分析</w:t>
      </w:r>
      <w:r>
        <w:tab/>
      </w:r>
      <w:r>
        <w:rPr>
          <w:rFonts w:hint="eastAsia"/>
          <w:lang w:val="en-US" w:eastAsia="zh-CN"/>
        </w:rPr>
        <w:t>1</w:t>
      </w:r>
      <w:r>
        <w:rPr>
          <w:szCs w:val="44"/>
        </w:rPr>
        <w:fldChar w:fldCharType="end"/>
      </w:r>
      <w:r>
        <w:rPr>
          <w:rFonts w:hint="eastAsia"/>
          <w:szCs w:val="44"/>
          <w:lang w:val="en-US" w:eastAsia="zh-CN"/>
        </w:rPr>
        <w:t>1</w:t>
      </w:r>
    </w:p>
    <w:p>
      <w:pPr>
        <w:pStyle w:val="6"/>
        <w:pageBreakBefore w:val="0"/>
        <w:tabs>
          <w:tab w:val="right" w:leader="dot" w:pos="8306"/>
        </w:tabs>
        <w:kinsoku/>
        <w:wordWrap/>
        <w:overflowPunct/>
        <w:topLinePunct w:val="0"/>
        <w:autoSpaceDE/>
        <w:autoSpaceDN/>
        <w:bidi w:val="0"/>
        <w:adjustRightInd/>
        <w:snapToGrid/>
        <w:spacing w:line="560" w:lineRule="exact"/>
        <w:rPr>
          <w:rFonts w:hint="eastAsia" w:eastAsia="宋体"/>
          <w:lang w:val="en-US" w:eastAsia="zh-CN"/>
        </w:rPr>
      </w:pPr>
      <w:r>
        <w:rPr>
          <w:szCs w:val="44"/>
        </w:rPr>
        <w:fldChar w:fldCharType="begin"/>
      </w:r>
      <w:r>
        <w:rPr>
          <w:szCs w:val="44"/>
        </w:rPr>
        <w:instrText xml:space="preserve"> HYPERLINK \l _Toc17719 </w:instrText>
      </w:r>
      <w:r>
        <w:rPr>
          <w:szCs w:val="44"/>
        </w:rPr>
        <w:fldChar w:fldCharType="separate"/>
      </w:r>
      <w:r>
        <w:rPr>
          <w:rFonts w:hint="eastAsia"/>
          <w:lang w:eastAsia="zh-CN"/>
        </w:rPr>
        <w:t>（一）项目</w:t>
      </w:r>
      <w:r>
        <w:rPr>
          <w:rFonts w:hint="eastAsia"/>
          <w:lang w:val="en-US" w:eastAsia="zh-CN"/>
        </w:rPr>
        <w:t>决策情况</w:t>
      </w:r>
      <w:r>
        <w:tab/>
      </w:r>
      <w:r>
        <w:rPr>
          <w:rFonts w:hint="eastAsia"/>
          <w:lang w:val="en-US" w:eastAsia="zh-CN"/>
        </w:rPr>
        <w:t>1</w:t>
      </w:r>
      <w:r>
        <w:rPr>
          <w:szCs w:val="44"/>
        </w:rPr>
        <w:fldChar w:fldCharType="end"/>
      </w:r>
      <w:r>
        <w:rPr>
          <w:rFonts w:hint="eastAsia"/>
          <w:szCs w:val="44"/>
          <w:lang w:val="en-US" w:eastAsia="zh-CN"/>
        </w:rPr>
        <w:t>1</w:t>
      </w:r>
    </w:p>
    <w:p>
      <w:pPr>
        <w:pStyle w:val="6"/>
        <w:pageBreakBefore w:val="0"/>
        <w:tabs>
          <w:tab w:val="right" w:leader="dot" w:pos="8306"/>
        </w:tabs>
        <w:kinsoku/>
        <w:wordWrap/>
        <w:overflowPunct/>
        <w:topLinePunct w:val="0"/>
        <w:autoSpaceDE/>
        <w:autoSpaceDN/>
        <w:bidi w:val="0"/>
        <w:adjustRightInd/>
        <w:snapToGrid/>
        <w:spacing w:line="560" w:lineRule="exact"/>
        <w:rPr>
          <w:rFonts w:hint="eastAsia" w:eastAsia="宋体"/>
          <w:lang w:val="en-US" w:eastAsia="zh-CN"/>
        </w:rPr>
      </w:pPr>
      <w:r>
        <w:rPr>
          <w:szCs w:val="44"/>
        </w:rPr>
        <w:fldChar w:fldCharType="begin"/>
      </w:r>
      <w:r>
        <w:rPr>
          <w:szCs w:val="44"/>
        </w:rPr>
        <w:instrText xml:space="preserve"> HYPERLINK \l _Toc16902 </w:instrText>
      </w:r>
      <w:r>
        <w:rPr>
          <w:szCs w:val="44"/>
        </w:rPr>
        <w:fldChar w:fldCharType="separate"/>
      </w:r>
      <w:r>
        <w:rPr>
          <w:rFonts w:hint="eastAsia"/>
          <w:lang w:eastAsia="zh-CN"/>
        </w:rPr>
        <w:t>（二）</w:t>
      </w:r>
      <w:r>
        <w:rPr>
          <w:rFonts w:hint="eastAsia"/>
          <w:lang w:val="en-US" w:eastAsia="zh-CN"/>
        </w:rPr>
        <w:t>项目过程情况</w:t>
      </w:r>
      <w:r>
        <w:tab/>
      </w:r>
      <w:r>
        <w:rPr>
          <w:rFonts w:hint="eastAsia"/>
          <w:lang w:val="en-US" w:eastAsia="zh-CN"/>
        </w:rPr>
        <w:t>1</w:t>
      </w:r>
      <w:r>
        <w:rPr>
          <w:szCs w:val="44"/>
        </w:rPr>
        <w:fldChar w:fldCharType="end"/>
      </w:r>
      <w:r>
        <w:rPr>
          <w:rFonts w:hint="eastAsia"/>
          <w:szCs w:val="44"/>
          <w:lang w:val="en-US" w:eastAsia="zh-CN"/>
        </w:rPr>
        <w:t>2</w:t>
      </w:r>
    </w:p>
    <w:p>
      <w:pPr>
        <w:pStyle w:val="6"/>
        <w:pageBreakBefore w:val="0"/>
        <w:tabs>
          <w:tab w:val="right" w:leader="dot" w:pos="8306"/>
        </w:tabs>
        <w:kinsoku/>
        <w:wordWrap/>
        <w:overflowPunct/>
        <w:topLinePunct w:val="0"/>
        <w:autoSpaceDE/>
        <w:autoSpaceDN/>
        <w:bidi w:val="0"/>
        <w:adjustRightInd/>
        <w:snapToGrid/>
        <w:spacing w:line="560" w:lineRule="exact"/>
        <w:rPr>
          <w:rFonts w:hint="default" w:eastAsia="宋体"/>
          <w:szCs w:val="44"/>
          <w:lang w:val="en-US" w:eastAsia="zh-CN"/>
        </w:rPr>
      </w:pPr>
      <w:r>
        <w:rPr>
          <w:szCs w:val="44"/>
        </w:rPr>
        <w:fldChar w:fldCharType="begin"/>
      </w:r>
      <w:r>
        <w:rPr>
          <w:szCs w:val="44"/>
        </w:rPr>
        <w:instrText xml:space="preserve"> HYPERLINK \l _Toc3304 </w:instrText>
      </w:r>
      <w:r>
        <w:rPr>
          <w:szCs w:val="44"/>
        </w:rPr>
        <w:fldChar w:fldCharType="separate"/>
      </w:r>
      <w:r>
        <w:rPr>
          <w:rFonts w:hint="eastAsia"/>
          <w:lang w:eastAsia="zh-CN"/>
        </w:rPr>
        <w:t>（三）</w:t>
      </w:r>
      <w:r>
        <w:rPr>
          <w:rFonts w:hint="eastAsia"/>
          <w:lang w:val="en-US" w:eastAsia="zh-CN"/>
        </w:rPr>
        <w:t>项目产出</w:t>
      </w:r>
      <w:r>
        <w:tab/>
      </w:r>
      <w:r>
        <w:rPr>
          <w:szCs w:val="44"/>
        </w:rPr>
        <w:fldChar w:fldCharType="end"/>
      </w:r>
      <w:r>
        <w:rPr>
          <w:rFonts w:hint="eastAsia"/>
          <w:szCs w:val="44"/>
          <w:lang w:val="en-US" w:eastAsia="zh-CN"/>
        </w:rPr>
        <w:t>13</w:t>
      </w:r>
    </w:p>
    <w:p>
      <w:pPr>
        <w:pageBreakBefore w:val="0"/>
        <w:kinsoku/>
        <w:wordWrap/>
        <w:overflowPunct/>
        <w:topLinePunct w:val="0"/>
        <w:autoSpaceDE/>
        <w:autoSpaceDN/>
        <w:bidi w:val="0"/>
        <w:adjustRightInd/>
        <w:snapToGrid/>
        <w:spacing w:line="560" w:lineRule="exact"/>
        <w:ind w:firstLine="200" w:firstLineChars="100"/>
        <w:rPr>
          <w:sz w:val="20"/>
          <w:szCs w:val="20"/>
        </w:rPr>
      </w:pPr>
      <w:r>
        <w:rPr>
          <w:rFonts w:hint="eastAsia"/>
          <w:sz w:val="20"/>
          <w:szCs w:val="20"/>
          <w:lang w:eastAsia="zh-CN"/>
        </w:rPr>
        <w:t>（</w:t>
      </w:r>
      <w:r>
        <w:rPr>
          <w:rFonts w:hint="eastAsia"/>
          <w:sz w:val="20"/>
          <w:szCs w:val="20"/>
          <w:lang w:val="en-US" w:eastAsia="zh-CN"/>
        </w:rPr>
        <w:t>四</w:t>
      </w:r>
      <w:r>
        <w:rPr>
          <w:rFonts w:hint="eastAsia"/>
          <w:sz w:val="20"/>
          <w:szCs w:val="20"/>
          <w:lang w:eastAsia="zh-CN"/>
        </w:rPr>
        <w:t>）</w:t>
      </w:r>
      <w:r>
        <w:rPr>
          <w:rFonts w:hint="eastAsia"/>
          <w:sz w:val="20"/>
          <w:szCs w:val="20"/>
          <w:lang w:val="en-US" w:eastAsia="zh-CN"/>
        </w:rPr>
        <w:t>效益情况..................................................................................................................................13</w:t>
      </w:r>
      <w:r>
        <w:rPr>
          <w:sz w:val="20"/>
          <w:szCs w:val="20"/>
        </w:rPr>
        <w:tab/>
      </w:r>
    </w:p>
    <w:p>
      <w:pPr>
        <w:pStyle w:val="5"/>
        <w:pageBreakBefore w:val="0"/>
        <w:tabs>
          <w:tab w:val="right" w:leader="dot" w:pos="8306"/>
        </w:tabs>
        <w:kinsoku/>
        <w:wordWrap/>
        <w:overflowPunct/>
        <w:topLinePunct w:val="0"/>
        <w:autoSpaceDE/>
        <w:autoSpaceDN/>
        <w:bidi w:val="0"/>
        <w:adjustRightInd/>
        <w:snapToGrid/>
        <w:spacing w:before="0" w:after="0" w:line="560" w:lineRule="exact"/>
        <w:rPr>
          <w:rFonts w:hint="eastAsia" w:eastAsia="宋体"/>
          <w:lang w:val="en-US" w:eastAsia="zh-CN"/>
        </w:rPr>
      </w:pPr>
      <w:r>
        <w:rPr>
          <w:szCs w:val="44"/>
        </w:rPr>
        <w:fldChar w:fldCharType="begin"/>
      </w:r>
      <w:r>
        <w:rPr>
          <w:szCs w:val="44"/>
        </w:rPr>
        <w:instrText xml:space="preserve"> HYPERLINK \l _Toc28357 </w:instrText>
      </w:r>
      <w:r>
        <w:rPr>
          <w:szCs w:val="44"/>
        </w:rPr>
        <w:fldChar w:fldCharType="separate"/>
      </w:r>
      <w:r>
        <w:rPr>
          <w:rFonts w:hint="eastAsia"/>
          <w:lang w:eastAsia="zh-CN"/>
        </w:rPr>
        <w:t>五、</w:t>
      </w:r>
      <w:r>
        <w:rPr>
          <w:rFonts w:hint="eastAsia"/>
          <w:lang w:val="en-US" w:eastAsia="zh-CN"/>
        </w:rPr>
        <w:t>主要经验及做法、存在的问题及原因分析</w:t>
      </w:r>
      <w:r>
        <w:tab/>
      </w:r>
      <w:r>
        <w:rPr>
          <w:rFonts w:hint="eastAsia"/>
          <w:lang w:val="en-US" w:eastAsia="zh-CN"/>
        </w:rPr>
        <w:t>1</w:t>
      </w:r>
      <w:r>
        <w:rPr>
          <w:szCs w:val="44"/>
        </w:rPr>
        <w:fldChar w:fldCharType="end"/>
      </w:r>
      <w:r>
        <w:rPr>
          <w:rFonts w:hint="eastAsia"/>
          <w:szCs w:val="44"/>
          <w:lang w:val="en-US" w:eastAsia="zh-CN"/>
        </w:rPr>
        <w:t>3</w:t>
      </w:r>
    </w:p>
    <w:p>
      <w:pPr>
        <w:pStyle w:val="6"/>
        <w:pageBreakBefore w:val="0"/>
        <w:tabs>
          <w:tab w:val="right" w:leader="dot" w:pos="8306"/>
        </w:tabs>
        <w:kinsoku/>
        <w:wordWrap/>
        <w:overflowPunct/>
        <w:topLinePunct w:val="0"/>
        <w:autoSpaceDE/>
        <w:autoSpaceDN/>
        <w:bidi w:val="0"/>
        <w:adjustRightInd/>
        <w:snapToGrid/>
        <w:spacing w:line="560" w:lineRule="exact"/>
        <w:rPr>
          <w:rFonts w:hint="eastAsia" w:eastAsia="宋体"/>
          <w:lang w:val="en-US" w:eastAsia="zh-CN"/>
        </w:rPr>
      </w:pPr>
      <w:r>
        <w:rPr>
          <w:szCs w:val="44"/>
        </w:rPr>
        <w:fldChar w:fldCharType="begin"/>
      </w:r>
      <w:r>
        <w:rPr>
          <w:szCs w:val="44"/>
        </w:rPr>
        <w:instrText xml:space="preserve"> HYPERLINK \l _Toc11859 </w:instrText>
      </w:r>
      <w:r>
        <w:rPr>
          <w:szCs w:val="44"/>
        </w:rPr>
        <w:fldChar w:fldCharType="separate"/>
      </w:r>
      <w:r>
        <w:rPr>
          <w:rFonts w:hint="eastAsia"/>
          <w:lang w:eastAsia="zh-CN"/>
        </w:rPr>
        <w:t>（一）</w:t>
      </w:r>
      <w:r>
        <w:rPr>
          <w:rFonts w:hint="eastAsia"/>
          <w:lang w:val="en-US" w:eastAsia="zh-CN"/>
        </w:rPr>
        <w:t>主要经验及做法</w:t>
      </w:r>
      <w:r>
        <w:tab/>
      </w:r>
      <w:r>
        <w:rPr>
          <w:rFonts w:hint="eastAsia"/>
          <w:lang w:val="en-US" w:eastAsia="zh-CN"/>
        </w:rPr>
        <w:t>1</w:t>
      </w:r>
      <w:r>
        <w:rPr>
          <w:szCs w:val="44"/>
        </w:rPr>
        <w:fldChar w:fldCharType="end"/>
      </w:r>
      <w:r>
        <w:rPr>
          <w:rFonts w:hint="eastAsia"/>
          <w:szCs w:val="44"/>
          <w:lang w:val="en-US" w:eastAsia="zh-CN"/>
        </w:rPr>
        <w:t>3</w:t>
      </w:r>
    </w:p>
    <w:p>
      <w:pPr>
        <w:pStyle w:val="6"/>
        <w:pageBreakBefore w:val="0"/>
        <w:tabs>
          <w:tab w:val="right" w:leader="dot" w:pos="8306"/>
        </w:tabs>
        <w:kinsoku/>
        <w:wordWrap/>
        <w:overflowPunct/>
        <w:topLinePunct w:val="0"/>
        <w:autoSpaceDE/>
        <w:autoSpaceDN/>
        <w:bidi w:val="0"/>
        <w:adjustRightInd/>
        <w:snapToGrid/>
        <w:spacing w:line="560" w:lineRule="exact"/>
        <w:rPr>
          <w:rFonts w:hint="eastAsia" w:eastAsia="宋体"/>
          <w:lang w:val="en-US" w:eastAsia="zh-CN"/>
        </w:rPr>
      </w:pPr>
      <w:r>
        <w:rPr>
          <w:szCs w:val="44"/>
        </w:rPr>
        <w:fldChar w:fldCharType="begin"/>
      </w:r>
      <w:r>
        <w:rPr>
          <w:szCs w:val="44"/>
        </w:rPr>
        <w:instrText xml:space="preserve"> HYPERLINK \l _Toc31272 </w:instrText>
      </w:r>
      <w:r>
        <w:rPr>
          <w:szCs w:val="44"/>
        </w:rPr>
        <w:fldChar w:fldCharType="separate"/>
      </w:r>
      <w:r>
        <w:rPr>
          <w:rFonts w:hint="eastAsia"/>
          <w:lang w:eastAsia="zh-CN"/>
        </w:rPr>
        <w:t>（二）</w:t>
      </w:r>
      <w:r>
        <w:rPr>
          <w:rFonts w:hint="eastAsia"/>
          <w:lang w:val="en-US" w:eastAsia="zh-CN"/>
        </w:rPr>
        <w:t>存在的问题及原因分析</w:t>
      </w:r>
      <w:r>
        <w:tab/>
      </w:r>
      <w:r>
        <w:rPr>
          <w:rFonts w:hint="eastAsia"/>
          <w:lang w:val="en-US" w:eastAsia="zh-CN"/>
        </w:rPr>
        <w:t>1</w:t>
      </w:r>
      <w:r>
        <w:rPr>
          <w:szCs w:val="44"/>
        </w:rPr>
        <w:fldChar w:fldCharType="end"/>
      </w:r>
      <w:r>
        <w:rPr>
          <w:rFonts w:hint="eastAsia"/>
          <w:szCs w:val="44"/>
          <w:lang w:val="en-US" w:eastAsia="zh-CN"/>
        </w:rPr>
        <w:t>4</w:t>
      </w:r>
    </w:p>
    <w:p>
      <w:pPr>
        <w:pStyle w:val="5"/>
        <w:pageBreakBefore w:val="0"/>
        <w:tabs>
          <w:tab w:val="right" w:leader="dot" w:pos="8306"/>
        </w:tabs>
        <w:kinsoku/>
        <w:wordWrap/>
        <w:overflowPunct/>
        <w:topLinePunct w:val="0"/>
        <w:autoSpaceDE/>
        <w:autoSpaceDN/>
        <w:bidi w:val="0"/>
        <w:adjustRightInd/>
        <w:snapToGrid/>
        <w:spacing w:before="0" w:after="0" w:line="560" w:lineRule="exact"/>
        <w:rPr>
          <w:rFonts w:hint="eastAsia" w:eastAsia="宋体"/>
          <w:lang w:val="en-US" w:eastAsia="zh-CN"/>
        </w:rPr>
      </w:pPr>
      <w:r>
        <w:rPr>
          <w:szCs w:val="44"/>
        </w:rPr>
        <w:fldChar w:fldCharType="begin"/>
      </w:r>
      <w:r>
        <w:rPr>
          <w:szCs w:val="44"/>
        </w:rPr>
        <w:instrText xml:space="preserve"> HYPERLINK \l _Toc2398 </w:instrText>
      </w:r>
      <w:r>
        <w:rPr>
          <w:szCs w:val="44"/>
        </w:rPr>
        <w:fldChar w:fldCharType="separate"/>
      </w:r>
      <w:r>
        <w:rPr>
          <w:rFonts w:hint="eastAsia"/>
          <w:lang w:eastAsia="zh-CN"/>
        </w:rPr>
        <w:t>六、</w:t>
      </w:r>
      <w:r>
        <w:rPr>
          <w:rFonts w:hint="eastAsia"/>
          <w:lang w:val="en-US" w:eastAsia="zh-CN"/>
        </w:rPr>
        <w:t>有关建议</w:t>
      </w:r>
      <w:r>
        <w:tab/>
      </w:r>
      <w:r>
        <w:rPr>
          <w:rFonts w:hint="eastAsia"/>
          <w:lang w:val="en-US" w:eastAsia="zh-CN"/>
        </w:rPr>
        <w:t>1</w:t>
      </w:r>
      <w:r>
        <w:rPr>
          <w:szCs w:val="44"/>
        </w:rPr>
        <w:fldChar w:fldCharType="end"/>
      </w:r>
      <w:r>
        <w:rPr>
          <w:rFonts w:hint="eastAsia"/>
          <w:szCs w:val="44"/>
          <w:lang w:val="en-US" w:eastAsia="zh-CN"/>
        </w:rPr>
        <w:t>4</w:t>
      </w:r>
    </w:p>
    <w:p>
      <w:pPr>
        <w:pageBreakBefore w:val="0"/>
        <w:kinsoku/>
        <w:wordWrap/>
        <w:overflowPunct/>
        <w:topLinePunct w:val="0"/>
        <w:autoSpaceDE/>
        <w:autoSpaceDN/>
        <w:bidi w:val="0"/>
        <w:adjustRightInd/>
        <w:snapToGrid/>
        <w:spacing w:line="560" w:lineRule="exact"/>
        <w:rPr>
          <w:b/>
          <w:bCs/>
          <w:sz w:val="20"/>
          <w:szCs w:val="20"/>
        </w:rPr>
      </w:pPr>
      <w:r>
        <w:rPr>
          <w:b/>
          <w:bCs/>
          <w:sz w:val="20"/>
          <w:szCs w:val="20"/>
        </w:rPr>
        <w:fldChar w:fldCharType="begin"/>
      </w:r>
      <w:r>
        <w:rPr>
          <w:b/>
          <w:bCs/>
          <w:sz w:val="20"/>
          <w:szCs w:val="20"/>
        </w:rPr>
        <w:instrText xml:space="preserve"> HYPERLINK \l _Toc3345 </w:instrText>
      </w:r>
      <w:r>
        <w:rPr>
          <w:b/>
          <w:bCs/>
          <w:sz w:val="20"/>
          <w:szCs w:val="20"/>
        </w:rPr>
        <w:fldChar w:fldCharType="separate"/>
      </w:r>
      <w:r>
        <w:rPr>
          <w:rFonts w:hint="eastAsia"/>
          <w:b/>
          <w:bCs/>
          <w:sz w:val="20"/>
          <w:szCs w:val="20"/>
          <w:lang w:eastAsia="zh-CN"/>
        </w:rPr>
        <w:t>七、</w:t>
      </w:r>
      <w:r>
        <w:rPr>
          <w:rFonts w:hint="eastAsia"/>
          <w:b/>
          <w:bCs/>
          <w:sz w:val="20"/>
          <w:szCs w:val="20"/>
          <w:lang w:val="en-US" w:eastAsia="zh-CN"/>
        </w:rPr>
        <w:t>其他需要说明的问题......................................................................................................................15</w:t>
      </w:r>
      <w:r>
        <w:rPr>
          <w:b/>
          <w:bCs/>
          <w:sz w:val="20"/>
          <w:szCs w:val="20"/>
        </w:rPr>
        <w:fldChar w:fldCharType="end"/>
      </w:r>
    </w:p>
    <w:p>
      <w:pPr>
        <w:pageBreakBefore w:val="0"/>
        <w:kinsoku/>
        <w:wordWrap/>
        <w:overflowPunct/>
        <w:topLinePunct w:val="0"/>
        <w:autoSpaceDE/>
        <w:autoSpaceDN/>
        <w:bidi w:val="0"/>
        <w:adjustRightInd/>
        <w:snapToGrid/>
        <w:spacing w:line="560" w:lineRule="exact"/>
        <w:rPr>
          <w:rFonts w:hint="eastAsia"/>
          <w:szCs w:val="44"/>
          <w:lang w:val="en-US" w:eastAsia="zh-CN"/>
        </w:rPr>
      </w:pPr>
    </w:p>
    <w:p>
      <w:pPr>
        <w:pageBreakBefore w:val="0"/>
        <w:kinsoku/>
        <w:wordWrap/>
        <w:overflowPunct/>
        <w:topLinePunct w:val="0"/>
        <w:autoSpaceDE/>
        <w:autoSpaceDN/>
        <w:bidi w:val="0"/>
        <w:adjustRightInd/>
        <w:snapToGrid/>
        <w:spacing w:line="560" w:lineRule="exact"/>
        <w:rPr>
          <w:rFonts w:hint="default" w:eastAsia="宋体"/>
          <w:b/>
          <w:bCs/>
          <w:sz w:val="20"/>
          <w:szCs w:val="20"/>
          <w:lang w:val="en-US" w:eastAsia="zh-CN"/>
        </w:rPr>
      </w:pPr>
      <w:r>
        <w:rPr>
          <w:rFonts w:hint="eastAsia"/>
          <w:b/>
          <w:bCs/>
          <w:sz w:val="20"/>
          <w:szCs w:val="20"/>
          <w:lang w:val="en-US" w:eastAsia="zh-CN"/>
        </w:rPr>
        <w:t>附件1........................................................................................................................................................16</w:t>
      </w:r>
    </w:p>
    <w:p>
      <w:pPr>
        <w:pageBreakBefore w:val="0"/>
        <w:kinsoku/>
        <w:wordWrap/>
        <w:overflowPunct/>
        <w:topLinePunct w:val="0"/>
        <w:autoSpaceDE/>
        <w:autoSpaceDN/>
        <w:bidi w:val="0"/>
        <w:adjustRightInd/>
        <w:snapToGrid/>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napToGrid/>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Style w:val="2"/>
        <w:pageBreakBefore w:val="0"/>
        <w:kinsoku/>
        <w:wordWrap/>
        <w:overflowPunct/>
        <w:topLinePunct w:val="0"/>
        <w:autoSpaceDE/>
        <w:autoSpaceDN/>
        <w:bidi w:val="0"/>
        <w:adjustRightInd/>
        <w:snapToGrid/>
        <w:spacing w:before="0" w:after="0" w:line="560" w:lineRule="exact"/>
        <w:ind w:firstLine="640" w:firstLineChars="200"/>
        <w:jc w:val="left"/>
        <w:rPr>
          <w:rFonts w:hint="default" w:eastAsiaTheme="majorEastAsia"/>
          <w:lang w:val="en-US" w:eastAsia="zh-CN"/>
        </w:rPr>
      </w:pPr>
      <w:r>
        <w:rPr>
          <w:rFonts w:hint="eastAsia" w:ascii="仿宋_GB2312" w:hAnsi="仿宋_GB2312" w:eastAsia="仿宋_GB2312" w:cs="仿宋_GB2312"/>
          <w:b w:val="0"/>
          <w:bCs w:val="0"/>
          <w:kern w:val="0"/>
          <w:sz w:val="32"/>
          <w:szCs w:val="32"/>
          <w:lang w:val="en-US" w:eastAsia="zh-CN"/>
        </w:rPr>
        <w:t>塔城地区业余体育学校新校区综合楼项目于2018年10月底竣工，2019年4月体校整体搬迁至新校区办公。由于地区体校新校区室外足球场、轮滑场需要新建，故塔城地区业余体校室外足球场、轮滑场项目建设于2020年5月7日经塔城地区文化体育广播电视和旅游局局党组会议研究批复同意建设。</w:t>
      </w:r>
    </w:p>
    <w:p>
      <w:pPr>
        <w:pageBreakBefore w:val="0"/>
        <w:numPr>
          <w:ilvl w:val="0"/>
          <w:numId w:val="1"/>
        </w:numPr>
        <w:kinsoku/>
        <w:wordWrap/>
        <w:overflowPunct/>
        <w:topLinePunct w:val="0"/>
        <w:autoSpaceDE/>
        <w:autoSpaceDN/>
        <w:bidi w:val="0"/>
        <w:adjustRightInd/>
        <w:snapToGrid/>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项目主要内容：建设200米轮滑场1个，七人制标准足球场1个、五人制标准足球场2个。</w:t>
      </w:r>
    </w:p>
    <w:p>
      <w:pPr>
        <w:pStyle w:val="2"/>
        <w:pageBreakBefore w:val="0"/>
        <w:kinsoku/>
        <w:wordWrap/>
        <w:overflowPunct/>
        <w:topLinePunct w:val="0"/>
        <w:autoSpaceDE/>
        <w:autoSpaceDN/>
        <w:bidi w:val="0"/>
        <w:adjustRightInd/>
        <w:snapToGrid/>
        <w:spacing w:before="0" w:after="0" w:line="560" w:lineRule="exact"/>
        <w:ind w:firstLine="640" w:firstLineChars="200"/>
        <w:jc w:val="both"/>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w:t>
      </w:r>
      <w:r>
        <w:rPr>
          <w:rFonts w:hint="eastAsia" w:ascii="仿宋_GB2312" w:hAnsi="仿宋_GB2312" w:eastAsia="仿宋_GB2312" w:cs="仿宋_GB2312"/>
          <w:sz w:val="32"/>
          <w:szCs w:val="32"/>
          <w:highlight w:val="none"/>
          <w:lang w:val="en-US" w:eastAsia="zh-CN"/>
        </w:rPr>
        <w:t>200</w:t>
      </w:r>
      <w:r>
        <w:rPr>
          <w:rFonts w:hint="eastAsia" w:ascii="仿宋_GB2312" w:hAnsi="仿宋_GB2312" w:eastAsia="仿宋_GB2312" w:cs="仿宋_GB2312"/>
          <w:sz w:val="32"/>
          <w:szCs w:val="32"/>
          <w:highlight w:val="none"/>
        </w:rPr>
        <w:t>万元，其中：财政本级资金</w:t>
      </w:r>
      <w:r>
        <w:rPr>
          <w:rFonts w:hint="eastAsia" w:ascii="仿宋_GB2312" w:hAnsi="仿宋_GB2312" w:eastAsia="仿宋_GB2312" w:cs="仿宋_GB2312"/>
          <w:sz w:val="32"/>
          <w:szCs w:val="32"/>
          <w:highlight w:val="none"/>
          <w:lang w:val="en-US" w:eastAsia="zh-CN"/>
        </w:rPr>
        <w:t>200</w:t>
      </w:r>
      <w:r>
        <w:rPr>
          <w:rFonts w:hint="eastAsia" w:ascii="仿宋_GB2312" w:hAnsi="仿宋_GB2312" w:eastAsia="仿宋_GB2312" w:cs="仿宋_GB2312"/>
          <w:sz w:val="32"/>
          <w:szCs w:val="32"/>
          <w:highlight w:val="none"/>
        </w:rPr>
        <w:t>万元。项目实际支出</w:t>
      </w:r>
      <w:r>
        <w:rPr>
          <w:rFonts w:hint="eastAsia" w:ascii="仿宋_GB2312" w:hAnsi="仿宋_GB2312" w:eastAsia="仿宋_GB2312" w:cs="仿宋_GB2312"/>
          <w:sz w:val="32"/>
          <w:szCs w:val="32"/>
          <w:highlight w:val="none"/>
          <w:lang w:val="en-US" w:eastAsia="zh-CN"/>
        </w:rPr>
        <w:t>200</w:t>
      </w:r>
      <w:r>
        <w:rPr>
          <w:rFonts w:hint="eastAsia" w:ascii="仿宋_GB2312" w:hAnsi="仿宋_GB2312" w:eastAsia="仿宋_GB2312" w:cs="仿宋_GB2312"/>
          <w:sz w:val="32"/>
          <w:szCs w:val="32"/>
          <w:highlight w:val="none"/>
        </w:rPr>
        <w:t>万元，支出率为100%</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exact"/>
        <w:ind w:firstLine="579" w:firstLineChars="18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项目总投</w:t>
      </w:r>
      <w:r>
        <w:rPr>
          <w:rFonts w:hint="eastAsia" w:ascii="仿宋_GB2312" w:hAnsi="仿宋_GB2312" w:eastAsia="仿宋_GB2312" w:cs="仿宋_GB2312"/>
          <w:sz w:val="32"/>
          <w:szCs w:val="32"/>
          <w:highlight w:val="none"/>
        </w:rPr>
        <w:t>资</w:t>
      </w:r>
      <w:r>
        <w:rPr>
          <w:rFonts w:hint="eastAsia" w:ascii="仿宋_GB2312" w:hAnsi="仿宋_GB2312" w:eastAsia="仿宋_GB2312" w:cs="仿宋_GB2312"/>
          <w:sz w:val="32"/>
          <w:szCs w:val="32"/>
          <w:highlight w:val="none"/>
          <w:lang w:val="en-US" w:eastAsia="zh-CN"/>
        </w:rPr>
        <w:t>200</w:t>
      </w:r>
      <w:r>
        <w:rPr>
          <w:rFonts w:hint="eastAsia" w:ascii="仿宋_GB2312" w:hAnsi="仿宋_GB2312" w:eastAsia="仿宋_GB2312" w:cs="仿宋_GB2312"/>
          <w:sz w:val="32"/>
          <w:szCs w:val="32"/>
          <w:highlight w:val="none"/>
        </w:rPr>
        <w:t>万元，按照《</w:t>
      </w:r>
      <w:r>
        <w:rPr>
          <w:rFonts w:hint="eastAsia" w:ascii="仿宋_GB2312" w:hAnsi="仿宋_GB2312" w:eastAsia="仿宋_GB2312" w:cs="仿宋_GB2312"/>
          <w:sz w:val="32"/>
          <w:szCs w:val="32"/>
          <w:highlight w:val="none"/>
          <w:lang w:val="en-US" w:eastAsia="zh-CN"/>
        </w:rPr>
        <w:t>基本建设</w:t>
      </w:r>
      <w:r>
        <w:rPr>
          <w:rFonts w:hint="eastAsia" w:ascii="仿宋_GB2312" w:hAnsi="仿宋_GB2312" w:eastAsia="仿宋_GB2312" w:cs="仿宋_GB2312"/>
          <w:sz w:val="32"/>
          <w:szCs w:val="32"/>
          <w:highlight w:val="none"/>
        </w:rPr>
        <w:t>资金管理办法》及单位财务制度等相关规定，资金支出符合</w:t>
      </w:r>
      <w:r>
        <w:rPr>
          <w:rFonts w:hint="eastAsia" w:ascii="仿宋_GB2312" w:hAnsi="仿宋_GB2312" w:eastAsia="仿宋_GB2312" w:cs="仿宋_GB2312"/>
          <w:sz w:val="32"/>
          <w:szCs w:val="32"/>
          <w:highlight w:val="none"/>
          <w:lang w:val="en-US" w:eastAsia="zh-CN"/>
        </w:rPr>
        <w:t>基本建设</w:t>
      </w:r>
      <w:r>
        <w:rPr>
          <w:rFonts w:hint="eastAsia" w:ascii="仿宋_GB2312" w:hAnsi="仿宋_GB2312" w:eastAsia="仿宋_GB2312" w:cs="仿宋_GB2312"/>
          <w:sz w:val="32"/>
          <w:szCs w:val="32"/>
          <w:highlight w:val="none"/>
        </w:rPr>
        <w:t>专项资金费用范围，做到了专款专用。在项目资金拨付和使用过程中，为</w:t>
      </w:r>
      <w:r>
        <w:rPr>
          <w:rFonts w:hint="eastAsia" w:ascii="仿宋_GB2312" w:hAnsi="仿宋_GB2312" w:eastAsia="仿宋_GB2312" w:cs="仿宋_GB2312"/>
          <w:sz w:val="32"/>
          <w:szCs w:val="32"/>
        </w:rPr>
        <w:t>确保项目资金的安全性，提高项目资金使用效率，严格遵循</w:t>
      </w:r>
      <w:r>
        <w:rPr>
          <w:rFonts w:hint="eastAsia" w:ascii="仿宋_GB2312" w:hAnsi="仿宋_GB2312" w:eastAsia="仿宋_GB2312" w:cs="仿宋_GB2312"/>
          <w:sz w:val="32"/>
          <w:szCs w:val="32"/>
          <w:lang w:val="en-US" w:eastAsia="zh-CN"/>
        </w:rPr>
        <w:t>基</w:t>
      </w:r>
      <w:r>
        <w:rPr>
          <w:rFonts w:hint="eastAsia" w:ascii="仿宋_GB2312" w:hAnsi="仿宋_GB2312" w:eastAsia="仿宋_GB2312" w:cs="仿宋_GB2312"/>
          <w:sz w:val="32"/>
          <w:szCs w:val="32"/>
          <w:highlight w:val="none"/>
          <w:lang w:val="en-US" w:eastAsia="zh-CN"/>
        </w:rPr>
        <w:t>本建设</w:t>
      </w:r>
      <w:r>
        <w:rPr>
          <w:rFonts w:hint="eastAsia" w:ascii="仿宋_GB2312" w:hAnsi="仿宋_GB2312" w:eastAsia="仿宋_GB2312" w:cs="仿宋_GB2312"/>
          <w:sz w:val="32"/>
          <w:szCs w:val="32"/>
          <w:highlight w:val="none"/>
        </w:rPr>
        <w:t>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exact"/>
        <w:ind w:firstLine="579" w:firstLineChars="181"/>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（2）预算资金来源及使用情况</w:t>
      </w:r>
      <w:bookmarkStart w:id="0" w:name="page10"/>
      <w:bookmarkEnd w:id="0"/>
    </w:p>
    <w:p>
      <w:pPr>
        <w:pageBreakBefore w:val="0"/>
        <w:kinsoku/>
        <w:wordWrap/>
        <w:overflowPunct/>
        <w:topLinePunct w:val="0"/>
        <w:autoSpaceDE/>
        <w:autoSpaceDN/>
        <w:bidi w:val="0"/>
        <w:adjustRightInd/>
        <w:snapToGrid/>
        <w:spacing w:line="560" w:lineRule="exact"/>
        <w:ind w:firstLine="579" w:firstLineChars="181"/>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项目预算资金来源于</w:t>
      </w:r>
      <w:r>
        <w:rPr>
          <w:rFonts w:hint="eastAsia" w:ascii="仿宋_GB2312" w:hAnsi="仿宋_GB2312" w:eastAsia="仿宋_GB2312" w:cs="仿宋_GB2312"/>
          <w:sz w:val="32"/>
          <w:szCs w:val="32"/>
          <w:highlight w:val="none"/>
          <w:lang w:val="en-US" w:eastAsia="zh-CN"/>
        </w:rPr>
        <w:t>塔地财综字</w:t>
      </w:r>
      <w:r>
        <w:rPr>
          <w:rFonts w:hint="eastAsia"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19</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52</w:t>
      </w:r>
      <w:r>
        <w:rPr>
          <w:rFonts w:hint="eastAsia" w:ascii="仿宋_GB2312" w:hAnsi="仿宋_GB2312" w:eastAsia="仿宋_GB2312" w:cs="仿宋_GB2312"/>
          <w:sz w:val="32"/>
          <w:szCs w:val="32"/>
          <w:highlight w:val="none"/>
        </w:rPr>
        <w:t>文件中批复的资金，项目资金到位</w:t>
      </w:r>
      <w:r>
        <w:rPr>
          <w:rFonts w:hint="eastAsia" w:ascii="仿宋_GB2312" w:hAnsi="仿宋_GB2312" w:eastAsia="仿宋_GB2312" w:cs="仿宋_GB2312"/>
          <w:sz w:val="32"/>
          <w:szCs w:val="32"/>
          <w:highlight w:val="none"/>
          <w:lang w:val="en-US" w:eastAsia="zh-CN"/>
        </w:rPr>
        <w:t>200</w:t>
      </w:r>
      <w:r>
        <w:rPr>
          <w:rFonts w:hint="eastAsia" w:ascii="仿宋_GB2312" w:hAnsi="仿宋_GB2312" w:eastAsia="仿宋_GB2312" w:cs="仿宋_GB2312"/>
          <w:sz w:val="32"/>
          <w:szCs w:val="32"/>
          <w:highlight w:val="none"/>
        </w:rPr>
        <w:t>万元，用于支付项目实施进程中的各项费用。</w:t>
      </w:r>
    </w:p>
    <w:p>
      <w:pPr>
        <w:pageBreakBefore w:val="0"/>
        <w:kinsoku/>
        <w:wordWrap/>
        <w:overflowPunct/>
        <w:topLinePunct w:val="0"/>
        <w:autoSpaceDE/>
        <w:autoSpaceDN/>
        <w:bidi w:val="0"/>
        <w:adjustRightInd/>
        <w:snapToGrid/>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1、总体目标</w:t>
      </w:r>
      <w:r>
        <w:rPr>
          <w:rFonts w:hint="eastAsia" w:ascii="仿宋_GB2312" w:hAnsi="仿宋_GB2312" w:eastAsia="仿宋_GB2312" w:cs="仿宋_GB2312"/>
          <w:b/>
          <w:bCs/>
          <w:sz w:val="32"/>
          <w:szCs w:val="32"/>
          <w:lang w:eastAsia="zh-CN"/>
        </w:rPr>
        <w:t>：</w:t>
      </w:r>
    </w:p>
    <w:p>
      <w:pPr>
        <w:pageBreakBefore w:val="0"/>
        <w:kinsoku/>
        <w:wordWrap/>
        <w:overflowPunct/>
        <w:topLinePunct w:val="0"/>
        <w:autoSpaceDE/>
        <w:autoSpaceDN/>
        <w:bidi w:val="0"/>
        <w:adjustRightInd/>
        <w:snapToGrid/>
        <w:spacing w:line="560" w:lineRule="exact"/>
        <w:ind w:firstLine="641"/>
        <w:rPr>
          <w:rFonts w:hint="default" w:eastAsia="仿宋_GB2312"/>
          <w:lang w:val="en-US" w:eastAsia="zh-CN"/>
        </w:rPr>
      </w:pPr>
      <w:r>
        <w:rPr>
          <w:rFonts w:hint="eastAsia" w:ascii="仿宋_GB2312" w:hAnsi="仿宋_GB2312" w:eastAsia="仿宋_GB2312" w:cs="仿宋_GB2312"/>
          <w:sz w:val="32"/>
          <w:szCs w:val="32"/>
          <w:lang w:val="en-US" w:eastAsia="zh-CN"/>
        </w:rPr>
        <w:t>建设200米轮滑场1个，七人制标准足球场1个、五人制标准足球场2个。</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（1）前期准备：根据《</w:t>
      </w:r>
      <w:r>
        <w:rPr>
          <w:rFonts w:hint="eastAsia" w:ascii="仿宋_GB2312" w:hAnsi="仿宋_GB2312" w:eastAsia="仿宋_GB2312" w:cs="仿宋_GB2312"/>
          <w:sz w:val="32"/>
          <w:szCs w:val="32"/>
          <w:highlight w:val="none"/>
          <w:lang w:val="en-US" w:eastAsia="zh-CN"/>
        </w:rPr>
        <w:t>塔城地区业余体校室外足球场、轮滑场项目建设</w:t>
      </w:r>
      <w:r>
        <w:rPr>
          <w:rFonts w:hint="eastAsia" w:ascii="仿宋_GB2312" w:hAnsi="仿宋_GB2312" w:eastAsia="仿宋_GB2312" w:cs="仿宋_GB2312"/>
          <w:sz w:val="32"/>
          <w:szCs w:val="32"/>
          <w:highlight w:val="none"/>
        </w:rPr>
        <w:t>方案》，通过制定项目实施方案，经项目负责人审核通过后，有序开展后续工程。</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（2）组织实施：资金一到位，立即根据项目要求实施项目。项目责任人按照《</w:t>
      </w:r>
      <w:r>
        <w:rPr>
          <w:rFonts w:hint="eastAsia" w:ascii="仿宋_GB2312" w:hAnsi="仿宋_GB2312" w:eastAsia="仿宋_GB2312" w:cs="仿宋_GB2312"/>
          <w:sz w:val="32"/>
          <w:szCs w:val="32"/>
          <w:highlight w:val="none"/>
          <w:lang w:val="en-US" w:eastAsia="zh-CN"/>
        </w:rPr>
        <w:t>塔城地区业余体校室外足球场、轮滑场地项目建设</w:t>
      </w:r>
      <w:r>
        <w:rPr>
          <w:rFonts w:hint="eastAsia" w:ascii="仿宋_GB2312" w:hAnsi="仿宋_GB2312" w:eastAsia="仿宋_GB2312" w:cs="仿宋_GB2312"/>
          <w:sz w:val="32"/>
          <w:szCs w:val="32"/>
          <w:highlight w:val="none"/>
        </w:rPr>
        <w:t>方案》要求逐一进行项目部署安排，提高项目质量及效率性。</w:t>
      </w:r>
    </w:p>
    <w:p>
      <w:pPr>
        <w:pageBreakBefore w:val="0"/>
        <w:kinsoku/>
        <w:wordWrap/>
        <w:overflowPunct/>
        <w:topLinePunct w:val="0"/>
        <w:autoSpaceDE/>
        <w:autoSpaceDN/>
        <w:bidi w:val="0"/>
        <w:adjustRightInd/>
        <w:snapToGrid/>
        <w:spacing w:line="560" w:lineRule="exact"/>
        <w:ind w:firstLine="641"/>
        <w:rPr>
          <w:rFonts w:ascii="黑体" w:hAnsi="黑体" w:eastAsia="黑体"/>
          <w:sz w:val="32"/>
          <w:szCs w:val="32"/>
        </w:rPr>
      </w:pPr>
      <w:r>
        <w:rPr>
          <w:rFonts w:hint="eastAsia" w:ascii="黑体" w:hAnsi="黑体" w:eastAsia="黑体"/>
          <w:sz w:val="32"/>
          <w:szCs w:val="32"/>
        </w:rPr>
        <w:t>二、绩效评价工作开展情况</w:t>
      </w:r>
    </w:p>
    <w:p>
      <w:pPr>
        <w:pageBreakBefore w:val="0"/>
        <w:kinsoku/>
        <w:wordWrap/>
        <w:overflowPunct/>
        <w:topLinePunct w:val="0"/>
        <w:autoSpaceDE/>
        <w:autoSpaceDN/>
        <w:bidi w:val="0"/>
        <w:adjustRightInd/>
        <w:snapToGrid/>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2"/>
        </w:numPr>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641"/>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绩效评价的对象</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评价对象为塔城地区业余体校室外足球场、轮滑场项目建设。</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绩效评价的范围</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评价范围为业余体校室外足球场、轮滑场项目建设的项目决策、项目过程、项目产出、项目效益等范围进行评价。</w:t>
      </w:r>
    </w:p>
    <w:p>
      <w:pPr>
        <w:pageBreakBefore w:val="0"/>
        <w:kinsoku/>
        <w:wordWrap/>
        <w:overflowPunct/>
        <w:topLinePunct w:val="0"/>
        <w:autoSpaceDE/>
        <w:autoSpaceDN/>
        <w:bidi w:val="0"/>
        <w:adjustRightInd/>
        <w:snapToGrid/>
        <w:spacing w:line="560" w:lineRule="exact"/>
        <w:ind w:firstLine="641"/>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napToGrid/>
        <w:spacing w:line="560" w:lineRule="exact"/>
        <w:ind w:firstLine="641"/>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、项目产出、项目效益、项目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highlight w:val="none"/>
        </w:rPr>
        <w:t>权重为</w:t>
      </w:r>
      <w:r>
        <w:rPr>
          <w:rFonts w:hint="eastAsia" w:ascii="仿宋_GB2312" w:hAnsi="仿宋_GB2312" w:eastAsia="仿宋_GB2312" w:cs="仿宋_GB2312"/>
          <w:color w:val="000000"/>
          <w:spacing w:val="17"/>
          <w:sz w:val="32"/>
          <w:szCs w:val="32"/>
          <w:highlight w:val="none"/>
          <w:lang w:val="en-US" w:eastAsia="zh-CN"/>
        </w:rPr>
        <w:t>10%</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highlight w:val="none"/>
        </w:rPr>
        <w:t>权重值占</w:t>
      </w:r>
      <w:r>
        <w:rPr>
          <w:rFonts w:hint="eastAsia" w:ascii="仿宋_GB2312" w:hAnsi="仿宋_GB2312" w:eastAsia="仿宋_GB2312" w:cs="仿宋_GB2312"/>
          <w:color w:val="000000"/>
          <w:spacing w:val="17"/>
          <w:sz w:val="32"/>
          <w:szCs w:val="32"/>
          <w:highlight w:val="none"/>
          <w:lang w:val="en-US" w:eastAsia="zh-CN"/>
        </w:rPr>
        <w:t>50%</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产出</w:t>
      </w:r>
      <w:r>
        <w:rPr>
          <w:rFonts w:hint="eastAsia" w:ascii="仿宋_GB2312" w:hAnsi="仿宋_GB2312" w:eastAsia="仿宋_GB2312" w:cs="仿宋_GB2312"/>
          <w:color w:val="000000"/>
          <w:spacing w:val="17"/>
          <w:sz w:val="32"/>
          <w:szCs w:val="32"/>
          <w:highlight w:val="none"/>
        </w:rPr>
        <w:t>权重值占</w:t>
      </w:r>
      <w:r>
        <w:rPr>
          <w:rFonts w:hint="eastAsia" w:ascii="仿宋_GB2312" w:hAnsi="仿宋_GB2312" w:eastAsia="仿宋_GB2312" w:cs="仿宋_GB2312"/>
          <w:color w:val="000000"/>
          <w:spacing w:val="17"/>
          <w:sz w:val="32"/>
          <w:szCs w:val="32"/>
          <w:highlight w:val="none"/>
          <w:lang w:val="en-US" w:eastAsia="zh-CN"/>
        </w:rPr>
        <w:t>30%</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效益</w:t>
      </w:r>
      <w:r>
        <w:rPr>
          <w:rFonts w:hint="eastAsia" w:ascii="仿宋_GB2312" w:hAnsi="仿宋_GB2312" w:eastAsia="仿宋_GB2312" w:cs="仿宋_GB2312"/>
          <w:color w:val="000000"/>
          <w:spacing w:val="17"/>
          <w:sz w:val="32"/>
          <w:szCs w:val="32"/>
          <w:highlight w:val="none"/>
        </w:rPr>
        <w:t>权重占</w:t>
      </w:r>
      <w:r>
        <w:rPr>
          <w:rFonts w:hint="eastAsia" w:ascii="仿宋_GB2312" w:hAnsi="仿宋_GB2312" w:eastAsia="仿宋_GB2312" w:cs="仿宋_GB2312"/>
          <w:color w:val="000000"/>
          <w:spacing w:val="17"/>
          <w:sz w:val="32"/>
          <w:szCs w:val="32"/>
          <w:highlight w:val="none"/>
          <w:lang w:val="en-US" w:eastAsia="zh-CN"/>
        </w:rPr>
        <w:t>10%</w:t>
      </w:r>
      <w:r>
        <w:rPr>
          <w:rFonts w:hint="eastAsia" w:ascii="仿宋_GB2312" w:hAnsi="仿宋_GB2312" w:eastAsia="仿宋_GB2312" w:cs="仿宋_GB2312"/>
          <w:color w:val="000000"/>
          <w:spacing w:val="17"/>
          <w:sz w:val="32"/>
          <w:szCs w:val="32"/>
          <w:highlight w:val="none"/>
        </w:rPr>
        <w:t>。</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firstLine="708" w:firstLineChars="200"/>
        <w:jc w:val="both"/>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jc w:val="both"/>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附件</w:t>
      </w:r>
      <w:r>
        <w:rPr>
          <w:rFonts w:hint="eastAsia" w:ascii="仿宋_GB2312" w:hAnsi="仿宋_GB2312" w:eastAsia="仿宋_GB2312" w:cs="仿宋_GB2312"/>
          <w:b w:val="0"/>
          <w:bCs w:val="0"/>
          <w:color w:val="000000"/>
          <w:spacing w:val="17"/>
        </w:rPr>
        <w:t>1</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4、评价标准</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绩效评价标准通常包括计划标准、行业标准、历史标准等，用于对绩效指标完成情况进行比较。本次评价主要采用了计划标准和行业标准。</w:t>
      </w:r>
    </w:p>
    <w:p>
      <w:pPr>
        <w:pStyle w:val="2"/>
        <w:pageBreakBefore w:val="0"/>
        <w:numPr>
          <w:ilvl w:val="0"/>
          <w:numId w:val="0"/>
        </w:numPr>
        <w:kinsoku/>
        <w:wordWrap/>
        <w:overflowPunct/>
        <w:topLinePunct w:val="0"/>
        <w:autoSpaceDE/>
        <w:autoSpaceDN/>
        <w:bidi w:val="0"/>
        <w:adjustRightInd/>
        <w:snapToGrid/>
        <w:spacing w:before="0" w:after="0" w:line="560" w:lineRule="exact"/>
        <w:ind w:firstLine="711" w:firstLineChars="200"/>
        <w:jc w:val="both"/>
        <w:rPr>
          <w:rFonts w:hint="eastAsia" w:ascii="楷体_GB2312" w:hAnsi="楷体_GB2312" w:eastAsia="楷体_GB2312" w:cs="楷体_GB2312"/>
          <w:color w:val="000000"/>
          <w:spacing w:val="17"/>
          <w:sz w:val="32"/>
          <w:szCs w:val="32"/>
          <w:lang w:val="en-US" w:eastAsia="zh-CN"/>
        </w:rPr>
      </w:pPr>
      <w:r>
        <w:rPr>
          <w:rFonts w:hint="eastAsia" w:ascii="楷体_GB2312" w:hAnsi="楷体_GB2312" w:eastAsia="楷体_GB2312" w:cs="楷体_GB2312"/>
          <w:color w:val="000000"/>
          <w:spacing w:val="17"/>
          <w:sz w:val="32"/>
          <w:szCs w:val="32"/>
          <w:lang w:val="en-US" w:eastAsia="zh-CN"/>
        </w:rPr>
        <w:t>（三）绩效评价工作过程</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exact"/>
        <w:ind w:firstLine="641"/>
      </w:pPr>
      <w:r>
        <w:rPr>
          <w:rFonts w:hint="eastAsia" w:ascii="仿宋_GB2312" w:hAnsi="仿宋_GB2312" w:eastAsia="仿宋_GB2312" w:cs="仿宋_GB2312"/>
          <w:color w:val="000000"/>
          <w:spacing w:val="17"/>
          <w:sz w:val="32"/>
          <w:szCs w:val="32"/>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3"/>
        </w:numPr>
        <w:kinsoku/>
        <w:wordWrap/>
        <w:overflowPunct/>
        <w:topLinePunct w:val="0"/>
        <w:autoSpaceDE/>
        <w:autoSpaceDN/>
        <w:bidi w:val="0"/>
        <w:adjustRightInd/>
        <w:snapToGrid/>
        <w:spacing w:line="560" w:lineRule="exact"/>
        <w:ind w:firstLine="641"/>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Style w:val="2"/>
        <w:pageBreakBefore w:val="0"/>
        <w:widowControl w:val="0"/>
        <w:kinsoku/>
        <w:wordWrap/>
        <w:overflowPunct/>
        <w:topLinePunct w:val="0"/>
        <w:autoSpaceDE/>
        <w:autoSpaceDN/>
        <w:bidi w:val="0"/>
        <w:adjustRightInd/>
        <w:snapToGrid/>
        <w:spacing w:before="0" w:after="0" w:line="560" w:lineRule="exact"/>
        <w:ind w:firstLine="641"/>
        <w:jc w:val="center"/>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对</w:t>
      </w:r>
      <w:r>
        <w:rPr>
          <w:rFonts w:hint="eastAsia" w:ascii="仿宋_GB2312" w:hAnsi="仿宋_GB2312" w:eastAsia="仿宋_GB2312" w:cs="仿宋_GB2312"/>
          <w:b w:val="0"/>
          <w:bCs w:val="0"/>
          <w:highlight w:val="none"/>
          <w:lang w:val="en-US" w:eastAsia="zh-CN"/>
        </w:rPr>
        <w:t>塔城地区业余体校室外足球场、轮滑场</w:t>
      </w:r>
      <w:r>
        <w:rPr>
          <w:rFonts w:hint="eastAsia" w:ascii="仿宋_GB2312" w:hAnsi="仿宋_GB2312" w:eastAsia="仿宋_GB2312" w:cs="仿宋_GB2312"/>
          <w:b w:val="0"/>
          <w:bCs w:val="0"/>
          <w:highlight w:val="none"/>
        </w:rPr>
        <w:t>项目</w:t>
      </w:r>
      <w:r>
        <w:rPr>
          <w:rFonts w:hint="eastAsia" w:ascii="仿宋_GB2312" w:hAnsi="仿宋_GB2312" w:eastAsia="仿宋_GB2312" w:cs="仿宋_GB2312"/>
          <w:b w:val="0"/>
          <w:bCs w:val="0"/>
          <w:highlight w:val="none"/>
          <w:lang w:val="en-US" w:eastAsia="zh-CN"/>
        </w:rPr>
        <w:t>建设</w:t>
      </w:r>
      <w:r>
        <w:rPr>
          <w:rFonts w:hint="eastAsia" w:ascii="仿宋_GB2312" w:hAnsi="仿宋_GB2312" w:eastAsia="仿宋_GB2312" w:cs="仿宋_GB2312"/>
          <w:b w:val="0"/>
          <w:bCs w:val="0"/>
          <w:highlight w:val="none"/>
        </w:rPr>
        <w:t xml:space="preserve">进行客观评价，最终评分结果：总得分为 </w:t>
      </w:r>
      <w:r>
        <w:rPr>
          <w:rFonts w:hint="eastAsia" w:ascii="仿宋_GB2312" w:hAnsi="仿宋_GB2312" w:eastAsia="仿宋_GB2312" w:cs="仿宋_GB2312"/>
          <w:b w:val="0"/>
          <w:bCs w:val="0"/>
          <w:highlight w:val="none"/>
          <w:lang w:val="en-US" w:eastAsia="zh-CN"/>
        </w:rPr>
        <w:t>100</w:t>
      </w:r>
      <w:r>
        <w:rPr>
          <w:rFonts w:hint="eastAsia" w:ascii="仿宋_GB2312" w:hAnsi="仿宋_GB2312" w:eastAsia="仿宋_GB2312" w:cs="仿宋_GB2312"/>
          <w:b w:val="0"/>
          <w:bCs w:val="0"/>
          <w:highlight w:val="none"/>
        </w:rPr>
        <w:t>分，属于“优”。其中，项目决策类指标权重为5分，得分为 5分，得分率为 100%。项目过程类指标权重为5分，得分为5 分，得分率为 100%。项目产出类指标权重为50分，得分为50分，得分率为 100%。项目效益类指标权重为40分，得分为</w:t>
      </w:r>
      <w:r>
        <w:rPr>
          <w:rFonts w:hint="eastAsia" w:ascii="仿宋_GB2312" w:hAnsi="仿宋_GB2312" w:eastAsia="仿宋_GB2312" w:cs="仿宋_GB2312"/>
          <w:b w:val="0"/>
          <w:bCs w:val="0"/>
          <w:highlight w:val="none"/>
          <w:lang w:val="en-US" w:eastAsia="zh-CN"/>
        </w:rPr>
        <w:t>40</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100</w:t>
      </w:r>
      <w:r>
        <w:rPr>
          <w:rFonts w:hint="eastAsia" w:ascii="仿宋_GB2312" w:hAnsi="仿宋_GB2312" w:eastAsia="仿宋_GB2312" w:cs="仿宋_GB2312"/>
          <w:b w:val="0"/>
          <w:bCs w:val="0"/>
          <w:highlight w:val="none"/>
        </w:rPr>
        <w:t>%。</w:t>
      </w:r>
    </w:p>
    <w:p>
      <w:pPr>
        <w:rPr>
          <w:rFonts w:hint="eastAsia" w:ascii="仿宋_GB2312" w:hAnsi="仿宋_GB2312" w:eastAsia="仿宋_GB2312" w:cs="仿宋_GB2312"/>
          <w:b w:val="0"/>
          <w:bCs w:val="0"/>
          <w:highlight w:val="none"/>
        </w:rPr>
      </w:pPr>
    </w:p>
    <w:p>
      <w:pPr>
        <w:pStyle w:val="2"/>
        <w:pageBreakBefore w:val="0"/>
        <w:widowControl w:val="0"/>
        <w:kinsoku/>
        <w:wordWrap/>
        <w:overflowPunct/>
        <w:topLinePunct w:val="0"/>
        <w:autoSpaceDE/>
        <w:autoSpaceDN/>
        <w:bidi w:val="0"/>
        <w:adjustRightInd/>
        <w:snapToGrid/>
        <w:spacing w:before="0" w:after="0" w:line="560" w:lineRule="exact"/>
        <w:ind w:firstLine="641"/>
        <w:jc w:val="center"/>
        <w:outlineLvl w:val="9"/>
        <w:rPr>
          <w:rFonts w:ascii="仿宋_GB2312" w:hAnsi="仿宋_GB2312" w:eastAsia="仿宋_GB2312" w:cs="仿宋_GB2312"/>
          <w:b w:val="0"/>
          <w:bCs w:val="0"/>
          <w:highlight w:val="none"/>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tbl>
      <w:tblPr>
        <w:tblStyle w:val="8"/>
        <w:tblpPr w:leftFromText="180" w:rightFromText="180" w:vertAnchor="text" w:horzAnchor="page" w:tblpX="1266" w:tblpY="1629"/>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Style w:val="2"/>
              <w:pageBreakBefore w:val="0"/>
              <w:kinsoku/>
              <w:wordWrap/>
              <w:overflowPunct/>
              <w:topLinePunct w:val="0"/>
              <w:autoSpaceDE/>
              <w:autoSpaceDN/>
              <w:bidi w:val="0"/>
              <w:adjustRightInd/>
              <w:snapToGrid/>
              <w:spacing w:before="0" w:after="0" w:line="560" w:lineRule="exact"/>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过程</w:t>
            </w:r>
          </w:p>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1个</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1个</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w:t>
            </w:r>
            <w:r>
              <w:rPr>
                <w:rFonts w:hint="eastAsia" w:ascii="宋体" w:hAnsi="宋体" w:cs="宋体"/>
                <w:color w:val="000000"/>
                <w:kern w:val="0"/>
                <w:sz w:val="22"/>
                <w:szCs w:val="22"/>
                <w:lang w:val="en-US" w:eastAsia="zh-CN"/>
              </w:rPr>
              <w:t>200万元</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=200万元</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实施效益</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80%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cs="宋体"/>
                <w:color w:val="000000"/>
                <w:kern w:val="0"/>
                <w:sz w:val="22"/>
                <w:szCs w:val="22"/>
                <w:lang w:val="en-US"/>
              </w:rPr>
            </w:pPr>
            <w:r>
              <w:rPr>
                <w:rFonts w:hint="eastAsia" w:ascii="宋体" w:hAnsi="宋体" w:cs="宋体"/>
                <w:color w:val="000000"/>
                <w:kern w:val="0"/>
                <w:sz w:val="22"/>
                <w:szCs w:val="22"/>
                <w:lang w:val="en-US" w:eastAsia="zh-CN"/>
              </w:rPr>
              <w:t>80%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rPr>
              <w:t>≥</w:t>
            </w:r>
            <w:r>
              <w:rPr>
                <w:rFonts w:hint="eastAsia" w:ascii="宋体" w:hAnsi="宋体" w:cs="宋体"/>
                <w:color w:val="000000"/>
                <w:kern w:val="0"/>
                <w:sz w:val="22"/>
                <w:szCs w:val="22"/>
                <w:lang w:val="en-US" w:eastAsia="zh-CN"/>
              </w:rPr>
              <w:t>90%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eastAsia="宋体" w:cs="宋体"/>
                <w:color w:val="000000"/>
                <w:kern w:val="0"/>
                <w:sz w:val="22"/>
                <w:szCs w:val="22"/>
              </w:rPr>
              <w:t>≥</w:t>
            </w:r>
            <w:r>
              <w:rPr>
                <w:rFonts w:hint="eastAsia" w:ascii="宋体" w:hAnsi="宋体" w:cs="宋体"/>
                <w:color w:val="000000"/>
                <w:kern w:val="0"/>
                <w:sz w:val="22"/>
                <w:szCs w:val="22"/>
                <w:lang w:val="en-US" w:eastAsia="zh-CN"/>
              </w:rPr>
              <w:t>90%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bl>
    <w:p>
      <w:pPr>
        <w:pageBreakBefore w:val="0"/>
        <w:kinsoku/>
        <w:wordWrap/>
        <w:overflowPunct/>
        <w:topLinePunct w:val="0"/>
        <w:autoSpaceDE/>
        <w:autoSpaceDN/>
        <w:bidi w:val="0"/>
        <w:adjustRightInd/>
        <w:snapToGrid/>
        <w:spacing w:line="560" w:lineRule="exact"/>
        <w:ind w:firstLine="320" w:firstLineChars="100"/>
        <w:rPr>
          <w:rFonts w:hint="default" w:ascii="黑体" w:hAnsi="黑体" w:eastAsia="黑体"/>
          <w:sz w:val="32"/>
          <w:szCs w:val="32"/>
          <w:lang w:val="en-US" w:eastAsia="zh-CN"/>
        </w:rPr>
      </w:pPr>
      <w:r>
        <w:rPr>
          <w:rStyle w:val="12"/>
          <w:rFonts w:hint="eastAsia" w:eastAsia="仿宋_GB2312"/>
          <w:color w:val="auto"/>
          <w:lang w:val="en-US" w:eastAsia="zh-CN"/>
        </w:rPr>
        <w:t>总得分100分，综合考评为“优秀”。</w:t>
      </w:r>
    </w:p>
    <w:p>
      <w:pPr>
        <w:pageBreakBefore w:val="0"/>
        <w:kinsoku/>
        <w:wordWrap/>
        <w:overflowPunct/>
        <w:topLinePunct w:val="0"/>
        <w:autoSpaceDE/>
        <w:autoSpaceDN/>
        <w:bidi w:val="0"/>
        <w:adjustRightInd/>
        <w:snapToGrid/>
        <w:spacing w:line="560" w:lineRule="exact"/>
        <w:ind w:firstLine="320" w:firstLineChars="100"/>
        <w:rPr>
          <w:rFonts w:ascii="黑体" w:hAnsi="黑体" w:eastAsia="黑体"/>
          <w:sz w:val="32"/>
          <w:szCs w:val="32"/>
        </w:rPr>
      </w:pPr>
      <w:r>
        <w:rPr>
          <w:rFonts w:hint="eastAsia" w:ascii="黑体" w:hAnsi="黑体" w:eastAsia="黑体"/>
          <w:sz w:val="32"/>
          <w:szCs w:val="32"/>
        </w:rPr>
        <w:t>四、绩效评价指标分析</w:t>
      </w:r>
    </w:p>
    <w:p>
      <w:pPr>
        <w:pageBreakBefore w:val="0"/>
        <w:kinsoku/>
        <w:wordWrap/>
        <w:overflowPunct/>
        <w:topLinePunct w:val="0"/>
        <w:autoSpaceDE/>
        <w:autoSpaceDN/>
        <w:bidi w:val="0"/>
        <w:adjustRightInd/>
        <w:snapToGrid/>
        <w:spacing w:line="560" w:lineRule="exact"/>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（一）项目决策情况</w:t>
      </w:r>
    </w:p>
    <w:tbl>
      <w:tblPr>
        <w:tblStyle w:val="9"/>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3"/>
        <w:gridCol w:w="1692"/>
        <w:gridCol w:w="1680"/>
        <w:gridCol w:w="1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3"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三级指标</w:t>
            </w:r>
          </w:p>
        </w:tc>
        <w:tc>
          <w:tcPr>
            <w:tcW w:w="1692"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权重</w:t>
            </w:r>
          </w:p>
        </w:tc>
        <w:tc>
          <w:tcPr>
            <w:tcW w:w="1680"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得分率</w:t>
            </w:r>
          </w:p>
        </w:tc>
        <w:tc>
          <w:tcPr>
            <w:tcW w:w="1869"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实际得分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3"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立项依据充分</w:t>
            </w:r>
          </w:p>
        </w:tc>
        <w:tc>
          <w:tcPr>
            <w:tcW w:w="1692"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0.5</w:t>
            </w:r>
          </w:p>
        </w:tc>
        <w:tc>
          <w:tcPr>
            <w:tcW w:w="1680"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100%</w:t>
            </w:r>
          </w:p>
        </w:tc>
        <w:tc>
          <w:tcPr>
            <w:tcW w:w="1869"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3"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立项程序充分性</w:t>
            </w:r>
          </w:p>
        </w:tc>
        <w:tc>
          <w:tcPr>
            <w:tcW w:w="1692"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0.5</w:t>
            </w:r>
          </w:p>
        </w:tc>
        <w:tc>
          <w:tcPr>
            <w:tcW w:w="1680"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100%</w:t>
            </w:r>
          </w:p>
        </w:tc>
        <w:tc>
          <w:tcPr>
            <w:tcW w:w="1869"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3"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绩效目标合理性</w:t>
            </w:r>
          </w:p>
        </w:tc>
        <w:tc>
          <w:tcPr>
            <w:tcW w:w="1692"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w:t>
            </w:r>
          </w:p>
        </w:tc>
        <w:tc>
          <w:tcPr>
            <w:tcW w:w="1680"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100%</w:t>
            </w:r>
          </w:p>
        </w:tc>
        <w:tc>
          <w:tcPr>
            <w:tcW w:w="1869"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3"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绩效指标明确性</w:t>
            </w:r>
          </w:p>
        </w:tc>
        <w:tc>
          <w:tcPr>
            <w:tcW w:w="1692"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w:t>
            </w:r>
          </w:p>
        </w:tc>
        <w:tc>
          <w:tcPr>
            <w:tcW w:w="1680"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100%</w:t>
            </w:r>
          </w:p>
        </w:tc>
        <w:tc>
          <w:tcPr>
            <w:tcW w:w="1869"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3"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预算编制科学性</w:t>
            </w:r>
          </w:p>
        </w:tc>
        <w:tc>
          <w:tcPr>
            <w:tcW w:w="1692"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w:t>
            </w:r>
          </w:p>
        </w:tc>
        <w:tc>
          <w:tcPr>
            <w:tcW w:w="1680"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100%</w:t>
            </w:r>
          </w:p>
        </w:tc>
        <w:tc>
          <w:tcPr>
            <w:tcW w:w="1869"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3"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资金分配合理性</w:t>
            </w:r>
          </w:p>
        </w:tc>
        <w:tc>
          <w:tcPr>
            <w:tcW w:w="1692"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w:t>
            </w:r>
          </w:p>
        </w:tc>
        <w:tc>
          <w:tcPr>
            <w:tcW w:w="1680"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100%</w:t>
            </w:r>
          </w:p>
        </w:tc>
        <w:tc>
          <w:tcPr>
            <w:tcW w:w="1869"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3"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合计</w:t>
            </w:r>
          </w:p>
        </w:tc>
        <w:tc>
          <w:tcPr>
            <w:tcW w:w="1692"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5</w:t>
            </w:r>
          </w:p>
        </w:tc>
        <w:tc>
          <w:tcPr>
            <w:tcW w:w="1680"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100%</w:t>
            </w:r>
          </w:p>
        </w:tc>
        <w:tc>
          <w:tcPr>
            <w:tcW w:w="1869"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5</w:t>
            </w:r>
          </w:p>
        </w:tc>
      </w:tr>
    </w:tbl>
    <w:p>
      <w:pPr>
        <w:pageBreakBefore w:val="0"/>
        <w:kinsoku/>
        <w:wordWrap/>
        <w:overflowPunct/>
        <w:topLinePunct w:val="0"/>
        <w:autoSpaceDE/>
        <w:autoSpaceDN/>
        <w:bidi w:val="0"/>
        <w:adjustRightInd/>
        <w:snapToGrid/>
        <w:spacing w:line="560" w:lineRule="exact"/>
        <w:ind w:firstLine="640" w:firstLineChars="200"/>
        <w:jc w:val="left"/>
        <w:rPr>
          <w:rFonts w:hint="eastAsia" w:ascii="仿宋_GB2312" w:hAnsi="仿宋_GB2312" w:eastAsia="仿宋_GB2312" w:cs="仿宋_GB2312"/>
          <w:color w:val="333333"/>
          <w:sz w:val="32"/>
          <w:szCs w:val="32"/>
          <w:lang w:val="en-US" w:eastAsia="zh-CN" w:bidi="ar"/>
        </w:rPr>
      </w:pPr>
      <w:r>
        <w:rPr>
          <w:rFonts w:hint="eastAsia" w:ascii="仿宋_GB2312" w:hAnsi="仿宋_GB2312" w:eastAsia="仿宋_GB2312" w:cs="仿宋_GB2312"/>
          <w:color w:val="333333"/>
          <w:sz w:val="32"/>
          <w:szCs w:val="32"/>
          <w:lang w:val="en-US" w:eastAsia="zh-CN" w:bidi="ar"/>
        </w:rPr>
        <w:t>对于“项目立项”，</w:t>
      </w:r>
      <w:r>
        <w:rPr>
          <w:rFonts w:hint="eastAsia" w:ascii="仿宋" w:hAnsi="仿宋" w:eastAsia="仿宋" w:cs="仿宋"/>
          <w:color w:val="auto"/>
          <w:sz w:val="32"/>
          <w:szCs w:val="32"/>
          <w:lang w:val="en-US" w:eastAsia="zh-CN"/>
        </w:rPr>
        <w:t>塔城地区业余体校室外足球场、轮滑场项目建设</w:t>
      </w:r>
      <w:r>
        <w:rPr>
          <w:rFonts w:hint="eastAsia" w:ascii="仿宋_GB2312" w:hAnsi="仿宋_GB2312" w:eastAsia="仿宋_GB2312" w:cs="仿宋_GB2312"/>
          <w:color w:val="333333"/>
          <w:sz w:val="32"/>
          <w:szCs w:val="32"/>
          <w:lang w:val="en-US" w:eastAsia="zh-CN" w:bidi="ar"/>
        </w:rPr>
        <w:t>是为</w:t>
      </w:r>
      <w:r>
        <w:rPr>
          <w:rFonts w:hint="eastAsia" w:ascii="仿宋" w:hAnsi="仿宋" w:eastAsia="仿宋" w:cs="仿宋"/>
          <w:color w:val="auto"/>
          <w:sz w:val="32"/>
          <w:szCs w:val="32"/>
          <w:lang w:val="en-US" w:eastAsia="zh-CN"/>
        </w:rPr>
        <w:t>进一步提高塔城地区群众体育场地的使用率和知名度，并且随着室外场地的使用率、利用率的不的提高将会培养更多的塔城热爱体育的优秀的体育后备人才，为打造塔城地区的体育更上一个台阶</w:t>
      </w:r>
      <w:r>
        <w:rPr>
          <w:rFonts w:hint="eastAsia" w:ascii="仿宋_GB2312" w:hAnsi="仿宋_GB2312" w:eastAsia="仿宋_GB2312" w:cs="仿宋_GB2312"/>
          <w:color w:val="333333"/>
          <w:sz w:val="32"/>
          <w:szCs w:val="32"/>
          <w:lang w:val="en-US" w:eastAsia="zh-CN" w:bidi="ar"/>
        </w:rPr>
        <w:t>。项目的立项符合规划，根据评分标准，实际得分率为100%。</w:t>
      </w:r>
    </w:p>
    <w:p>
      <w:pPr>
        <w:pageBreakBefore w:val="0"/>
        <w:kinsoku/>
        <w:wordWrap/>
        <w:overflowPunct/>
        <w:topLinePunct w:val="0"/>
        <w:autoSpaceDE/>
        <w:autoSpaceDN/>
        <w:bidi w:val="0"/>
        <w:adjustRightInd/>
        <w:snapToGrid/>
        <w:spacing w:line="560" w:lineRule="exact"/>
        <w:ind w:firstLine="640" w:firstLineChars="200"/>
        <w:jc w:val="left"/>
        <w:rPr>
          <w:rFonts w:hint="eastAsia" w:ascii="仿宋_GB2312" w:hAnsi="仿宋_GB2312" w:eastAsia="仿宋_GB2312" w:cs="仿宋_GB2312"/>
          <w:color w:val="333333"/>
          <w:sz w:val="32"/>
          <w:szCs w:val="32"/>
          <w:lang w:val="en-US" w:eastAsia="zh-CN" w:bidi="ar"/>
        </w:rPr>
      </w:pPr>
      <w:r>
        <w:rPr>
          <w:rFonts w:hint="eastAsia" w:ascii="仿宋_GB2312" w:hAnsi="仿宋_GB2312" w:eastAsia="仿宋_GB2312" w:cs="仿宋_GB2312"/>
          <w:color w:val="333333"/>
          <w:sz w:val="32"/>
          <w:szCs w:val="32"/>
          <w:lang w:val="en-US" w:eastAsia="zh-CN" w:bidi="ar"/>
        </w:rPr>
        <w:t>对于“绩效目标”，</w:t>
      </w:r>
      <w:r>
        <w:rPr>
          <w:rFonts w:hint="eastAsia" w:ascii="仿宋" w:hAnsi="仿宋" w:eastAsia="仿宋" w:cs="仿宋"/>
          <w:color w:val="auto"/>
          <w:sz w:val="32"/>
          <w:szCs w:val="32"/>
          <w:lang w:val="en-US" w:eastAsia="zh-CN"/>
        </w:rPr>
        <w:t>塔城地区业余体校室外足球场、轮滑场项目建设目</w:t>
      </w:r>
      <w:r>
        <w:rPr>
          <w:rFonts w:hint="eastAsia" w:ascii="仿宋_GB2312" w:hAnsi="仿宋_GB2312" w:eastAsia="仿宋_GB2312" w:cs="仿宋_GB2312"/>
          <w:color w:val="333333"/>
          <w:sz w:val="32"/>
          <w:szCs w:val="32"/>
          <w:lang w:val="en-US" w:eastAsia="zh-CN" w:bidi="ar"/>
        </w:rPr>
        <w:t>标设置合理，绩效指标明确。根据评分标准，该指标不扣分。</w:t>
      </w:r>
    </w:p>
    <w:p>
      <w:pPr>
        <w:pageBreakBefore w:val="0"/>
        <w:kinsoku/>
        <w:wordWrap/>
        <w:overflowPunct/>
        <w:topLinePunct w:val="0"/>
        <w:autoSpaceDE/>
        <w:autoSpaceDN/>
        <w:bidi w:val="0"/>
        <w:adjustRightInd/>
        <w:snapToGrid/>
        <w:spacing w:line="560" w:lineRule="exact"/>
        <w:ind w:firstLine="640" w:firstLineChars="200"/>
        <w:jc w:val="left"/>
        <w:rPr>
          <w:rFonts w:hint="eastAsia" w:ascii="仿宋_GB2312" w:hAnsi="仿宋_GB2312" w:eastAsia="仿宋_GB2312" w:cs="仿宋_GB2312"/>
          <w:color w:val="333333"/>
          <w:sz w:val="32"/>
          <w:szCs w:val="32"/>
          <w:lang w:val="en-US" w:eastAsia="zh-CN" w:bidi="ar"/>
        </w:rPr>
      </w:pPr>
      <w:r>
        <w:rPr>
          <w:rFonts w:hint="eastAsia" w:ascii="仿宋_GB2312" w:hAnsi="仿宋_GB2312" w:eastAsia="仿宋_GB2312" w:cs="仿宋_GB2312"/>
          <w:color w:val="333333"/>
          <w:sz w:val="32"/>
          <w:szCs w:val="32"/>
          <w:lang w:val="en-US" w:eastAsia="zh-CN" w:bidi="ar"/>
        </w:rPr>
        <w:t>对于“资金投入”，</w:t>
      </w:r>
      <w:r>
        <w:rPr>
          <w:rFonts w:hint="eastAsia" w:ascii="仿宋" w:hAnsi="仿宋" w:eastAsia="仿宋" w:cs="仿宋"/>
          <w:color w:val="auto"/>
          <w:sz w:val="32"/>
          <w:szCs w:val="32"/>
          <w:lang w:val="en-US" w:eastAsia="zh-CN"/>
        </w:rPr>
        <w:t>塔城地区业余体校室外足球场、轮滑场项目建设</w:t>
      </w:r>
      <w:r>
        <w:rPr>
          <w:rFonts w:hint="eastAsia" w:ascii="仿宋_GB2312" w:hAnsi="仿宋_GB2312" w:eastAsia="仿宋_GB2312" w:cs="仿宋_GB2312"/>
          <w:color w:val="333333"/>
          <w:sz w:val="32"/>
          <w:szCs w:val="32"/>
          <w:lang w:val="en-US" w:eastAsia="zh-CN" w:bidi="ar"/>
        </w:rPr>
        <w:t>预算编制科学，资金分配合理。根据评分标准，该指标不扣分。</w:t>
      </w:r>
    </w:p>
    <w:p>
      <w:pPr>
        <w:pStyle w:val="2"/>
        <w:pageBreakBefore w:val="0"/>
        <w:numPr>
          <w:ilvl w:val="0"/>
          <w:numId w:val="0"/>
        </w:numPr>
        <w:kinsoku/>
        <w:wordWrap/>
        <w:overflowPunct/>
        <w:topLinePunct w:val="0"/>
        <w:autoSpaceDE/>
        <w:autoSpaceDN/>
        <w:bidi w:val="0"/>
        <w:adjustRightInd/>
        <w:snapToGrid/>
        <w:spacing w:before="0" w:after="0" w:line="560" w:lineRule="exact"/>
        <w:ind w:firstLine="321" w:firstLineChars="100"/>
        <w:jc w:val="both"/>
        <w:rPr>
          <w:rFonts w:hint="default" w:eastAsia="宋体"/>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w:t>
      </w: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项目过程情况</w:t>
      </w:r>
    </w:p>
    <w:tbl>
      <w:tblPr>
        <w:tblStyle w:val="9"/>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1315"/>
        <w:gridCol w:w="2191"/>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7" w:type="dxa"/>
            <w:vAlign w:val="top"/>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三级指标</w:t>
            </w:r>
          </w:p>
        </w:tc>
        <w:tc>
          <w:tcPr>
            <w:tcW w:w="1315" w:type="dxa"/>
            <w:vAlign w:val="top"/>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权重</w:t>
            </w:r>
          </w:p>
        </w:tc>
        <w:tc>
          <w:tcPr>
            <w:tcW w:w="2191" w:type="dxa"/>
            <w:vAlign w:val="top"/>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得分率</w:t>
            </w:r>
          </w:p>
        </w:tc>
        <w:tc>
          <w:tcPr>
            <w:tcW w:w="2191" w:type="dxa"/>
            <w:vAlign w:val="top"/>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实际得分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7"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资金到位率</w:t>
            </w:r>
          </w:p>
        </w:tc>
        <w:tc>
          <w:tcPr>
            <w:tcW w:w="1315"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w:t>
            </w:r>
          </w:p>
        </w:tc>
        <w:tc>
          <w:tcPr>
            <w:tcW w:w="2191"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100%</w:t>
            </w:r>
          </w:p>
        </w:tc>
        <w:tc>
          <w:tcPr>
            <w:tcW w:w="2191"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7"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预算执行率</w:t>
            </w:r>
          </w:p>
        </w:tc>
        <w:tc>
          <w:tcPr>
            <w:tcW w:w="1315"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w:t>
            </w:r>
          </w:p>
        </w:tc>
        <w:tc>
          <w:tcPr>
            <w:tcW w:w="2191"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100%</w:t>
            </w:r>
          </w:p>
        </w:tc>
        <w:tc>
          <w:tcPr>
            <w:tcW w:w="2191"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7"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资金使用合规性</w:t>
            </w:r>
          </w:p>
        </w:tc>
        <w:tc>
          <w:tcPr>
            <w:tcW w:w="1315"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w:t>
            </w:r>
          </w:p>
        </w:tc>
        <w:tc>
          <w:tcPr>
            <w:tcW w:w="2191"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100%</w:t>
            </w:r>
          </w:p>
        </w:tc>
        <w:tc>
          <w:tcPr>
            <w:tcW w:w="2191"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7"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管理制度健全性</w:t>
            </w:r>
          </w:p>
        </w:tc>
        <w:tc>
          <w:tcPr>
            <w:tcW w:w="1315"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w:t>
            </w:r>
          </w:p>
        </w:tc>
        <w:tc>
          <w:tcPr>
            <w:tcW w:w="2191"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100%</w:t>
            </w:r>
          </w:p>
        </w:tc>
        <w:tc>
          <w:tcPr>
            <w:tcW w:w="2191"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7"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制度执行有效性</w:t>
            </w:r>
          </w:p>
        </w:tc>
        <w:tc>
          <w:tcPr>
            <w:tcW w:w="1315"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w:t>
            </w:r>
          </w:p>
        </w:tc>
        <w:tc>
          <w:tcPr>
            <w:tcW w:w="2191"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100%</w:t>
            </w:r>
          </w:p>
        </w:tc>
        <w:tc>
          <w:tcPr>
            <w:tcW w:w="2191"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7"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合计</w:t>
            </w:r>
          </w:p>
        </w:tc>
        <w:tc>
          <w:tcPr>
            <w:tcW w:w="1315"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5</w:t>
            </w:r>
          </w:p>
        </w:tc>
        <w:tc>
          <w:tcPr>
            <w:tcW w:w="2191"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100%</w:t>
            </w:r>
          </w:p>
        </w:tc>
        <w:tc>
          <w:tcPr>
            <w:tcW w:w="2191" w:type="dxa"/>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5</w:t>
            </w:r>
          </w:p>
        </w:tc>
      </w:tr>
    </w:tbl>
    <w:p>
      <w:pPr>
        <w:pageBreakBefore w:val="0"/>
        <w:kinsoku/>
        <w:wordWrap/>
        <w:overflowPunct/>
        <w:topLinePunct w:val="0"/>
        <w:autoSpaceDE/>
        <w:autoSpaceDN/>
        <w:bidi w:val="0"/>
        <w:adjustRightInd/>
        <w:snapToGrid/>
        <w:spacing w:line="560" w:lineRule="exact"/>
        <w:ind w:firstLine="640" w:firstLineChars="200"/>
        <w:contextualSpacing/>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根据工作要求，对该项目由塔城</w:t>
      </w:r>
      <w:r>
        <w:rPr>
          <w:rFonts w:hint="eastAsia" w:ascii="仿宋" w:hAnsi="仿宋" w:eastAsia="仿宋" w:cs="仿宋"/>
          <w:color w:val="auto"/>
          <w:sz w:val="32"/>
          <w:szCs w:val="32"/>
          <w:lang w:val="en-US" w:eastAsia="zh-CN"/>
        </w:rPr>
        <w:t>地区业余体校室外足球场、轮滑场项目建设</w:t>
      </w:r>
      <w:r>
        <w:rPr>
          <w:rFonts w:hint="eastAsia" w:ascii="仿宋_GB2312" w:hAnsi="仿宋_GB2312" w:eastAsia="仿宋_GB2312" w:cs="仿宋_GB2312"/>
          <w:sz w:val="32"/>
          <w:szCs w:val="32"/>
          <w:lang w:val="en-US" w:eastAsia="zh-CN"/>
        </w:rPr>
        <w:t>经塔城地区文化体育广播电视和旅游局局当组长研究同意建设，通过教练员、运动员多次研讨商定，形成《</w:t>
      </w:r>
      <w:r>
        <w:rPr>
          <w:rFonts w:hint="eastAsia" w:ascii="仿宋" w:hAnsi="仿宋" w:eastAsia="仿宋" w:cs="仿宋"/>
          <w:color w:val="auto"/>
          <w:sz w:val="32"/>
          <w:szCs w:val="32"/>
          <w:lang w:val="en-US" w:eastAsia="zh-CN"/>
        </w:rPr>
        <w:t>塔城地区业余体校室外足球场、轮滑场项目</w:t>
      </w:r>
      <w:r>
        <w:rPr>
          <w:rFonts w:hint="eastAsia" w:ascii="仿宋_GB2312" w:hAnsi="仿宋_GB2312" w:eastAsia="仿宋_GB2312" w:cs="仿宋_GB2312"/>
          <w:sz w:val="32"/>
          <w:szCs w:val="32"/>
          <w:lang w:val="en-US" w:eastAsia="zh-CN"/>
        </w:rPr>
        <w:t>经费预算方案》，报请</w:t>
      </w:r>
      <w:r>
        <w:rPr>
          <w:rFonts w:hint="eastAsia" w:ascii="仿宋" w:hAnsi="仿宋" w:eastAsia="仿宋" w:cs="仿宋"/>
          <w:b w:val="0"/>
          <w:bCs w:val="0"/>
          <w:color w:val="auto"/>
          <w:sz w:val="32"/>
          <w:szCs w:val="32"/>
          <w:lang w:val="en-US" w:eastAsia="zh-CN"/>
        </w:rPr>
        <w:t>塔城地区文化体育广播电视和旅游局和塔城地区财政局</w:t>
      </w:r>
      <w:r>
        <w:rPr>
          <w:rFonts w:hint="eastAsia" w:ascii="仿宋_GB2312" w:hAnsi="仿宋_GB2312" w:eastAsia="仿宋_GB2312" w:cs="仿宋_GB2312"/>
          <w:sz w:val="32"/>
          <w:szCs w:val="32"/>
          <w:lang w:val="en-US" w:eastAsia="zh-CN"/>
        </w:rPr>
        <w:t>审批同意，具体项目资金使用严格按照年初部门预算资金执行。</w:t>
      </w:r>
    </w:p>
    <w:p>
      <w:pPr>
        <w:pageBreakBefore w:val="0"/>
        <w:kinsoku/>
        <w:wordWrap/>
        <w:overflowPunct/>
        <w:topLinePunct w:val="0"/>
        <w:autoSpaceDE/>
        <w:autoSpaceDN/>
        <w:bidi w:val="0"/>
        <w:adjustRightInd/>
        <w:snapToGrid/>
        <w:spacing w:line="560" w:lineRule="exact"/>
        <w:ind w:firstLine="640" w:firstLineChars="200"/>
        <w:contextualSpacing/>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对于“资金管理”，塔城</w:t>
      </w:r>
      <w:r>
        <w:rPr>
          <w:rFonts w:hint="eastAsia" w:ascii="仿宋" w:hAnsi="仿宋" w:eastAsia="仿宋" w:cs="仿宋"/>
          <w:color w:val="auto"/>
          <w:sz w:val="32"/>
          <w:szCs w:val="32"/>
          <w:lang w:val="en-US" w:eastAsia="zh-CN"/>
        </w:rPr>
        <w:t>地区业余体校室外足球场、轮滑场项目建设</w:t>
      </w:r>
      <w:r>
        <w:rPr>
          <w:rFonts w:hint="eastAsia" w:ascii="仿宋_GB2312" w:hAnsi="仿宋_GB2312" w:eastAsia="仿宋_GB2312" w:cs="仿宋_GB2312"/>
          <w:sz w:val="32"/>
          <w:szCs w:val="32"/>
          <w:lang w:val="en-US" w:eastAsia="zh-CN"/>
        </w:rPr>
        <w:t>2020年列入年初部门预算，资金到位及时，到位率为100%，到位资金支出率100%，资金管理规范。根据评分标准，该指标不扣分。</w:t>
      </w:r>
    </w:p>
    <w:p>
      <w:pPr>
        <w:pageBreakBefore w:val="0"/>
        <w:kinsoku/>
        <w:wordWrap/>
        <w:overflowPunct/>
        <w:topLinePunct w:val="0"/>
        <w:autoSpaceDE/>
        <w:autoSpaceDN/>
        <w:bidi w:val="0"/>
        <w:adjustRightInd/>
        <w:snapToGrid/>
        <w:spacing w:line="560" w:lineRule="exact"/>
        <w:ind w:firstLine="640" w:firstLineChars="200"/>
        <w:contextualSpacing/>
        <w:rPr>
          <w:rFonts w:hint="default"/>
          <w:sz w:val="32"/>
          <w:szCs w:val="32"/>
          <w:lang w:val="en-US" w:eastAsia="zh-CN"/>
        </w:rPr>
      </w:pPr>
      <w:r>
        <w:rPr>
          <w:rFonts w:hint="eastAsia" w:ascii="仿宋_GB2312" w:hAnsi="仿宋_GB2312" w:eastAsia="仿宋_GB2312" w:cs="仿宋_GB2312"/>
          <w:sz w:val="32"/>
          <w:szCs w:val="32"/>
          <w:lang w:val="en-US" w:eastAsia="zh-CN"/>
        </w:rPr>
        <w:t>对于“组织实施”，塔城</w:t>
      </w:r>
      <w:r>
        <w:rPr>
          <w:rFonts w:hint="eastAsia" w:ascii="仿宋" w:hAnsi="仿宋" w:eastAsia="仿宋" w:cs="仿宋"/>
          <w:color w:val="auto"/>
          <w:sz w:val="32"/>
          <w:szCs w:val="32"/>
          <w:lang w:val="en-US" w:eastAsia="zh-CN"/>
        </w:rPr>
        <w:t>地区业余体校室外足球场、轮滑场项目建设</w:t>
      </w:r>
      <w:r>
        <w:rPr>
          <w:rFonts w:hint="eastAsia" w:ascii="仿宋_GB2312" w:hAnsi="仿宋_GB2312" w:eastAsia="仿宋_GB2312" w:cs="仿宋_GB2312"/>
          <w:sz w:val="32"/>
          <w:szCs w:val="32"/>
          <w:lang w:val="en-US" w:eastAsia="zh-CN"/>
        </w:rPr>
        <w:t>组织机构健全，制度执行有效，根据评分标准，该指标不扣分。</w:t>
      </w:r>
    </w:p>
    <w:p>
      <w:pPr>
        <w:pStyle w:val="7"/>
        <w:pageBreakBefore w:val="0"/>
        <w:numPr>
          <w:ilvl w:val="0"/>
          <w:numId w:val="0"/>
        </w:numPr>
        <w:kinsoku/>
        <w:wordWrap/>
        <w:overflowPunct/>
        <w:topLinePunct w:val="0"/>
        <w:autoSpaceDE/>
        <w:autoSpaceDN/>
        <w:bidi w:val="0"/>
        <w:adjustRightInd/>
        <w:snapToGrid/>
        <w:spacing w:after="0" w:line="560" w:lineRule="exact"/>
        <w:ind w:firstLine="321" w:firstLineChars="1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项目产出</w:t>
      </w:r>
    </w:p>
    <w:tbl>
      <w:tblPr>
        <w:tblStyle w:val="8"/>
        <w:tblW w:w="87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8"/>
        <w:gridCol w:w="2042"/>
        <w:gridCol w:w="2041"/>
        <w:gridCol w:w="2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
                <w:bCs/>
                <w:color w:val="000000"/>
                <w:sz w:val="32"/>
                <w:szCs w:val="32"/>
              </w:rPr>
            </w:pPr>
            <w:r>
              <w:rPr>
                <w:rFonts w:hint="eastAsia" w:ascii="仿宋" w:hAnsi="仿宋" w:eastAsia="仿宋" w:cs="仿宋"/>
                <w:b/>
                <w:bCs/>
                <w:color w:val="000000"/>
                <w:kern w:val="0"/>
                <w:sz w:val="32"/>
                <w:szCs w:val="32"/>
              </w:rPr>
              <w:t>三级指标</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
                <w:bCs/>
                <w:color w:val="000000"/>
                <w:sz w:val="32"/>
                <w:szCs w:val="32"/>
              </w:rPr>
            </w:pPr>
            <w:r>
              <w:rPr>
                <w:rFonts w:hint="eastAsia" w:ascii="仿宋" w:hAnsi="仿宋" w:eastAsia="仿宋" w:cs="仿宋"/>
                <w:b/>
                <w:bCs/>
                <w:color w:val="000000"/>
                <w:kern w:val="0"/>
                <w:sz w:val="32"/>
                <w:szCs w:val="32"/>
              </w:rPr>
              <w:t>权重</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
                <w:bCs/>
                <w:color w:val="000000"/>
                <w:sz w:val="32"/>
                <w:szCs w:val="32"/>
              </w:rPr>
            </w:pPr>
            <w:r>
              <w:rPr>
                <w:rFonts w:hint="eastAsia" w:ascii="仿宋" w:hAnsi="仿宋" w:eastAsia="仿宋" w:cs="仿宋"/>
                <w:b/>
                <w:bCs/>
                <w:color w:val="000000"/>
                <w:kern w:val="0"/>
                <w:sz w:val="32"/>
                <w:szCs w:val="32"/>
              </w:rPr>
              <w:t>得分率</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
                <w:bCs/>
                <w:color w:val="000000"/>
                <w:sz w:val="32"/>
                <w:szCs w:val="32"/>
              </w:rPr>
            </w:pPr>
            <w:r>
              <w:rPr>
                <w:rFonts w:hint="eastAsia" w:ascii="仿宋" w:hAnsi="仿宋" w:eastAsia="仿宋" w:cs="仿宋"/>
                <w:b/>
                <w:bCs/>
                <w:color w:val="000000"/>
                <w:kern w:val="0"/>
                <w:sz w:val="32"/>
                <w:szCs w:val="32"/>
              </w:rPr>
              <w:t>实际得分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产出数量</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15</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100%</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产出质量</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10</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100%</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产出时效</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lang w:val="en-US" w:eastAsia="zh-CN"/>
              </w:rPr>
              <w:t>15</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100%</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成本情况</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10</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100%</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合计</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50</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rPr>
              <w:t>100%</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ascii="仿宋" w:hAnsi="仿宋" w:eastAsia="仿宋" w:cs="仿宋"/>
                <w:color w:val="000000"/>
                <w:kern w:val="0"/>
                <w:sz w:val="32"/>
                <w:szCs w:val="32"/>
              </w:rPr>
            </w:pPr>
            <w:r>
              <w:rPr>
                <w:rFonts w:hint="eastAsia" w:ascii="仿宋" w:hAnsi="仿宋" w:eastAsia="仿宋" w:cs="仿宋"/>
                <w:color w:val="000000"/>
                <w:kern w:val="0"/>
                <w:sz w:val="32"/>
                <w:szCs w:val="32"/>
                <w:lang w:val="en-US" w:eastAsia="zh-CN"/>
              </w:rPr>
              <w:t>50</w:t>
            </w:r>
          </w:p>
        </w:tc>
      </w:tr>
    </w:tbl>
    <w:p>
      <w:pPr>
        <w:pageBreakBefore w:val="0"/>
        <w:kinsoku/>
        <w:wordWrap/>
        <w:overflowPunct/>
        <w:topLinePunct w:val="0"/>
        <w:autoSpaceDE/>
        <w:autoSpaceDN/>
        <w:bidi w:val="0"/>
        <w:adjustRightInd/>
        <w:snapToGrid/>
        <w:spacing w:line="560" w:lineRule="exact"/>
        <w:ind w:firstLine="640" w:firstLineChars="200"/>
        <w:contextualSpacing/>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数量指标方面：建设室外标准化200米轮滑场1个，年度指标值≥6301.77平方米，实际完成值6301.77平方米，指标完成率100%；</w:t>
      </w:r>
    </w:p>
    <w:p>
      <w:pPr>
        <w:pageBreakBefore w:val="0"/>
        <w:kinsoku/>
        <w:wordWrap/>
        <w:overflowPunct/>
        <w:topLinePunct w:val="0"/>
        <w:autoSpaceDE/>
        <w:autoSpaceDN/>
        <w:bidi w:val="0"/>
        <w:adjustRightInd/>
        <w:snapToGrid/>
        <w:spacing w:line="560" w:lineRule="exact"/>
        <w:ind w:firstLine="640" w:firstLineChars="200"/>
        <w:contextualSpacing/>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质量指标方面：工程验收合格率，年度指标值100%，实际完成值100%，指标完成率100%；</w:t>
      </w:r>
    </w:p>
    <w:p>
      <w:pPr>
        <w:pageBreakBefore w:val="0"/>
        <w:kinsoku/>
        <w:wordWrap/>
        <w:overflowPunct/>
        <w:topLinePunct w:val="0"/>
        <w:autoSpaceDE/>
        <w:autoSpaceDN/>
        <w:bidi w:val="0"/>
        <w:adjustRightInd/>
        <w:snapToGrid/>
        <w:spacing w:line="560" w:lineRule="exact"/>
        <w:ind w:firstLine="640" w:firstLineChars="200"/>
        <w:contextualSpacing/>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时效指标方面：工程完成及时率，年度指标值100%，实际完成值100%，在2020年10月底之前完成200万的工程量，没有拖延实际，完成年初预算的100%。指标完成率100%。</w:t>
      </w:r>
    </w:p>
    <w:p>
      <w:pPr>
        <w:pageBreakBefore w:val="0"/>
        <w:kinsoku/>
        <w:wordWrap/>
        <w:overflowPunct/>
        <w:topLinePunct w:val="0"/>
        <w:autoSpaceDE/>
        <w:autoSpaceDN/>
        <w:bidi w:val="0"/>
        <w:adjustRightInd/>
        <w:snapToGrid/>
        <w:spacing w:line="560" w:lineRule="exact"/>
        <w:ind w:firstLine="640" w:firstLineChars="200"/>
        <w:contextualSpacing/>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成本指标方面：工程款，年度指标值≤200万元，实际完成值200万元，指标完成率100%。</w:t>
      </w:r>
    </w:p>
    <w:p>
      <w:pPr>
        <w:pStyle w:val="7"/>
        <w:pageBreakBefore w:val="0"/>
        <w:numPr>
          <w:ilvl w:val="0"/>
          <w:numId w:val="0"/>
        </w:numPr>
        <w:kinsoku/>
        <w:wordWrap/>
        <w:overflowPunct/>
        <w:topLinePunct w:val="0"/>
        <w:autoSpaceDE/>
        <w:autoSpaceDN/>
        <w:bidi w:val="0"/>
        <w:adjustRightInd/>
        <w:snapToGrid/>
        <w:spacing w:after="0" w:line="560" w:lineRule="exact"/>
        <w:ind w:firstLine="321" w:firstLineChars="1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四</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效益情况</w:t>
      </w:r>
    </w:p>
    <w:tbl>
      <w:tblPr>
        <w:tblStyle w:val="8"/>
        <w:tblpPr w:leftFromText="180" w:rightFromText="180" w:vertAnchor="text" w:horzAnchor="page" w:tblpX="1941" w:tblpY="144"/>
        <w:tblOverlap w:val="never"/>
        <w:tblW w:w="8581" w:type="dxa"/>
        <w:jc w:val="center"/>
        <w:tblLayout w:type="fixed"/>
        <w:tblCellMar>
          <w:top w:w="0" w:type="dxa"/>
          <w:left w:w="0" w:type="dxa"/>
          <w:bottom w:w="0" w:type="dxa"/>
          <w:right w:w="0" w:type="dxa"/>
        </w:tblCellMar>
      </w:tblPr>
      <w:tblGrid>
        <w:gridCol w:w="2452"/>
        <w:gridCol w:w="2043"/>
        <w:gridCol w:w="2043"/>
        <w:gridCol w:w="2043"/>
      </w:tblGrid>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kern w:val="0"/>
                <w:sz w:val="32"/>
                <w:szCs w:val="32"/>
                <w:lang w:eastAsia="zh-CN"/>
              </w:rPr>
              <w:t>三</w:t>
            </w:r>
            <w:r>
              <w:rPr>
                <w:rFonts w:hint="eastAsia" w:ascii="仿宋_GB2312" w:hAnsi="仿宋_GB2312" w:eastAsia="仿宋_GB2312" w:cs="仿宋_GB2312"/>
                <w:b/>
                <w:bCs/>
                <w:color w:val="000000"/>
                <w:kern w:val="0"/>
                <w:sz w:val="32"/>
                <w:szCs w:val="32"/>
              </w:rPr>
              <w:t>级指标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kern w:val="0"/>
                <w:sz w:val="32"/>
                <w:szCs w:val="32"/>
              </w:rPr>
              <w:t>权重</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kern w:val="0"/>
                <w:sz w:val="32"/>
                <w:szCs w:val="32"/>
              </w:rPr>
              <w:t>得分率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kern w:val="0"/>
                <w:sz w:val="32"/>
                <w:szCs w:val="32"/>
              </w:rPr>
              <w:t>实际得分</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32"/>
                <w:szCs w:val="32"/>
              </w:rPr>
            </w:pPr>
            <w:r>
              <w:rPr>
                <w:rStyle w:val="12"/>
                <w:rFonts w:hint="eastAsia"/>
                <w:color w:val="auto"/>
              </w:rPr>
              <w:t>社会效益</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15</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100</w:t>
            </w:r>
            <w:r>
              <w:rPr>
                <w:rFonts w:hint="eastAsia" w:ascii="仿宋" w:hAnsi="仿宋" w:eastAsia="仿宋" w:cs="仿宋"/>
                <w:color w:val="000000"/>
                <w:kern w:val="0"/>
                <w:sz w:val="32"/>
                <w:szCs w:val="32"/>
              </w:rPr>
              <w:t>%</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15</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32"/>
                <w:szCs w:val="32"/>
              </w:rPr>
            </w:pPr>
            <w:r>
              <w:rPr>
                <w:rStyle w:val="12"/>
                <w:color w:val="auto"/>
              </w:rPr>
              <w:t>可持续影响</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15</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100</w:t>
            </w:r>
            <w:r>
              <w:rPr>
                <w:rFonts w:hint="eastAsia" w:ascii="仿宋" w:hAnsi="仿宋" w:eastAsia="仿宋" w:cs="仿宋"/>
                <w:color w:val="000000"/>
                <w:kern w:val="0"/>
                <w:sz w:val="32"/>
                <w:szCs w:val="32"/>
              </w:rPr>
              <w:t>%</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15</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32"/>
                <w:szCs w:val="32"/>
              </w:rPr>
            </w:pPr>
            <w:r>
              <w:rPr>
                <w:rFonts w:hint="eastAsia" w:ascii="仿宋" w:hAnsi="仿宋" w:eastAsia="仿宋" w:cs="仿宋"/>
                <w:color w:val="000000"/>
                <w:kern w:val="0"/>
                <w:sz w:val="32"/>
                <w:szCs w:val="32"/>
              </w:rPr>
              <w:t>满意度</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32"/>
                <w:szCs w:val="32"/>
              </w:rPr>
            </w:pPr>
            <w:r>
              <w:rPr>
                <w:rFonts w:hint="eastAsia" w:ascii="仿宋" w:hAnsi="仿宋" w:eastAsia="仿宋" w:cs="仿宋"/>
                <w:color w:val="000000"/>
                <w:kern w:val="0"/>
                <w:sz w:val="32"/>
                <w:szCs w:val="32"/>
              </w:rPr>
              <w:t>10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32"/>
                <w:szCs w:val="32"/>
              </w:rPr>
            </w:pPr>
            <w:r>
              <w:rPr>
                <w:rFonts w:hint="eastAsia" w:ascii="仿宋" w:hAnsi="仿宋" w:eastAsia="仿宋" w:cs="仿宋"/>
                <w:color w:val="000000"/>
                <w:kern w:val="0"/>
                <w:sz w:val="32"/>
                <w:szCs w:val="32"/>
                <w:lang w:val="en-US" w:eastAsia="zh-CN"/>
              </w:rPr>
              <w:t>100</w:t>
            </w:r>
            <w:r>
              <w:rPr>
                <w:rFonts w:hint="eastAsia" w:ascii="仿宋" w:hAnsi="仿宋" w:eastAsia="仿宋" w:cs="仿宋"/>
                <w:color w:val="000000"/>
                <w:kern w:val="0"/>
                <w:sz w:val="32"/>
                <w:szCs w:val="32"/>
              </w:rPr>
              <w:t>%</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sz w:val="32"/>
                <w:szCs w:val="32"/>
                <w:lang w:val="en-US" w:eastAsia="zh-CN"/>
              </w:rPr>
            </w:pPr>
            <w:r>
              <w:rPr>
                <w:rFonts w:hint="eastAsia" w:ascii="仿宋" w:hAnsi="仿宋" w:eastAsia="仿宋" w:cs="仿宋"/>
                <w:color w:val="000000"/>
                <w:kern w:val="0"/>
                <w:sz w:val="32"/>
                <w:szCs w:val="32"/>
                <w:lang w:val="en-US" w:eastAsia="zh-CN"/>
              </w:rPr>
              <w:t>10</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bottom"/>
          </w:tcPr>
          <w:p>
            <w:pPr>
              <w:pageBreakBefore w:val="0"/>
              <w:widowControl/>
              <w:kinsoku/>
              <w:wordWrap/>
              <w:overflowPunct/>
              <w:topLinePunct w:val="0"/>
              <w:autoSpaceDE/>
              <w:autoSpaceDN/>
              <w:bidi w:val="0"/>
              <w:adjustRightInd/>
              <w:snapToGrid/>
              <w:spacing w:line="560" w:lineRule="exact"/>
              <w:jc w:val="center"/>
              <w:textAlignment w:val="bottom"/>
              <w:rPr>
                <w:rFonts w:ascii="仿宋" w:hAnsi="仿宋" w:eastAsia="仿宋" w:cs="仿宋"/>
                <w:color w:val="000000"/>
                <w:sz w:val="32"/>
                <w:szCs w:val="32"/>
              </w:rPr>
            </w:pPr>
            <w:r>
              <w:rPr>
                <w:rFonts w:hint="eastAsia" w:ascii="仿宋" w:hAnsi="仿宋" w:eastAsia="仿宋" w:cs="仿宋"/>
                <w:color w:val="000000"/>
                <w:kern w:val="0"/>
                <w:sz w:val="32"/>
                <w:szCs w:val="32"/>
              </w:rPr>
              <w:t>合计</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pageBreakBefore w:val="0"/>
              <w:widowControl/>
              <w:kinsoku/>
              <w:wordWrap/>
              <w:overflowPunct/>
              <w:topLinePunct w:val="0"/>
              <w:autoSpaceDE/>
              <w:autoSpaceDN/>
              <w:bidi w:val="0"/>
              <w:adjustRightInd/>
              <w:snapToGrid/>
              <w:spacing w:line="560" w:lineRule="exact"/>
              <w:jc w:val="center"/>
              <w:textAlignment w:val="bottom"/>
              <w:rPr>
                <w:rFonts w:hint="default" w:ascii="仿宋" w:hAnsi="仿宋" w:eastAsia="仿宋" w:cs="仿宋"/>
                <w:color w:val="000000"/>
                <w:sz w:val="32"/>
                <w:szCs w:val="32"/>
                <w:lang w:val="en-US" w:eastAsia="zh-CN"/>
              </w:rPr>
            </w:pPr>
            <w:r>
              <w:rPr>
                <w:rFonts w:hint="eastAsia" w:ascii="仿宋" w:hAnsi="仿宋" w:eastAsia="仿宋" w:cs="仿宋"/>
                <w:color w:val="000000"/>
                <w:kern w:val="0"/>
                <w:sz w:val="32"/>
                <w:szCs w:val="32"/>
                <w:lang w:val="en-US" w:eastAsia="zh-CN"/>
              </w:rPr>
              <w:t>40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32"/>
                <w:szCs w:val="32"/>
              </w:rPr>
            </w:pPr>
            <w:r>
              <w:rPr>
                <w:rFonts w:hint="eastAsia" w:ascii="仿宋" w:hAnsi="仿宋" w:eastAsia="仿宋" w:cs="仿宋"/>
                <w:color w:val="000000"/>
                <w:kern w:val="0"/>
                <w:sz w:val="32"/>
                <w:szCs w:val="32"/>
                <w:lang w:val="en-US" w:eastAsia="zh-CN"/>
              </w:rPr>
              <w:t>100</w:t>
            </w:r>
            <w:r>
              <w:rPr>
                <w:rFonts w:hint="eastAsia" w:ascii="仿宋" w:hAnsi="仿宋" w:eastAsia="仿宋" w:cs="仿宋"/>
                <w:color w:val="000000"/>
                <w:kern w:val="0"/>
                <w:sz w:val="32"/>
                <w:szCs w:val="32"/>
              </w:rPr>
              <w:t>%</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pageBreakBefore w:val="0"/>
              <w:widowControl/>
              <w:kinsoku/>
              <w:wordWrap/>
              <w:overflowPunct/>
              <w:topLinePunct w:val="0"/>
              <w:autoSpaceDE/>
              <w:autoSpaceDN/>
              <w:bidi w:val="0"/>
              <w:adjustRightInd/>
              <w:snapToGrid/>
              <w:spacing w:line="560" w:lineRule="exact"/>
              <w:jc w:val="center"/>
              <w:textAlignment w:val="bottom"/>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40</w:t>
            </w:r>
          </w:p>
        </w:tc>
      </w:tr>
    </w:tbl>
    <w:p>
      <w:pPr>
        <w:pageBreakBefore w:val="0"/>
        <w:kinsoku/>
        <w:wordWrap/>
        <w:overflowPunct/>
        <w:topLinePunct w:val="0"/>
        <w:autoSpaceDE/>
        <w:autoSpaceDN/>
        <w:bidi w:val="0"/>
        <w:adjustRightInd/>
        <w:snapToGrid/>
        <w:spacing w:line="560" w:lineRule="exact"/>
        <w:ind w:firstLine="640"/>
        <w:rPr>
          <w:rStyle w:val="12"/>
          <w:rFonts w:hint="default" w:eastAsia="仿宋_GB2312"/>
          <w:color w:val="auto"/>
          <w:lang w:val="en-US" w:eastAsia="zh-CN"/>
        </w:rPr>
      </w:pPr>
      <w:r>
        <w:rPr>
          <w:rStyle w:val="12"/>
          <w:rFonts w:hint="eastAsia"/>
          <w:color w:val="auto"/>
        </w:rPr>
        <w:t>社会效益指标方面：</w:t>
      </w:r>
      <w:r>
        <w:rPr>
          <w:rStyle w:val="12"/>
          <w:rFonts w:hint="eastAsia" w:eastAsia="仿宋_GB2312"/>
          <w:color w:val="auto"/>
          <w:lang w:val="en-US" w:eastAsia="zh-CN"/>
        </w:rPr>
        <w:t>为群众体育提供活动场所，</w:t>
      </w:r>
      <w:r>
        <w:rPr>
          <w:rFonts w:hint="eastAsia" w:ascii="仿宋_GB2312" w:hAnsi="仿宋_GB2312" w:eastAsia="仿宋_GB2312" w:cs="仿宋_GB2312"/>
          <w:sz w:val="32"/>
          <w:szCs w:val="32"/>
          <w:lang w:val="en-US" w:eastAsia="zh-CN"/>
        </w:rPr>
        <w:t>年度指标值</w:t>
      </w:r>
      <w:r>
        <w:rPr>
          <w:rStyle w:val="12"/>
          <w:rFonts w:hint="eastAsia" w:eastAsia="仿宋_GB2312"/>
          <w:color w:val="auto"/>
          <w:lang w:val="en-US" w:eastAsia="zh-CN"/>
        </w:rPr>
        <w:t>80%，实际完成值80%，完成率100%；</w:t>
      </w:r>
    </w:p>
    <w:p>
      <w:pPr>
        <w:pageBreakBefore w:val="0"/>
        <w:kinsoku/>
        <w:wordWrap/>
        <w:overflowPunct/>
        <w:topLinePunct w:val="0"/>
        <w:autoSpaceDE/>
        <w:autoSpaceDN/>
        <w:bidi w:val="0"/>
        <w:adjustRightInd/>
        <w:snapToGrid/>
        <w:spacing w:line="560" w:lineRule="exact"/>
        <w:ind w:firstLine="640"/>
        <w:rPr>
          <w:rStyle w:val="12"/>
          <w:rFonts w:hint="default" w:eastAsia="仿宋_GB2312"/>
          <w:color w:val="auto"/>
          <w:lang w:val="en-US" w:eastAsia="zh-CN"/>
        </w:rPr>
      </w:pPr>
      <w:r>
        <w:rPr>
          <w:rStyle w:val="12"/>
          <w:color w:val="auto"/>
        </w:rPr>
        <w:t>可持续影响指标</w:t>
      </w:r>
      <w:r>
        <w:rPr>
          <w:rStyle w:val="12"/>
          <w:rFonts w:hint="eastAsia"/>
          <w:color w:val="auto"/>
        </w:rPr>
        <w:t>方面：</w:t>
      </w:r>
      <w:r>
        <w:rPr>
          <w:rStyle w:val="12"/>
          <w:rFonts w:hint="eastAsia" w:eastAsia="仿宋_GB2312"/>
          <w:color w:val="auto"/>
          <w:lang w:val="en-US" w:eastAsia="zh-CN"/>
        </w:rPr>
        <w:t>有效提高场地利用率，年度指标值80%，实际完成值80%，完成率100%；</w:t>
      </w:r>
    </w:p>
    <w:p>
      <w:pPr>
        <w:pageBreakBefore w:val="0"/>
        <w:kinsoku/>
        <w:wordWrap/>
        <w:overflowPunct/>
        <w:topLinePunct w:val="0"/>
        <w:autoSpaceDE/>
        <w:autoSpaceDN/>
        <w:bidi w:val="0"/>
        <w:adjustRightInd/>
        <w:snapToGrid/>
        <w:spacing w:line="560" w:lineRule="exact"/>
        <w:ind w:firstLine="640"/>
        <w:rPr>
          <w:rStyle w:val="12"/>
          <w:rFonts w:hint="default" w:eastAsia="仿宋_GB2312"/>
          <w:color w:val="auto"/>
          <w:lang w:val="en-US" w:eastAsia="zh-CN"/>
        </w:rPr>
      </w:pPr>
      <w:r>
        <w:rPr>
          <w:rStyle w:val="12"/>
          <w:color w:val="auto"/>
        </w:rPr>
        <w:t>满意度指标</w:t>
      </w:r>
      <w:r>
        <w:rPr>
          <w:rStyle w:val="12"/>
          <w:rFonts w:hint="eastAsia"/>
          <w:color w:val="auto"/>
        </w:rPr>
        <w:t>方面：教练员运动员满意度</w:t>
      </w:r>
      <w:r>
        <w:rPr>
          <w:rStyle w:val="12"/>
          <w:rFonts w:hint="eastAsia" w:eastAsia="仿宋_GB2312"/>
          <w:color w:val="auto"/>
          <w:lang w:eastAsia="zh-CN"/>
        </w:rPr>
        <w:t>，</w:t>
      </w:r>
      <w:r>
        <w:rPr>
          <w:rStyle w:val="12"/>
          <w:rFonts w:hint="eastAsia" w:eastAsia="仿宋_GB2312"/>
          <w:color w:val="auto"/>
          <w:lang w:val="en-US" w:eastAsia="zh-CN"/>
        </w:rPr>
        <w:t>年度指标值90%，实际完成值90%，完成率100%；</w:t>
      </w:r>
    </w:p>
    <w:p>
      <w:pPr>
        <w:pageBreakBefore w:val="0"/>
        <w:kinsoku/>
        <w:wordWrap/>
        <w:overflowPunct/>
        <w:topLinePunct w:val="0"/>
        <w:autoSpaceDE/>
        <w:autoSpaceDN/>
        <w:bidi w:val="0"/>
        <w:adjustRightInd/>
        <w:snapToGrid/>
        <w:spacing w:line="560" w:lineRule="exact"/>
        <w:ind w:firstLine="641"/>
        <w:rPr>
          <w:rStyle w:val="12"/>
          <w:color w:val="auto"/>
        </w:rPr>
      </w:pPr>
      <w:r>
        <w:rPr>
          <w:rFonts w:hint="eastAsia" w:ascii="黑体" w:hAnsi="黑体" w:eastAsia="黑体"/>
          <w:sz w:val="32"/>
          <w:szCs w:val="32"/>
        </w:rPr>
        <w:t>五、主要经验及做法、存在的问题及原因分析</w:t>
      </w:r>
    </w:p>
    <w:p>
      <w:pPr>
        <w:pageBreakBefore w:val="0"/>
        <w:kinsoku/>
        <w:wordWrap/>
        <w:overflowPunct/>
        <w:topLinePunct w:val="0"/>
        <w:autoSpaceDE/>
        <w:autoSpaceDN/>
        <w:bidi w:val="0"/>
        <w:adjustRightInd/>
        <w:snapToGrid/>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4"/>
        </w:numPr>
        <w:kinsoku/>
        <w:wordWrap/>
        <w:overflowPunct/>
        <w:topLinePunct w:val="0"/>
        <w:autoSpaceDE/>
        <w:autoSpaceDN/>
        <w:bidi w:val="0"/>
        <w:adjustRightInd/>
        <w:snapToGrid/>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2"/>
        <w:pageBreakBefore w:val="0"/>
        <w:kinsoku/>
        <w:wordWrap/>
        <w:overflowPunct/>
        <w:topLinePunct w:val="0"/>
        <w:autoSpaceDE/>
        <w:autoSpaceDN/>
        <w:bidi w:val="0"/>
        <w:adjustRightInd/>
        <w:snapToGrid/>
        <w:spacing w:before="0" w:after="0" w:line="560" w:lineRule="exact"/>
        <w:ind w:firstLine="640" w:firstLineChars="200"/>
        <w:jc w:val="both"/>
        <w:rPr>
          <w:rFonts w:hint="default" w:ascii="仿宋_GB2312" w:hAnsi="仿宋_GB2312" w:eastAsia="仿宋_GB2312" w:cs="仿宋_GB2312"/>
          <w:b w:val="0"/>
          <w:bCs w:val="0"/>
          <w:color w:val="auto"/>
          <w:kern w:val="2"/>
          <w:lang w:val="en-US" w:eastAsia="zh-CN"/>
        </w:rPr>
      </w:pPr>
      <w:r>
        <w:rPr>
          <w:rFonts w:hint="eastAsia" w:ascii="仿宋_GB2312" w:hAnsi="仿宋_GB2312" w:eastAsia="仿宋_GB2312" w:cs="仿宋_GB2312"/>
          <w:b w:val="0"/>
          <w:bCs w:val="0"/>
          <w:color w:val="auto"/>
          <w:kern w:val="2"/>
        </w:rPr>
        <w:t>1、存在的问题</w:t>
      </w:r>
      <w:r>
        <w:rPr>
          <w:rFonts w:hint="eastAsia" w:ascii="仿宋_GB2312" w:hAnsi="仿宋_GB2312" w:eastAsia="仿宋_GB2312" w:cs="仿宋_GB2312"/>
          <w:b w:val="0"/>
          <w:bCs w:val="0"/>
          <w:color w:val="auto"/>
          <w:kern w:val="2"/>
          <w:lang w:eastAsia="zh-CN"/>
        </w:rPr>
        <w:t>：</w:t>
      </w:r>
      <w:r>
        <w:rPr>
          <w:rFonts w:hint="eastAsia" w:ascii="仿宋_GB2312" w:hAnsi="仿宋_GB2312" w:eastAsia="仿宋_GB2312" w:cs="仿宋_GB2312"/>
          <w:b w:val="0"/>
          <w:bCs w:val="0"/>
          <w:color w:val="auto"/>
          <w:kern w:val="2"/>
          <w:lang w:val="en-US" w:eastAsia="zh-CN"/>
        </w:rPr>
        <w:t>后续资金有待持续、及时补充。</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2、原因分析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由于本级财政财力有限，只能争取体彩公益金当年返还资金的支持，去年</w:t>
      </w:r>
      <w:r>
        <w:rPr>
          <w:rFonts w:hint="eastAsia" w:ascii="仿宋_GB2312" w:eastAsia="仿宋_GB2312"/>
          <w:kern w:val="2"/>
          <w:sz w:val="32"/>
          <w:szCs w:val="32"/>
          <w:lang w:val="en-US" w:eastAsia="zh-CN" w:bidi="ar-SA"/>
        </w:rPr>
        <w:t>传染病防控</w:t>
      </w:r>
      <w:bookmarkStart w:id="2" w:name="_GoBack"/>
      <w:bookmarkEnd w:id="2"/>
      <w:r>
        <w:rPr>
          <w:rFonts w:hint="eastAsia" w:ascii="仿宋_GB2312" w:hAnsi="仿宋_GB2312" w:eastAsia="仿宋_GB2312" w:cs="仿宋_GB2312"/>
          <w:color w:val="auto"/>
          <w:sz w:val="32"/>
          <w:szCs w:val="32"/>
          <w:lang w:val="en-US" w:eastAsia="zh-CN"/>
        </w:rPr>
        <w:t>的原因，体彩返还资金减少，相应会影响该建设项目的整体完工情况。</w:t>
      </w:r>
    </w:p>
    <w:p>
      <w:pPr>
        <w:pageBreakBefore w:val="0"/>
        <w:numPr>
          <w:ilvl w:val="0"/>
          <w:numId w:val="5"/>
        </w:numPr>
        <w:kinsoku/>
        <w:wordWrap/>
        <w:overflowPunct/>
        <w:topLinePunct w:val="0"/>
        <w:autoSpaceDE/>
        <w:autoSpaceDN/>
        <w:bidi w:val="0"/>
        <w:adjustRightInd/>
        <w:snapToGrid/>
        <w:spacing w:line="560" w:lineRule="exact"/>
        <w:ind w:firstLine="641"/>
        <w:rPr>
          <w:rFonts w:ascii="黑体" w:hAnsi="黑体" w:eastAsia="黑体"/>
          <w:sz w:val="32"/>
          <w:szCs w:val="32"/>
        </w:rPr>
      </w:pPr>
      <w:r>
        <w:rPr>
          <w:rFonts w:hint="eastAsia" w:ascii="黑体" w:hAnsi="黑体" w:eastAsia="黑体"/>
          <w:sz w:val="32"/>
          <w:szCs w:val="32"/>
        </w:rPr>
        <w:t>有关建议</w:t>
      </w:r>
    </w:p>
    <w:p>
      <w:pPr>
        <w:pageBreakBefore w:val="0"/>
        <w:numPr>
          <w:ilvl w:val="0"/>
          <w:numId w:val="6"/>
        </w:numPr>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6"/>
        </w:numPr>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pageBreakBefore w:val="0"/>
        <w:numPr>
          <w:ilvl w:val="0"/>
          <w:numId w:val="5"/>
        </w:numPr>
        <w:kinsoku/>
        <w:wordWrap/>
        <w:overflowPunct/>
        <w:topLinePunct w:val="0"/>
        <w:autoSpaceDE/>
        <w:autoSpaceDN/>
        <w:bidi w:val="0"/>
        <w:adjustRightInd/>
        <w:snapToGrid/>
        <w:spacing w:line="560" w:lineRule="exact"/>
        <w:ind w:firstLine="641"/>
        <w:rPr>
          <w:rFonts w:ascii="黑体" w:hAnsi="黑体" w:eastAsia="黑体"/>
          <w:sz w:val="32"/>
          <w:szCs w:val="32"/>
        </w:rPr>
      </w:pP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pPr>
        <w:pageBreakBefore w:val="0"/>
        <w:kinsoku/>
        <w:wordWrap/>
        <w:overflowPunct/>
        <w:topLinePunct w:val="0"/>
        <w:autoSpaceDE/>
        <w:autoSpaceDN/>
        <w:bidi w:val="0"/>
        <w:adjustRightInd/>
        <w:snapToGrid/>
        <w:spacing w:line="560" w:lineRule="exact"/>
        <w:ind w:firstLine="640" w:firstLineChars="200"/>
        <w:rPr>
          <w:rFonts w:hint="eastAsia" w:ascii="黑体" w:hAnsi="黑体" w:eastAsia="黑体"/>
          <w:sz w:val="32"/>
          <w:szCs w:val="32"/>
        </w:rPr>
      </w:pPr>
      <w:r>
        <w:rPr>
          <w:rFonts w:hint="eastAsia" w:ascii="仿宋_GB2312" w:hAnsi="仿宋_GB2312" w:eastAsia="仿宋_GB2312" w:cs="仿宋_GB2312"/>
          <w:sz w:val="32"/>
          <w:szCs w:val="32"/>
          <w:lang w:val="en-US" w:eastAsia="zh-CN"/>
        </w:rPr>
        <w:t>无</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exact"/>
        <w:rPr>
          <w:rFonts w:hint="eastAsia" w:ascii="黑体" w:hAnsi="黑体" w:eastAsia="黑体"/>
          <w:sz w:val="32"/>
          <w:szCs w:val="32"/>
          <w:lang w:eastAsia="zh-CN"/>
        </w:rPr>
      </w:pPr>
    </w:p>
    <w:p>
      <w:pPr>
        <w:pageBreakBefore w:val="0"/>
        <w:kinsoku/>
        <w:wordWrap/>
        <w:overflowPunct/>
        <w:topLinePunct w:val="0"/>
        <w:autoSpaceDE/>
        <w:autoSpaceDN/>
        <w:bidi w:val="0"/>
        <w:adjustRightInd/>
        <w:snapToGrid/>
        <w:spacing w:line="560" w:lineRule="exact"/>
        <w:rPr>
          <w:rFonts w:hint="eastAsia" w:ascii="黑体" w:hAnsi="黑体" w:eastAsia="黑体"/>
          <w:b/>
          <w:bCs/>
          <w:sz w:val="44"/>
          <w:szCs w:val="44"/>
          <w:highlight w:val="red"/>
          <w:lang w:eastAsia="zh-CN"/>
        </w:rPr>
      </w:pPr>
    </w:p>
    <w:p>
      <w:pPr>
        <w:pageBreakBefore w:val="0"/>
        <w:kinsoku/>
        <w:wordWrap/>
        <w:overflowPunct/>
        <w:topLinePunct w:val="0"/>
        <w:autoSpaceDE/>
        <w:autoSpaceDN/>
        <w:bidi w:val="0"/>
        <w:adjustRightInd/>
        <w:snapToGrid/>
        <w:spacing w:line="560" w:lineRule="exact"/>
        <w:rPr>
          <w:rFonts w:hint="eastAsia" w:ascii="黑体" w:hAnsi="黑体" w:eastAsia="黑体"/>
          <w:sz w:val="32"/>
          <w:szCs w:val="32"/>
        </w:rPr>
      </w:pPr>
    </w:p>
    <w:p>
      <w:pPr>
        <w:pStyle w:val="2"/>
        <w:pageBreakBefore w:val="0"/>
        <w:kinsoku/>
        <w:wordWrap/>
        <w:overflowPunct/>
        <w:topLinePunct w:val="0"/>
        <w:autoSpaceDE/>
        <w:autoSpaceDN/>
        <w:bidi w:val="0"/>
        <w:adjustRightInd/>
        <w:snapToGrid/>
        <w:spacing w:before="0" w:after="0" w:line="560" w:lineRule="exact"/>
        <w:rPr>
          <w:rFonts w:hint="eastAsia" w:ascii="黑体" w:hAnsi="黑体" w:eastAsia="黑体"/>
          <w:sz w:val="32"/>
          <w:szCs w:val="32"/>
        </w:rPr>
      </w:pPr>
    </w:p>
    <w:tbl>
      <w:tblPr>
        <w:tblStyle w:val="8"/>
        <w:tblW w:w="8730" w:type="dxa"/>
        <w:tblInd w:w="0" w:type="dxa"/>
        <w:shd w:val="clear" w:color="auto" w:fill="auto"/>
        <w:tblLayout w:type="fixed"/>
        <w:tblCellMar>
          <w:top w:w="0" w:type="dxa"/>
          <w:left w:w="0" w:type="dxa"/>
          <w:bottom w:w="0" w:type="dxa"/>
          <w:right w:w="0" w:type="dxa"/>
        </w:tblCellMar>
      </w:tblPr>
      <w:tblGrid>
        <w:gridCol w:w="840"/>
        <w:gridCol w:w="840"/>
        <w:gridCol w:w="840"/>
        <w:gridCol w:w="840"/>
        <w:gridCol w:w="840"/>
        <w:gridCol w:w="840"/>
        <w:gridCol w:w="840"/>
        <w:gridCol w:w="1230"/>
        <w:gridCol w:w="495"/>
        <w:gridCol w:w="1125"/>
      </w:tblGrid>
      <w:tr>
        <w:tblPrEx>
          <w:shd w:val="clear" w:color="auto" w:fill="auto"/>
          <w:tblCellMar>
            <w:top w:w="0" w:type="dxa"/>
            <w:left w:w="0" w:type="dxa"/>
            <w:bottom w:w="0" w:type="dxa"/>
            <w:right w:w="0" w:type="dxa"/>
          </w:tblCellMar>
        </w:tblPrEx>
        <w:trPr>
          <w:trHeight w:val="409" w:hRule="atLeast"/>
        </w:trPr>
        <w:tc>
          <w:tcPr>
            <w:tcW w:w="8730"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b/>
                <w:i w:val="0"/>
                <w:color w:val="000000"/>
                <w:sz w:val="32"/>
                <w:szCs w:val="32"/>
                <w:u w:val="none"/>
              </w:rPr>
            </w:pPr>
            <w:r>
              <w:rPr>
                <w:rFonts w:hint="eastAsia" w:ascii="方正小标宋_GBK" w:hAnsi="方正小标宋_GBK" w:eastAsia="方正小标宋_GBK" w:cs="方正小标宋_GBK"/>
                <w:b w:val="0"/>
                <w:bCs/>
                <w:i w:val="0"/>
                <w:color w:val="000000"/>
                <w:kern w:val="0"/>
                <w:sz w:val="44"/>
                <w:szCs w:val="44"/>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09" w:hRule="atLeast"/>
        </w:trPr>
        <w:tc>
          <w:tcPr>
            <w:tcW w:w="8730"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05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体校新校区轮滑场地基础设施建设（塔地财综字【2019】52号）</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2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塔城地区业余体校</w:t>
            </w:r>
          </w:p>
        </w:tc>
      </w:tr>
      <w:tr>
        <w:tblPrEx>
          <w:shd w:val="clear" w:color="auto" w:fill="auto"/>
          <w:tblCellMar>
            <w:top w:w="0" w:type="dxa"/>
            <w:left w:w="0" w:type="dxa"/>
            <w:bottom w:w="0" w:type="dxa"/>
            <w:right w:w="0" w:type="dxa"/>
          </w:tblCellMar>
        </w:tblPrEx>
        <w:trPr>
          <w:trHeight w:val="392" w:hRule="atLeast"/>
        </w:trPr>
        <w:tc>
          <w:tcPr>
            <w:tcW w:w="16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项目资金      </w:t>
            </w:r>
            <w:r>
              <w:rPr>
                <w:rFonts w:hint="eastAsia" w:ascii="宋体" w:hAnsi="宋体" w:cs="宋体"/>
                <w:i w:val="0"/>
                <w:color w:val="000000"/>
                <w:kern w:val="0"/>
                <w:sz w:val="18"/>
                <w:szCs w:val="18"/>
                <w:u w:val="none"/>
                <w:lang w:val="en-US" w:eastAsia="zh-CN" w:bidi="ar"/>
              </w:rPr>
              <w:t xml:space="preserve">  </w:t>
            </w:r>
            <w:r>
              <w:rPr>
                <w:rFonts w:hint="eastAsia" w:ascii="宋体" w:hAnsi="宋体" w:eastAsia="宋体" w:cs="宋体"/>
                <w:i w:val="0"/>
                <w:color w:val="000000"/>
                <w:kern w:val="0"/>
                <w:sz w:val="18"/>
                <w:szCs w:val="18"/>
                <w:u w:val="none"/>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pageBreakBefore w:val="0"/>
              <w:kinsoku/>
              <w:wordWrap/>
              <w:overflowPunct/>
              <w:topLinePunct w:val="0"/>
              <w:autoSpaceDE/>
              <w:autoSpaceDN/>
              <w:bidi w:val="0"/>
              <w:adjustRightInd/>
              <w:snapToGrid/>
              <w:spacing w:line="560" w:lineRule="exact"/>
              <w:rPr>
                <w:rFonts w:hint="eastAsia" w:ascii="Arial" w:hAnsi="Arial" w:cs="Arial"/>
                <w:i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270"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shd w:val="clear" w:color="auto" w:fill="auto"/>
          <w:tblCellMar>
            <w:top w:w="0" w:type="dxa"/>
            <w:left w:w="0" w:type="dxa"/>
            <w:bottom w:w="0" w:type="dxa"/>
            <w:right w:w="0" w:type="dxa"/>
          </w:tblCellMar>
        </w:tblPrEx>
        <w:trPr>
          <w:trHeight w:val="433"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200.00</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270"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2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5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本项目为一次性项目，从5月30日——12月20日，完成体校新校区室外轮滑场地及其他场地建设。</w:t>
            </w:r>
          </w:p>
        </w:tc>
        <w:tc>
          <w:tcPr>
            <w:tcW w:w="2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本项目为一次性项目，从5月30日——12月20日，完成体校新校区室外轮滑场地及其他场地建设。</w:t>
            </w:r>
          </w:p>
        </w:tc>
      </w:tr>
      <w:tr>
        <w:tblPrEx>
          <w:shd w:val="clear" w:color="auto" w:fill="auto"/>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72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17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660"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200米轮滑场一个</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≥6301.77平方米</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6301.77平方米</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工程验收合格率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工程完成及时率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≤200万元</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200万元</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为群众体育提供活动场所</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pageBreakBefore w:val="0"/>
              <w:kinsoku/>
              <w:wordWrap/>
              <w:overflowPunct/>
              <w:topLinePunct w:val="0"/>
              <w:autoSpaceDE/>
              <w:autoSpaceDN/>
              <w:bidi w:val="0"/>
              <w:adjustRightInd/>
              <w:snapToGrid/>
              <w:spacing w:line="560" w:lineRule="exact"/>
              <w:rPr>
                <w:rFonts w:hint="default" w:ascii="Arial" w:hAnsi="Arial" w:cs="Arial"/>
                <w:i w:val="0"/>
                <w:color w:val="000000"/>
                <w:sz w:val="20"/>
                <w:szCs w:val="20"/>
                <w:u w:val="none"/>
              </w:rPr>
            </w:pPr>
          </w:p>
        </w:tc>
      </w:tr>
      <w:tr>
        <w:tblPrEx>
          <w:tblCellMar>
            <w:top w:w="0" w:type="dxa"/>
            <w:left w:w="0" w:type="dxa"/>
            <w:bottom w:w="0" w:type="dxa"/>
            <w:right w:w="0" w:type="dxa"/>
          </w:tblCellMar>
        </w:tblPrEx>
        <w:trPr>
          <w:trHeight w:val="6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有效提高场地利用率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pageBreakBefore w:val="0"/>
              <w:kinsoku/>
              <w:wordWrap/>
              <w:overflowPunct/>
              <w:topLinePunct w:val="0"/>
              <w:autoSpaceDE/>
              <w:autoSpaceDN/>
              <w:bidi w:val="0"/>
              <w:adjustRightInd/>
              <w:snapToGrid/>
              <w:spacing w:line="560" w:lineRule="exact"/>
              <w:rPr>
                <w:rFonts w:hint="default" w:ascii="Arial" w:hAnsi="Arial" w:cs="Arial"/>
                <w:i w:val="0"/>
                <w:color w:val="000000"/>
                <w:sz w:val="20"/>
                <w:szCs w:val="20"/>
                <w:u w:val="none"/>
              </w:rPr>
            </w:pPr>
          </w:p>
        </w:tc>
      </w:tr>
      <w:tr>
        <w:tblPrEx>
          <w:tblCellMar>
            <w:top w:w="0" w:type="dxa"/>
            <w:left w:w="0" w:type="dxa"/>
            <w:bottom w:w="0" w:type="dxa"/>
            <w:right w:w="0" w:type="dxa"/>
          </w:tblCellMar>
        </w:tblPrEx>
        <w:trPr>
          <w:trHeight w:val="6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教练员运动员满意度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pageBreakBefore w:val="0"/>
              <w:kinsoku/>
              <w:wordWrap/>
              <w:overflowPunct/>
              <w:topLinePunct w:val="0"/>
              <w:autoSpaceDE/>
              <w:autoSpaceDN/>
              <w:bidi w:val="0"/>
              <w:adjustRightInd/>
              <w:snapToGrid/>
              <w:spacing w:line="560" w:lineRule="exact"/>
              <w:rPr>
                <w:rFonts w:hint="default" w:ascii="Arial" w:hAnsi="Arial" w:cs="Arial"/>
                <w:i w:val="0"/>
                <w:color w:val="000000"/>
                <w:sz w:val="20"/>
                <w:szCs w:val="20"/>
                <w:u w:val="none"/>
              </w:rPr>
            </w:pPr>
          </w:p>
        </w:tc>
      </w:tr>
    </w:tbl>
    <w:p>
      <w:pPr>
        <w:pageBreakBefore w:val="0"/>
        <w:kinsoku/>
        <w:wordWrap/>
        <w:overflowPunct/>
        <w:topLinePunct w:val="0"/>
        <w:autoSpaceDE/>
        <w:autoSpaceDN/>
        <w:bidi w:val="0"/>
        <w:adjustRightInd/>
        <w:snapToGrid/>
        <w:spacing w:line="560" w:lineRule="exact"/>
        <w:rPr>
          <w:rFonts w:hint="eastAsia"/>
        </w:rPr>
      </w:pPr>
    </w:p>
    <w:p>
      <w:pPr>
        <w:pStyle w:val="2"/>
        <w:pageBreakBefore w:val="0"/>
        <w:kinsoku/>
        <w:wordWrap/>
        <w:overflowPunct/>
        <w:topLinePunct w:val="0"/>
        <w:autoSpaceDE/>
        <w:autoSpaceDN/>
        <w:bidi w:val="0"/>
        <w:adjustRightInd/>
        <w:snapToGrid/>
        <w:spacing w:before="0" w:after="0" w:line="560" w:lineRule="exact"/>
        <w:jc w:val="both"/>
        <w:sectPr>
          <w:footerReference r:id="rId3" w:type="default"/>
          <w:pgSz w:w="11906" w:h="16838"/>
          <w:pgMar w:top="1440" w:right="1558" w:bottom="1440" w:left="180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8"/>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pageBreakBefore w:val="0"/>
              <w:widowControl/>
              <w:kinsoku/>
              <w:wordWrap/>
              <w:overflowPunct/>
              <w:topLinePunct w:val="0"/>
              <w:autoSpaceDE/>
              <w:autoSpaceDN/>
              <w:bidi w:val="0"/>
              <w:adjustRightInd/>
              <w:snapToGrid/>
              <w:spacing w:line="56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p>
        </w:tc>
        <w:tc>
          <w:tcPr>
            <w:tcW w:w="767"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bl>
    <w:p>
      <w:pPr>
        <w:pStyle w:val="2"/>
        <w:pageBreakBefore w:val="0"/>
        <w:kinsoku/>
        <w:wordWrap/>
        <w:overflowPunct/>
        <w:topLinePunct w:val="0"/>
        <w:autoSpaceDE/>
        <w:autoSpaceDN/>
        <w:bidi w:val="0"/>
        <w:adjustRightInd/>
        <w:snapToGrid/>
        <w:spacing w:before="0" w:after="0" w:line="560" w:lineRule="exact"/>
        <w:rPr>
          <w:rFonts w:hint="default"/>
          <w:lang w:val="en-US" w:eastAsia="zh-CN"/>
        </w:rPr>
      </w:pPr>
    </w:p>
    <w:p>
      <w:pPr>
        <w:pageBreakBefore w:val="0"/>
        <w:kinsoku/>
        <w:wordWrap/>
        <w:overflowPunct/>
        <w:topLinePunct w:val="0"/>
        <w:autoSpaceDE/>
        <w:autoSpaceDN/>
        <w:bidi w:val="0"/>
        <w:adjustRightInd/>
        <w:snapToGrid/>
        <w:spacing w:line="560" w:lineRule="exact"/>
      </w:pPr>
    </w:p>
    <w:p>
      <w:pPr>
        <w:pageBreakBefore w:val="0"/>
        <w:kinsoku/>
        <w:wordWrap/>
        <w:overflowPunct/>
        <w:topLinePunct w:val="0"/>
        <w:autoSpaceDE/>
        <w:autoSpaceDN/>
        <w:bidi w:val="0"/>
        <w:adjustRightInd/>
        <w:snapToGrid/>
        <w:spacing w:line="560" w:lineRule="exact"/>
        <w:ind w:firstLine="640"/>
        <w:rPr>
          <w:rStyle w:val="11"/>
          <w:rFonts w:ascii="黑体" w:hAnsi="黑体" w:eastAsia="黑体"/>
          <w:bCs w:val="0"/>
          <w:spacing w:val="-4"/>
          <w:sz w:val="32"/>
          <w:szCs w:val="32"/>
        </w:rPr>
      </w:pPr>
    </w:p>
    <w:p>
      <w:pPr>
        <w:pageBreakBefore w:val="0"/>
        <w:kinsoku/>
        <w:wordWrap/>
        <w:overflowPunct/>
        <w:topLinePunct w:val="0"/>
        <w:autoSpaceDE/>
        <w:autoSpaceDN/>
        <w:bidi w:val="0"/>
        <w:adjustRightInd/>
        <w:snapToGrid/>
        <w:spacing w:line="560" w:lineRule="exact"/>
        <w:ind w:firstLine="640"/>
        <w:rPr>
          <w:rStyle w:val="11"/>
          <w:rFonts w:ascii="黑体" w:hAnsi="黑体" w:eastAsia="黑体"/>
          <w:bCs w:val="0"/>
          <w:spacing w:val="-4"/>
          <w:sz w:val="32"/>
          <w:szCs w:val="32"/>
        </w:rPr>
      </w:pPr>
    </w:p>
    <w:p>
      <w:pPr>
        <w:pageBreakBefore w:val="0"/>
        <w:kinsoku/>
        <w:wordWrap/>
        <w:overflowPunct/>
        <w:topLinePunct w:val="0"/>
        <w:autoSpaceDE/>
        <w:autoSpaceDN/>
        <w:bidi w:val="0"/>
        <w:adjustRightInd/>
        <w:snapToGrid/>
        <w:spacing w:line="560" w:lineRule="exact"/>
        <w:ind w:firstLine="640"/>
        <w:rPr>
          <w:rStyle w:val="11"/>
          <w:rFonts w:ascii="黑体" w:hAnsi="黑体" w:eastAsia="黑体"/>
          <w:bCs w:val="0"/>
          <w:spacing w:val="-4"/>
          <w:sz w:val="32"/>
          <w:szCs w:val="32"/>
        </w:rPr>
      </w:pPr>
    </w:p>
    <w:p>
      <w:pPr>
        <w:pageBreakBefore w:val="0"/>
        <w:kinsoku/>
        <w:wordWrap/>
        <w:overflowPunct/>
        <w:topLinePunct w:val="0"/>
        <w:autoSpaceDE/>
        <w:autoSpaceDN/>
        <w:bidi w:val="0"/>
        <w:adjustRightInd/>
        <w:snapToGrid/>
        <w:spacing w:line="560" w:lineRule="exact"/>
        <w:ind w:firstLine="640"/>
        <w:rPr>
          <w:rStyle w:val="11"/>
          <w:rFonts w:ascii="黑体" w:hAnsi="黑体" w:eastAsia="黑体"/>
          <w:bCs w:val="0"/>
          <w:spacing w:val="-4"/>
          <w:sz w:val="32"/>
          <w:szCs w:val="32"/>
        </w:rPr>
      </w:pPr>
    </w:p>
    <w:p>
      <w:pPr>
        <w:pageBreakBefore w:val="0"/>
        <w:kinsoku/>
        <w:wordWrap/>
        <w:overflowPunct/>
        <w:topLinePunct w:val="0"/>
        <w:autoSpaceDE/>
        <w:autoSpaceDN/>
        <w:bidi w:val="0"/>
        <w:adjustRightInd/>
        <w:snapToGrid/>
        <w:spacing w:line="560" w:lineRule="exact"/>
        <w:ind w:firstLine="640"/>
        <w:rPr>
          <w:rStyle w:val="11"/>
          <w:rFonts w:ascii="黑体" w:hAnsi="黑体" w:eastAsia="黑体"/>
          <w:bCs w:val="0"/>
          <w:spacing w:val="-4"/>
          <w:sz w:val="32"/>
          <w:szCs w:val="32"/>
        </w:rPr>
      </w:pPr>
    </w:p>
    <w:p>
      <w:pPr>
        <w:pageBreakBefore w:val="0"/>
        <w:kinsoku/>
        <w:wordWrap/>
        <w:overflowPunct/>
        <w:topLinePunct w:val="0"/>
        <w:autoSpaceDE/>
        <w:autoSpaceDN/>
        <w:bidi w:val="0"/>
        <w:adjustRightInd/>
        <w:snapToGrid/>
        <w:spacing w:line="560" w:lineRule="exact"/>
        <w:ind w:firstLine="640"/>
        <w:rPr>
          <w:rStyle w:val="11"/>
          <w:rFonts w:ascii="黑体" w:hAnsi="黑体" w:eastAsia="黑体"/>
          <w:bCs w:val="0"/>
          <w:spacing w:val="-4"/>
          <w:sz w:val="32"/>
          <w:szCs w:val="32"/>
        </w:rPr>
      </w:pPr>
    </w:p>
    <w:p>
      <w:pPr>
        <w:pageBreakBefore w:val="0"/>
        <w:kinsoku/>
        <w:wordWrap/>
        <w:overflowPunct/>
        <w:topLinePunct w:val="0"/>
        <w:autoSpaceDE/>
        <w:autoSpaceDN/>
        <w:bidi w:val="0"/>
        <w:adjustRightInd/>
        <w:snapToGrid/>
        <w:spacing w:line="560" w:lineRule="exact"/>
        <w:rPr>
          <w:rStyle w:val="11"/>
          <w:rFonts w:ascii="仿宋" w:hAnsi="仿宋" w:eastAsia="仿宋"/>
          <w:b w:val="0"/>
          <w:spacing w:val="-4"/>
          <w:sz w:val="32"/>
          <w:szCs w:val="32"/>
        </w:rPr>
      </w:pPr>
    </w:p>
    <w:p>
      <w:pPr>
        <w:pageBreakBefore w:val="0"/>
        <w:kinsoku/>
        <w:wordWrap/>
        <w:overflowPunct/>
        <w:topLinePunct w:val="0"/>
        <w:autoSpaceDE/>
        <w:autoSpaceDN/>
        <w:bidi w:val="0"/>
        <w:adjustRightInd/>
        <w:snapToGrid/>
        <w:spacing w:line="560" w:lineRule="exact"/>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42200336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42200336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2"/>
                    </w:pP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F4BB6DE"/>
    <w:multiLevelType w:val="singleLevel"/>
    <w:tmpl w:val="FF4BB6DE"/>
    <w:lvl w:ilvl="0" w:tentative="0">
      <w:start w:val="1"/>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num w:numId="1">
    <w:abstractNumId w:val="2"/>
  </w:num>
  <w:num w:numId="2">
    <w:abstractNumId w:val="1"/>
  </w:num>
  <w:num w:numId="3">
    <w:abstractNumId w:val="5"/>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C31147"/>
    <w:rsid w:val="00FE5DF3"/>
    <w:rsid w:val="010F72F7"/>
    <w:rsid w:val="08C31147"/>
    <w:rsid w:val="091C014F"/>
    <w:rsid w:val="0B44518D"/>
    <w:rsid w:val="11BA230B"/>
    <w:rsid w:val="141B66B5"/>
    <w:rsid w:val="17DD7662"/>
    <w:rsid w:val="2D8F6EB5"/>
    <w:rsid w:val="2F950CF5"/>
    <w:rsid w:val="30FA6332"/>
    <w:rsid w:val="31152AF3"/>
    <w:rsid w:val="319F32EC"/>
    <w:rsid w:val="344B7718"/>
    <w:rsid w:val="398C66CA"/>
    <w:rsid w:val="3D9B7CEC"/>
    <w:rsid w:val="4ACD7759"/>
    <w:rsid w:val="531A3FBA"/>
    <w:rsid w:val="563176F2"/>
    <w:rsid w:val="563D416C"/>
    <w:rsid w:val="591660B5"/>
    <w:rsid w:val="5981797D"/>
    <w:rsid w:val="5E6A233C"/>
    <w:rsid w:val="5E7D39E8"/>
    <w:rsid w:val="61C05D00"/>
    <w:rsid w:val="6F4949F2"/>
    <w:rsid w:val="7A0E03CB"/>
    <w:rsid w:val="7B816567"/>
    <w:rsid w:val="7D6249EE"/>
    <w:rsid w:val="7E765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3">
    <w:name w:val="Body Text"/>
    <w:basedOn w:val="1"/>
    <w:qFormat/>
    <w:uiPriority w:val="0"/>
    <w:pPr>
      <w:spacing w:after="120"/>
    </w:pPr>
  </w:style>
  <w:style w:type="paragraph" w:styleId="4">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5">
    <w:name w:val="toc 1"/>
    <w:basedOn w:val="1"/>
    <w:next w:val="1"/>
    <w:unhideWhenUsed/>
    <w:qFormat/>
    <w:uiPriority w:val="39"/>
    <w:pPr>
      <w:spacing w:before="120" w:after="120"/>
      <w:jc w:val="left"/>
    </w:pPr>
    <w:rPr>
      <w:rFonts w:ascii="Calibri" w:hAnsi="Calibri" w:cs="Calibri"/>
      <w:b/>
      <w:bCs/>
      <w:caps/>
      <w:sz w:val="20"/>
      <w:szCs w:val="20"/>
    </w:rPr>
  </w:style>
  <w:style w:type="paragraph" w:styleId="6">
    <w:name w:val="toc 2"/>
    <w:basedOn w:val="1"/>
    <w:next w:val="1"/>
    <w:unhideWhenUsed/>
    <w:qFormat/>
    <w:uiPriority w:val="39"/>
    <w:pPr>
      <w:ind w:left="280"/>
      <w:jc w:val="left"/>
    </w:pPr>
    <w:rPr>
      <w:rFonts w:ascii="Calibri" w:hAnsi="Calibri" w:cs="Calibri"/>
      <w:smallCaps/>
      <w:sz w:val="20"/>
      <w:szCs w:val="20"/>
    </w:rPr>
  </w:style>
  <w:style w:type="paragraph" w:styleId="7">
    <w:name w:val="Body Text First Indent"/>
    <w:basedOn w:val="3"/>
    <w:qFormat/>
    <w:uiPriority w:val="0"/>
    <w:pPr>
      <w:spacing w:after="0"/>
      <w:ind w:firstLine="200" w:firstLineChars="20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bCs/>
    </w:rPr>
  </w:style>
  <w:style w:type="character" w:customStyle="1" w:styleId="12">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2021-04-08T03:11:00Z</dcterms:created>
  <dc:creator>yt</dc:creator>
  <cp:lastModifiedBy>Administrator</cp:lastModifiedBy>
  <dcterms:modified xsi:type="dcterms:W3CDTF">2025-09-04T07:54:03Z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FE9A62763C2E458C90464DED63615C73</vt:lpwstr>
  </property>
</Properties>
</file>