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4"/>
          <w:szCs w:val="44"/>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塔城地区供销办事处</w:t>
      </w:r>
      <w:r>
        <w:rPr>
          <w:rFonts w:hint="eastAsia" w:ascii="方正小标宋简体" w:hAnsi="方正小标宋简体" w:eastAsia="方正小标宋简体" w:cs="方正小标宋简体"/>
          <w:kern w:val="0"/>
          <w:sz w:val="44"/>
          <w:szCs w:val="44"/>
          <w:lang w:val="en-US" w:eastAsia="zh-CN"/>
        </w:rPr>
        <w:t>为民办实事</w:t>
      </w:r>
      <w:r>
        <w:rPr>
          <w:rFonts w:hint="eastAsia" w:ascii="方正小标宋简体" w:hAnsi="方正小标宋简体" w:eastAsia="方正小标宋简体" w:cs="方正小标宋简体"/>
          <w:kern w:val="0"/>
          <w:sz w:val="44"/>
          <w:szCs w:val="44"/>
        </w:rPr>
        <w:t>工作</w:t>
      </w:r>
      <w:r>
        <w:rPr>
          <w:rFonts w:hint="eastAsia" w:ascii="方正小标宋简体" w:hAnsi="方正小标宋简体" w:eastAsia="方正小标宋简体" w:cs="方正小标宋简体"/>
          <w:kern w:val="0"/>
          <w:sz w:val="44"/>
          <w:szCs w:val="44"/>
          <w:lang w:eastAsia="zh-CN"/>
        </w:rPr>
        <w:t>经费</w:t>
      </w:r>
      <w:r>
        <w:rPr>
          <w:rFonts w:hint="eastAsia" w:ascii="方正小标宋简体" w:hAnsi="方正小标宋简体" w:eastAsia="方正小标宋简体" w:cs="方正小标宋简体"/>
          <w:kern w:val="0"/>
          <w:sz w:val="44"/>
          <w:szCs w:val="44"/>
        </w:rPr>
        <w:t>项目支出绩效评价报告</w:t>
      </w: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ascii="仿宋_GB2312" w:hAnsi="仿宋_GB2312" w:eastAsia="仿宋_GB2312" w:cs="仿宋_GB2312"/>
          <w:kern w:val="0"/>
          <w:sz w:val="32"/>
          <w:szCs w:val="32"/>
        </w:rPr>
      </w:pPr>
    </w:p>
    <w:p>
      <w:pPr>
        <w:spacing w:line="700" w:lineRule="exact"/>
        <w:ind w:firstLine="1600" w:firstLineChars="500"/>
        <w:jc w:val="both"/>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项目名称：</w:t>
      </w:r>
      <w:r>
        <w:rPr>
          <w:rFonts w:hint="eastAsia" w:ascii="仿宋_GB2312" w:eastAsia="仿宋_GB2312" w:cs="Times New Roman"/>
          <w:kern w:val="2"/>
          <w:sz w:val="32"/>
          <w:szCs w:val="32"/>
          <w:lang w:val="en-US" w:eastAsia="zh-CN" w:bidi="ar-SA"/>
        </w:rPr>
        <w:t>为民办实事</w:t>
      </w:r>
      <w:r>
        <w:rPr>
          <w:rFonts w:hint="eastAsia" w:ascii="仿宋_GB2312" w:hAnsi="仿宋_GB2312" w:eastAsia="仿宋_GB2312" w:cs="仿宋_GB2312"/>
          <w:kern w:val="0"/>
          <w:sz w:val="32"/>
          <w:szCs w:val="32"/>
        </w:rPr>
        <w:t>工作</w:t>
      </w:r>
      <w:r>
        <w:rPr>
          <w:rFonts w:hint="eastAsia" w:ascii="仿宋_GB2312" w:hAnsi="仿宋_GB2312" w:eastAsia="仿宋_GB2312" w:cs="仿宋_GB2312"/>
          <w:kern w:val="0"/>
          <w:sz w:val="32"/>
          <w:szCs w:val="32"/>
          <w:lang w:eastAsia="zh-CN"/>
        </w:rPr>
        <w:t>经费</w:t>
      </w:r>
    </w:p>
    <w:p>
      <w:pPr>
        <w:spacing w:line="700" w:lineRule="exact"/>
        <w:ind w:firstLine="1600" w:firstLineChars="500"/>
        <w:jc w:val="both"/>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实施单位（公章）：塔城地区供销办事处</w:t>
      </w:r>
    </w:p>
    <w:p>
      <w:pPr>
        <w:spacing w:line="700" w:lineRule="exact"/>
        <w:ind w:firstLine="1600" w:firstLineChars="500"/>
        <w:jc w:val="both"/>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主管部门（公章）：塔城地区财政局</w:t>
      </w:r>
    </w:p>
    <w:p>
      <w:pPr>
        <w:spacing w:line="700" w:lineRule="exact"/>
        <w:ind w:firstLine="1600" w:firstLineChars="500"/>
        <w:jc w:val="both"/>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项目负责人（签章）：魏婉丽</w:t>
      </w:r>
    </w:p>
    <w:p>
      <w:pPr>
        <w:spacing w:line="700" w:lineRule="exact"/>
        <w:ind w:firstLine="1600" w:firstLineChars="500"/>
        <w:jc w:val="both"/>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填报时间：2021年4月2日</w:t>
      </w:r>
    </w:p>
    <w:p>
      <w:pPr>
        <w:spacing w:line="540" w:lineRule="exact"/>
        <w:jc w:val="center"/>
        <w:rPr>
          <w:rFonts w:hAnsi="宋体" w:eastAsia="仿宋_GB2312" w:cs="宋体"/>
          <w:kern w:val="0"/>
          <w:sz w:val="30"/>
          <w:szCs w:val="30"/>
        </w:rPr>
      </w:pPr>
    </w:p>
    <w:p>
      <w:pPr>
        <w:spacing w:line="540" w:lineRule="exact"/>
        <w:rPr>
          <w:rStyle w:val="22"/>
          <w:rFonts w:ascii="黑体" w:hAnsi="黑体" w:eastAsia="黑体"/>
          <w:b w:val="0"/>
          <w:spacing w:val="-4"/>
          <w:sz w:val="32"/>
          <w:szCs w:val="32"/>
        </w:rPr>
      </w:pPr>
    </w:p>
    <w:p>
      <w:pPr>
        <w:spacing w:line="540" w:lineRule="exact"/>
        <w:ind w:firstLine="640"/>
        <w:rPr>
          <w:rStyle w:val="22"/>
          <w:rFonts w:ascii="黑体" w:hAnsi="黑体" w:eastAsia="黑体"/>
          <w:b w:val="0"/>
          <w:spacing w:val="-4"/>
          <w:sz w:val="32"/>
          <w:szCs w:val="32"/>
        </w:rPr>
      </w:pPr>
    </w:p>
    <w:p>
      <w:pPr>
        <w:spacing w:line="540" w:lineRule="exact"/>
        <w:rPr>
          <w:rStyle w:val="22"/>
          <w:rFonts w:ascii="黑体" w:hAnsi="黑体" w:eastAsia="黑体"/>
          <w:b w:val="0"/>
          <w:spacing w:val="-4"/>
          <w:sz w:val="32"/>
          <w:szCs w:val="32"/>
        </w:rPr>
      </w:pPr>
    </w:p>
    <w:p>
      <w:pPr>
        <w:spacing w:line="600" w:lineRule="exact"/>
        <w:jc w:val="center"/>
        <w:rPr>
          <w:rFonts w:ascii="黑体" w:hAnsi="黑体" w:eastAsia="黑体" w:cs="黑体"/>
          <w:bCs/>
          <w:sz w:val="32"/>
          <w:szCs w:val="32"/>
        </w:rPr>
        <w:sectPr>
          <w:pgSz w:w="11906" w:h="16838"/>
          <w:pgMar w:top="1440" w:right="1558" w:bottom="1440" w:left="1800" w:header="851" w:footer="992" w:gutter="0"/>
          <w:cols w:space="425" w:num="1"/>
          <w:docGrid w:type="lines" w:linePitch="312" w:charSpace="0"/>
        </w:sectPr>
      </w:pPr>
    </w:p>
    <w:p>
      <w:pPr>
        <w:spacing w:line="600" w:lineRule="exact"/>
        <w:jc w:val="center"/>
        <w:rPr>
          <w:rFonts w:ascii="黑体" w:hAnsi="黑体" w:eastAsia="黑体" w:cs="黑体"/>
          <w:bCs/>
          <w:sz w:val="32"/>
          <w:szCs w:val="32"/>
        </w:rPr>
      </w:pPr>
      <w:r>
        <w:rPr>
          <w:rFonts w:hint="eastAsia" w:ascii="黑体" w:hAnsi="黑体" w:eastAsia="黑体" w:cs="黑体"/>
          <w:bCs/>
          <w:sz w:val="32"/>
          <w:szCs w:val="32"/>
        </w:rPr>
        <w:t>目  录</w:t>
      </w:r>
    </w:p>
    <w:p>
      <w:pPr>
        <w:pStyle w:val="16"/>
        <w:rPr>
          <w:rFonts w:cs="Times New Roman"/>
        </w:rPr>
      </w:pPr>
      <w:r>
        <w:rPr>
          <w:rFonts w:hint="eastAsia"/>
        </w:rPr>
        <w:t>一、基本情况</w:t>
      </w:r>
      <w:r>
        <w:tab/>
      </w:r>
      <w:r>
        <w:rPr>
          <w:rFonts w:hint="eastAsia"/>
        </w:rPr>
        <w:t>1</w:t>
      </w:r>
    </w:p>
    <w:p>
      <w:pPr>
        <w:pStyle w:val="18"/>
      </w:pPr>
      <w:r>
        <w:rPr>
          <w:rFonts w:hint="eastAsia"/>
        </w:rPr>
        <w:t>（一）项目概况</w:t>
      </w:r>
      <w:r>
        <w:tab/>
      </w:r>
      <w:r>
        <w:rPr>
          <w:rFonts w:hint="eastAsia"/>
        </w:rPr>
        <w:t>1</w:t>
      </w:r>
    </w:p>
    <w:p>
      <w:pPr>
        <w:pStyle w:val="18"/>
      </w:pPr>
      <w:r>
        <w:rPr>
          <w:rFonts w:hint="eastAsia"/>
        </w:rPr>
        <w:t>（二）项目绩效目标</w:t>
      </w:r>
      <w:r>
        <w:tab/>
      </w:r>
      <w:r>
        <w:rPr>
          <w:rFonts w:hint="eastAsia"/>
        </w:rPr>
        <w:t>2</w:t>
      </w:r>
    </w:p>
    <w:p>
      <w:pPr>
        <w:pStyle w:val="16"/>
      </w:pPr>
      <w:r>
        <w:rPr>
          <w:rFonts w:hint="eastAsia"/>
        </w:rPr>
        <w:t>二、绩效评价工作开展情况</w:t>
      </w:r>
      <w:r>
        <w:tab/>
      </w:r>
      <w:r>
        <w:rPr>
          <w:rFonts w:hint="eastAsia"/>
        </w:rPr>
        <w:t>3</w:t>
      </w:r>
    </w:p>
    <w:p>
      <w:pPr>
        <w:pStyle w:val="18"/>
      </w:pPr>
      <w:r>
        <w:rPr>
          <w:rFonts w:hint="eastAsia"/>
        </w:rPr>
        <w:t>（一）绩效评价目的、对象和范围</w:t>
      </w:r>
      <w:r>
        <w:tab/>
      </w:r>
      <w:r>
        <w:rPr>
          <w:rFonts w:hint="eastAsia"/>
        </w:rPr>
        <w:t>3</w:t>
      </w:r>
    </w:p>
    <w:p>
      <w:pPr>
        <w:pStyle w:val="18"/>
        <w:rPr>
          <w:rFonts w:cs="Times New Roman"/>
          <w:sz w:val="21"/>
          <w:szCs w:val="22"/>
        </w:rPr>
      </w:pPr>
      <w:r>
        <w:rPr>
          <w:rFonts w:hint="eastAsia"/>
        </w:rPr>
        <w:t>（二）绩效评价原则、评价指标体系（详情见表1）、评价方法、评价标准</w:t>
      </w:r>
      <w:r>
        <w:tab/>
      </w:r>
      <w:r>
        <w:rPr>
          <w:rFonts w:hint="eastAsia"/>
        </w:rPr>
        <w:t>4</w:t>
      </w:r>
    </w:p>
    <w:p>
      <w:pPr>
        <w:pStyle w:val="16"/>
        <w:rPr>
          <w:rFonts w:cs="Times New Roman"/>
          <w:sz w:val="21"/>
          <w:szCs w:val="22"/>
        </w:rPr>
      </w:pPr>
      <w:r>
        <w:rPr>
          <w:rFonts w:hint="eastAsia"/>
        </w:rPr>
        <w:t>三、综合评价情况及评价结论（附相关评分表）</w:t>
      </w:r>
      <w:r>
        <w:tab/>
      </w:r>
      <w:r>
        <w:rPr>
          <w:rFonts w:hint="eastAsia"/>
        </w:rPr>
        <w:t>8</w:t>
      </w:r>
    </w:p>
    <w:p>
      <w:pPr>
        <w:pStyle w:val="16"/>
        <w:rPr>
          <w:rFonts w:cs="Times New Roman"/>
          <w:sz w:val="21"/>
          <w:szCs w:val="22"/>
        </w:rPr>
      </w:pPr>
      <w:r>
        <w:rPr>
          <w:rFonts w:hint="eastAsia"/>
        </w:rPr>
        <w:t>四、绩效评价指标分析</w:t>
      </w:r>
      <w:r>
        <w:tab/>
      </w:r>
      <w:r>
        <w:rPr>
          <w:rFonts w:hint="eastAsia"/>
        </w:rPr>
        <w:t>9</w:t>
      </w:r>
    </w:p>
    <w:p>
      <w:pPr>
        <w:pStyle w:val="18"/>
        <w:rPr>
          <w:rFonts w:cs="Times New Roman"/>
          <w:sz w:val="21"/>
          <w:szCs w:val="22"/>
        </w:rPr>
      </w:pPr>
      <w:r>
        <w:rPr>
          <w:rFonts w:hint="eastAsia"/>
        </w:rPr>
        <w:t>（一）项目决策情况</w:t>
      </w:r>
      <w:r>
        <w:tab/>
      </w:r>
      <w:r>
        <w:rPr>
          <w:rFonts w:hint="eastAsia"/>
        </w:rPr>
        <w:t>9</w:t>
      </w:r>
    </w:p>
    <w:p>
      <w:pPr>
        <w:pStyle w:val="18"/>
        <w:rPr>
          <w:rFonts w:cs="Times New Roman"/>
          <w:sz w:val="21"/>
          <w:szCs w:val="22"/>
        </w:rPr>
      </w:pPr>
      <w:r>
        <w:rPr>
          <w:rFonts w:hint="eastAsia"/>
        </w:rPr>
        <w:t>（二）项目过程情况</w:t>
      </w:r>
      <w:r>
        <w:tab/>
      </w:r>
      <w:r>
        <w:rPr>
          <w:rFonts w:hint="eastAsia"/>
        </w:rPr>
        <w:t>10</w:t>
      </w:r>
    </w:p>
    <w:p>
      <w:pPr>
        <w:pStyle w:val="18"/>
      </w:pPr>
      <w:r>
        <w:rPr>
          <w:rFonts w:hint="eastAsia"/>
        </w:rPr>
        <w:t>（三）项目产出</w:t>
      </w:r>
      <w:r>
        <w:tab/>
      </w:r>
      <w:r>
        <w:rPr>
          <w:rFonts w:hint="eastAsia"/>
        </w:rPr>
        <w:t>10</w:t>
      </w:r>
    </w:p>
    <w:p>
      <w:pPr>
        <w:pStyle w:val="18"/>
      </w:pPr>
      <w:r>
        <w:rPr>
          <w:rFonts w:hint="eastAsia"/>
        </w:rPr>
        <w:t>（四）效益情况</w:t>
      </w:r>
      <w:r>
        <w:tab/>
      </w:r>
      <w:r>
        <w:rPr>
          <w:rFonts w:hint="eastAsia"/>
        </w:rPr>
        <w:t>11</w:t>
      </w:r>
    </w:p>
    <w:p>
      <w:pPr>
        <w:pStyle w:val="16"/>
        <w:rPr>
          <w:rFonts w:cs="Times New Roman"/>
          <w:sz w:val="21"/>
          <w:szCs w:val="22"/>
        </w:rPr>
      </w:pPr>
      <w:r>
        <w:rPr>
          <w:rFonts w:hint="eastAsia"/>
        </w:rPr>
        <w:t>五、主要经验及做法、存在的问题及原因分析</w:t>
      </w:r>
      <w:r>
        <w:tab/>
      </w:r>
      <w:r>
        <w:rPr>
          <w:rFonts w:hint="eastAsia"/>
        </w:rPr>
        <w:t>11</w:t>
      </w:r>
    </w:p>
    <w:p>
      <w:pPr>
        <w:pStyle w:val="18"/>
      </w:pPr>
      <w:r>
        <w:rPr>
          <w:rFonts w:hint="eastAsia"/>
        </w:rPr>
        <w:t>（一）要经验及做法</w:t>
      </w:r>
      <w:r>
        <w:tab/>
      </w:r>
      <w:r>
        <w:rPr>
          <w:rFonts w:hint="eastAsia"/>
        </w:rPr>
        <w:t>11</w:t>
      </w:r>
    </w:p>
    <w:p>
      <w:pPr>
        <w:pStyle w:val="18"/>
        <w:rPr>
          <w:rFonts w:cs="Times New Roman"/>
          <w:sz w:val="21"/>
          <w:szCs w:val="22"/>
        </w:rPr>
      </w:pPr>
      <w:r>
        <w:rPr>
          <w:rFonts w:hint="eastAsia"/>
        </w:rPr>
        <w:t>（二）存在问题及原因分析</w:t>
      </w:r>
      <w:r>
        <w:tab/>
      </w:r>
      <w:r>
        <w:rPr>
          <w:rFonts w:hint="eastAsia"/>
        </w:rPr>
        <w:t>12</w:t>
      </w:r>
    </w:p>
    <w:p>
      <w:pPr>
        <w:pStyle w:val="16"/>
      </w:pPr>
      <w:r>
        <w:rPr>
          <w:rFonts w:hint="eastAsia"/>
        </w:rPr>
        <w:t>六、有关建议</w:t>
      </w:r>
      <w:r>
        <w:tab/>
      </w:r>
      <w:r>
        <w:rPr>
          <w:rFonts w:hint="eastAsia"/>
        </w:rPr>
        <w:t>12</w:t>
      </w:r>
    </w:p>
    <w:p>
      <w:pPr>
        <w:pStyle w:val="16"/>
        <w:rPr>
          <w:rFonts w:cs="Times New Roman"/>
          <w:sz w:val="21"/>
          <w:szCs w:val="22"/>
        </w:rPr>
      </w:pPr>
      <w:r>
        <w:rPr>
          <w:rFonts w:hint="eastAsia"/>
          <w:smallCaps/>
        </w:rPr>
        <w:t>七、其他需要说明的问题</w:t>
      </w:r>
      <w:r>
        <w:tab/>
      </w:r>
      <w:r>
        <w:rPr>
          <w:rFonts w:hint="eastAsia"/>
        </w:rPr>
        <w:t>12</w:t>
      </w:r>
    </w:p>
    <w:p>
      <w:pPr>
        <w:pStyle w:val="2"/>
        <w:jc w:val="both"/>
        <w:rPr>
          <w:rFonts w:ascii="Calibri" w:hAnsi="Calibri" w:eastAsia="仿宋_GB2312" w:cs="Calibri"/>
          <w:b w:val="0"/>
          <w:bCs w:val="0"/>
          <w:smallCaps/>
          <w:kern w:val="2"/>
        </w:rPr>
      </w:pPr>
    </w:p>
    <w:p>
      <w:pPr>
        <w:spacing w:line="600" w:lineRule="exact"/>
        <w:rPr>
          <w:rFonts w:ascii="黑体" w:hAnsi="黑体" w:eastAsia="黑体" w:cs="黑体"/>
          <w:bCs/>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依据文件要求，我单位工作队在额敏县霍吉尔特蒙古民族乡阿克加尔卓塔村，2020年我单位委派2名工作人员到额敏县霍吉尔特蒙古民族乡阿克加尔卓塔村开展工作。经费主要用于</w:t>
      </w:r>
      <w:r>
        <w:rPr>
          <w:rFonts w:hint="eastAsia" w:ascii="仿宋_GB2312" w:eastAsia="仿宋_GB2312" w:cs="Times New Roman"/>
          <w:kern w:val="2"/>
          <w:sz w:val="32"/>
          <w:szCs w:val="32"/>
          <w:lang w:val="en-US" w:eastAsia="zh-CN" w:bidi="ar-SA"/>
        </w:rPr>
        <w:t>为民办实事</w:t>
      </w:r>
      <w:r>
        <w:rPr>
          <w:rFonts w:hint="eastAsia" w:ascii="仿宋_GB2312" w:hAnsi="仿宋_GB2312" w:eastAsia="仿宋_GB2312" w:cs="仿宋_GB2312"/>
          <w:bCs/>
          <w:sz w:val="32"/>
          <w:szCs w:val="32"/>
        </w:rPr>
        <w:t>工作经费，是为解决改善村容村貌、扶贫帮困、为民办好事办实事解难题。</w:t>
      </w:r>
    </w:p>
    <w:p>
      <w:pPr>
        <w:pageBreakBefore w:val="0"/>
        <w:kinsoku/>
        <w:wordWrap/>
        <w:overflowPunct/>
        <w:topLinePunct w:val="0"/>
        <w:autoSpaceDE/>
        <w:autoSpaceDN/>
        <w:bidi w:val="0"/>
        <w:adjustRightInd/>
        <w:snapToGrid/>
        <w:spacing w:line="560" w:lineRule="exact"/>
        <w:ind w:firstLine="640" w:firstLineChars="200"/>
        <w:textAlignment w:val="auto"/>
        <w:rPr>
          <w:rStyle w:val="22"/>
          <w:rFonts w:ascii="仿宋_GB2312" w:hAnsi="仿宋_GB2312" w:eastAsia="仿宋_GB2312" w:cs="仿宋_GB2312"/>
          <w:bCs w:val="0"/>
          <w:kern w:val="0"/>
          <w:sz w:val="32"/>
          <w:szCs w:val="32"/>
        </w:rPr>
      </w:pPr>
      <w:r>
        <w:rPr>
          <w:rFonts w:hint="eastAsia" w:ascii="仿宋_GB2312" w:hAnsi="仿宋_GB2312" w:eastAsia="仿宋_GB2312" w:cs="仿宋_GB2312"/>
          <w:bCs/>
          <w:sz w:val="32"/>
          <w:szCs w:val="32"/>
        </w:rPr>
        <w:fldChar w:fldCharType="begin">
          <w:fldData xml:space="preserve">MwAwADUAQwBDADMAQwA5ADkANgBGADIANABGAEQAMABBADUARgAxAEEAQgBBADgAMABEAEMAQwA4
AEUARQA2AA==
</w:fldData>
        </w:fldChar>
      </w:r>
      <w:r>
        <w:rPr>
          <w:rFonts w:hint="eastAsia" w:ascii="仿宋_GB2312" w:hAnsi="仿宋_GB2312" w:eastAsia="仿宋_GB2312" w:cs="仿宋_GB2312"/>
          <w:bCs/>
          <w:sz w:val="32"/>
          <w:szCs w:val="32"/>
        </w:rPr>
        <w:instrText xml:space="preserve">Addin (二)项目资金管理情况分析</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rPr>
        <w:t>项目资金5万元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该项目资金的投入使用有效改善村容村貌、脱贫攻坚，通过扶贫帮困、进一步提高了工作队和基层党组织服务群众、为民办事的能力，得到了村民对党的惠民政策的认可。</w:t>
      </w:r>
      <w:r>
        <w:rPr>
          <w:rFonts w:hint="eastAsia" w:ascii="仿宋_GB2312" w:hAnsi="仿宋_GB2312" w:eastAsia="仿宋_GB2312" w:cs="仿宋_GB2312"/>
          <w:bCs/>
          <w:sz w:val="32"/>
          <w:szCs w:val="32"/>
        </w:rPr>
        <w:fldChar w:fldCharType="end"/>
      </w:r>
    </w:p>
    <w:p>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项目主要内容：经费的25%用于访贫问苦，为群众送信息、送温暖；50%用于困难群众房屋修缮、更新设备等；25%用于补充村级组织工作经费，积极组织开展各类活动。</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本项目总投资5万元，其中：财政本级资金5万元。项目实际支出5万元， 支出率为100%。</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项目总投资5万元，资金支出符合</w:t>
      </w:r>
      <w:r>
        <w:rPr>
          <w:rFonts w:hint="eastAsia" w:ascii="仿宋_GB2312" w:eastAsia="仿宋_GB2312" w:cs="Times New Roman"/>
          <w:kern w:val="2"/>
          <w:sz w:val="32"/>
          <w:szCs w:val="32"/>
          <w:lang w:val="en-US" w:eastAsia="zh-CN" w:bidi="ar-SA"/>
        </w:rPr>
        <w:t>为民办实事</w:t>
      </w:r>
      <w:r>
        <w:rPr>
          <w:rFonts w:hint="eastAsia" w:ascii="仿宋_GB2312" w:hAnsi="仿宋_GB2312" w:eastAsia="仿宋_GB2312" w:cs="仿宋_GB2312"/>
          <w:sz w:val="32"/>
          <w:szCs w:val="32"/>
          <w:lang w:eastAsia="zh-CN"/>
        </w:rPr>
        <w:t>工作经费使用</w:t>
      </w:r>
      <w:r>
        <w:rPr>
          <w:rFonts w:hint="eastAsia" w:ascii="仿宋_GB2312" w:hAnsi="仿宋_GB2312" w:eastAsia="仿宋_GB2312" w:cs="仿宋_GB2312"/>
          <w:sz w:val="32"/>
          <w:szCs w:val="32"/>
        </w:rPr>
        <w:t>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eastAsia="zh-CN"/>
        </w:rPr>
        <w:t>工作经费</w:t>
      </w:r>
      <w:r>
        <w:rPr>
          <w:rFonts w:hint="eastAsia" w:ascii="仿宋_GB2312" w:hAnsi="仿宋_GB2312" w:eastAsia="仿宋_GB2312" w:cs="仿宋_GB2312"/>
          <w:sz w:val="32"/>
          <w:szCs w:val="32"/>
        </w:rPr>
        <w:t>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eastAsia="zh-CN"/>
        </w:rPr>
        <w:t>上级</w:t>
      </w:r>
      <w:r>
        <w:rPr>
          <w:rFonts w:hint="eastAsia" w:ascii="仿宋_GB2312" w:hAnsi="仿宋_GB2312" w:eastAsia="仿宋_GB2312" w:cs="仿宋_GB2312"/>
          <w:sz w:val="32"/>
          <w:szCs w:val="32"/>
        </w:rPr>
        <w:t>批复的资金，项目资金到位5万元，实际支出5万元，用于支付项目实施进程中的各项费用。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2020年拨付</w:t>
      </w:r>
      <w:r>
        <w:rPr>
          <w:rFonts w:hint="eastAsia" w:ascii="仿宋_GB2312" w:eastAsia="仿宋_GB2312" w:cs="Times New Roman"/>
          <w:kern w:val="2"/>
          <w:sz w:val="32"/>
          <w:szCs w:val="32"/>
          <w:lang w:val="en-US" w:eastAsia="zh-CN" w:bidi="ar-SA"/>
        </w:rPr>
        <w:t>为民办实事</w:t>
      </w:r>
      <w:r>
        <w:rPr>
          <w:rFonts w:hint="eastAsia" w:ascii="仿宋_GB2312" w:hAnsi="仿宋_GB2312" w:eastAsia="仿宋_GB2312" w:cs="仿宋_GB2312"/>
          <w:sz w:val="32"/>
          <w:szCs w:val="32"/>
        </w:rPr>
        <w:t>工作</w:t>
      </w:r>
      <w:bookmarkStart w:id="2" w:name="_GoBack"/>
      <w:bookmarkEnd w:id="2"/>
      <w:r>
        <w:rPr>
          <w:rFonts w:hint="eastAsia" w:ascii="仿宋_GB2312" w:hAnsi="仿宋_GB2312" w:eastAsia="仿宋_GB2312" w:cs="仿宋_GB2312"/>
          <w:sz w:val="32"/>
          <w:szCs w:val="32"/>
        </w:rPr>
        <w:t>经费5万元，主要用于</w:t>
      </w:r>
      <w:r>
        <w:rPr>
          <w:rFonts w:hint="eastAsia" w:ascii="仿宋_GB2312" w:eastAsia="仿宋_GB2312" w:cs="Times New Roman"/>
          <w:kern w:val="2"/>
          <w:sz w:val="32"/>
          <w:szCs w:val="32"/>
          <w:lang w:val="en-US" w:eastAsia="zh-CN" w:bidi="ar-SA"/>
        </w:rPr>
        <w:t>为民办实事</w:t>
      </w:r>
      <w:r>
        <w:rPr>
          <w:rFonts w:hint="eastAsia" w:ascii="仿宋_GB2312" w:hAnsi="仿宋_GB2312" w:eastAsia="仿宋_GB2312" w:cs="仿宋_GB2312"/>
          <w:sz w:val="32"/>
          <w:szCs w:val="32"/>
        </w:rPr>
        <w:t>工作经费，是为解决改善村容村貌、扶贫帮困、为民办好事办实事解难题的支出。</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（1）前期准备：根据《项目管理方案》，通过制定项目实施方案，经项目负责人审核通过后，有序开展后续工程。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综合来看，通过开展有效的财政支出绩效评价管理，达到改进预算管理、控制节约成本，提高预算资金使用效益的目的。地区供销办事处按照对</w:t>
      </w:r>
      <w:r>
        <w:rPr>
          <w:rFonts w:hint="eastAsia" w:ascii="仿宋_GB2312" w:eastAsia="仿宋_GB2312" w:cs="Times New Roman"/>
          <w:kern w:val="2"/>
          <w:sz w:val="32"/>
          <w:szCs w:val="32"/>
          <w:lang w:val="en-US" w:eastAsia="zh-CN" w:bidi="ar-SA"/>
        </w:rPr>
        <w:t>为民办实事</w:t>
      </w:r>
      <w:r>
        <w:rPr>
          <w:rFonts w:hint="eastAsia" w:ascii="仿宋_GB2312" w:hAnsi="仿宋_GB2312" w:eastAsia="仿宋_GB2312" w:cs="仿宋_GB2312"/>
          <w:sz w:val="32"/>
          <w:szCs w:val="32"/>
        </w:rPr>
        <w:t>工作队经费进行科学评价，评价购置资金项目预算编制合理性、资金使用合规性、项目管理的规范性、项目目标的实现情况、服务对象的满意度等，通过本次绩效评价来总结经验和教训，促进项目成果转化和应用，为今后类似项目的长效管理，提供可行性参考建议。从</w:t>
      </w:r>
      <w:r>
        <w:rPr>
          <w:rFonts w:hint="eastAsia" w:ascii="仿宋_GB2312" w:hAnsi="仿宋_GB2312" w:eastAsia="仿宋_GB2312" w:cs="仿宋_GB2312"/>
          <w:sz w:val="32"/>
          <w:szCs w:val="32"/>
          <w:lang w:eastAsia="zh-CN"/>
        </w:rPr>
        <w:t>工作经费</w:t>
      </w:r>
      <w:r>
        <w:rPr>
          <w:rFonts w:hint="eastAsia" w:ascii="仿宋_GB2312" w:hAnsi="仿宋_GB2312" w:eastAsia="仿宋_GB2312" w:cs="仿宋_GB2312"/>
          <w:sz w:val="32"/>
          <w:szCs w:val="32"/>
        </w:rPr>
        <w:t>的角度提出有针对性的建议，提高对工作经费的有效利用度，进一步提升工作水平。</w:t>
      </w:r>
      <w:r>
        <w:rPr>
          <w:rFonts w:hint="eastAsia" w:ascii="仿宋_GB2312" w:hAnsi="仿宋_GB2312" w:eastAsia="仿宋_GB2312" w:cs="仿宋_GB2312"/>
          <w:sz w:val="32"/>
          <w:szCs w:val="32"/>
          <w:lang w:eastAsia="zh-CN"/>
        </w:rPr>
        <w:t>为更好地</w:t>
      </w:r>
      <w:r>
        <w:rPr>
          <w:rFonts w:hint="eastAsia" w:ascii="仿宋_GB2312" w:hAnsi="仿宋_GB2312" w:eastAsia="仿宋_GB2312" w:cs="仿宋_GB2312"/>
          <w:sz w:val="32"/>
          <w:szCs w:val="32"/>
        </w:rPr>
        <w:t>开展好工作，充分发挥为民办实事工作经费在工作中的重要作用，完成工作任务的客观需要，强化工作保障必然要求。</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评价对象为</w:t>
      </w:r>
      <w:r>
        <w:rPr>
          <w:rFonts w:hint="eastAsia" w:ascii="仿宋_GB2312" w:eastAsia="仿宋_GB2312" w:cs="Times New Roman"/>
          <w:kern w:val="2"/>
          <w:sz w:val="32"/>
          <w:szCs w:val="32"/>
          <w:lang w:val="en-US" w:eastAsia="zh-CN" w:bidi="ar-SA"/>
        </w:rPr>
        <w:t>为民办实事</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经费</w:t>
      </w:r>
      <w:r>
        <w:rPr>
          <w:rFonts w:hint="eastAsia" w:ascii="仿宋_GB2312" w:hAnsi="仿宋_GB2312" w:eastAsia="仿宋_GB2312" w:cs="仿宋_GB2312"/>
          <w:sz w:val="32"/>
          <w:szCs w:val="32"/>
        </w:rPr>
        <w:t>项目。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本次评价从项目决策（包括项目立项、绩效目标、决策过程）、项目管理（包括项目资金、项目实施）、项目产出（包括项目产出数量、产出质量、产出时效和产出成本）项目效益四个维度进行评价，评价对象为</w:t>
      </w:r>
      <w:r>
        <w:rPr>
          <w:rFonts w:hint="eastAsia" w:ascii="仿宋_GB2312" w:hAnsi="仿宋_GB2312" w:eastAsia="仿宋_GB2312" w:cs="仿宋_GB2312"/>
          <w:sz w:val="32"/>
          <w:szCs w:val="32"/>
          <w:lang w:val="en-US" w:eastAsia="zh-CN"/>
        </w:rPr>
        <w:t>为民办实事</w:t>
      </w:r>
      <w:r>
        <w:rPr>
          <w:rFonts w:hint="eastAsia" w:ascii="仿宋_GB2312" w:hAnsi="仿宋_GB2312" w:eastAsia="仿宋_GB2312" w:cs="仿宋_GB2312"/>
          <w:sz w:val="32"/>
          <w:szCs w:val="32"/>
        </w:rPr>
        <w:t>工作经费项目，评价核心为</w:t>
      </w:r>
      <w:r>
        <w:rPr>
          <w:rFonts w:hint="eastAsia" w:ascii="仿宋_GB2312" w:hAnsi="仿宋_GB2312" w:eastAsia="仿宋_GB2312" w:cs="仿宋_GB2312"/>
          <w:sz w:val="32"/>
          <w:szCs w:val="32"/>
          <w:lang w:eastAsia="zh-CN"/>
        </w:rPr>
        <w:t>工作经费</w:t>
      </w:r>
      <w:r>
        <w:rPr>
          <w:rFonts w:hint="eastAsia" w:ascii="仿宋_GB2312" w:hAnsi="仿宋_GB2312" w:eastAsia="仿宋_GB2312" w:cs="仿宋_GB2312"/>
          <w:sz w:val="32"/>
          <w:szCs w:val="32"/>
        </w:rPr>
        <w:t>的支出完成情况和效果。</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确定各个指标相对于项目总体绩效的权重分值。在绩效评价指标体系中，项目决策权重占5%，项目过程权重占5%，项目产出权重值占50%，项目效益权重值占40%。</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4、绩效评价标准</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pPr>
      <w:r>
        <w:rPr>
          <w:rFonts w:ascii="仿宋_GB2312" w:hAnsi="仿宋_GB2312" w:eastAsia="仿宋_GB2312" w:cs="仿宋_GB2312"/>
          <w:color w:val="000000"/>
          <w:spacing w:val="17"/>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3"/>
        </w:numPr>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对</w:t>
      </w:r>
      <w:r>
        <w:rPr>
          <w:rFonts w:hint="eastAsia" w:ascii="仿宋_GB2312" w:hAnsi="仿宋_GB2312" w:eastAsia="仿宋_GB2312" w:cs="仿宋_GB2312"/>
          <w:b w:val="0"/>
          <w:bCs w:val="0"/>
          <w:lang w:val="en-US" w:eastAsia="zh-CN"/>
        </w:rPr>
        <w:t>为民办实事</w:t>
      </w:r>
      <w:r>
        <w:rPr>
          <w:rFonts w:hint="eastAsia" w:ascii="仿宋_GB2312" w:hAnsi="仿宋_GB2312" w:eastAsia="仿宋_GB2312" w:cs="仿宋_GB2312"/>
          <w:b w:val="0"/>
          <w:bCs w:val="0"/>
        </w:rPr>
        <w:t>工作</w:t>
      </w:r>
      <w:r>
        <w:rPr>
          <w:rFonts w:hint="eastAsia" w:ascii="仿宋_GB2312" w:hAnsi="仿宋_GB2312" w:eastAsia="仿宋_GB2312" w:cs="仿宋_GB2312"/>
          <w:b w:val="0"/>
          <w:bCs w:val="0"/>
          <w:lang w:eastAsia="zh-CN"/>
        </w:rPr>
        <w:t>经费</w:t>
      </w:r>
      <w:r>
        <w:rPr>
          <w:rFonts w:hint="eastAsia" w:ascii="仿宋_GB2312" w:hAnsi="仿宋_GB2312" w:eastAsia="仿宋_GB2312" w:cs="仿宋_GB2312"/>
          <w:b w:val="0"/>
          <w:bCs w:val="0"/>
        </w:rPr>
        <w:t>项目进行客观评价，最终评分结果：总得分为 97.3分，属于“优”。其中，项目决策类指标权重为5分，得分为 5分，得分率为 100%。项目过程类指标权重为5分，得分为5 分，得分率为 100%。项目产出类指标权重为50分，得分为49.5分，得分率为 99%。项目效益类指标权重为40分，得分为37.8分，得分率为 94.5%。</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bidi w:val="0"/>
        <w:rPr>
          <w:rFonts w:ascii="Times New Roman" w:hAnsi="Times New Roman" w:eastAsia="宋体" w:cs="Times New Roman"/>
          <w:kern w:val="2"/>
          <w:sz w:val="21"/>
          <w:szCs w:val="24"/>
          <w:lang w:val="en-US" w:eastAsia="zh-CN" w:bidi="ar-SA"/>
        </w:rPr>
      </w:pPr>
    </w:p>
    <w:p>
      <w:pPr>
        <w:bidi w:val="0"/>
        <w:jc w:val="left"/>
        <w:rPr>
          <w:lang w:val="en-US" w:eastAsia="zh-CN"/>
        </w:rPr>
      </w:pPr>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95%</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28</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93%</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98%</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9.8</w:t>
            </w:r>
          </w:p>
        </w:tc>
      </w:tr>
    </w:tbl>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1"/>
          <w:color w:val="auto"/>
        </w:rPr>
      </w:pPr>
      <w:r>
        <w:rPr>
          <w:rStyle w:val="51"/>
          <w:rFonts w:hint="eastAsia"/>
          <w:color w:val="auto"/>
        </w:rPr>
        <w:t>项目决策指标从立项依据充分性、立项程序规范性、绩效目标合理性、绩效指标明确性、预算编制科学性、资金分配合理性6个方面对项目立项是否符合法律法规、相关政策、发展规划以及部门职责，用以反映和考核项目立项依据情况进行考察，立项依据充分性权重0.5分，目标值0.5分，业绩值0.5分，得分率100%，得分0.5；立项程序规范性权重0.5分，目标值0.5分，业绩值0.5分，得分率100%，得分0.5分；绩效目标合理性权重1分，目标值1分，业绩值1分，得分率100%，得分1分；绩效指标明确性权重1分，目标值1分，业绩值1分，得分率100%，得分1分；预算编制科学性权重1分，目标值1分，业绩值1分，得分率100%，得分1分；资金分配合理性权重1分，目标值1分，业绩值1分，得分率100%，得分1分。</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（二）项目过程情况</w:t>
      </w:r>
    </w:p>
    <w:p>
      <w:pPr>
        <w:pageBreakBefore w:val="0"/>
        <w:kinsoku/>
        <w:wordWrap/>
        <w:overflowPunct/>
        <w:topLinePunct w:val="0"/>
        <w:autoSpaceDE/>
        <w:autoSpaceDN/>
        <w:bidi w:val="0"/>
        <w:adjustRightInd/>
        <w:snapToGrid/>
        <w:spacing w:line="560" w:lineRule="exact"/>
        <w:ind w:firstLine="640" w:firstLineChars="200"/>
        <w:textAlignment w:val="auto"/>
      </w:pPr>
      <w:r>
        <w:rPr>
          <w:rStyle w:val="51"/>
          <w:rFonts w:hint="eastAsia"/>
          <w:color w:val="auto"/>
        </w:rPr>
        <w:t>项目过程指标从资金到位率、预算执行率、资金使用合规性、管理制度健全性、制度执行有效性5个方面对项目的管理情况进行考察，资金到位率权重1分，目标值1分，业绩值1分，得分率100%，得分1分；预算执行率权重1分，目标值1分，业绩值1分，得分率100%，得分1分；资金使用合规性权重1分，目标值1分，业绩值1分，得分率100%，得分1分；管理制度健全性权重1分，目标值1分，业绩值1分，得分率100%，得分1分；制度执行有效性权重1分，目标值1分，业绩值1分，得分率100%，得分1分。</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（三）项目产出</w:t>
      </w:r>
    </w:p>
    <w:p>
      <w:pPr>
        <w:pageBreakBefore w:val="0"/>
        <w:kinsoku/>
        <w:wordWrap/>
        <w:overflowPunct/>
        <w:topLinePunct w:val="0"/>
        <w:autoSpaceDE/>
        <w:autoSpaceDN/>
        <w:bidi w:val="0"/>
        <w:adjustRightInd/>
        <w:snapToGrid/>
        <w:spacing w:line="560" w:lineRule="exact"/>
        <w:ind w:firstLine="640"/>
        <w:textAlignment w:val="auto"/>
        <w:rPr>
          <w:rStyle w:val="51"/>
          <w:bCs/>
          <w:color w:val="auto"/>
        </w:rPr>
      </w:pPr>
      <w:r>
        <w:rPr>
          <w:rStyle w:val="51"/>
          <w:rFonts w:hint="eastAsia"/>
          <w:bCs/>
          <w:color w:val="auto"/>
        </w:rPr>
        <w:t>数量指标方面</w:t>
      </w:r>
      <w:r>
        <w:rPr>
          <w:rStyle w:val="22"/>
          <w:rFonts w:hint="eastAsia" w:ascii="仿宋" w:hAnsi="仿宋" w:eastAsia="仿宋" w:cs="仿宋"/>
          <w:b w:val="0"/>
          <w:spacing w:val="-4"/>
          <w:sz w:val="32"/>
          <w:szCs w:val="32"/>
        </w:rPr>
        <w:t>：</w:t>
      </w:r>
      <w:r>
        <w:rPr>
          <w:rStyle w:val="51"/>
          <w:rFonts w:hint="eastAsia"/>
          <w:bCs/>
          <w:color w:val="auto"/>
        </w:rPr>
        <w:t>访贫问苦家庭数预期指标值21家，指标完成值21家，指标完成率100%。</w:t>
      </w:r>
    </w:p>
    <w:p>
      <w:pPr>
        <w:pageBreakBefore w:val="0"/>
        <w:kinsoku/>
        <w:wordWrap/>
        <w:overflowPunct/>
        <w:topLinePunct w:val="0"/>
        <w:autoSpaceDE/>
        <w:autoSpaceDN/>
        <w:bidi w:val="0"/>
        <w:adjustRightInd/>
        <w:snapToGrid/>
        <w:spacing w:line="560" w:lineRule="exact"/>
        <w:ind w:firstLine="640"/>
        <w:textAlignment w:val="auto"/>
        <w:rPr>
          <w:rStyle w:val="51"/>
          <w:bCs/>
          <w:color w:val="auto"/>
        </w:rPr>
      </w:pPr>
      <w:r>
        <w:rPr>
          <w:rStyle w:val="51"/>
          <w:rFonts w:hint="eastAsia"/>
          <w:color w:val="auto"/>
        </w:rPr>
        <w:t>质量指标方面：慰问困难户覆盖率，</w:t>
      </w:r>
      <w:r>
        <w:rPr>
          <w:rStyle w:val="51"/>
          <w:rFonts w:hint="eastAsia"/>
          <w:bCs/>
          <w:color w:val="auto"/>
        </w:rPr>
        <w:t>预期指标值100%，指标完成值</w:t>
      </w:r>
      <w:r>
        <w:rPr>
          <w:rStyle w:val="51"/>
          <w:rFonts w:hint="eastAsia" w:eastAsia="仿宋_GB2312"/>
          <w:bCs/>
          <w:color w:val="auto"/>
          <w:lang w:val="en-US" w:eastAsia="zh-CN"/>
        </w:rPr>
        <w:t>100</w:t>
      </w:r>
      <w:r>
        <w:rPr>
          <w:rStyle w:val="51"/>
          <w:rFonts w:hint="eastAsia"/>
          <w:bCs/>
          <w:color w:val="auto"/>
        </w:rPr>
        <w:t>%，指标完成率</w:t>
      </w:r>
      <w:r>
        <w:rPr>
          <w:rStyle w:val="51"/>
          <w:rFonts w:hint="eastAsia" w:eastAsia="仿宋_GB2312"/>
          <w:bCs/>
          <w:color w:val="auto"/>
          <w:lang w:val="en-US" w:eastAsia="zh-CN"/>
        </w:rPr>
        <w:t>100</w:t>
      </w:r>
      <w:r>
        <w:rPr>
          <w:rStyle w:val="51"/>
          <w:rFonts w:hint="eastAsia"/>
          <w:bCs/>
          <w:color w:val="auto"/>
        </w:rPr>
        <w:t>%。</w:t>
      </w:r>
    </w:p>
    <w:p>
      <w:pPr>
        <w:pageBreakBefore w:val="0"/>
        <w:kinsoku/>
        <w:wordWrap/>
        <w:overflowPunct/>
        <w:topLinePunct w:val="0"/>
        <w:autoSpaceDE/>
        <w:autoSpaceDN/>
        <w:bidi w:val="0"/>
        <w:adjustRightInd/>
        <w:snapToGrid/>
        <w:spacing w:line="560" w:lineRule="exact"/>
        <w:ind w:firstLine="640"/>
        <w:textAlignment w:val="auto"/>
        <w:rPr>
          <w:rStyle w:val="51"/>
          <w:color w:val="auto"/>
        </w:rPr>
      </w:pPr>
      <w:r>
        <w:rPr>
          <w:rStyle w:val="51"/>
          <w:rFonts w:hint="eastAsia"/>
          <w:color w:val="auto"/>
        </w:rPr>
        <w:t>成本指标方面：项目实施费用，预期指标值5万元，指标完成值5万元，指标完成率100%。</w:t>
      </w:r>
    </w:p>
    <w:p>
      <w:pPr>
        <w:pageBreakBefore w:val="0"/>
        <w:kinsoku/>
        <w:wordWrap/>
        <w:overflowPunct/>
        <w:topLinePunct w:val="0"/>
        <w:autoSpaceDE/>
        <w:autoSpaceDN/>
        <w:bidi w:val="0"/>
        <w:adjustRightInd/>
        <w:snapToGrid/>
        <w:spacing w:line="560" w:lineRule="exact"/>
        <w:ind w:firstLine="640"/>
        <w:textAlignment w:val="auto"/>
        <w:rPr>
          <w:rFonts w:ascii="楷体_GB2312" w:hAnsi="楷体_GB2312" w:eastAsia="楷体_GB2312" w:cs="楷体_GB2312"/>
        </w:rPr>
      </w:pPr>
      <w:r>
        <w:rPr>
          <w:rStyle w:val="51"/>
          <w:rFonts w:hint="eastAsia"/>
          <w:color w:val="auto"/>
        </w:rPr>
        <w:t>时效指标方面：项目资金使用及时率，</w:t>
      </w:r>
      <w:r>
        <w:rPr>
          <w:rStyle w:val="51"/>
          <w:rFonts w:hint="eastAsia"/>
          <w:bCs/>
          <w:color w:val="auto"/>
        </w:rPr>
        <w:t>预期指标值100%，指标完成值100%，指标完成率100%。</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（四）效益情况</w:t>
      </w:r>
    </w:p>
    <w:p>
      <w:pPr>
        <w:pageBreakBefore w:val="0"/>
        <w:kinsoku/>
        <w:wordWrap/>
        <w:overflowPunct/>
        <w:topLinePunct w:val="0"/>
        <w:autoSpaceDE/>
        <w:autoSpaceDN/>
        <w:bidi w:val="0"/>
        <w:adjustRightInd/>
        <w:snapToGrid/>
        <w:spacing w:line="560" w:lineRule="exact"/>
        <w:ind w:firstLine="640"/>
        <w:textAlignment w:val="auto"/>
        <w:rPr>
          <w:rStyle w:val="51"/>
          <w:bCs/>
          <w:color w:val="auto"/>
        </w:rPr>
      </w:pPr>
      <w:r>
        <w:rPr>
          <w:rStyle w:val="51"/>
          <w:rFonts w:hint="eastAsia"/>
          <w:color w:val="auto"/>
        </w:rPr>
        <w:t>社会效益指标方面：</w:t>
      </w:r>
      <w:r>
        <w:rPr>
          <w:rFonts w:hint="eastAsia" w:ascii="仿宋_GB2312" w:hAnsi="仿宋_GB2312" w:eastAsia="仿宋_GB2312" w:cs="仿宋_GB2312"/>
          <w:kern w:val="0"/>
          <w:sz w:val="32"/>
          <w:szCs w:val="32"/>
        </w:rPr>
        <w:t>工作队对经费充分利用，为村民办实事，</w:t>
      </w:r>
      <w:r>
        <w:rPr>
          <w:rFonts w:hint="eastAsia" w:ascii="仿宋_GB2312" w:hAnsi="仿宋_GB2312" w:eastAsia="仿宋_GB2312" w:cs="仿宋_GB2312"/>
          <w:kern w:val="0"/>
          <w:sz w:val="32"/>
          <w:szCs w:val="32"/>
          <w:lang w:val="zh-TW"/>
        </w:rPr>
        <w:t>工作队人员利用有限的精力和时间去帮助村民，真正把服务群众工作做到了群众的心坎里，成了百姓心里的“自家人”，</w:t>
      </w:r>
      <w:r>
        <w:rPr>
          <w:rStyle w:val="51"/>
          <w:rFonts w:hint="eastAsia"/>
          <w:bCs/>
          <w:color w:val="auto"/>
        </w:rPr>
        <w:t xml:space="preserve"> 预期指标值100%，指标完成值9</w:t>
      </w:r>
      <w:r>
        <w:rPr>
          <w:rStyle w:val="51"/>
          <w:rFonts w:hint="eastAsia" w:eastAsia="仿宋_GB2312"/>
          <w:bCs/>
          <w:color w:val="auto"/>
          <w:lang w:val="en-US" w:eastAsia="zh-CN"/>
        </w:rPr>
        <w:t>0</w:t>
      </w:r>
      <w:r>
        <w:rPr>
          <w:rStyle w:val="51"/>
          <w:rFonts w:hint="eastAsia"/>
          <w:bCs/>
          <w:color w:val="auto"/>
        </w:rPr>
        <w:t>%，指标完成率93%。</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Style w:val="51"/>
          <w:color w:val="auto"/>
        </w:rPr>
        <w:t>满意度指标</w:t>
      </w:r>
      <w:r>
        <w:rPr>
          <w:rStyle w:val="51"/>
          <w:rFonts w:hint="eastAsia"/>
          <w:color w:val="auto"/>
        </w:rPr>
        <w:t>方面：群众满意度，</w:t>
      </w:r>
      <w:r>
        <w:rPr>
          <w:rStyle w:val="51"/>
          <w:rFonts w:hint="eastAsia"/>
          <w:bCs/>
          <w:color w:val="auto"/>
        </w:rPr>
        <w:t>预期指标值100%，指标完成值9</w:t>
      </w:r>
      <w:r>
        <w:rPr>
          <w:rStyle w:val="51"/>
          <w:rFonts w:hint="eastAsia" w:eastAsia="仿宋_GB2312"/>
          <w:bCs/>
          <w:color w:val="auto"/>
          <w:lang w:val="en-US" w:eastAsia="zh-CN"/>
        </w:rPr>
        <w:t>5</w:t>
      </w:r>
      <w:r>
        <w:rPr>
          <w:rStyle w:val="51"/>
          <w:rFonts w:hint="eastAsia"/>
          <w:bCs/>
          <w:color w:val="auto"/>
        </w:rPr>
        <w:t>%，指标完成率98%。</w:t>
      </w:r>
    </w:p>
    <w:p>
      <w:pPr>
        <w:pageBreakBefore w:val="0"/>
        <w:kinsoku/>
        <w:wordWrap/>
        <w:overflowPunct/>
        <w:topLinePunct w:val="0"/>
        <w:autoSpaceDE/>
        <w:autoSpaceDN/>
        <w:bidi w:val="0"/>
        <w:adjustRightInd/>
        <w:snapToGrid/>
        <w:spacing w:line="560" w:lineRule="exact"/>
        <w:ind w:firstLine="641"/>
        <w:textAlignment w:val="auto"/>
        <w:rPr>
          <w:rStyle w:val="51"/>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w:t>
      </w:r>
      <w:r>
        <w:rPr>
          <w:rFonts w:hint="eastAsia" w:ascii="仿宋_GB2312" w:hAnsi="仿宋_GB2312" w:eastAsia="仿宋_GB2312" w:cs="仿宋_GB2312"/>
          <w:b w:val="0"/>
          <w:bCs w:val="0"/>
          <w:kern w:val="2"/>
          <w:lang w:eastAsia="zh-CN"/>
        </w:rPr>
        <w:t>工作经费</w:t>
      </w:r>
      <w:r>
        <w:rPr>
          <w:rFonts w:hint="eastAsia" w:ascii="仿宋_GB2312" w:hAnsi="仿宋_GB2312" w:eastAsia="仿宋_GB2312" w:cs="仿宋_GB2312"/>
          <w:b w:val="0"/>
          <w:bCs w:val="0"/>
          <w:kern w:val="2"/>
        </w:rPr>
        <w:t>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1、存在的问题：项目绩效管理缺乏经验，有待加强。在项目具体执行过程往往只重视预算执行情况，项目实施过程中需提供行之有效的绩效管理办法和评价机制。</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2、原因分析：存在分工不明确，相关制度不够全面。</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w:t>
      </w:r>
      <w:r>
        <w:rPr>
          <w:rFonts w:hint="eastAsia" w:ascii="仿宋_GB2312" w:hAnsi="仿宋_GB2312" w:eastAsia="仿宋_GB2312" w:cs="仿宋_GB2312"/>
          <w:sz w:val="32"/>
          <w:szCs w:val="32"/>
          <w:lang w:eastAsia="zh-CN"/>
        </w:rPr>
        <w:t>工作经费</w:t>
      </w:r>
      <w:r>
        <w:rPr>
          <w:rFonts w:hint="eastAsia" w:ascii="仿宋_GB2312" w:hAnsi="仿宋_GB2312" w:eastAsia="仿宋_GB2312" w:cs="仿宋_GB2312"/>
          <w:sz w:val="32"/>
          <w:szCs w:val="32"/>
        </w:rPr>
        <w:t>专款专用，有效地防止了截留、挤占和挪用。</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pageBreakBefore w:val="0"/>
        <w:kinsoku/>
        <w:wordWrap/>
        <w:overflowPunct/>
        <w:topLinePunct w:val="0"/>
        <w:autoSpaceDE/>
        <w:autoSpaceDN/>
        <w:bidi w:val="0"/>
        <w:adjustRightInd/>
        <w:snapToGrid/>
        <w:spacing w:line="560" w:lineRule="exact"/>
        <w:textAlignment w:val="auto"/>
        <w:rPr>
          <w:rFonts w:ascii="黑体" w:hAnsi="黑体" w:eastAsia="黑体"/>
          <w:sz w:val="32"/>
          <w:szCs w:val="32"/>
        </w:rPr>
      </w:pPr>
    </w:p>
    <w:p>
      <w:pPr>
        <w:pageBreakBefore w:val="0"/>
        <w:kinsoku/>
        <w:wordWrap/>
        <w:overflowPunct/>
        <w:topLinePunct w:val="0"/>
        <w:autoSpaceDE/>
        <w:autoSpaceDN/>
        <w:bidi w:val="0"/>
        <w:adjustRightInd/>
        <w:snapToGrid/>
        <w:spacing w:line="560" w:lineRule="exact"/>
        <w:textAlignment w:val="auto"/>
        <w:rPr>
          <w:rFonts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exact"/>
        <w:jc w:val="both"/>
        <w:textAlignment w:val="auto"/>
        <w:sectPr>
          <w:footerReference r:id="rId4" w:type="default"/>
          <w:pgSz w:w="11906" w:h="16838"/>
          <w:pgMar w:top="1440" w:right="1558" w:bottom="1440" w:left="1800" w:header="851" w:footer="992" w:gutter="0"/>
          <w:pgNumType w:start="1"/>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ascii="仿宋_GB2312"/>
          <w:bCs/>
          <w:sz w:val="32"/>
          <w:szCs w:val="32"/>
        </w:rPr>
      </w:pPr>
      <w:r>
        <w:rPr>
          <w:rFonts w:hint="eastAsia" w:ascii="仿宋_GB2312"/>
          <w:bCs/>
          <w:sz w:val="32"/>
          <w:szCs w:val="32"/>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30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927"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0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537"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02"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92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0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537"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92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0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537"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30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92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302"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92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044"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30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302"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927"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044"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37"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92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044"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37"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9.8</w:t>
            </w:r>
          </w:p>
        </w:tc>
      </w:tr>
    </w:tbl>
    <w:p>
      <w:pPr>
        <w:pStyle w:val="2"/>
        <w:rPr>
          <w:rFonts w:hint="eastAsia" w:ascii="宋体" w:hAnsi="宋体" w:eastAsia="宋体" w:cs="宋体"/>
          <w:sz w:val="18"/>
          <w:szCs w:val="18"/>
        </w:rPr>
      </w:pPr>
    </w:p>
    <w:p>
      <w:pPr>
        <w:rPr>
          <w:rFonts w:hint="eastAsia" w:ascii="宋体" w:hAnsi="宋体" w:eastAsia="宋体" w:cs="宋体"/>
          <w:sz w:val="18"/>
          <w:szCs w:val="18"/>
        </w:rPr>
      </w:pPr>
    </w:p>
    <w:p>
      <w:pPr>
        <w:spacing w:line="540" w:lineRule="exact"/>
        <w:ind w:firstLine="640"/>
        <w:rPr>
          <w:rStyle w:val="22"/>
          <w:rFonts w:hint="eastAsia" w:ascii="宋体" w:hAnsi="宋体" w:eastAsia="宋体" w:cs="宋体"/>
          <w:bCs w:val="0"/>
          <w:spacing w:val="-4"/>
          <w:sz w:val="18"/>
          <w:szCs w:val="18"/>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0"/>
        <w:tblW w:w="9589" w:type="dxa"/>
        <w:tblInd w:w="96" w:type="dxa"/>
        <w:tblLayout w:type="autofit"/>
        <w:tblCellMar>
          <w:top w:w="0" w:type="dxa"/>
          <w:left w:w="108" w:type="dxa"/>
          <w:bottom w:w="0" w:type="dxa"/>
          <w:right w:w="108" w:type="dxa"/>
        </w:tblCellMar>
      </w:tblPr>
      <w:tblGrid>
        <w:gridCol w:w="737"/>
        <w:gridCol w:w="737"/>
        <w:gridCol w:w="737"/>
        <w:gridCol w:w="737"/>
        <w:gridCol w:w="737"/>
        <w:gridCol w:w="737"/>
        <w:gridCol w:w="2125"/>
        <w:gridCol w:w="1303"/>
        <w:gridCol w:w="435"/>
        <w:gridCol w:w="1304"/>
      </w:tblGrid>
      <w:tr>
        <w:tblPrEx>
          <w:tblCellMar>
            <w:top w:w="0" w:type="dxa"/>
            <w:left w:w="108" w:type="dxa"/>
            <w:bottom w:w="0" w:type="dxa"/>
            <w:right w:w="108" w:type="dxa"/>
          </w:tblCellMar>
        </w:tblPrEx>
        <w:trPr>
          <w:trHeight w:val="409" w:hRule="atLeast"/>
        </w:trPr>
        <w:tc>
          <w:tcPr>
            <w:tcW w:w="958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sz w:val="32"/>
                <w:szCs w:val="32"/>
              </w:rPr>
            </w:pPr>
            <w:r>
              <w:rPr>
                <w:rFonts w:hint="eastAsia" w:ascii="宋体" w:hAnsi="宋体" w:eastAsia="宋体" w:cs="宋体"/>
                <w:b/>
                <w:i w:val="0"/>
                <w:color w:val="000000"/>
                <w:kern w:val="0"/>
                <w:sz w:val="44"/>
                <w:szCs w:val="44"/>
                <w:u w:val="none"/>
                <w:lang w:val="en-US" w:eastAsia="zh-CN" w:bidi="ar"/>
              </w:rPr>
              <w:t>项目支出绩效自评表</w:t>
            </w:r>
          </w:p>
        </w:tc>
      </w:tr>
      <w:tr>
        <w:tblPrEx>
          <w:tblCellMar>
            <w:top w:w="0" w:type="dxa"/>
            <w:left w:w="108" w:type="dxa"/>
            <w:bottom w:w="0" w:type="dxa"/>
            <w:right w:w="108" w:type="dxa"/>
          </w:tblCellMar>
        </w:tblPrEx>
        <w:trPr>
          <w:trHeight w:val="409" w:hRule="atLeast"/>
        </w:trPr>
        <w:tc>
          <w:tcPr>
            <w:tcW w:w="958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270" w:hRule="atLeast"/>
        </w:trPr>
        <w:tc>
          <w:tcPr>
            <w:tcW w:w="9589" w:type="dxa"/>
            <w:gridSpan w:val="10"/>
            <w:tcBorders>
              <w:top w:val="nil"/>
              <w:left w:val="nil"/>
              <w:bottom w:val="nil"/>
              <w:right w:val="nil"/>
            </w:tcBorders>
            <w:shd w:val="clear" w:color="auto" w:fill="auto"/>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811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cs="宋体"/>
                <w:i w:val="0"/>
                <w:color w:val="000000"/>
                <w:kern w:val="0"/>
                <w:sz w:val="18"/>
                <w:szCs w:val="18"/>
                <w:u w:val="none"/>
                <w:lang w:val="en-US" w:eastAsia="zh-CN" w:bidi="ar"/>
              </w:rPr>
              <w:t>为民办实事工作经费</w:t>
            </w:r>
          </w:p>
        </w:tc>
      </w:tr>
      <w:tr>
        <w:tblPrEx>
          <w:tblCellMar>
            <w:top w:w="0" w:type="dxa"/>
            <w:left w:w="108" w:type="dxa"/>
            <w:bottom w:w="0" w:type="dxa"/>
            <w:right w:w="108" w:type="dxa"/>
          </w:tblCellMar>
        </w:tblPrEx>
        <w:trPr>
          <w:trHeight w:val="270" w:hRule="atLeast"/>
        </w:trPr>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50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供销合作联社塔城地区办事处</w:t>
            </w:r>
          </w:p>
        </w:tc>
      </w:tr>
      <w:tr>
        <w:tblPrEx>
          <w:tblCellMar>
            <w:top w:w="0" w:type="dxa"/>
            <w:left w:w="108" w:type="dxa"/>
            <w:bottom w:w="0" w:type="dxa"/>
            <w:right w:w="108" w:type="dxa"/>
          </w:tblCellMar>
        </w:tblPrEx>
        <w:trPr>
          <w:trHeight w:val="392" w:hRule="atLeast"/>
        </w:trPr>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Arial" w:hAnsi="Arial" w:cs="Arial"/>
                <w:color w:val="000000"/>
                <w:sz w:val="20"/>
                <w:szCs w:val="20"/>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2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270" w:hRule="atLeast"/>
        </w:trPr>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w:t>
            </w:r>
          </w:p>
        </w:tc>
        <w:tc>
          <w:tcPr>
            <w:tcW w:w="2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108" w:type="dxa"/>
            <w:bottom w:w="0" w:type="dxa"/>
            <w:right w:w="108" w:type="dxa"/>
          </w:tblCellMar>
        </w:tblPrEx>
        <w:trPr>
          <w:trHeight w:val="372" w:hRule="atLeast"/>
        </w:trPr>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5.00</w:t>
            </w:r>
          </w:p>
        </w:tc>
        <w:tc>
          <w:tcPr>
            <w:tcW w:w="2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5.00</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5.00</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3" w:hRule="atLeast"/>
        </w:trPr>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270" w:hRule="atLeast"/>
        </w:trPr>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2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3"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5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3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70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紧紧围绕总目标，以精准增收帮扶和示范带动为目标，解决群众生产生活困难，全力推进</w:t>
            </w:r>
            <w:r>
              <w:rPr>
                <w:rFonts w:hint="eastAsia" w:ascii="宋体" w:hAnsi="宋体" w:cs="宋体"/>
                <w:i w:val="0"/>
                <w:color w:val="000000"/>
                <w:kern w:val="0"/>
                <w:sz w:val="18"/>
                <w:szCs w:val="18"/>
                <w:u w:val="none"/>
                <w:lang w:val="en-US" w:eastAsia="zh-CN" w:bidi="ar"/>
              </w:rPr>
              <w:t>为民办实事</w:t>
            </w:r>
            <w:r>
              <w:rPr>
                <w:rFonts w:hint="eastAsia" w:ascii="宋体" w:hAnsi="宋体" w:eastAsia="宋体" w:cs="宋体"/>
                <w:i w:val="0"/>
                <w:color w:val="000000"/>
                <w:kern w:val="0"/>
                <w:sz w:val="18"/>
                <w:szCs w:val="18"/>
                <w:u w:val="none"/>
                <w:lang w:val="en-US" w:eastAsia="zh-CN" w:bidi="ar"/>
              </w:rPr>
              <w:t>工作任务的落实</w:t>
            </w:r>
          </w:p>
        </w:tc>
        <w:tc>
          <w:tcPr>
            <w:tcW w:w="3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紧紧围绕总目标，以精准增收帮扶和示范带动为目标，解决群众生产生活困难，全力推进</w:t>
            </w:r>
            <w:r>
              <w:rPr>
                <w:rFonts w:hint="eastAsia" w:ascii="宋体" w:hAnsi="宋体" w:cs="宋体"/>
                <w:i w:val="0"/>
                <w:color w:val="000000"/>
                <w:kern w:val="0"/>
                <w:sz w:val="18"/>
                <w:szCs w:val="18"/>
                <w:u w:val="none"/>
                <w:lang w:val="en-US" w:eastAsia="zh-CN" w:bidi="ar"/>
              </w:rPr>
              <w:t>为民办实事</w:t>
            </w:r>
            <w:r>
              <w:rPr>
                <w:rFonts w:hint="eastAsia" w:ascii="宋体" w:hAnsi="宋体" w:eastAsia="宋体" w:cs="宋体"/>
                <w:i w:val="0"/>
                <w:color w:val="000000"/>
                <w:kern w:val="0"/>
                <w:sz w:val="18"/>
                <w:szCs w:val="18"/>
                <w:u w:val="none"/>
                <w:lang w:val="en-US" w:eastAsia="zh-CN" w:bidi="ar"/>
              </w:rPr>
              <w:t>工作任务的落实</w:t>
            </w:r>
          </w:p>
        </w:tc>
      </w:tr>
      <w:tr>
        <w:tblPrEx>
          <w:tblCellMar>
            <w:top w:w="0" w:type="dxa"/>
            <w:left w:w="108" w:type="dxa"/>
            <w:bottom w:w="0" w:type="dxa"/>
            <w:right w:w="108" w:type="dxa"/>
          </w:tblCellMar>
        </w:tblPrEx>
        <w:trPr>
          <w:trHeight w:val="412"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21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2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3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17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20"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数量指标</w:t>
            </w: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慰问贫困户数</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≥21户</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21户</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2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质量指标</w:t>
            </w: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慰问困难户覆盖率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2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cs="宋体"/>
                <w:i w:val="0"/>
                <w:color w:val="000000"/>
                <w:kern w:val="0"/>
                <w:sz w:val="18"/>
                <w:szCs w:val="18"/>
                <w:u w:val="none"/>
                <w:lang w:val="en-US" w:eastAsia="zh-CN" w:bidi="ar"/>
              </w:rPr>
              <w:t>为民办实事</w:t>
            </w:r>
            <w:r>
              <w:rPr>
                <w:rFonts w:hint="eastAsia" w:ascii="宋体" w:hAnsi="宋体" w:eastAsia="宋体" w:cs="宋体"/>
                <w:i w:val="0"/>
                <w:color w:val="000000"/>
                <w:kern w:val="0"/>
                <w:sz w:val="18"/>
                <w:szCs w:val="18"/>
                <w:u w:val="none"/>
                <w:lang w:val="en-US" w:eastAsia="zh-CN" w:bidi="ar"/>
              </w:rPr>
              <w:t>完成时间</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2020年12月</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2020年12月</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2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用于村党支部、村委会开展日常工作</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&lt;1.3万元</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1.29414万元</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526"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更新设备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&lt;2万元</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1.7494万元</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7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访贫问苦，为群众送温暖</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&lt;1.4万元</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1.0754万元</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2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为村队新建村口卡点执勤、</w:t>
            </w:r>
            <w:r>
              <w:rPr>
                <w:rFonts w:hint="eastAsia" w:ascii="宋体" w:hAnsi="宋体" w:cs="宋体"/>
                <w:i w:val="0"/>
                <w:color w:val="000000"/>
                <w:kern w:val="0"/>
                <w:sz w:val="18"/>
                <w:szCs w:val="18"/>
                <w:u w:val="none"/>
                <w:lang w:val="en-US" w:eastAsia="zh-CN" w:bidi="ar"/>
              </w:rPr>
              <w:t>传染病</w:t>
            </w:r>
            <w:r>
              <w:rPr>
                <w:rFonts w:hint="eastAsia" w:ascii="宋体" w:hAnsi="宋体" w:eastAsia="宋体" w:cs="宋体"/>
                <w:i w:val="0"/>
                <w:color w:val="000000"/>
                <w:kern w:val="0"/>
                <w:sz w:val="18"/>
                <w:szCs w:val="18"/>
                <w:u w:val="none"/>
                <w:lang w:val="en-US" w:eastAsia="zh-CN" w:bidi="ar"/>
              </w:rPr>
              <w:t>防控用房</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=8000元</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8810.6元</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55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经费使用帮助提高服务水平</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93%</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514"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村委会工作效率的提升</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93%</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2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22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村民满意度</w:t>
            </w:r>
          </w:p>
        </w:tc>
        <w:tc>
          <w:tcPr>
            <w:tcW w:w="2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98%</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bl>
    <w:p>
      <w:pPr>
        <w:spacing w:line="540" w:lineRule="exact"/>
        <w:rPr>
          <w:rStyle w:val="22"/>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18</w:t>
        </w:r>
        <w:r>
          <w:rPr>
            <w:lang w:val="zh-CN"/>
          </w:rP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16BED"/>
    <w:rsid w:val="000217C8"/>
    <w:rsid w:val="00044FE8"/>
    <w:rsid w:val="00056207"/>
    <w:rsid w:val="00056465"/>
    <w:rsid w:val="000B2720"/>
    <w:rsid w:val="000E50F0"/>
    <w:rsid w:val="000E586C"/>
    <w:rsid w:val="00117953"/>
    <w:rsid w:val="00121AE4"/>
    <w:rsid w:val="00146AAD"/>
    <w:rsid w:val="001817C1"/>
    <w:rsid w:val="00197700"/>
    <w:rsid w:val="001B3A40"/>
    <w:rsid w:val="001B7B89"/>
    <w:rsid w:val="00271E0C"/>
    <w:rsid w:val="002A2B29"/>
    <w:rsid w:val="0033399F"/>
    <w:rsid w:val="003B66A9"/>
    <w:rsid w:val="003C18BC"/>
    <w:rsid w:val="00401F4F"/>
    <w:rsid w:val="004366A8"/>
    <w:rsid w:val="00464900"/>
    <w:rsid w:val="0048463A"/>
    <w:rsid w:val="00502BA7"/>
    <w:rsid w:val="005162F1"/>
    <w:rsid w:val="00535153"/>
    <w:rsid w:val="00554F82"/>
    <w:rsid w:val="0056390D"/>
    <w:rsid w:val="005719B0"/>
    <w:rsid w:val="005D10D6"/>
    <w:rsid w:val="00600F63"/>
    <w:rsid w:val="00636DA2"/>
    <w:rsid w:val="00736534"/>
    <w:rsid w:val="007806A5"/>
    <w:rsid w:val="00786890"/>
    <w:rsid w:val="00855E3A"/>
    <w:rsid w:val="008C1293"/>
    <w:rsid w:val="00922CB9"/>
    <w:rsid w:val="009247C1"/>
    <w:rsid w:val="00932E8C"/>
    <w:rsid w:val="009C1A3B"/>
    <w:rsid w:val="009D4FA6"/>
    <w:rsid w:val="009E24B3"/>
    <w:rsid w:val="009E5CD9"/>
    <w:rsid w:val="00A26421"/>
    <w:rsid w:val="00A4293B"/>
    <w:rsid w:val="00A67D50"/>
    <w:rsid w:val="00A8691A"/>
    <w:rsid w:val="00AB1D94"/>
    <w:rsid w:val="00AC1946"/>
    <w:rsid w:val="00B40063"/>
    <w:rsid w:val="00B41F61"/>
    <w:rsid w:val="00BA46E6"/>
    <w:rsid w:val="00BC63E0"/>
    <w:rsid w:val="00C13864"/>
    <w:rsid w:val="00C202BC"/>
    <w:rsid w:val="00C4216E"/>
    <w:rsid w:val="00C51FF0"/>
    <w:rsid w:val="00C56C72"/>
    <w:rsid w:val="00C73756"/>
    <w:rsid w:val="00CA6457"/>
    <w:rsid w:val="00D17F2E"/>
    <w:rsid w:val="00D30354"/>
    <w:rsid w:val="00DF42A0"/>
    <w:rsid w:val="00DF7C45"/>
    <w:rsid w:val="00E31565"/>
    <w:rsid w:val="00E46C51"/>
    <w:rsid w:val="00E769FE"/>
    <w:rsid w:val="00E77724"/>
    <w:rsid w:val="00EA2CBE"/>
    <w:rsid w:val="00ED39A8"/>
    <w:rsid w:val="00ED6417"/>
    <w:rsid w:val="00EF4C77"/>
    <w:rsid w:val="00F32FEE"/>
    <w:rsid w:val="00F62850"/>
    <w:rsid w:val="00F71278"/>
    <w:rsid w:val="00FB10BB"/>
    <w:rsid w:val="051A56F5"/>
    <w:rsid w:val="066D6EAA"/>
    <w:rsid w:val="086305D4"/>
    <w:rsid w:val="08C662D4"/>
    <w:rsid w:val="09BD4D95"/>
    <w:rsid w:val="0F8D41CB"/>
    <w:rsid w:val="11C75270"/>
    <w:rsid w:val="12637CC3"/>
    <w:rsid w:val="12E657C5"/>
    <w:rsid w:val="167C7687"/>
    <w:rsid w:val="168B3546"/>
    <w:rsid w:val="1A2374E0"/>
    <w:rsid w:val="1C317CE2"/>
    <w:rsid w:val="1DD45808"/>
    <w:rsid w:val="1DED42AC"/>
    <w:rsid w:val="20005763"/>
    <w:rsid w:val="20FB313D"/>
    <w:rsid w:val="220B4804"/>
    <w:rsid w:val="282475E3"/>
    <w:rsid w:val="2C6100C1"/>
    <w:rsid w:val="3264220D"/>
    <w:rsid w:val="347830A4"/>
    <w:rsid w:val="3963178C"/>
    <w:rsid w:val="41CC2676"/>
    <w:rsid w:val="46B21672"/>
    <w:rsid w:val="4BCF18DB"/>
    <w:rsid w:val="4E383AB0"/>
    <w:rsid w:val="4F552460"/>
    <w:rsid w:val="4FCC6863"/>
    <w:rsid w:val="500A214A"/>
    <w:rsid w:val="522D604D"/>
    <w:rsid w:val="5297585E"/>
    <w:rsid w:val="52AD7D6F"/>
    <w:rsid w:val="531B72C5"/>
    <w:rsid w:val="5549519D"/>
    <w:rsid w:val="5557596B"/>
    <w:rsid w:val="573706E0"/>
    <w:rsid w:val="5B596DFC"/>
    <w:rsid w:val="5DF03945"/>
    <w:rsid w:val="5FFC113C"/>
    <w:rsid w:val="637C2815"/>
    <w:rsid w:val="6C450AFE"/>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unhideWhenUsed/>
    <w:qFormat/>
    <w:uiPriority w:val="39"/>
    <w:pPr>
      <w:tabs>
        <w:tab w:val="right" w:leader="dot" w:pos="8296"/>
      </w:tabs>
      <w:spacing w:before="120" w:after="120"/>
      <w:ind w:firstLine="640" w:firstLineChars="200"/>
      <w:jc w:val="center"/>
    </w:pPr>
    <w:rPr>
      <w:rFonts w:ascii="Calibri" w:hAnsi="Calibri" w:eastAsia="仿宋_GB2312" w:cs="Calibri"/>
      <w:b/>
      <w:bCs/>
      <w:caps/>
      <w:sz w:val="32"/>
      <w:szCs w:val="32"/>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toc 2"/>
    <w:basedOn w:val="1"/>
    <w:next w:val="1"/>
    <w:unhideWhenUsed/>
    <w:qFormat/>
    <w:uiPriority w:val="39"/>
    <w:pPr>
      <w:tabs>
        <w:tab w:val="right" w:leader="dot" w:pos="8296"/>
      </w:tabs>
      <w:ind w:left="280" w:firstLine="640" w:firstLineChars="200"/>
      <w:jc w:val="left"/>
    </w:pPr>
    <w:rPr>
      <w:rFonts w:ascii="Calibri" w:hAnsi="Calibri" w:eastAsia="仿宋_GB2312" w:cs="Calibri"/>
      <w:smallCaps/>
      <w:sz w:val="32"/>
      <w:szCs w:val="32"/>
    </w:rPr>
  </w:style>
  <w:style w:type="paragraph" w:styleId="19">
    <w:name w:val="Body Text First Indent"/>
    <w:basedOn w:val="12"/>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Char"/>
    <w:basedOn w:val="21"/>
    <w:link w:val="3"/>
    <w:qFormat/>
    <w:uiPriority w:val="9"/>
    <w:rPr>
      <w:rFonts w:asciiTheme="majorHAnsi" w:hAnsiTheme="majorHAnsi" w:eastAsiaTheme="majorEastAsia"/>
      <w:b/>
      <w:bCs/>
      <w:kern w:val="32"/>
      <w:sz w:val="32"/>
      <w:szCs w:val="32"/>
    </w:rPr>
  </w:style>
  <w:style w:type="character" w:customStyle="1" w:styleId="25">
    <w:name w:val="标题 2 Char"/>
    <w:basedOn w:val="21"/>
    <w:link w:val="4"/>
    <w:semiHidden/>
    <w:qFormat/>
    <w:uiPriority w:val="9"/>
    <w:rPr>
      <w:rFonts w:asciiTheme="majorHAnsi" w:hAnsiTheme="majorHAnsi" w:eastAsiaTheme="majorEastAsia"/>
      <w:b/>
      <w:bCs/>
      <w:i/>
      <w:iCs/>
      <w:sz w:val="28"/>
      <w:szCs w:val="28"/>
    </w:rPr>
  </w:style>
  <w:style w:type="character" w:customStyle="1" w:styleId="26">
    <w:name w:val="标题 3 Char"/>
    <w:basedOn w:val="21"/>
    <w:link w:val="5"/>
    <w:semiHidden/>
    <w:qFormat/>
    <w:uiPriority w:val="9"/>
    <w:rPr>
      <w:rFonts w:asciiTheme="majorHAnsi" w:hAnsiTheme="majorHAnsi" w:eastAsiaTheme="majorEastAsia"/>
      <w:b/>
      <w:bCs/>
      <w:sz w:val="26"/>
      <w:szCs w:val="26"/>
    </w:rPr>
  </w:style>
  <w:style w:type="character" w:customStyle="1" w:styleId="27">
    <w:name w:val="标题 4 Char"/>
    <w:basedOn w:val="21"/>
    <w:link w:val="6"/>
    <w:semiHidden/>
    <w:qFormat/>
    <w:uiPriority w:val="9"/>
    <w:rPr>
      <w:b/>
      <w:bCs/>
      <w:sz w:val="28"/>
      <w:szCs w:val="28"/>
    </w:rPr>
  </w:style>
  <w:style w:type="character" w:customStyle="1" w:styleId="28">
    <w:name w:val="标题 5 Char"/>
    <w:basedOn w:val="21"/>
    <w:link w:val="7"/>
    <w:semiHidden/>
    <w:qFormat/>
    <w:uiPriority w:val="9"/>
    <w:rPr>
      <w:b/>
      <w:bCs/>
      <w:i/>
      <w:iCs/>
      <w:sz w:val="26"/>
      <w:szCs w:val="26"/>
    </w:rPr>
  </w:style>
  <w:style w:type="character" w:customStyle="1" w:styleId="29">
    <w:name w:val="标题 6 Char"/>
    <w:basedOn w:val="21"/>
    <w:link w:val="8"/>
    <w:semiHidden/>
    <w:qFormat/>
    <w:uiPriority w:val="9"/>
    <w:rPr>
      <w:b/>
      <w:bCs/>
    </w:rPr>
  </w:style>
  <w:style w:type="character" w:customStyle="1" w:styleId="30">
    <w:name w:val="标题 7 Char"/>
    <w:basedOn w:val="21"/>
    <w:link w:val="9"/>
    <w:semiHidden/>
    <w:qFormat/>
    <w:uiPriority w:val="9"/>
    <w:rPr>
      <w:sz w:val="24"/>
      <w:szCs w:val="24"/>
    </w:rPr>
  </w:style>
  <w:style w:type="character" w:customStyle="1" w:styleId="31">
    <w:name w:val="标题 8 Char"/>
    <w:basedOn w:val="21"/>
    <w:link w:val="10"/>
    <w:semiHidden/>
    <w:qFormat/>
    <w:uiPriority w:val="9"/>
    <w:rPr>
      <w:i/>
      <w:iCs/>
      <w:sz w:val="24"/>
      <w:szCs w:val="24"/>
    </w:rPr>
  </w:style>
  <w:style w:type="character" w:customStyle="1" w:styleId="32">
    <w:name w:val="标题 9 Char"/>
    <w:basedOn w:val="21"/>
    <w:link w:val="11"/>
    <w:semiHidden/>
    <w:qFormat/>
    <w:uiPriority w:val="9"/>
    <w:rPr>
      <w:rFonts w:asciiTheme="majorHAnsi" w:hAnsiTheme="majorHAnsi" w:eastAsiaTheme="majorEastAsia"/>
    </w:rPr>
  </w:style>
  <w:style w:type="character" w:customStyle="1" w:styleId="33">
    <w:name w:val="标题 Char"/>
    <w:basedOn w:val="21"/>
    <w:link w:val="2"/>
    <w:qFormat/>
    <w:uiPriority w:val="10"/>
    <w:rPr>
      <w:rFonts w:asciiTheme="majorHAnsi" w:hAnsiTheme="majorHAnsi" w:eastAsiaTheme="majorEastAsia"/>
      <w:b/>
      <w:bCs/>
      <w:kern w:val="28"/>
      <w:sz w:val="32"/>
      <w:szCs w:val="32"/>
    </w:rPr>
  </w:style>
  <w:style w:type="character" w:customStyle="1" w:styleId="34">
    <w:name w:val="副标题 Char"/>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不明显强调1"/>
    <w:qFormat/>
    <w:uiPriority w:val="19"/>
    <w:rPr>
      <w:i/>
      <w:color w:val="585858" w:themeColor="text1" w:themeTint="A6"/>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Char"/>
    <w:basedOn w:val="21"/>
    <w:link w:val="15"/>
    <w:qFormat/>
    <w:uiPriority w:val="99"/>
    <w:rPr>
      <w:rFonts w:ascii="Calibri" w:hAnsi="Calibri" w:eastAsia="宋体"/>
      <w:kern w:val="2"/>
      <w:sz w:val="18"/>
      <w:szCs w:val="18"/>
    </w:rPr>
  </w:style>
  <w:style w:type="character" w:customStyle="1" w:styleId="48">
    <w:name w:val="页脚 Char"/>
    <w:basedOn w:val="21"/>
    <w:link w:val="14"/>
    <w:qFormat/>
    <w:uiPriority w:val="99"/>
    <w:rPr>
      <w:rFonts w:ascii="Calibri" w:hAnsi="Calibri" w:eastAsia="宋体"/>
      <w:kern w:val="2"/>
      <w:sz w:val="18"/>
      <w:szCs w:val="18"/>
    </w:rPr>
  </w:style>
  <w:style w:type="character" w:customStyle="1" w:styleId="49">
    <w:name w:val="批注框文本 Char"/>
    <w:basedOn w:val="21"/>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1416</Words>
  <Characters>8074</Characters>
  <Lines>67</Lines>
  <Paragraphs>18</Paragraphs>
  <TotalTime>6</TotalTime>
  <ScaleCrop>false</ScaleCrop>
  <LinksUpToDate>false</LinksUpToDate>
  <CharactersWithSpaces>9472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2025-09-04T14:20:05Z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229835342_cloud</vt:lpwstr>
  </property>
  <property fmtid="{D5CDD505-2E9C-101B-9397-08002B2CF9AE}" pid="4" name="ICV">
    <vt:lpwstr>BE5D337229D34C669CE6EE758D1639B5</vt:lpwstr>
  </property>
</Properties>
</file>