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napToGrid/>
        <w:spacing w:line="560" w:lineRule="exact"/>
        <w:jc w:val="center"/>
        <w:rPr>
          <w:rFonts w:ascii="华文中宋" w:hAnsi="华文中宋" w:eastAsia="华文中宋" w:cs="宋体"/>
          <w:b/>
          <w:kern w:val="0"/>
          <w:sz w:val="52"/>
          <w:szCs w:val="52"/>
        </w:rPr>
      </w:pPr>
    </w:p>
    <w:p>
      <w:pPr>
        <w:pageBreakBefore w:val="0"/>
        <w:kinsoku/>
        <w:wordWrap/>
        <w:overflowPunct/>
        <w:topLinePunct w:val="0"/>
        <w:autoSpaceDE/>
        <w:autoSpaceDN/>
        <w:bidi w:val="0"/>
        <w:adjustRightInd/>
        <w:snapToGrid/>
        <w:spacing w:line="560" w:lineRule="exact"/>
        <w:jc w:val="center"/>
        <w:rPr>
          <w:rFonts w:ascii="华文中宋" w:hAnsi="华文中宋" w:eastAsia="华文中宋" w:cs="宋体"/>
          <w:b/>
          <w:kern w:val="0"/>
          <w:sz w:val="52"/>
          <w:szCs w:val="52"/>
        </w:rPr>
      </w:pPr>
    </w:p>
    <w:p>
      <w:pPr>
        <w:pageBreakBefore w:val="0"/>
        <w:kinsoku/>
        <w:wordWrap/>
        <w:overflowPunct/>
        <w:topLinePunct w:val="0"/>
        <w:autoSpaceDE/>
        <w:autoSpaceDN/>
        <w:bidi w:val="0"/>
        <w:adjustRightInd/>
        <w:snapToGrid/>
        <w:spacing w:line="560" w:lineRule="exact"/>
        <w:jc w:val="center"/>
        <w:rPr>
          <w:rFonts w:ascii="华文中宋" w:hAnsi="华文中宋" w:eastAsia="华文中宋" w:cs="宋体"/>
          <w:b/>
          <w:kern w:val="0"/>
          <w:sz w:val="52"/>
          <w:szCs w:val="52"/>
        </w:rPr>
      </w:pPr>
    </w:p>
    <w:p>
      <w:pPr>
        <w:pageBreakBefore w:val="0"/>
        <w:kinsoku/>
        <w:wordWrap/>
        <w:overflowPunct/>
        <w:topLinePunct w:val="0"/>
        <w:autoSpaceDE/>
        <w:autoSpaceDN/>
        <w:bidi w:val="0"/>
        <w:adjustRightInd/>
        <w:snapToGrid/>
        <w:spacing w:line="560" w:lineRule="exact"/>
        <w:jc w:val="center"/>
        <w:rPr>
          <w:rFonts w:ascii="华文中宋" w:hAnsi="华文中宋" w:eastAsia="华文中宋" w:cs="宋体"/>
          <w:b/>
          <w:kern w:val="0"/>
          <w:sz w:val="52"/>
          <w:szCs w:val="52"/>
        </w:rPr>
      </w:pPr>
    </w:p>
    <w:p>
      <w:pPr>
        <w:pageBreakBefore w:val="0"/>
        <w:kinsoku/>
        <w:wordWrap/>
        <w:overflowPunct/>
        <w:topLinePunct w:val="0"/>
        <w:autoSpaceDE/>
        <w:autoSpaceDN/>
        <w:bidi w:val="0"/>
        <w:adjustRightInd/>
        <w:snapToGrid/>
        <w:spacing w:line="560" w:lineRule="exact"/>
        <w:jc w:val="center"/>
        <w:rPr>
          <w:rFonts w:ascii="华文中宋" w:hAnsi="华文中宋" w:eastAsia="华文中宋" w:cs="宋体"/>
          <w:b/>
          <w:kern w:val="0"/>
          <w:sz w:val="52"/>
          <w:szCs w:val="52"/>
        </w:rPr>
      </w:pPr>
    </w:p>
    <w:p>
      <w:pPr>
        <w:pageBreakBefore w:val="0"/>
        <w:kinsoku/>
        <w:wordWrap/>
        <w:overflowPunct/>
        <w:topLinePunct w:val="0"/>
        <w:autoSpaceDE/>
        <w:autoSpaceDN/>
        <w:bidi w:val="0"/>
        <w:adjustRightInd/>
        <w:snapToGrid/>
        <w:spacing w:line="560" w:lineRule="exact"/>
        <w:jc w:val="center"/>
        <w:rPr>
          <w:rFonts w:ascii="华文中宋" w:hAnsi="华文中宋" w:eastAsia="华文中宋" w:cs="宋体"/>
          <w:b/>
          <w:kern w:val="0"/>
          <w:sz w:val="52"/>
          <w:szCs w:val="52"/>
        </w:rPr>
      </w:pPr>
    </w:p>
    <w:p>
      <w:pPr>
        <w:pageBreakBefore w:val="0"/>
        <w:kinsoku/>
        <w:wordWrap/>
        <w:overflowPunct/>
        <w:topLinePunct w:val="0"/>
        <w:autoSpaceDE/>
        <w:autoSpaceDN/>
        <w:bidi w:val="0"/>
        <w:adjustRightInd/>
        <w:snapToGrid/>
        <w:spacing w:line="560" w:lineRule="exact"/>
        <w:jc w:val="center"/>
        <w:rPr>
          <w:rFonts w:hint="eastAsia"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2020自治区科技特派员工作补助经费</w:t>
      </w:r>
    </w:p>
    <w:p>
      <w:pPr>
        <w:pageBreakBefore w:val="0"/>
        <w:kinsoku/>
        <w:wordWrap/>
        <w:overflowPunct/>
        <w:topLinePunct w:val="0"/>
        <w:autoSpaceDE/>
        <w:autoSpaceDN/>
        <w:bidi w:val="0"/>
        <w:adjustRightInd/>
        <w:snapToGrid/>
        <w:spacing w:line="560" w:lineRule="exact"/>
        <w:jc w:val="center"/>
        <w:rPr>
          <w:rFonts w:hint="eastAsia"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项目支出绩效评价报告</w:t>
      </w:r>
    </w:p>
    <w:p>
      <w:pPr>
        <w:pageBreakBefore w:val="0"/>
        <w:kinsoku/>
        <w:wordWrap/>
        <w:overflowPunct/>
        <w:topLinePunct w:val="0"/>
        <w:autoSpaceDE/>
        <w:autoSpaceDN/>
        <w:bidi w:val="0"/>
        <w:adjustRightInd/>
        <w:snapToGrid/>
        <w:spacing w:line="560" w:lineRule="exact"/>
        <w:jc w:val="center"/>
        <w:rPr>
          <w:rFonts w:ascii="华文中宋" w:hAnsi="华文中宋" w:eastAsia="华文中宋" w:cs="宋体"/>
          <w:b/>
          <w:kern w:val="0"/>
          <w:sz w:val="52"/>
          <w:szCs w:val="52"/>
        </w:rPr>
      </w:pPr>
    </w:p>
    <w:p>
      <w:pPr>
        <w:pageBreakBefore w:val="0"/>
        <w:kinsoku/>
        <w:wordWrap/>
        <w:overflowPunct/>
        <w:topLinePunct w:val="0"/>
        <w:autoSpaceDE/>
        <w:autoSpaceDN/>
        <w:bidi w:val="0"/>
        <w:adjustRightInd/>
        <w:snapToGrid/>
        <w:spacing w:line="560" w:lineRule="exact"/>
        <w:jc w:val="center"/>
        <w:rPr>
          <w:rFonts w:hAnsi="宋体" w:eastAsia="仿宋_GB2312" w:cs="宋体"/>
          <w:kern w:val="0"/>
          <w:sz w:val="36"/>
          <w:szCs w:val="36"/>
        </w:rPr>
      </w:pPr>
      <w:r>
        <w:rPr>
          <w:rFonts w:hint="eastAsia" w:hAnsi="宋体" w:eastAsia="仿宋_GB2312" w:cs="宋体"/>
          <w:kern w:val="0"/>
          <w:sz w:val="36"/>
          <w:szCs w:val="36"/>
        </w:rPr>
        <w:t>（ 2020年度）</w:t>
      </w:r>
    </w:p>
    <w:p>
      <w:pPr>
        <w:pageBreakBefore w:val="0"/>
        <w:kinsoku/>
        <w:wordWrap/>
        <w:overflowPunct/>
        <w:topLinePunct w:val="0"/>
        <w:autoSpaceDE/>
        <w:autoSpaceDN/>
        <w:bidi w:val="0"/>
        <w:adjustRightInd/>
        <w:snapToGrid/>
        <w:spacing w:line="560" w:lineRule="exact"/>
        <w:jc w:val="center"/>
        <w:rPr>
          <w:rFonts w:hAnsi="宋体" w:eastAsia="仿宋_GB2312" w:cs="宋体"/>
          <w:kern w:val="0"/>
          <w:sz w:val="30"/>
          <w:szCs w:val="30"/>
        </w:rPr>
      </w:pPr>
    </w:p>
    <w:p>
      <w:pPr>
        <w:pageBreakBefore w:val="0"/>
        <w:kinsoku/>
        <w:wordWrap/>
        <w:overflowPunct/>
        <w:topLinePunct w:val="0"/>
        <w:autoSpaceDE/>
        <w:autoSpaceDN/>
        <w:bidi w:val="0"/>
        <w:adjustRightInd/>
        <w:snapToGrid/>
        <w:spacing w:line="560" w:lineRule="exact"/>
        <w:jc w:val="center"/>
        <w:rPr>
          <w:rFonts w:hAnsi="宋体" w:eastAsia="仿宋_GB2312" w:cs="宋体"/>
          <w:kern w:val="0"/>
          <w:sz w:val="30"/>
          <w:szCs w:val="30"/>
        </w:rPr>
      </w:pPr>
    </w:p>
    <w:p>
      <w:pPr>
        <w:pageBreakBefore w:val="0"/>
        <w:kinsoku/>
        <w:wordWrap/>
        <w:overflowPunct/>
        <w:topLinePunct w:val="0"/>
        <w:autoSpaceDE/>
        <w:autoSpaceDN/>
        <w:bidi w:val="0"/>
        <w:adjustRightInd/>
        <w:snapToGrid/>
        <w:spacing w:line="560" w:lineRule="exact"/>
        <w:jc w:val="center"/>
        <w:rPr>
          <w:rFonts w:hAnsi="宋体" w:eastAsia="仿宋_GB2312" w:cs="宋体"/>
          <w:kern w:val="0"/>
          <w:sz w:val="30"/>
          <w:szCs w:val="30"/>
        </w:rPr>
      </w:pPr>
    </w:p>
    <w:p>
      <w:pPr>
        <w:pageBreakBefore w:val="0"/>
        <w:kinsoku/>
        <w:wordWrap/>
        <w:overflowPunct/>
        <w:topLinePunct w:val="0"/>
        <w:autoSpaceDE/>
        <w:autoSpaceDN/>
        <w:bidi w:val="0"/>
        <w:adjustRightInd/>
        <w:snapToGrid/>
        <w:spacing w:line="560" w:lineRule="exact"/>
        <w:jc w:val="center"/>
        <w:rPr>
          <w:rFonts w:hAnsi="宋体" w:eastAsia="仿宋_GB2312" w:cs="宋体"/>
          <w:kern w:val="0"/>
          <w:sz w:val="30"/>
          <w:szCs w:val="30"/>
        </w:rPr>
      </w:pPr>
    </w:p>
    <w:p>
      <w:pPr>
        <w:pageBreakBefore w:val="0"/>
        <w:kinsoku/>
        <w:wordWrap/>
        <w:overflowPunct/>
        <w:topLinePunct w:val="0"/>
        <w:autoSpaceDE/>
        <w:autoSpaceDN/>
        <w:bidi w:val="0"/>
        <w:adjustRightInd/>
        <w:snapToGrid/>
        <w:spacing w:line="560" w:lineRule="exact"/>
        <w:rPr>
          <w:rFonts w:hAnsi="宋体" w:eastAsia="仿宋_GB2312" w:cs="宋体"/>
          <w:kern w:val="0"/>
          <w:sz w:val="30"/>
          <w:szCs w:val="30"/>
        </w:rPr>
      </w:pPr>
    </w:p>
    <w:p>
      <w:pPr>
        <w:pageBreakBefore w:val="0"/>
        <w:kinsoku/>
        <w:wordWrap/>
        <w:overflowPunct/>
        <w:topLinePunct w:val="0"/>
        <w:autoSpaceDE/>
        <w:autoSpaceDN/>
        <w:bidi w:val="0"/>
        <w:adjustRightInd/>
        <w:snapToGrid/>
        <w:spacing w:line="560" w:lineRule="exact"/>
        <w:ind w:firstLine="640" w:firstLineChars="200"/>
        <w:jc w:val="left"/>
        <w:rPr>
          <w:rFonts w:hAnsi="宋体" w:eastAsia="仿宋_GB2312" w:cs="宋体"/>
          <w:kern w:val="0"/>
          <w:sz w:val="32"/>
          <w:szCs w:val="32"/>
        </w:rPr>
      </w:pPr>
      <w:r>
        <w:rPr>
          <w:rFonts w:hint="eastAsia" w:hAnsi="宋体" w:eastAsia="仿宋_GB2312" w:cs="宋体"/>
          <w:kern w:val="0"/>
          <w:sz w:val="32"/>
          <w:szCs w:val="32"/>
        </w:rPr>
        <w:t>项目名称：2020自治区科技特派员工作补助经费</w:t>
      </w:r>
    </w:p>
    <w:p>
      <w:pPr>
        <w:pageBreakBefore w:val="0"/>
        <w:kinsoku/>
        <w:wordWrap/>
        <w:overflowPunct/>
        <w:topLinePunct w:val="0"/>
        <w:autoSpaceDE/>
        <w:autoSpaceDN/>
        <w:bidi w:val="0"/>
        <w:adjustRightInd/>
        <w:snapToGrid/>
        <w:spacing w:line="560" w:lineRule="exact"/>
        <w:ind w:firstLine="640" w:firstLineChars="200"/>
        <w:jc w:val="left"/>
        <w:rPr>
          <w:rFonts w:ascii="仿宋_GB2312"/>
          <w:kern w:val="0"/>
          <w:sz w:val="32"/>
          <w:szCs w:val="32"/>
          <w:lang w:bidi="en-US"/>
        </w:rPr>
      </w:pPr>
      <w:r>
        <w:rPr>
          <w:rFonts w:hint="eastAsia" w:hAnsi="宋体" w:eastAsia="仿宋_GB2312" w:cs="宋体"/>
          <w:kern w:val="0"/>
          <w:sz w:val="32"/>
          <w:szCs w:val="32"/>
        </w:rPr>
        <w:t>实施单位（公章）：</w:t>
      </w:r>
      <w:r>
        <w:rPr>
          <w:rFonts w:hint="eastAsia" w:ascii="仿宋_GB2312"/>
          <w:kern w:val="0"/>
          <w:sz w:val="32"/>
          <w:szCs w:val="32"/>
          <w:lang w:bidi="en-US"/>
        </w:rPr>
        <w:t>塔城地区草原工作站</w:t>
      </w:r>
    </w:p>
    <w:p>
      <w:pPr>
        <w:pageBreakBefore w:val="0"/>
        <w:kinsoku/>
        <w:wordWrap/>
        <w:overflowPunct/>
        <w:topLinePunct w:val="0"/>
        <w:autoSpaceDE/>
        <w:autoSpaceDN/>
        <w:bidi w:val="0"/>
        <w:adjustRightInd/>
        <w:snapToGrid/>
        <w:spacing w:line="560" w:lineRule="exact"/>
        <w:ind w:firstLine="640" w:firstLineChars="200"/>
        <w:jc w:val="left"/>
        <w:rPr>
          <w:rFonts w:ascii="仿宋_GB2312"/>
          <w:kern w:val="0"/>
          <w:sz w:val="32"/>
          <w:szCs w:val="32"/>
          <w:lang w:bidi="en-US"/>
        </w:rPr>
      </w:pPr>
      <w:r>
        <w:rPr>
          <w:rFonts w:hint="eastAsia" w:hAnsi="宋体" w:eastAsia="仿宋_GB2312" w:cs="宋体"/>
          <w:kern w:val="0"/>
          <w:sz w:val="32"/>
          <w:szCs w:val="32"/>
        </w:rPr>
        <w:t>主管部门（公章）：</w:t>
      </w:r>
      <w:r>
        <w:rPr>
          <w:rFonts w:hint="eastAsia" w:ascii="仿宋_GB2312"/>
          <w:kern w:val="0"/>
          <w:sz w:val="32"/>
          <w:szCs w:val="32"/>
          <w:lang w:bidi="en-US"/>
        </w:rPr>
        <w:t>塔城地区林业和草原局</w:t>
      </w:r>
    </w:p>
    <w:p>
      <w:pPr>
        <w:pageBreakBefore w:val="0"/>
        <w:kinsoku/>
        <w:wordWrap/>
        <w:overflowPunct/>
        <w:topLinePunct w:val="0"/>
        <w:autoSpaceDE/>
        <w:autoSpaceDN/>
        <w:bidi w:val="0"/>
        <w:adjustRightInd/>
        <w:snapToGrid/>
        <w:spacing w:line="560" w:lineRule="exact"/>
        <w:ind w:firstLine="640" w:firstLineChars="200"/>
        <w:jc w:val="left"/>
        <w:rPr>
          <w:rFonts w:hAnsi="宋体" w:eastAsia="仿宋_GB2312" w:cs="宋体"/>
          <w:kern w:val="0"/>
          <w:sz w:val="32"/>
          <w:szCs w:val="32"/>
        </w:rPr>
      </w:pPr>
      <w:r>
        <w:rPr>
          <w:rFonts w:hint="eastAsia" w:hAnsi="宋体" w:eastAsia="仿宋_GB2312" w:cs="宋体"/>
          <w:kern w:val="0"/>
          <w:sz w:val="32"/>
          <w:szCs w:val="32"/>
        </w:rPr>
        <w:t>项目负责人（签章）：沙吾烈·阿依塔合买提</w:t>
      </w:r>
    </w:p>
    <w:p>
      <w:pPr>
        <w:pageBreakBefore w:val="0"/>
        <w:kinsoku/>
        <w:wordWrap/>
        <w:overflowPunct/>
        <w:topLinePunct w:val="0"/>
        <w:autoSpaceDE/>
        <w:autoSpaceDN/>
        <w:bidi w:val="0"/>
        <w:adjustRightInd/>
        <w:snapToGrid/>
        <w:spacing w:line="560" w:lineRule="exact"/>
        <w:ind w:firstLine="640" w:firstLineChars="200"/>
        <w:jc w:val="left"/>
        <w:rPr>
          <w:rFonts w:hAnsi="宋体" w:eastAsia="仿宋_GB2312" w:cs="宋体"/>
          <w:kern w:val="0"/>
          <w:sz w:val="32"/>
          <w:szCs w:val="32"/>
        </w:rPr>
      </w:pPr>
      <w:r>
        <w:rPr>
          <w:rFonts w:hint="eastAsia" w:hAnsi="宋体" w:eastAsia="仿宋_GB2312" w:cs="宋体"/>
          <w:kern w:val="0"/>
          <w:sz w:val="32"/>
          <w:szCs w:val="32"/>
        </w:rPr>
        <w:t>填报时间：2021年4月1日</w:t>
      </w:r>
    </w:p>
    <w:p>
      <w:pPr>
        <w:pageBreakBefore w:val="0"/>
        <w:kinsoku/>
        <w:wordWrap/>
        <w:overflowPunct/>
        <w:topLinePunct w:val="0"/>
        <w:autoSpaceDE/>
        <w:autoSpaceDN/>
        <w:bidi w:val="0"/>
        <w:adjustRightInd/>
        <w:snapToGrid/>
        <w:spacing w:line="560" w:lineRule="exact"/>
        <w:jc w:val="center"/>
        <w:rPr>
          <w:rFonts w:hAnsi="宋体" w:eastAsia="仿宋_GB2312" w:cs="宋体"/>
          <w:kern w:val="0"/>
          <w:sz w:val="30"/>
          <w:szCs w:val="30"/>
        </w:rPr>
      </w:pPr>
    </w:p>
    <w:p>
      <w:pPr>
        <w:pageBreakBefore w:val="0"/>
        <w:kinsoku/>
        <w:wordWrap/>
        <w:overflowPunct/>
        <w:topLinePunct w:val="0"/>
        <w:autoSpaceDE/>
        <w:autoSpaceDN/>
        <w:bidi w:val="0"/>
        <w:adjustRightInd/>
        <w:snapToGrid/>
        <w:spacing w:line="560" w:lineRule="exact"/>
        <w:rPr>
          <w:rStyle w:val="21"/>
          <w:rFonts w:ascii="黑体" w:hAnsi="黑体" w:eastAsia="黑体"/>
          <w:b w:val="0"/>
          <w:spacing w:val="-4"/>
          <w:sz w:val="32"/>
          <w:szCs w:val="32"/>
        </w:rPr>
      </w:pPr>
    </w:p>
    <w:p>
      <w:pPr>
        <w:pageBreakBefore w:val="0"/>
        <w:kinsoku/>
        <w:wordWrap/>
        <w:overflowPunct/>
        <w:topLinePunct w:val="0"/>
        <w:autoSpaceDE/>
        <w:autoSpaceDN/>
        <w:bidi w:val="0"/>
        <w:adjustRightInd/>
        <w:snapToGrid/>
        <w:spacing w:line="560" w:lineRule="exact"/>
        <w:ind w:firstLine="640"/>
        <w:rPr>
          <w:rStyle w:val="21"/>
          <w:rFonts w:ascii="黑体" w:hAnsi="黑体" w:eastAsia="黑体"/>
          <w:b w:val="0"/>
          <w:spacing w:val="-4"/>
          <w:sz w:val="32"/>
          <w:szCs w:val="32"/>
        </w:rPr>
      </w:pPr>
    </w:p>
    <w:p>
      <w:pPr>
        <w:pageBreakBefore w:val="0"/>
        <w:kinsoku/>
        <w:wordWrap/>
        <w:overflowPunct/>
        <w:topLinePunct w:val="0"/>
        <w:autoSpaceDE/>
        <w:autoSpaceDN/>
        <w:bidi w:val="0"/>
        <w:adjustRightInd/>
        <w:snapToGrid/>
        <w:spacing w:line="560" w:lineRule="exact"/>
        <w:rPr>
          <w:rStyle w:val="21"/>
          <w:rFonts w:ascii="黑体" w:hAnsi="黑体" w:eastAsia="黑体"/>
          <w:b w:val="0"/>
          <w:spacing w:val="-4"/>
          <w:sz w:val="32"/>
          <w:szCs w:val="32"/>
        </w:rPr>
      </w:pPr>
    </w:p>
    <w:p>
      <w:pPr>
        <w:pageBreakBefore w:val="0"/>
        <w:kinsoku/>
        <w:wordWrap/>
        <w:overflowPunct/>
        <w:topLinePunct w:val="0"/>
        <w:autoSpaceDE/>
        <w:autoSpaceDN/>
        <w:bidi w:val="0"/>
        <w:adjustRightInd/>
        <w:snapToGrid/>
        <w:spacing w:line="560" w:lineRule="exact"/>
        <w:ind w:firstLine="640" w:firstLineChars="200"/>
        <w:rPr>
          <w:rFonts w:ascii="黑体" w:hAnsi="黑体" w:eastAsia="黑体" w:cs="黑体"/>
          <w:bCs/>
          <w:sz w:val="32"/>
          <w:szCs w:val="32"/>
        </w:rPr>
      </w:pPr>
      <w:r>
        <w:rPr>
          <w:rFonts w:hint="eastAsia" w:ascii="黑体" w:hAnsi="黑体" w:eastAsia="黑体" w:cs="黑体"/>
          <w:bCs/>
          <w:sz w:val="32"/>
          <w:szCs w:val="32"/>
        </w:rPr>
        <w:t>一、基本情况</w:t>
      </w:r>
    </w:p>
    <w:p>
      <w:pPr>
        <w:pageBreakBefore w:val="0"/>
        <w:kinsoku/>
        <w:wordWrap/>
        <w:overflowPunct/>
        <w:topLinePunct w:val="0"/>
        <w:autoSpaceDE/>
        <w:autoSpaceDN/>
        <w:bidi w:val="0"/>
        <w:adjustRightInd/>
        <w:snapToGrid/>
        <w:spacing w:line="560" w:lineRule="exac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1、项目背景</w:t>
      </w:r>
    </w:p>
    <w:p>
      <w:pPr>
        <w:pageBreakBefore w:val="0"/>
        <w:kinsoku/>
        <w:wordWrap/>
        <w:overflowPunct/>
        <w:topLinePunct w:val="0"/>
        <w:autoSpaceDE/>
        <w:autoSpaceDN/>
        <w:bidi w:val="0"/>
        <w:adjustRightInd/>
        <w:snapToGrid/>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（1）项目实施的政策背景</w:t>
      </w:r>
    </w:p>
    <w:p>
      <w:pPr>
        <w:pageBreakBefore w:val="0"/>
        <w:kinsoku/>
        <w:wordWrap/>
        <w:overflowPunct/>
        <w:topLinePunct w:val="0"/>
        <w:autoSpaceDE/>
        <w:autoSpaceDN/>
        <w:bidi w:val="0"/>
        <w:adjustRightInd/>
        <w:snapToGrid/>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为深入贯彻落实《国家中长期人才发展规划纲要（2010-2020年）》、《国家中长期科学和技术发展规划纲要（2006-2020年）》和《中国农村扶贫开发纲要（2011-2020年）》精神，加快建设边远贫困地区、边疆民族地区和革命老区（以下简称“三区”）本土科技人才和农村科技创业人才队伍，提升“三区”科技服务水平，充分发挥科技人员在支持“三区”经济社会发展中的积极作用，根据中央组织部等10部门制定的《边远贫困地区、边疆民族地区和革命老区人才支持计划实施方案》，制定了《边远贫困地区、边疆民族地区和革命老区人才支持计划科技人员专项计划实施方案》。</w:t>
      </w:r>
    </w:p>
    <w:p>
      <w:pPr>
        <w:pStyle w:val="2"/>
        <w:pageBreakBefore w:val="0"/>
        <w:numPr>
          <w:ilvl w:val="0"/>
          <w:numId w:val="1"/>
        </w:numPr>
        <w:kinsoku/>
        <w:wordWrap/>
        <w:overflowPunct/>
        <w:topLinePunct w:val="0"/>
        <w:autoSpaceDE/>
        <w:autoSpaceDN/>
        <w:bidi w:val="0"/>
        <w:adjustRightInd/>
        <w:snapToGrid/>
        <w:spacing w:before="0" w:after="0" w:line="560" w:lineRule="exact"/>
        <w:ind w:firstLine="640" w:firstLineChars="200"/>
        <w:jc w:val="both"/>
        <w:rPr>
          <w:rFonts w:ascii="仿宋_GB2312" w:hAnsi="仿宋_GB2312" w:eastAsia="仿宋_GB2312" w:cs="仿宋_GB2312"/>
          <w:b w:val="0"/>
          <w:bCs w:val="0"/>
          <w:kern w:val="0"/>
        </w:rPr>
      </w:pPr>
      <w:r>
        <w:rPr>
          <w:rFonts w:hint="eastAsia" w:ascii="仿宋_GB2312" w:hAnsi="仿宋_GB2312" w:eastAsia="仿宋_GB2312" w:cs="仿宋_GB2312"/>
          <w:b w:val="0"/>
          <w:bCs w:val="0"/>
          <w:kern w:val="0"/>
        </w:rPr>
        <w:t>项目实施的历史概况</w:t>
      </w:r>
    </w:p>
    <w:p>
      <w:pPr>
        <w:pageBreakBefore w:val="0"/>
        <w:kinsoku/>
        <w:wordWrap/>
        <w:overflowPunct/>
        <w:topLinePunct w:val="0"/>
        <w:autoSpaceDE/>
        <w:autoSpaceDN/>
        <w:bidi w:val="0"/>
        <w:adjustRightInd/>
        <w:snapToGrid/>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自2014年至2020年，每年选派2万名科技人员到“三区”提供科技服务、开展农村科技创新创业，每年为“三区”培养2500名本土科技服务人员和农村科技创新创业人员，积极推动“三区”科技人员队伍建设，围绕“三区”支柱产业大力引导科技成果的转移和转化，为“三区”经济社会发展提供有效的科技人才支持和智力服务。</w:t>
      </w:r>
    </w:p>
    <w:p>
      <w:pPr>
        <w:pageBreakBefore w:val="0"/>
        <w:numPr>
          <w:ilvl w:val="0"/>
          <w:numId w:val="2"/>
        </w:numPr>
        <w:kinsoku/>
        <w:wordWrap/>
        <w:overflowPunct/>
        <w:topLinePunct w:val="0"/>
        <w:autoSpaceDE/>
        <w:autoSpaceDN/>
        <w:bidi w:val="0"/>
        <w:adjustRightInd/>
        <w:snapToGrid/>
        <w:spacing w:line="560" w:lineRule="exact"/>
        <w:ind w:firstLine="64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项目主要内容及实施情况</w:t>
      </w:r>
    </w:p>
    <w:p>
      <w:pPr>
        <w:pageBreakBefore w:val="0"/>
        <w:kinsoku/>
        <w:wordWrap/>
        <w:overflowPunct/>
        <w:topLinePunct w:val="0"/>
        <w:autoSpaceDE/>
        <w:autoSpaceDN/>
        <w:bidi w:val="0"/>
        <w:adjustRightInd/>
        <w:snapToGrid/>
        <w:spacing w:line="560" w:lineRule="exact"/>
        <w:ind w:firstLine="640" w:firstLineChars="200"/>
        <w:rPr>
          <w:rFonts w:hint="default"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项目主要内容：按照文件要求，关于2020年新疆维吾尔自治区科技“三区”科技人才支持计划预算资金（第一批）的通知将现资金到裕民县开展技术服务，政策宣传，人员培训、技术推广</w:t>
      </w:r>
      <w:r>
        <w:rPr>
          <w:rFonts w:hint="eastAsia" w:ascii="仿宋_GB2312" w:hAnsi="仿宋_GB2312" w:eastAsia="仿宋_GB2312" w:cs="仿宋_GB2312"/>
          <w:kern w:val="0"/>
          <w:sz w:val="32"/>
          <w:szCs w:val="32"/>
          <w:lang w:val="en-US" w:eastAsia="zh-CN"/>
        </w:rPr>
        <w:t>。</w:t>
      </w:r>
    </w:p>
    <w:p>
      <w:pPr>
        <w:pageBreakBefore w:val="0"/>
        <w:kinsoku/>
        <w:wordWrap/>
        <w:overflowPunct/>
        <w:topLinePunct w:val="0"/>
        <w:autoSpaceDE/>
        <w:autoSpaceDN/>
        <w:bidi w:val="0"/>
        <w:adjustRightInd/>
        <w:snapToGrid/>
        <w:spacing w:line="560" w:lineRule="exact"/>
        <w:ind w:firstLine="640" w:firstLineChars="200"/>
      </w:pPr>
      <w:r>
        <w:rPr>
          <w:rFonts w:hint="eastAsia" w:ascii="仿宋_GB2312" w:hAnsi="仿宋_GB2312" w:eastAsia="仿宋_GB2312" w:cs="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kinsoku/>
        <w:wordWrap/>
        <w:overflowPunct/>
        <w:topLinePunct w:val="0"/>
        <w:autoSpaceDE/>
        <w:autoSpaceDN/>
        <w:bidi w:val="0"/>
        <w:adjustRightInd/>
        <w:snapToGrid/>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本项目总投资2万元，其中：</w:t>
      </w:r>
      <w:r>
        <w:rPr>
          <w:rFonts w:hint="eastAsia" w:ascii="仿宋_GB2312" w:hAnsi="仿宋_GB2312" w:eastAsia="仿宋_GB2312" w:cs="仿宋_GB2312"/>
          <w:sz w:val="32"/>
          <w:szCs w:val="32"/>
          <w:lang w:val="en-US" w:eastAsia="zh-CN"/>
        </w:rPr>
        <w:t>自治区</w:t>
      </w:r>
      <w:r>
        <w:rPr>
          <w:rFonts w:hint="eastAsia" w:ascii="仿宋_GB2312" w:hAnsi="仿宋_GB2312" w:eastAsia="仿宋_GB2312" w:cs="仿宋_GB2312"/>
          <w:sz w:val="32"/>
          <w:szCs w:val="32"/>
        </w:rPr>
        <w:t>资金</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万元。项目实际支出1.99万元，支出率为99.5%。</w:t>
      </w:r>
    </w:p>
    <w:p>
      <w:pPr>
        <w:pageBreakBefore w:val="0"/>
        <w:kinsoku/>
        <w:wordWrap/>
        <w:overflowPunct/>
        <w:topLinePunct w:val="0"/>
        <w:autoSpaceDE/>
        <w:autoSpaceDN/>
        <w:bidi w:val="0"/>
        <w:adjustRightInd/>
        <w:snapToGrid/>
        <w:spacing w:line="56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3、资金投入和使用情况</w:t>
      </w:r>
    </w:p>
    <w:p>
      <w:pPr>
        <w:pageBreakBefore w:val="0"/>
        <w:kinsoku/>
        <w:wordWrap/>
        <w:overflowPunct/>
        <w:topLinePunct w:val="0"/>
        <w:autoSpaceDE/>
        <w:autoSpaceDN/>
        <w:bidi w:val="0"/>
        <w:adjustRightInd/>
        <w:snapToGrid/>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（1）资金安排</w:t>
      </w:r>
    </w:p>
    <w:p>
      <w:pPr>
        <w:pageBreakBefore w:val="0"/>
        <w:kinsoku/>
        <w:wordWrap/>
        <w:overflowPunct/>
        <w:topLinePunct w:val="0"/>
        <w:autoSpaceDE/>
        <w:autoSpaceDN/>
        <w:bidi w:val="0"/>
        <w:adjustRightInd/>
        <w:snapToGrid/>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总投资2万元，按照《资金管理办法》及单位财务制度等相关规定，资金支出符合2020自治区科技特派员工作补助经费费用范围，做到了专款专用。在项目资金拨付和使用过程中，为确保项目资金的安全性，提高项目资金使用效率，严格遵循2020自治区科技特派员工作补助经费的拨付程序，认真审核项目实施各阶段的相关材料和手续，根据项目实施进展情况拨付资金。</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（2）预算资金来源及使用情况</w:t>
      </w:r>
      <w:bookmarkStart w:id="0" w:name="page10"/>
      <w:bookmarkEnd w:id="0"/>
    </w:p>
    <w:p>
      <w:pPr>
        <w:pStyle w:val="2"/>
        <w:pageBreakBefore w:val="0"/>
        <w:kinsoku/>
        <w:wordWrap/>
        <w:overflowPunct/>
        <w:topLinePunct w:val="0"/>
        <w:autoSpaceDE/>
        <w:autoSpaceDN/>
        <w:bidi w:val="0"/>
        <w:adjustRightInd/>
        <w:snapToGrid/>
        <w:spacing w:before="0" w:after="0" w:line="560" w:lineRule="exact"/>
        <w:ind w:firstLine="640" w:firstLineChars="200"/>
        <w:jc w:val="both"/>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项目预算资金来源于根据</w:t>
      </w:r>
      <w:r>
        <w:rPr>
          <w:rFonts w:hint="eastAsia" w:ascii="仿宋_GB2312" w:hAnsi="仿宋_GB2312" w:eastAsia="仿宋_GB2312" w:cs="仿宋_GB2312"/>
          <w:b w:val="0"/>
          <w:bCs w:val="0"/>
          <w:kern w:val="2"/>
          <w:lang w:eastAsia="zh-CN"/>
        </w:rPr>
        <w:t>相关</w:t>
      </w:r>
      <w:r>
        <w:rPr>
          <w:rFonts w:hint="eastAsia" w:ascii="仿宋_GB2312" w:hAnsi="仿宋_GB2312" w:eastAsia="仿宋_GB2312" w:cs="仿宋_GB2312"/>
          <w:b w:val="0"/>
          <w:bCs w:val="0"/>
          <w:kern w:val="2"/>
        </w:rPr>
        <w:t>文件要求，关于2020年新疆维吾尔自治区科技“三区”科技人才支持计划预算资金（第一批）的通知，项目资金2020年到位2万元，实际支出1.99万元，用于保险费、伙食补助，艰边贴补助，交通补助，工作补助。满足日常业务工作需要。支付项目实施进程中的各项费用。</w:t>
      </w:r>
    </w:p>
    <w:p>
      <w:pPr>
        <w:pageBreakBefore w:val="0"/>
        <w:kinsoku/>
        <w:wordWrap/>
        <w:overflowPunct/>
        <w:topLinePunct w:val="0"/>
        <w:autoSpaceDE/>
        <w:autoSpaceDN/>
        <w:bidi w:val="0"/>
        <w:adjustRightInd/>
        <w:snapToGrid/>
        <w:spacing w:line="560" w:lineRule="exac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（二）项目绩效目标</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1、总体目标</w:t>
      </w:r>
    </w:p>
    <w:p>
      <w:pPr>
        <w:pStyle w:val="2"/>
        <w:pageBreakBefore w:val="0"/>
        <w:kinsoku/>
        <w:wordWrap/>
        <w:overflowPunct/>
        <w:topLinePunct w:val="0"/>
        <w:autoSpaceDE/>
        <w:autoSpaceDN/>
        <w:bidi w:val="0"/>
        <w:adjustRightInd/>
        <w:snapToGrid/>
        <w:spacing w:before="0" w:after="0" w:line="560" w:lineRule="exact"/>
        <w:ind w:firstLine="640" w:firstLineChars="200"/>
        <w:jc w:val="both"/>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为确保全面完成2020自治区科技特派员工作，塔地草原工作站高度重视，加强组织领导，明确工作任务和责任人，确保工作任务如期完成</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2、阶段性目标</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（1）前期准备：根据《塔城地区草原工作站2020自治区科技特派员工作补助经费专项资金方案》，通过制定项目实施方案，经项目负责人审核通过后，有序开展后续工程。</w:t>
      </w:r>
    </w:p>
    <w:p>
      <w:pPr>
        <w:pageBreakBefore w:val="0"/>
        <w:kinsoku/>
        <w:wordWrap/>
        <w:overflowPunct/>
        <w:topLinePunct w:val="0"/>
        <w:autoSpaceDE/>
        <w:autoSpaceDN/>
        <w:bidi w:val="0"/>
        <w:adjustRightInd/>
        <w:snapToGrid/>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（2）组织实施：资金一到位，立即根据项目要求实施项目。项目责任人按照《塔城地区草原工作站2020自治区科技特派员工作补助经费专项资金方案》要求逐一进行项目部署安排，提高项目质量及效率性。</w:t>
      </w:r>
    </w:p>
    <w:p>
      <w:pPr>
        <w:pageBreakBefore w:val="0"/>
        <w:kinsoku/>
        <w:wordWrap/>
        <w:overflowPunct/>
        <w:topLinePunct w:val="0"/>
        <w:autoSpaceDE/>
        <w:autoSpaceDN/>
        <w:bidi w:val="0"/>
        <w:adjustRightInd/>
        <w:snapToGrid/>
        <w:spacing w:line="560" w:lineRule="exact"/>
        <w:ind w:firstLine="641"/>
        <w:rPr>
          <w:rFonts w:ascii="黑体" w:hAnsi="黑体" w:eastAsia="黑体"/>
          <w:sz w:val="32"/>
          <w:szCs w:val="32"/>
        </w:rPr>
      </w:pPr>
      <w:r>
        <w:rPr>
          <w:rFonts w:hint="eastAsia" w:ascii="黑体" w:hAnsi="黑体" w:eastAsia="黑体"/>
          <w:sz w:val="32"/>
          <w:szCs w:val="32"/>
        </w:rPr>
        <w:t>二、绩效评价工作开展情况</w:t>
      </w:r>
    </w:p>
    <w:p>
      <w:pPr>
        <w:pageBreakBefore w:val="0"/>
        <w:kinsoku/>
        <w:wordWrap/>
        <w:overflowPunct/>
        <w:topLinePunct w:val="0"/>
        <w:autoSpaceDE/>
        <w:autoSpaceDN/>
        <w:bidi w:val="0"/>
        <w:adjustRightInd/>
        <w:snapToGrid/>
        <w:spacing w:line="560" w:lineRule="exac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（一）绩效评价目的、对象和范围</w:t>
      </w:r>
    </w:p>
    <w:p>
      <w:pPr>
        <w:pStyle w:val="2"/>
        <w:pageBreakBefore w:val="0"/>
        <w:widowControl w:val="0"/>
        <w:kinsoku/>
        <w:wordWrap/>
        <w:overflowPunct/>
        <w:topLinePunct w:val="0"/>
        <w:autoSpaceDE/>
        <w:autoSpaceDN/>
        <w:bidi w:val="0"/>
        <w:adjustRightInd/>
        <w:snapToGrid/>
        <w:spacing w:before="0" w:after="0" w:line="560" w:lineRule="exact"/>
        <w:ind w:firstLine="641"/>
        <w:jc w:val="both"/>
        <w:outlineLvl w:val="9"/>
        <w:rPr>
          <w:rFonts w:ascii="仿宋_GB2312" w:hAnsi="仿宋_GB2312" w:eastAsia="仿宋_GB2312" w:cs="仿宋_GB2312"/>
          <w:b/>
          <w:bCs/>
        </w:rPr>
      </w:pPr>
      <w:r>
        <w:rPr>
          <w:rFonts w:hint="eastAsia" w:ascii="仿宋_GB2312" w:hAnsi="仿宋_GB2312" w:eastAsia="仿宋_GB2312" w:cs="仿宋_GB2312"/>
          <w:b/>
          <w:bCs/>
        </w:rPr>
        <w:t>1、绩效评价的目的</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pageBreakBefore w:val="0"/>
        <w:numPr>
          <w:ilvl w:val="0"/>
          <w:numId w:val="3"/>
        </w:numPr>
        <w:kinsoku/>
        <w:wordWrap/>
        <w:overflowPunct/>
        <w:topLinePunct w:val="0"/>
        <w:autoSpaceDE/>
        <w:autoSpaceDN/>
        <w:bidi w:val="0"/>
        <w:adjustRightInd/>
        <w:snapToGrid/>
        <w:spacing w:line="56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项目在实施前向项目负责人提供财政支出绩效方面的资金管理信息，促进项目支出严格按照资金管理规定进行。</w:t>
      </w:r>
    </w:p>
    <w:p>
      <w:pPr>
        <w:pageBreakBefore w:val="0"/>
        <w:kinsoku/>
        <w:wordWrap/>
        <w:overflowPunct/>
        <w:topLinePunct w:val="0"/>
        <w:autoSpaceDE/>
        <w:autoSpaceDN/>
        <w:bidi w:val="0"/>
        <w:adjustRightInd/>
        <w:snapToGrid/>
        <w:spacing w:line="560" w:lineRule="exact"/>
        <w:ind w:left="641"/>
        <w:rPr>
          <w:rFonts w:ascii="仿宋_GB2312" w:hAnsi="仿宋_GB2312" w:eastAsia="仿宋_GB2312" w:cs="仿宋_GB2312"/>
          <w:sz w:val="32"/>
          <w:szCs w:val="32"/>
        </w:rPr>
      </w:pPr>
      <w:r>
        <w:rPr>
          <w:rFonts w:hint="eastAsia" w:ascii="仿宋_GB2312" w:hAnsi="仿宋_GB2312" w:eastAsia="仿宋_GB2312" w:cs="仿宋_GB2312"/>
          <w:sz w:val="32"/>
          <w:szCs w:val="32"/>
        </w:rPr>
        <w:t>（2）项目绩效管理财政支出运行提供及时、有效的信息。</w:t>
      </w:r>
    </w:p>
    <w:p>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综合来看，通过开展有效的财政支出绩效评价管理，达到改进预算管理、控制节约成本，提高预算资金使用效益的目的。</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2、绩效评价的对象</w:t>
      </w:r>
    </w:p>
    <w:p>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2020自治区科技特派员工作补助经费</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rPr>
        <w:t>。</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3、绩效评价的范围</w:t>
      </w:r>
    </w:p>
    <w:p>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从2020自治区科技特派员工作补助经费</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rPr>
        <w:t>的决策、过程、产出、效益等方面进行评价。</w:t>
      </w:r>
    </w:p>
    <w:p>
      <w:pPr>
        <w:pageBreakBefore w:val="0"/>
        <w:kinsoku/>
        <w:wordWrap/>
        <w:overflowPunct/>
        <w:topLinePunct w:val="0"/>
        <w:autoSpaceDE/>
        <w:autoSpaceDN/>
        <w:bidi w:val="0"/>
        <w:adjustRightInd/>
        <w:snapToGrid/>
        <w:spacing w:line="560" w:lineRule="exact"/>
        <w:ind w:firstLine="641"/>
        <w:rPr>
          <w:rFonts w:ascii="仿宋_GB2312"/>
        </w:rPr>
      </w:pPr>
      <w:r>
        <w:rPr>
          <w:rFonts w:hint="eastAsia" w:ascii="楷体_GB2312" w:hAnsi="楷体_GB2312" w:eastAsia="楷体_GB2312" w:cs="楷体_GB2312"/>
          <w:b/>
          <w:bCs/>
          <w:sz w:val="32"/>
          <w:szCs w:val="32"/>
        </w:rPr>
        <w:t>（二）绩效评价原则、评价指标体系（详情见表1）、评价方法、评价标准。</w:t>
      </w:r>
    </w:p>
    <w:p>
      <w:pPr>
        <w:pStyle w:val="2"/>
        <w:pageBreakBefore w:val="0"/>
        <w:widowControl w:val="0"/>
        <w:kinsoku/>
        <w:wordWrap/>
        <w:overflowPunct/>
        <w:topLinePunct w:val="0"/>
        <w:autoSpaceDE/>
        <w:autoSpaceDN/>
        <w:bidi w:val="0"/>
        <w:adjustRightInd/>
        <w:snapToGrid/>
        <w:spacing w:before="0" w:after="0" w:line="560" w:lineRule="exact"/>
        <w:ind w:firstLine="641"/>
        <w:jc w:val="both"/>
        <w:outlineLvl w:val="9"/>
        <w:rPr>
          <w:rFonts w:ascii="仿宋_GB2312" w:hAnsi="仿宋_GB2312" w:eastAsia="仿宋_GB2312" w:cs="仿宋_GB2312"/>
          <w:b/>
          <w:bCs/>
        </w:rPr>
      </w:pPr>
      <w:r>
        <w:rPr>
          <w:rFonts w:hint="eastAsia" w:ascii="仿宋_GB2312" w:hAnsi="仿宋_GB2312" w:eastAsia="仿宋_GB2312" w:cs="仿宋_GB2312"/>
          <w:b/>
          <w:bCs/>
        </w:rPr>
        <w:t>1、绩效评价原则</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本次项目绩效评价遵循以下基本原则：</w:t>
      </w:r>
    </w:p>
    <w:p>
      <w:pPr>
        <w:pStyle w:val="2"/>
        <w:keepNext w:val="0"/>
        <w:keepLines w:val="0"/>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（1）科学公正。绩效评价应当运用科学合理的方法，按照规范的程序，对项目绩效进行客观、公正的反映。</w:t>
      </w:r>
    </w:p>
    <w:p>
      <w:pPr>
        <w:pStyle w:val="2"/>
        <w:pageBreakBefore w:val="0"/>
        <w:kinsoku/>
        <w:wordWrap/>
        <w:overflowPunct/>
        <w:topLinePunct w:val="0"/>
        <w:autoSpaceDE/>
        <w:autoSpaceDN/>
        <w:bidi w:val="0"/>
        <w:adjustRightInd/>
        <w:snapToGrid/>
        <w:spacing w:before="0" w:after="0" w:line="560" w:lineRule="exact"/>
        <w:ind w:firstLine="641"/>
        <w:jc w:val="both"/>
        <w:outlineLvl w:val="9"/>
        <w:rPr>
          <w:rFonts w:ascii="仿宋_GB2312" w:hAnsi="仿宋_GB2312" w:eastAsia="仿宋_GB2312" w:cs="仿宋_GB2312"/>
          <w:b w:val="0"/>
          <w:bCs w:val="0"/>
        </w:rPr>
      </w:pPr>
      <w:r>
        <w:rPr>
          <w:rFonts w:hint="eastAsia" w:ascii="仿宋_GB2312" w:hAnsi="仿宋_GB2312" w:eastAsia="仿宋_GB2312" w:cs="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pageBreakBefore w:val="0"/>
        <w:kinsoku/>
        <w:wordWrap/>
        <w:overflowPunct/>
        <w:topLinePunct w:val="0"/>
        <w:autoSpaceDE/>
        <w:autoSpaceDN/>
        <w:bidi w:val="0"/>
        <w:adjustRightInd/>
        <w:snapToGrid/>
        <w:spacing w:before="0" w:after="0" w:line="560" w:lineRule="exact"/>
        <w:ind w:firstLine="641"/>
        <w:jc w:val="both"/>
        <w:outlineLvl w:val="9"/>
        <w:rPr>
          <w:rFonts w:ascii="仿宋_GB2312" w:hAnsi="仿宋_GB2312" w:eastAsia="仿宋_GB2312" w:cs="仿宋_GB2312"/>
          <w:b w:val="0"/>
          <w:bCs w:val="0"/>
        </w:rPr>
      </w:pPr>
      <w:r>
        <w:rPr>
          <w:rFonts w:hint="eastAsia" w:ascii="仿宋_GB2312" w:hAnsi="仿宋_GB2312" w:eastAsia="仿宋_GB2312" w:cs="仿宋_GB2312"/>
          <w:b w:val="0"/>
          <w:bCs w:val="0"/>
        </w:rPr>
        <w:t>（3）激励约束。绩效评价结果应与预算安排、政策调整、改进管理实质性挂钩，体现奖优罚劣和激励相容导向，有效要安排、低效要压减、无效要问责。</w:t>
      </w:r>
    </w:p>
    <w:p>
      <w:pPr>
        <w:pStyle w:val="2"/>
        <w:pageBreakBefore w:val="0"/>
        <w:kinsoku/>
        <w:wordWrap/>
        <w:overflowPunct/>
        <w:topLinePunct w:val="0"/>
        <w:autoSpaceDE/>
        <w:autoSpaceDN/>
        <w:bidi w:val="0"/>
        <w:adjustRightInd/>
        <w:snapToGrid/>
        <w:spacing w:before="0" w:after="0" w:line="560" w:lineRule="exact"/>
        <w:ind w:firstLine="641"/>
        <w:jc w:val="both"/>
        <w:outlineLvl w:val="9"/>
        <w:rPr>
          <w:rFonts w:ascii="仿宋_GB2312" w:hAnsi="仿宋_GB2312" w:eastAsia="仿宋_GB2312" w:cs="仿宋_GB2312"/>
          <w:b w:val="0"/>
          <w:bCs w:val="0"/>
        </w:rPr>
      </w:pPr>
      <w:r>
        <w:rPr>
          <w:rFonts w:hint="eastAsia" w:ascii="仿宋_GB2312" w:hAnsi="仿宋_GB2312" w:eastAsia="仿宋_GB2312" w:cs="仿宋_GB2312"/>
          <w:b w:val="0"/>
          <w:bCs w:val="0"/>
        </w:rPr>
        <w:t>（4）公开透明。绩效评价结果应依法依规公开，并自觉接受社会监督。</w:t>
      </w:r>
    </w:p>
    <w:p>
      <w:pPr>
        <w:pStyle w:val="2"/>
        <w:pageBreakBefore w:val="0"/>
        <w:widowControl w:val="0"/>
        <w:kinsoku/>
        <w:wordWrap/>
        <w:overflowPunct/>
        <w:topLinePunct w:val="0"/>
        <w:autoSpaceDE/>
        <w:autoSpaceDN/>
        <w:bidi w:val="0"/>
        <w:adjustRightInd/>
        <w:snapToGrid/>
        <w:spacing w:before="0" w:after="0" w:line="560" w:lineRule="exact"/>
        <w:ind w:firstLine="641"/>
        <w:jc w:val="both"/>
        <w:outlineLvl w:val="9"/>
        <w:rPr>
          <w:rFonts w:ascii="仿宋_GB2312" w:hAnsi="仿宋_GB2312" w:eastAsia="仿宋_GB2312" w:cs="仿宋_GB2312"/>
          <w:b/>
          <w:bCs/>
        </w:rPr>
      </w:pPr>
      <w:r>
        <w:rPr>
          <w:rFonts w:hint="eastAsia" w:ascii="仿宋_GB2312" w:hAnsi="仿宋_GB2312" w:eastAsia="仿宋_GB2312" w:cs="仿宋_GB2312"/>
          <w:b/>
          <w:bCs/>
        </w:rPr>
        <w:t>2、评价指标体系</w:t>
      </w:r>
    </w:p>
    <w:p>
      <w:pPr>
        <w:pageBreakBefore w:val="0"/>
        <w:kinsoku/>
        <w:wordWrap/>
        <w:overflowPunct/>
        <w:topLinePunct w:val="0"/>
        <w:autoSpaceDE/>
        <w:autoSpaceDN/>
        <w:bidi w:val="0"/>
        <w:adjustRightInd/>
        <w:snapToGrid/>
        <w:spacing w:line="560" w:lineRule="exact"/>
        <w:ind w:firstLine="641"/>
        <w:rPr>
          <w:rFonts w:ascii="宋体" w:hAnsi="宋体" w:cs="宋体"/>
          <w:color w:val="000000"/>
          <w:spacing w:val="17"/>
          <w:sz w:val="32"/>
          <w:szCs w:val="32"/>
        </w:rPr>
      </w:pPr>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rPr>
        <w:t>确定各个指标相对于项目总体绩效的权重分值。在绩效评价指标体系中，项</w:t>
      </w:r>
      <w:r>
        <w:rPr>
          <w:rFonts w:hint="eastAsia" w:ascii="仿宋_GB2312" w:hAnsi="仿宋_GB2312" w:eastAsia="仿宋_GB2312" w:cs="仿宋_GB2312"/>
          <w:color w:val="000000"/>
          <w:spacing w:val="17"/>
          <w:sz w:val="32"/>
          <w:szCs w:val="32"/>
          <w:lang w:val="en-US" w:eastAsia="zh-CN"/>
        </w:rPr>
        <w:t>目决</w:t>
      </w:r>
      <w:r>
        <w:rPr>
          <w:rFonts w:hint="eastAsia" w:ascii="仿宋_GB2312" w:hAnsi="仿宋_GB2312" w:eastAsia="仿宋_GB2312" w:cs="仿宋_GB2312"/>
          <w:color w:val="000000"/>
          <w:spacing w:val="17"/>
          <w:sz w:val="32"/>
          <w:szCs w:val="32"/>
          <w:highlight w:val="none"/>
          <w:lang w:val="en-US" w:eastAsia="zh-CN"/>
        </w:rPr>
        <w:t>策</w:t>
      </w:r>
      <w:r>
        <w:rPr>
          <w:rFonts w:hint="eastAsia" w:ascii="仿宋_GB2312" w:hAnsi="仿宋_GB2312" w:eastAsia="仿宋_GB2312" w:cs="仿宋_GB2312"/>
          <w:color w:val="000000"/>
          <w:spacing w:val="17"/>
          <w:sz w:val="32"/>
          <w:szCs w:val="32"/>
          <w:highlight w:val="none"/>
        </w:rPr>
        <w:t>权重</w:t>
      </w:r>
      <w:r>
        <w:rPr>
          <w:rFonts w:hint="eastAsia" w:ascii="仿宋_GB2312" w:hAnsi="仿宋_GB2312" w:eastAsia="仿宋_GB2312" w:cs="仿宋_GB2312"/>
          <w:color w:val="000000"/>
          <w:spacing w:val="17"/>
          <w:sz w:val="32"/>
          <w:szCs w:val="32"/>
          <w:highlight w:val="none"/>
          <w:lang w:val="en-US" w:eastAsia="zh-CN"/>
        </w:rPr>
        <w:t>占5分</w:t>
      </w:r>
      <w:r>
        <w:rPr>
          <w:rFonts w:hint="eastAsia" w:ascii="仿宋_GB2312" w:hAnsi="仿宋_GB2312" w:eastAsia="仿宋_GB2312" w:cs="仿宋_GB2312"/>
          <w:color w:val="000000"/>
          <w:spacing w:val="17"/>
          <w:sz w:val="32"/>
          <w:szCs w:val="32"/>
          <w:highlight w:val="none"/>
        </w:rPr>
        <w:t>，项目</w:t>
      </w:r>
      <w:r>
        <w:rPr>
          <w:rFonts w:hint="eastAsia" w:ascii="仿宋_GB2312" w:hAnsi="仿宋_GB2312" w:eastAsia="仿宋_GB2312" w:cs="仿宋_GB2312"/>
          <w:color w:val="000000"/>
          <w:spacing w:val="17"/>
          <w:sz w:val="32"/>
          <w:szCs w:val="32"/>
          <w:highlight w:val="none"/>
          <w:lang w:val="en-US" w:eastAsia="zh-CN"/>
        </w:rPr>
        <w:t>过程</w:t>
      </w:r>
      <w:r>
        <w:rPr>
          <w:rFonts w:hint="eastAsia" w:ascii="仿宋_GB2312" w:hAnsi="仿宋_GB2312" w:eastAsia="仿宋_GB2312" w:cs="仿宋_GB2312"/>
          <w:color w:val="000000"/>
          <w:spacing w:val="17"/>
          <w:sz w:val="32"/>
          <w:szCs w:val="32"/>
          <w:highlight w:val="none"/>
        </w:rPr>
        <w:t>权重占</w:t>
      </w:r>
      <w:r>
        <w:rPr>
          <w:rFonts w:hint="eastAsia" w:ascii="仿宋_GB2312" w:hAnsi="仿宋_GB2312" w:eastAsia="仿宋_GB2312" w:cs="仿宋_GB2312"/>
          <w:color w:val="000000"/>
          <w:spacing w:val="17"/>
          <w:sz w:val="32"/>
          <w:szCs w:val="32"/>
          <w:highlight w:val="none"/>
          <w:lang w:val="en-US" w:eastAsia="zh-CN"/>
        </w:rPr>
        <w:t>5分，</w:t>
      </w:r>
      <w:r>
        <w:rPr>
          <w:rFonts w:hint="eastAsia" w:ascii="仿宋_GB2312" w:hAnsi="仿宋_GB2312" w:eastAsia="仿宋_GB2312" w:cs="仿宋_GB2312"/>
          <w:color w:val="000000"/>
          <w:spacing w:val="17"/>
          <w:sz w:val="32"/>
          <w:szCs w:val="32"/>
          <w:highlight w:val="none"/>
        </w:rPr>
        <w:t>项目产出权重值占</w:t>
      </w:r>
      <w:r>
        <w:rPr>
          <w:rFonts w:hint="eastAsia" w:ascii="仿宋_GB2312" w:hAnsi="仿宋_GB2312" w:eastAsia="仿宋_GB2312" w:cs="仿宋_GB2312"/>
          <w:color w:val="000000"/>
          <w:spacing w:val="17"/>
          <w:sz w:val="32"/>
          <w:szCs w:val="32"/>
          <w:highlight w:val="none"/>
          <w:lang w:val="en-US" w:eastAsia="zh-CN"/>
        </w:rPr>
        <w:t>50分</w:t>
      </w:r>
      <w:r>
        <w:rPr>
          <w:rFonts w:hint="eastAsia" w:ascii="仿宋_GB2312" w:hAnsi="仿宋_GB2312" w:eastAsia="仿宋_GB2312" w:cs="仿宋_GB2312"/>
          <w:color w:val="000000"/>
          <w:spacing w:val="17"/>
          <w:sz w:val="32"/>
          <w:szCs w:val="32"/>
          <w:highlight w:val="none"/>
        </w:rPr>
        <w:t>，项目效益权重值占</w:t>
      </w:r>
      <w:r>
        <w:rPr>
          <w:rFonts w:hint="eastAsia" w:ascii="仿宋_GB2312" w:hAnsi="仿宋_GB2312" w:eastAsia="仿宋_GB2312" w:cs="仿宋_GB2312"/>
          <w:color w:val="000000"/>
          <w:spacing w:val="17"/>
          <w:sz w:val="32"/>
          <w:szCs w:val="32"/>
          <w:highlight w:val="none"/>
          <w:lang w:val="en-US" w:eastAsia="zh-CN"/>
        </w:rPr>
        <w:t>40分</w:t>
      </w:r>
      <w:r>
        <w:rPr>
          <w:rFonts w:hint="eastAsia" w:ascii="仿宋_GB2312" w:hAnsi="仿宋_GB2312" w:eastAsia="仿宋_GB2312" w:cs="仿宋_GB2312"/>
          <w:color w:val="000000"/>
          <w:spacing w:val="17"/>
          <w:sz w:val="32"/>
          <w:szCs w:val="32"/>
          <w:highlight w:val="none"/>
        </w:rPr>
        <w:t>。</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pageBreakBefore w:val="0"/>
        <w:kinsoku/>
        <w:wordWrap/>
        <w:overflowPunct/>
        <w:topLinePunct w:val="0"/>
        <w:autoSpaceDE/>
        <w:autoSpaceDN/>
        <w:bidi w:val="0"/>
        <w:adjustRightInd/>
        <w:snapToGrid/>
        <w:spacing w:before="0" w:after="0" w:line="560" w:lineRule="exact"/>
        <w:ind w:firstLine="708" w:firstLineChars="200"/>
        <w:jc w:val="both"/>
        <w:rPr>
          <w:rFonts w:ascii="仿宋_GB2312" w:hAnsi="仿宋_GB2312" w:eastAsia="仿宋_GB2312" w:cs="仿宋_GB2312"/>
          <w:b w:val="0"/>
          <w:bCs w:val="0"/>
          <w:color w:val="000000"/>
          <w:spacing w:val="17"/>
          <w:kern w:val="2"/>
        </w:rPr>
      </w:pPr>
      <w:r>
        <w:rPr>
          <w:rFonts w:hint="eastAsia" w:ascii="仿宋_GB2312" w:hAnsi="仿宋_GB2312" w:eastAsia="仿宋_GB2312" w:cs="仿宋_GB2312"/>
          <w:b w:val="0"/>
          <w:bCs w:val="0"/>
          <w:color w:val="000000"/>
          <w:spacing w:val="17"/>
          <w:kern w:val="2"/>
        </w:rPr>
        <w:t>绩效评价总分值</w:t>
      </w:r>
      <w:r>
        <w:rPr>
          <w:rFonts w:hint="eastAsia" w:ascii="仿宋_GB2312" w:hAnsi="仿宋_GB2312" w:eastAsia="仿宋_GB2312" w:cs="仿宋_GB2312"/>
          <w:b w:val="0"/>
          <w:bCs w:val="0"/>
          <w:color w:val="000000"/>
          <w:spacing w:val="17"/>
          <w:kern w:val="2"/>
          <w:lang w:val="en-US" w:eastAsia="zh-CN"/>
        </w:rPr>
        <w:t>100</w:t>
      </w:r>
      <w:r>
        <w:rPr>
          <w:rFonts w:hint="eastAsia" w:ascii="仿宋_GB2312" w:hAnsi="仿宋_GB2312" w:eastAsia="仿宋_GB2312" w:cs="仿宋_GB2312"/>
          <w:b w:val="0"/>
          <w:bCs w:val="0"/>
          <w:color w:val="000000"/>
          <w:spacing w:val="17"/>
          <w:kern w:val="2"/>
        </w:rPr>
        <w:t>分，根据综合评分结果，评价计分90分-100分（含90分）对应的评分结果级别为优，80-90分（含80分）对应的评分结果级别为良，60-80分（含60分）对应的评分结果级别为中，60分以下对应的评分结果级别为差。</w:t>
      </w:r>
    </w:p>
    <w:p>
      <w:pPr>
        <w:pStyle w:val="2"/>
        <w:pageBreakBefore w:val="0"/>
        <w:widowControl w:val="0"/>
        <w:kinsoku/>
        <w:wordWrap/>
        <w:overflowPunct/>
        <w:topLinePunct w:val="0"/>
        <w:autoSpaceDE/>
        <w:autoSpaceDN/>
        <w:bidi w:val="0"/>
        <w:adjustRightInd/>
        <w:snapToGrid/>
        <w:spacing w:before="0" w:after="0" w:line="560" w:lineRule="exact"/>
        <w:jc w:val="both"/>
        <w:outlineLvl w:val="9"/>
        <w:rPr>
          <w:rFonts w:ascii="仿宋_GB2312" w:hAnsi="仿宋_GB2312" w:eastAsia="仿宋_GB2312" w:cs="仿宋_GB2312"/>
          <w:b w:val="0"/>
          <w:bCs w:val="0"/>
          <w:color w:val="000000"/>
          <w:spacing w:val="17"/>
        </w:rPr>
      </w:pPr>
      <w:r>
        <w:rPr>
          <w:rFonts w:hint="eastAsia" w:ascii="仿宋_GB2312" w:hAnsi="仿宋_GB2312" w:eastAsia="仿宋_GB2312" w:cs="仿宋_GB2312"/>
          <w:b w:val="0"/>
          <w:bCs w:val="0"/>
          <w:color w:val="000000"/>
          <w:spacing w:val="17"/>
        </w:rPr>
        <w:t>具体评价指标体系详情见附件1</w:t>
      </w:r>
    </w:p>
    <w:p>
      <w:pPr>
        <w:pStyle w:val="2"/>
        <w:pageBreakBefore w:val="0"/>
        <w:widowControl w:val="0"/>
        <w:kinsoku/>
        <w:wordWrap/>
        <w:overflowPunct/>
        <w:topLinePunct w:val="0"/>
        <w:autoSpaceDE/>
        <w:autoSpaceDN/>
        <w:bidi w:val="0"/>
        <w:adjustRightInd/>
        <w:snapToGrid/>
        <w:spacing w:before="0" w:after="0" w:line="560" w:lineRule="exact"/>
        <w:ind w:firstLine="641"/>
        <w:jc w:val="both"/>
        <w:outlineLvl w:val="9"/>
        <w:rPr>
          <w:rFonts w:ascii="仿宋_GB2312" w:hAnsi="仿宋_GB2312" w:eastAsia="仿宋_GB2312" w:cs="仿宋_GB2312"/>
          <w:b/>
          <w:bCs/>
        </w:rPr>
      </w:pPr>
      <w:r>
        <w:rPr>
          <w:rFonts w:hint="eastAsia" w:ascii="仿宋_GB2312" w:hAnsi="仿宋_GB2312" w:eastAsia="仿宋_GB2312" w:cs="仿宋_GB2312"/>
          <w:b/>
          <w:bCs/>
        </w:rPr>
        <w:t>3、绩效评价方法</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（1）比较法</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通过对绩效目标与实施效果、历史与当期情况，综合分析绩效目标实现程度。对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最终验收情况与年度绩效目标对比、预算资金执行情况等相关因素进行比较。</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（2）因素分析法</w:t>
      </w:r>
    </w:p>
    <w:p>
      <w:pPr>
        <w:pageBreakBefore w:val="0"/>
        <w:kinsoku/>
        <w:wordWrap/>
        <w:overflowPunct/>
        <w:topLinePunct w:val="0"/>
        <w:autoSpaceDE/>
        <w:autoSpaceDN/>
        <w:bidi w:val="0"/>
        <w:adjustRightInd/>
        <w:snapToGrid/>
        <w:spacing w:line="560" w:lineRule="exact"/>
        <w:ind w:firstLine="641"/>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通过综合分析影响绩效目标实现、实施效果的内外因素，评价绩效目标实现程度。通过对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的开展情况、项目产出数量、成本控制、资金拨付文件及自评报告等相关资料的收集和审核，综合分析各因素对绩效目标实现的影响。</w:t>
      </w:r>
    </w:p>
    <w:p>
      <w:pPr>
        <w:pStyle w:val="2"/>
        <w:pageBreakBefore w:val="0"/>
        <w:widowControl w:val="0"/>
        <w:kinsoku/>
        <w:wordWrap/>
        <w:overflowPunct/>
        <w:topLinePunct w:val="0"/>
        <w:autoSpaceDE/>
        <w:autoSpaceDN/>
        <w:bidi w:val="0"/>
        <w:adjustRightInd/>
        <w:snapToGrid/>
        <w:spacing w:before="0" w:after="0" w:line="560" w:lineRule="exact"/>
        <w:ind w:firstLine="641"/>
        <w:jc w:val="both"/>
        <w:outlineLvl w:val="9"/>
        <w:rPr>
          <w:rFonts w:hint="eastAsia" w:ascii="仿宋_GB2312" w:hAnsi="仿宋_GB2312" w:eastAsia="仿宋_GB2312" w:cs="仿宋_GB2312"/>
          <w:b/>
          <w:bCs/>
          <w:lang w:val="en-US" w:eastAsia="zh-CN"/>
        </w:rPr>
      </w:pPr>
      <w:r>
        <w:rPr>
          <w:rFonts w:hint="eastAsia" w:ascii="仿宋_GB2312" w:hAnsi="仿宋_GB2312" w:eastAsia="仿宋_GB2312" w:cs="仿宋_GB2312"/>
          <w:b/>
          <w:bCs/>
          <w:lang w:val="en-US" w:eastAsia="zh-CN"/>
        </w:rPr>
        <w:t>4</w:t>
      </w:r>
      <w:r>
        <w:rPr>
          <w:rFonts w:hint="eastAsia" w:ascii="仿宋_GB2312" w:hAnsi="仿宋_GB2312" w:eastAsia="仿宋_GB2312" w:cs="仿宋_GB2312"/>
          <w:b/>
          <w:bCs/>
        </w:rPr>
        <w:t>、绩效评价</w:t>
      </w:r>
      <w:r>
        <w:rPr>
          <w:rFonts w:hint="eastAsia" w:ascii="仿宋_GB2312" w:hAnsi="仿宋_GB2312" w:eastAsia="仿宋_GB2312" w:cs="仿宋_GB2312"/>
          <w:b/>
          <w:bCs/>
          <w:lang w:val="en-US" w:eastAsia="zh-CN"/>
        </w:rPr>
        <w:t>标准</w:t>
      </w:r>
    </w:p>
    <w:p>
      <w:pPr>
        <w:pageBreakBefore w:val="0"/>
        <w:kinsoku/>
        <w:wordWrap/>
        <w:overflowPunct/>
        <w:topLinePunct w:val="0"/>
        <w:autoSpaceDE/>
        <w:autoSpaceDN/>
        <w:bidi w:val="0"/>
        <w:adjustRightInd/>
        <w:snapToGrid/>
        <w:spacing w:line="560" w:lineRule="exact"/>
        <w:ind w:firstLine="641"/>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rPr>
        <w:t>绩效评价标准通常包括计划标准、行业标准、历史标</w:t>
      </w:r>
      <w:r>
        <w:rPr>
          <w:rFonts w:hint="eastAsia" w:ascii="仿宋_GB2312" w:hAnsi="仿宋_GB2312" w:eastAsia="仿宋_GB2312" w:cs="仿宋_GB2312"/>
          <w:color w:val="000000"/>
          <w:spacing w:val="17"/>
          <w:sz w:val="32"/>
          <w:szCs w:val="32"/>
          <w:highlight w:val="none"/>
        </w:rPr>
        <w:t>准等，用于对绩效指标完成情况进行比较。本次评价主要采用了计划标准和行业标准。</w:t>
      </w:r>
    </w:p>
    <w:p>
      <w:pPr>
        <w:pageBreakBefore w:val="0"/>
        <w:kinsoku/>
        <w:wordWrap/>
        <w:overflowPunct/>
        <w:topLinePunct w:val="0"/>
        <w:autoSpaceDE/>
        <w:autoSpaceDN/>
        <w:bidi w:val="0"/>
        <w:adjustRightInd/>
        <w:snapToGrid/>
        <w:spacing w:line="560" w:lineRule="exact"/>
        <w:ind w:left="0" w:firstLine="711" w:firstLineChars="200"/>
        <w:rPr>
          <w:rFonts w:hint="eastAsia" w:ascii="楷体_GB2312" w:hAnsi="楷体_GB2312" w:eastAsia="楷体_GB2312" w:cs="楷体_GB2312"/>
          <w:b w:val="0"/>
          <w:bCs w:val="0"/>
          <w:color w:val="000000"/>
          <w:spacing w:val="17"/>
          <w:kern w:val="2"/>
          <w:sz w:val="32"/>
          <w:szCs w:val="32"/>
          <w:highlight w:val="none"/>
          <w:lang w:val="en-US" w:eastAsia="zh-CN" w:bidi="ar-SA"/>
        </w:rPr>
      </w:pPr>
      <w:r>
        <w:rPr>
          <w:rFonts w:hint="eastAsia" w:ascii="楷体_GB2312" w:hAnsi="楷体_GB2312" w:eastAsia="楷体_GB2312" w:cs="楷体_GB2312"/>
          <w:b/>
          <w:bCs/>
          <w:color w:val="000000"/>
          <w:spacing w:val="17"/>
          <w:kern w:val="2"/>
          <w:sz w:val="32"/>
          <w:szCs w:val="32"/>
          <w:highlight w:val="none"/>
          <w:lang w:val="en-US" w:eastAsia="zh-CN" w:bidi="ar-SA"/>
        </w:rPr>
        <w:t>（三）绩效评价工作过程</w:t>
      </w:r>
      <w:r>
        <w:rPr>
          <w:rFonts w:hint="eastAsia" w:ascii="楷体_GB2312" w:hAnsi="楷体_GB2312" w:eastAsia="楷体_GB2312" w:cs="楷体_GB2312"/>
          <w:b w:val="0"/>
          <w:bCs w:val="0"/>
          <w:color w:val="000000"/>
          <w:spacing w:val="17"/>
          <w:kern w:val="2"/>
          <w:sz w:val="32"/>
          <w:szCs w:val="32"/>
          <w:highlight w:val="none"/>
          <w:lang w:val="en-US" w:eastAsia="zh-CN" w:bidi="ar-SA"/>
        </w:rPr>
        <w:t>。</w:t>
      </w:r>
    </w:p>
    <w:p>
      <w:pPr>
        <w:pageBreakBefore w:val="0"/>
        <w:kinsoku/>
        <w:wordWrap/>
        <w:overflowPunct/>
        <w:topLinePunct w:val="0"/>
        <w:autoSpaceDE/>
        <w:autoSpaceDN/>
        <w:bidi w:val="0"/>
        <w:adjustRightInd/>
        <w:snapToGrid/>
        <w:spacing w:line="560" w:lineRule="exact"/>
        <w:ind w:firstLine="641"/>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1、前期准备。首先成立评价工作组，开展前期调研；其次明确项目绩效目标，设计绩效评价指标体系并确定绩效评价方法；接着确定现场和非现场评价范围，设计资料清单；最后制定评价实施方案并进行论证。</w:t>
      </w:r>
    </w:p>
    <w:p>
      <w:pPr>
        <w:pageBreakBefore w:val="0"/>
        <w:kinsoku/>
        <w:wordWrap/>
        <w:overflowPunct/>
        <w:topLinePunct w:val="0"/>
        <w:autoSpaceDE/>
        <w:autoSpaceDN/>
        <w:bidi w:val="0"/>
        <w:adjustRightInd/>
        <w:snapToGrid/>
        <w:spacing w:line="560" w:lineRule="exact"/>
        <w:ind w:firstLine="641"/>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2、组织实施。制定绩效评价工作方案，具体包括项目概况、评价思路、方法手段、组织实施、进度安排等。收集项目立项依据、相关会议纪要、实施方案、财政资金分配方案、支付管理情况等相关评价资料并进行梳理。</w:t>
      </w:r>
    </w:p>
    <w:p>
      <w:pPr>
        <w:pageBreakBefore w:val="0"/>
        <w:kinsoku/>
        <w:wordWrap/>
        <w:overflowPunct/>
        <w:topLinePunct w:val="0"/>
        <w:autoSpaceDE/>
        <w:autoSpaceDN/>
        <w:bidi w:val="0"/>
        <w:adjustRightInd/>
        <w:snapToGrid/>
        <w:spacing w:line="560" w:lineRule="exact"/>
        <w:ind w:firstLine="641"/>
      </w:pPr>
      <w:r>
        <w:rPr>
          <w:rFonts w:hint="default" w:ascii="仿宋_GB2312" w:hAnsi="仿宋_GB2312" w:eastAsia="仿宋_GB2312" w:cs="仿宋_GB2312"/>
          <w:color w:val="000000"/>
          <w:spacing w:val="17"/>
          <w:sz w:val="32"/>
          <w:szCs w:val="32"/>
          <w:lang w:val="en-US" w:eastAsia="zh-CN"/>
        </w:rPr>
        <w:t>3、分析评价。根据收集梳理的资料围绕项目立项、资金落实、业务管理、财务管理、项目产出、项目效益等内容，对照已确定的绩效评价指标进行详细全面的分析评价，逐项打分并形成绩效评价最终结果。</w:t>
      </w:r>
    </w:p>
    <w:p>
      <w:pPr>
        <w:pageBreakBefore w:val="0"/>
        <w:numPr>
          <w:ilvl w:val="0"/>
          <w:numId w:val="4"/>
        </w:numPr>
        <w:kinsoku/>
        <w:wordWrap/>
        <w:overflowPunct/>
        <w:topLinePunct w:val="0"/>
        <w:autoSpaceDE/>
        <w:autoSpaceDN/>
        <w:bidi w:val="0"/>
        <w:adjustRightInd/>
        <w:snapToGrid/>
        <w:spacing w:line="560" w:lineRule="exact"/>
        <w:ind w:firstLine="641"/>
        <w:rPr>
          <w:rFonts w:ascii="黑体" w:hAnsi="黑体" w:eastAsia="黑体" w:cs="黑体"/>
          <w:sz w:val="32"/>
          <w:szCs w:val="32"/>
        </w:rPr>
      </w:pPr>
      <w:r>
        <w:rPr>
          <w:rFonts w:hint="eastAsia" w:ascii="黑体" w:hAnsi="黑体" w:eastAsia="黑体" w:cs="黑体"/>
          <w:sz w:val="32"/>
          <w:szCs w:val="32"/>
        </w:rPr>
        <w:t>综合评价情况及评价结论（附相关评分表）</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val="0"/>
          <w:bCs w:val="0"/>
          <w:color w:val="000000" w:themeColor="text1"/>
        </w:rPr>
      </w:pPr>
      <w:r>
        <w:rPr>
          <w:rFonts w:hint="eastAsia" w:ascii="仿宋_GB2312" w:hAnsi="仿宋_GB2312" w:eastAsia="仿宋_GB2312" w:cs="仿宋_GB2312"/>
          <w:b w:val="0"/>
          <w:bCs w:val="0"/>
          <w:color w:val="000000" w:themeColor="text1"/>
        </w:rPr>
        <w:t>对2020自治区科技特派员工作补助经费专项项目进行客观评价，最终评分结果：总得分为 99.</w:t>
      </w:r>
      <w:r>
        <w:rPr>
          <w:rFonts w:hint="eastAsia" w:ascii="仿宋_GB2312" w:hAnsi="仿宋_GB2312" w:eastAsia="仿宋_GB2312" w:cs="仿宋_GB2312"/>
          <w:b w:val="0"/>
          <w:bCs w:val="0"/>
          <w:color w:val="000000" w:themeColor="text1"/>
          <w:lang w:val="en-US" w:eastAsia="zh-CN"/>
        </w:rPr>
        <w:t>94</w:t>
      </w:r>
      <w:r>
        <w:rPr>
          <w:rFonts w:hint="eastAsia" w:ascii="仿宋_GB2312" w:hAnsi="仿宋_GB2312" w:eastAsia="仿宋_GB2312" w:cs="仿宋_GB2312"/>
          <w:b w:val="0"/>
          <w:bCs w:val="0"/>
          <w:color w:val="000000" w:themeColor="text1"/>
        </w:rPr>
        <w:t>分，属于“优”。其</w:t>
      </w:r>
      <w:bookmarkStart w:id="2" w:name="_GoBack"/>
      <w:r>
        <w:rPr>
          <w:rFonts w:hint="eastAsia" w:ascii="仿宋_GB2312" w:hAnsi="仿宋_GB2312" w:eastAsia="仿宋_GB2312" w:cs="仿宋_GB2312"/>
          <w:b w:val="0"/>
          <w:bCs w:val="0"/>
          <w:color w:val="000000" w:themeColor="text1"/>
          <w:highlight w:val="none"/>
        </w:rPr>
        <w:t>中，项目决策类指标权重为5分，得分为 5分，得分率为 100%。项目过程类指标权重为5分，得分为4.</w:t>
      </w:r>
      <w:r>
        <w:rPr>
          <w:rFonts w:hint="eastAsia" w:ascii="仿宋_GB2312" w:hAnsi="仿宋_GB2312" w:eastAsia="仿宋_GB2312" w:cs="仿宋_GB2312"/>
          <w:b w:val="0"/>
          <w:bCs w:val="0"/>
          <w:color w:val="000000" w:themeColor="text1"/>
          <w:highlight w:val="none"/>
          <w:lang w:val="en-US" w:eastAsia="zh-CN"/>
        </w:rPr>
        <w:t>99</w:t>
      </w:r>
      <w:r>
        <w:rPr>
          <w:rFonts w:hint="eastAsia" w:ascii="仿宋_GB2312" w:hAnsi="仿宋_GB2312" w:eastAsia="仿宋_GB2312" w:cs="仿宋_GB2312"/>
          <w:b w:val="0"/>
          <w:bCs w:val="0"/>
          <w:color w:val="000000" w:themeColor="text1"/>
          <w:highlight w:val="none"/>
        </w:rPr>
        <w:t>分，得分率为</w:t>
      </w:r>
      <w:r>
        <w:rPr>
          <w:rFonts w:hint="eastAsia" w:ascii="仿宋_GB2312" w:hAnsi="仿宋_GB2312" w:eastAsia="仿宋_GB2312" w:cs="仿宋_GB2312"/>
          <w:b w:val="0"/>
          <w:bCs w:val="0"/>
          <w:color w:val="000000" w:themeColor="text1"/>
          <w:highlight w:val="none"/>
          <w:lang w:val="en-US" w:eastAsia="zh-CN"/>
        </w:rPr>
        <w:t>99.8</w:t>
      </w:r>
      <w:r>
        <w:rPr>
          <w:rFonts w:hint="eastAsia" w:ascii="仿宋_GB2312" w:hAnsi="仿宋_GB2312" w:eastAsia="仿宋_GB2312" w:cs="仿宋_GB2312"/>
          <w:b w:val="0"/>
          <w:bCs w:val="0"/>
          <w:color w:val="000000" w:themeColor="text1"/>
          <w:highlight w:val="none"/>
        </w:rPr>
        <w:t>%。项</w:t>
      </w:r>
      <w:bookmarkEnd w:id="2"/>
      <w:r>
        <w:rPr>
          <w:rFonts w:hint="eastAsia" w:ascii="仿宋_GB2312" w:hAnsi="仿宋_GB2312" w:eastAsia="仿宋_GB2312" w:cs="仿宋_GB2312"/>
          <w:b w:val="0"/>
          <w:bCs w:val="0"/>
          <w:color w:val="000000" w:themeColor="text1"/>
        </w:rPr>
        <w:t>目产出类指标权重为50分，得分为</w:t>
      </w:r>
      <w:r>
        <w:rPr>
          <w:rFonts w:hint="eastAsia" w:ascii="仿宋_GB2312" w:hAnsi="仿宋_GB2312" w:eastAsia="仿宋_GB2312" w:cs="仿宋_GB2312"/>
          <w:b w:val="0"/>
          <w:bCs w:val="0"/>
          <w:color w:val="000000" w:themeColor="text1"/>
          <w:lang w:val="en-US" w:eastAsia="zh-CN"/>
        </w:rPr>
        <w:t>49.95</w:t>
      </w:r>
      <w:r>
        <w:rPr>
          <w:rFonts w:hint="eastAsia" w:ascii="仿宋_GB2312" w:hAnsi="仿宋_GB2312" w:eastAsia="仿宋_GB2312" w:cs="仿宋_GB2312"/>
          <w:b w:val="0"/>
          <w:bCs w:val="0"/>
          <w:color w:val="000000" w:themeColor="text1"/>
        </w:rPr>
        <w:t>分，得分率为</w:t>
      </w:r>
      <w:r>
        <w:rPr>
          <w:rFonts w:hint="eastAsia" w:ascii="仿宋_GB2312" w:hAnsi="仿宋_GB2312" w:eastAsia="仿宋_GB2312" w:cs="仿宋_GB2312"/>
          <w:b w:val="0"/>
          <w:bCs w:val="0"/>
          <w:color w:val="000000" w:themeColor="text1"/>
          <w:lang w:val="en-US" w:eastAsia="zh-CN"/>
        </w:rPr>
        <w:t>99.9</w:t>
      </w:r>
      <w:r>
        <w:rPr>
          <w:rFonts w:hint="eastAsia" w:ascii="仿宋_GB2312" w:hAnsi="仿宋_GB2312" w:eastAsia="仿宋_GB2312" w:cs="仿宋_GB2312"/>
          <w:b w:val="0"/>
          <w:bCs w:val="0"/>
          <w:color w:val="000000" w:themeColor="text1"/>
        </w:rPr>
        <w:t>%。项目效益类指标权重为40分，得分为40分，得分率为 100%。</w:t>
      </w:r>
    </w:p>
    <w:p>
      <w:pPr>
        <w:pStyle w:val="2"/>
        <w:pageBreakBefore w:val="0"/>
        <w:kinsoku/>
        <w:wordWrap/>
        <w:overflowPunct/>
        <w:topLinePunct w:val="0"/>
        <w:autoSpaceDE/>
        <w:autoSpaceDN/>
        <w:bidi w:val="0"/>
        <w:adjustRightInd/>
        <w:snapToGrid/>
        <w:spacing w:before="0" w:after="0" w:line="56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表1综合评分表</w:t>
      </w:r>
    </w:p>
    <w:tbl>
      <w:tblPr>
        <w:tblStyle w:val="19"/>
        <w:tblpPr w:leftFromText="180" w:rightFromText="180" w:vertAnchor="text" w:horzAnchor="page" w:tblpX="1492" w:tblpY="14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pageBreakBefore w:val="0"/>
              <w:widowControl/>
              <w:kinsoku/>
              <w:wordWrap/>
              <w:overflowPunct/>
              <w:topLinePunct w:val="0"/>
              <w:autoSpaceDE/>
              <w:autoSpaceDN/>
              <w:bidi w:val="0"/>
              <w:adjustRightInd/>
              <w:snapToGrid/>
              <w:spacing w:line="560" w:lineRule="exac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一级指标</w:t>
            </w:r>
          </w:p>
        </w:tc>
        <w:tc>
          <w:tcPr>
            <w:tcW w:w="990"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分值</w:t>
            </w:r>
          </w:p>
        </w:tc>
        <w:tc>
          <w:tcPr>
            <w:tcW w:w="1283"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二级指标</w:t>
            </w:r>
          </w:p>
        </w:tc>
        <w:tc>
          <w:tcPr>
            <w:tcW w:w="1707"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三级指标</w:t>
            </w:r>
          </w:p>
        </w:tc>
        <w:tc>
          <w:tcPr>
            <w:tcW w:w="727"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权重</w:t>
            </w:r>
          </w:p>
        </w:tc>
        <w:tc>
          <w:tcPr>
            <w:tcW w:w="104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目标值</w:t>
            </w:r>
          </w:p>
        </w:tc>
        <w:tc>
          <w:tcPr>
            <w:tcW w:w="92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业绩值</w:t>
            </w:r>
          </w:p>
        </w:tc>
        <w:tc>
          <w:tcPr>
            <w:tcW w:w="1215"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得分率</w:t>
            </w:r>
          </w:p>
        </w:tc>
        <w:tc>
          <w:tcPr>
            <w:tcW w:w="960"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决策　</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kern w:val="0"/>
                <w:sz w:val="22"/>
                <w:szCs w:val="22"/>
                <w:highlight w:val="none"/>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项目立项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立项依据</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充分性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0.5</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0.5</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0.5</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立项程序</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规范性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0.5</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0.5</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0.5</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绩效目标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绩效目标</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合理性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绩效指标</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明确性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资金投入</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预算编制</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科学性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资金分配</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合理性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过程</w:t>
            </w:r>
          </w:p>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kern w:val="0"/>
                <w:sz w:val="22"/>
                <w:szCs w:val="22"/>
                <w:highlight w:val="none"/>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资金到位率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p>
        </w:tc>
        <w:tc>
          <w:tcPr>
            <w:tcW w:w="1283"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预算执行率</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highlight w:val="none"/>
                <w:lang w:eastAsia="zh-CN"/>
              </w:rPr>
            </w:pPr>
            <w:r>
              <w:rPr>
                <w:rFonts w:hint="eastAsia" w:ascii="宋体" w:hAnsi="宋体" w:cs="宋体"/>
                <w:color w:val="000000"/>
                <w:kern w:val="0"/>
                <w:sz w:val="22"/>
                <w:szCs w:val="22"/>
                <w:highlight w:val="none"/>
                <w:lang w:val="en-US" w:eastAsia="zh-CN"/>
              </w:rPr>
              <w:t>1</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0.99</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99</w:t>
            </w:r>
            <w:r>
              <w:rPr>
                <w:rFonts w:hint="eastAsia" w:ascii="宋体" w:hAnsi="宋体" w:cs="宋体"/>
                <w:color w:val="000000"/>
                <w:kern w:val="0"/>
                <w:sz w:val="22"/>
                <w:szCs w:val="22"/>
                <w:highlight w:val="none"/>
              </w:rPr>
              <w:t>%</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rPr>
              <w:t>0.</w:t>
            </w:r>
            <w:r>
              <w:rPr>
                <w:rFonts w:hint="eastAsia" w:ascii="宋体" w:hAnsi="宋体" w:cs="宋体"/>
                <w:color w:val="000000"/>
                <w:kern w:val="0"/>
                <w:sz w:val="22"/>
                <w:szCs w:val="22"/>
                <w:highlight w:val="none"/>
                <w:lang w:val="en-US" w:eastAsia="zh-CN"/>
              </w:rPr>
              <w:t>99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资金使用</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合规性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组织实施</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管理制度</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健全性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制度执行</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有效性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产出</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kern w:val="0"/>
                <w:sz w:val="22"/>
                <w:szCs w:val="22"/>
                <w:highlight w:val="none"/>
              </w:rPr>
              <w:t>50分</w:t>
            </w: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产出数量</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实际完成率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15</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15</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15</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产出质量</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质量达标率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p>
        </w:tc>
        <w:tc>
          <w:tcPr>
            <w:tcW w:w="1283" w:type="dxa"/>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产出时效</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完成及时性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15</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15</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15</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产出成本</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成本节约率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9.99</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99.9</w:t>
            </w:r>
            <w:r>
              <w:rPr>
                <w:rFonts w:hint="eastAsia" w:ascii="宋体" w:hAnsi="宋体" w:cs="宋体"/>
                <w:color w:val="000000"/>
                <w:kern w:val="0"/>
                <w:sz w:val="22"/>
                <w:szCs w:val="22"/>
                <w:highlight w:val="none"/>
              </w:rPr>
              <w:t>%</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9.99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效益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40分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项目效益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实施效益</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（社会效益、经济效益、可持续效益）</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30</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30</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30</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满意度</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w:t>
            </w:r>
          </w:p>
        </w:tc>
      </w:tr>
    </w:tbl>
    <w:p>
      <w:pPr>
        <w:pageBreakBefore w:val="0"/>
        <w:kinsoku/>
        <w:wordWrap/>
        <w:overflowPunct/>
        <w:topLinePunct w:val="0"/>
        <w:autoSpaceDE/>
        <w:autoSpaceDN/>
        <w:bidi w:val="0"/>
        <w:adjustRightInd/>
        <w:snapToGrid/>
        <w:spacing w:line="560" w:lineRule="exact"/>
      </w:pPr>
    </w:p>
    <w:p>
      <w:pPr>
        <w:pageBreakBefore w:val="0"/>
        <w:kinsoku/>
        <w:wordWrap/>
        <w:overflowPunct/>
        <w:topLinePunct w:val="0"/>
        <w:autoSpaceDE/>
        <w:autoSpaceDN/>
        <w:bidi w:val="0"/>
        <w:adjustRightInd/>
        <w:snapToGrid/>
        <w:spacing w:line="560" w:lineRule="exact"/>
        <w:ind w:firstLine="960" w:firstLineChars="300"/>
        <w:rPr>
          <w:rFonts w:ascii="黑体" w:hAnsi="黑体" w:eastAsia="黑体"/>
          <w:sz w:val="32"/>
          <w:szCs w:val="32"/>
        </w:rPr>
      </w:pPr>
      <w:r>
        <w:rPr>
          <w:rFonts w:hint="eastAsia" w:ascii="黑体" w:hAnsi="黑体" w:eastAsia="黑体"/>
          <w:sz w:val="32"/>
          <w:szCs w:val="32"/>
        </w:rPr>
        <w:t>四、绩效评价指标分析</w:t>
      </w:r>
    </w:p>
    <w:p>
      <w:pPr>
        <w:pStyle w:val="2"/>
        <w:pageBreakBefore w:val="0"/>
        <w:kinsoku/>
        <w:wordWrap/>
        <w:overflowPunct/>
        <w:topLinePunct w:val="0"/>
        <w:autoSpaceDE/>
        <w:autoSpaceDN/>
        <w:bidi w:val="0"/>
        <w:adjustRightInd/>
        <w:snapToGrid/>
        <w:spacing w:before="0" w:after="0" w:line="560" w:lineRule="exact"/>
        <w:ind w:firstLine="643" w:firstLineChars="200"/>
        <w:jc w:val="both"/>
        <w:rPr>
          <w:rFonts w:ascii="楷体_GB2312" w:hAnsi="楷体_GB2312" w:eastAsia="楷体_GB2312" w:cs="楷体_GB2312"/>
        </w:rPr>
      </w:pPr>
      <w:r>
        <w:rPr>
          <w:rFonts w:hint="eastAsia" w:ascii="楷体_GB2312" w:hAnsi="楷体_GB2312" w:eastAsia="楷体_GB2312" w:cs="楷体_GB2312"/>
        </w:rPr>
        <w:t>（一）项目决策情况</w:t>
      </w:r>
    </w:p>
    <w:p>
      <w:pPr>
        <w:pageBreakBefore w:val="0"/>
        <w:kinsoku/>
        <w:wordWrap/>
        <w:overflowPunct/>
        <w:topLinePunct w:val="0"/>
        <w:autoSpaceDE/>
        <w:autoSpaceDN/>
        <w:bidi w:val="0"/>
        <w:adjustRightInd/>
        <w:snapToGrid w:val="0"/>
        <w:spacing w:line="560" w:lineRule="exact"/>
        <w:ind w:firstLine="1929" w:firstLineChars="603"/>
        <w:rPr>
          <w:rStyle w:val="50"/>
          <w:rFonts w:hint="eastAsia"/>
          <w:color w:val="auto"/>
          <w:highlight w:val="none"/>
          <w:lang w:val="en-US" w:eastAsia="zh-CN"/>
        </w:rPr>
      </w:pPr>
      <w:r>
        <w:rPr>
          <w:rStyle w:val="50"/>
          <w:rFonts w:hint="eastAsia"/>
          <w:color w:val="auto"/>
          <w:highlight w:val="none"/>
          <w:lang w:val="en-US" w:eastAsia="zh-CN"/>
        </w:rPr>
        <w:t>项目决策指标得分情况如表所示</w:t>
      </w:r>
    </w:p>
    <w:tbl>
      <w:tblPr>
        <w:tblStyle w:val="19"/>
        <w:tblW w:w="8569" w:type="dxa"/>
        <w:tblInd w:w="0" w:type="dxa"/>
        <w:tblLayout w:type="fixed"/>
        <w:tblCellMar>
          <w:top w:w="0" w:type="dxa"/>
          <w:left w:w="0" w:type="dxa"/>
          <w:bottom w:w="0" w:type="dxa"/>
          <w:right w:w="0" w:type="dxa"/>
        </w:tblCellMar>
      </w:tblPr>
      <w:tblGrid>
        <w:gridCol w:w="2141"/>
        <w:gridCol w:w="2142"/>
        <w:gridCol w:w="2142"/>
        <w:gridCol w:w="2144"/>
      </w:tblGrid>
      <w:tr>
        <w:tblPrEx>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三级指标</w:t>
            </w:r>
          </w:p>
        </w:tc>
        <w:tc>
          <w:tcPr>
            <w:tcW w:w="21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权重</w:t>
            </w:r>
          </w:p>
        </w:tc>
        <w:tc>
          <w:tcPr>
            <w:tcW w:w="21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得分率</w:t>
            </w:r>
          </w:p>
        </w:tc>
        <w:tc>
          <w:tcPr>
            <w:tcW w:w="21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实际得分</w:t>
            </w:r>
          </w:p>
        </w:tc>
      </w:tr>
      <w:tr>
        <w:tblPrEx>
          <w:tblCellMar>
            <w:top w:w="0" w:type="dxa"/>
            <w:left w:w="0" w:type="dxa"/>
            <w:bottom w:w="0" w:type="dxa"/>
            <w:right w:w="0" w:type="dxa"/>
          </w:tblCellMar>
        </w:tblPrEx>
        <w:trPr>
          <w:trHeight w:val="432" w:hRule="atLeast"/>
        </w:trPr>
        <w:tc>
          <w:tcPr>
            <w:tcW w:w="2141" w:type="dxa"/>
            <w:tcBorders>
              <w:top w:val="single" w:color="000000" w:sz="4" w:space="0"/>
              <w:left w:val="single" w:color="000000" w:sz="4" w:space="0"/>
              <w:bottom w:val="nil"/>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立项依据充分性</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lang w:val="en-US" w:eastAsia="zh-CN"/>
              </w:rPr>
              <w:t>0</w:t>
            </w:r>
            <w:r>
              <w:rPr>
                <w:rFonts w:hint="eastAsia" w:ascii="仿宋_GB2312" w:hAnsi="仿宋_GB2312" w:eastAsia="仿宋_GB2312" w:cs="仿宋_GB2312"/>
                <w:color w:val="000000"/>
                <w:kern w:val="0"/>
                <w:sz w:val="28"/>
                <w:szCs w:val="28"/>
                <w:highlight w:val="none"/>
              </w:rPr>
              <w:t>.5</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lang w:val="en-US" w:eastAsia="zh-CN"/>
              </w:rPr>
              <w:t>0</w:t>
            </w:r>
            <w:r>
              <w:rPr>
                <w:rFonts w:hint="eastAsia" w:ascii="仿宋_GB2312" w:hAnsi="仿宋_GB2312" w:eastAsia="仿宋_GB2312" w:cs="仿宋_GB2312"/>
                <w:color w:val="000000"/>
                <w:kern w:val="0"/>
                <w:sz w:val="28"/>
                <w:szCs w:val="28"/>
                <w:highlight w:val="none"/>
              </w:rPr>
              <w:t>.5</w:t>
            </w:r>
          </w:p>
        </w:tc>
      </w:tr>
      <w:tr>
        <w:tblPrEx>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立项程序</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lang w:val="en-US" w:eastAsia="zh-CN"/>
              </w:rPr>
              <w:t>0</w:t>
            </w:r>
            <w:r>
              <w:rPr>
                <w:rFonts w:hint="eastAsia" w:ascii="仿宋_GB2312" w:hAnsi="仿宋_GB2312" w:eastAsia="仿宋_GB2312" w:cs="仿宋_GB2312"/>
                <w:color w:val="000000"/>
                <w:kern w:val="0"/>
                <w:sz w:val="28"/>
                <w:szCs w:val="28"/>
                <w:highlight w:val="none"/>
              </w:rPr>
              <w:t>.5</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lang w:val="en-US" w:eastAsia="zh-CN"/>
              </w:rPr>
              <w:t>0</w:t>
            </w:r>
            <w:r>
              <w:rPr>
                <w:rFonts w:hint="eastAsia" w:ascii="仿宋_GB2312" w:hAnsi="仿宋_GB2312" w:eastAsia="仿宋_GB2312" w:cs="仿宋_GB2312"/>
                <w:color w:val="000000"/>
                <w:kern w:val="0"/>
                <w:sz w:val="28"/>
                <w:szCs w:val="28"/>
                <w:highlight w:val="none"/>
              </w:rPr>
              <w:t>.5</w:t>
            </w:r>
          </w:p>
        </w:tc>
      </w:tr>
      <w:tr>
        <w:tblPrEx>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绩效目标</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lang w:eastAsia="zh-CN"/>
              </w:rPr>
            </w:pPr>
            <w:r>
              <w:rPr>
                <w:rFonts w:hint="eastAsia" w:ascii="仿宋_GB2312" w:hAnsi="仿宋_GB2312" w:eastAsia="仿宋_GB2312" w:cs="仿宋_GB2312"/>
                <w:color w:val="000000"/>
                <w:kern w:val="0"/>
                <w:sz w:val="28"/>
                <w:szCs w:val="28"/>
                <w:highlight w:val="none"/>
                <w:lang w:val="en-US" w:eastAsia="zh-CN"/>
              </w:rPr>
              <w:t>1</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lang w:val="en-US" w:eastAsia="zh-CN"/>
              </w:rPr>
              <w:t>1</w:t>
            </w:r>
          </w:p>
        </w:tc>
      </w:tr>
      <w:tr>
        <w:tblPrEx>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绩效指标</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lang w:eastAsia="zh-CN"/>
              </w:rPr>
            </w:pPr>
            <w:r>
              <w:rPr>
                <w:rFonts w:hint="eastAsia" w:ascii="仿宋_GB2312" w:hAnsi="仿宋_GB2312" w:eastAsia="仿宋_GB2312" w:cs="仿宋_GB2312"/>
                <w:color w:val="000000"/>
                <w:kern w:val="0"/>
                <w:sz w:val="28"/>
                <w:szCs w:val="28"/>
                <w:highlight w:val="none"/>
                <w:lang w:val="en-US" w:eastAsia="zh-CN"/>
              </w:rPr>
              <w:t>1</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lang w:val="en-US" w:eastAsia="zh-CN"/>
              </w:rPr>
              <w:t>1</w:t>
            </w:r>
          </w:p>
        </w:tc>
      </w:tr>
      <w:tr>
        <w:tblPrEx>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预算编制</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lang w:eastAsia="zh-CN"/>
              </w:rPr>
            </w:pPr>
            <w:r>
              <w:rPr>
                <w:rFonts w:hint="eastAsia" w:ascii="仿宋_GB2312" w:hAnsi="仿宋_GB2312" w:eastAsia="仿宋_GB2312" w:cs="仿宋_GB2312"/>
                <w:color w:val="000000"/>
                <w:kern w:val="0"/>
                <w:sz w:val="28"/>
                <w:szCs w:val="28"/>
                <w:highlight w:val="none"/>
                <w:lang w:val="en-US" w:eastAsia="zh-CN"/>
              </w:rPr>
              <w:t>1</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lang w:val="en-US" w:eastAsia="zh-CN"/>
              </w:rPr>
              <w:t>1</w:t>
            </w:r>
          </w:p>
        </w:tc>
      </w:tr>
      <w:tr>
        <w:tblPrEx>
          <w:tblCellMar>
            <w:top w:w="0" w:type="dxa"/>
            <w:left w:w="0" w:type="dxa"/>
            <w:bottom w:w="0" w:type="dxa"/>
            <w:right w:w="0" w:type="dxa"/>
          </w:tblCellMar>
        </w:tblPrEx>
        <w:trPr>
          <w:trHeight w:val="43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资金分配合理性</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lang w:eastAsia="zh-CN"/>
              </w:rPr>
            </w:pPr>
            <w:r>
              <w:rPr>
                <w:rFonts w:hint="eastAsia" w:ascii="仿宋_GB2312" w:hAnsi="仿宋_GB2312" w:eastAsia="仿宋_GB2312" w:cs="仿宋_GB2312"/>
                <w:color w:val="000000"/>
                <w:kern w:val="0"/>
                <w:sz w:val="28"/>
                <w:szCs w:val="28"/>
                <w:highlight w:val="none"/>
                <w:lang w:val="en-US" w:eastAsia="zh-CN"/>
              </w:rPr>
              <w:t>1</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lang w:val="en-US" w:eastAsia="zh-CN"/>
              </w:rPr>
              <w:t>1</w:t>
            </w:r>
          </w:p>
        </w:tc>
      </w:tr>
      <w:tr>
        <w:tblPrEx>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合计</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lang w:eastAsia="zh-CN"/>
              </w:rPr>
            </w:pPr>
            <w:r>
              <w:rPr>
                <w:rFonts w:hint="eastAsia" w:ascii="仿宋_GB2312" w:hAnsi="仿宋_GB2312" w:eastAsia="仿宋_GB2312" w:cs="仿宋_GB2312"/>
                <w:color w:val="000000"/>
                <w:kern w:val="0"/>
                <w:sz w:val="28"/>
                <w:szCs w:val="28"/>
                <w:highlight w:val="none"/>
                <w:lang w:val="en-US" w:eastAsia="zh-CN"/>
              </w:rPr>
              <w:t>5</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lang w:val="en-US" w:eastAsia="zh-CN"/>
              </w:rPr>
              <w:t>5</w:t>
            </w:r>
          </w:p>
        </w:tc>
      </w:tr>
    </w:tbl>
    <w:p>
      <w:pPr>
        <w:pageBreakBefore w:val="0"/>
        <w:kinsoku/>
        <w:wordWrap/>
        <w:overflowPunct/>
        <w:topLinePunct w:val="0"/>
        <w:autoSpaceDE/>
        <w:autoSpaceDN/>
        <w:bidi w:val="0"/>
        <w:adjustRightInd/>
        <w:snapToGrid/>
        <w:spacing w:line="560" w:lineRule="exact"/>
        <w:ind w:firstLine="624" w:firstLineChars="200"/>
        <w:rPr>
          <w:rStyle w:val="21"/>
          <w:rFonts w:hint="eastAsia" w:ascii="仿宋_GB2312" w:hAnsi="仿宋_GB2312" w:eastAsia="仿宋_GB2312" w:cs="仿宋_GB2312"/>
          <w:b w:val="0"/>
          <w:spacing w:val="-4"/>
          <w:sz w:val="32"/>
          <w:szCs w:val="32"/>
        </w:rPr>
      </w:pPr>
      <w:r>
        <w:rPr>
          <w:rStyle w:val="21"/>
          <w:rFonts w:hint="eastAsia" w:ascii="仿宋_GB2312" w:hAnsi="仿宋_GB2312" w:eastAsia="仿宋_GB2312" w:cs="仿宋_GB2312"/>
          <w:b w:val="0"/>
          <w:spacing w:val="-4"/>
          <w:sz w:val="32"/>
          <w:szCs w:val="32"/>
        </w:rPr>
        <w:t>项目立项符合法律法规、相关政策及部门职责，能反映和考核项目立项依据情况，项目申请、设立过程符合相关要求，能反映和考核项目立项的规范情况，所设定的绩效目标依据充分，符合客观实际，能反映和考核项目绩效目标与项目实施的相符情况，依据绩效目标设定的绩效指标清晰、细化、可衡量，能反映和考核项目绩效目标的明细化情况。</w:t>
      </w:r>
    </w:p>
    <w:p>
      <w:pPr>
        <w:pageBreakBefore w:val="0"/>
        <w:numPr>
          <w:ilvl w:val="0"/>
          <w:numId w:val="5"/>
        </w:numPr>
        <w:kinsoku/>
        <w:wordWrap/>
        <w:overflowPunct/>
        <w:topLinePunct w:val="0"/>
        <w:autoSpaceDE/>
        <w:autoSpaceDN/>
        <w:bidi w:val="0"/>
        <w:adjustRightInd/>
        <w:snapToGrid/>
        <w:spacing w:line="560" w:lineRule="exact"/>
        <w:ind w:firstLine="624" w:firstLineChars="200"/>
        <w:rPr>
          <w:rStyle w:val="21"/>
          <w:rFonts w:hint="eastAsia" w:ascii="仿宋_GB2312" w:hAnsi="仿宋_GB2312" w:eastAsia="仿宋_GB2312" w:cs="仿宋_GB2312"/>
          <w:b w:val="0"/>
          <w:spacing w:val="-4"/>
          <w:sz w:val="32"/>
          <w:szCs w:val="32"/>
          <w:lang w:eastAsia="zh-CN"/>
        </w:rPr>
      </w:pPr>
      <w:r>
        <w:rPr>
          <w:rStyle w:val="21"/>
          <w:rFonts w:hint="eastAsia" w:ascii="仿宋_GB2312" w:hAnsi="仿宋_GB2312" w:eastAsia="仿宋_GB2312" w:cs="仿宋_GB2312"/>
          <w:b w:val="0"/>
          <w:spacing w:val="-4"/>
          <w:sz w:val="32"/>
          <w:szCs w:val="32"/>
        </w:rPr>
        <w:t>项目立项依据充分权重为0.5分，得分0.5分</w:t>
      </w:r>
      <w:r>
        <w:rPr>
          <w:rStyle w:val="21"/>
          <w:rFonts w:hint="eastAsia" w:ascii="仿宋_GB2312" w:hAnsi="仿宋_GB2312" w:eastAsia="仿宋_GB2312" w:cs="仿宋_GB2312"/>
          <w:b w:val="0"/>
          <w:spacing w:val="-4"/>
          <w:sz w:val="32"/>
          <w:szCs w:val="32"/>
          <w:lang w:eastAsia="zh-CN"/>
        </w:rPr>
        <w:t>。</w:t>
      </w:r>
    </w:p>
    <w:p>
      <w:pPr>
        <w:pageBreakBefore w:val="0"/>
        <w:numPr>
          <w:ilvl w:val="0"/>
          <w:numId w:val="5"/>
        </w:numPr>
        <w:kinsoku/>
        <w:wordWrap/>
        <w:overflowPunct/>
        <w:topLinePunct w:val="0"/>
        <w:autoSpaceDE/>
        <w:autoSpaceDN/>
        <w:bidi w:val="0"/>
        <w:adjustRightInd/>
        <w:snapToGrid/>
        <w:spacing w:line="560" w:lineRule="exact"/>
        <w:ind w:firstLine="624" w:firstLineChars="200"/>
        <w:rPr>
          <w:rStyle w:val="21"/>
          <w:rFonts w:hint="eastAsia" w:ascii="仿宋_GB2312" w:hAnsi="仿宋_GB2312" w:eastAsia="仿宋_GB2312" w:cs="仿宋_GB2312"/>
          <w:b w:val="0"/>
          <w:spacing w:val="-4"/>
          <w:sz w:val="32"/>
          <w:szCs w:val="32"/>
        </w:rPr>
      </w:pPr>
      <w:r>
        <w:rPr>
          <w:rStyle w:val="21"/>
          <w:rFonts w:hint="eastAsia" w:ascii="仿宋_GB2312" w:hAnsi="仿宋_GB2312" w:eastAsia="仿宋_GB2312" w:cs="仿宋_GB2312"/>
          <w:b w:val="0"/>
          <w:spacing w:val="-4"/>
          <w:sz w:val="32"/>
          <w:szCs w:val="32"/>
        </w:rPr>
        <w:t>项目立项程序规范权重为0.5分，得分0.5分；</w:t>
      </w:r>
    </w:p>
    <w:p>
      <w:pPr>
        <w:pStyle w:val="2"/>
        <w:pageBreakBefore w:val="0"/>
        <w:numPr>
          <w:ilvl w:val="0"/>
          <w:numId w:val="5"/>
        </w:numPr>
        <w:kinsoku/>
        <w:wordWrap/>
        <w:overflowPunct/>
        <w:topLinePunct w:val="0"/>
        <w:autoSpaceDE/>
        <w:autoSpaceDN/>
        <w:bidi w:val="0"/>
        <w:adjustRightInd/>
        <w:snapToGrid/>
        <w:spacing w:before="0" w:after="0" w:line="560" w:lineRule="exact"/>
        <w:ind w:left="0" w:leftChars="0" w:firstLine="624" w:firstLineChars="200"/>
        <w:jc w:val="both"/>
        <w:rPr>
          <w:rStyle w:val="21"/>
          <w:rFonts w:hint="eastAsia" w:ascii="仿宋_GB2312" w:hAnsi="仿宋_GB2312" w:eastAsia="仿宋_GB2312" w:cs="仿宋_GB2312"/>
          <w:b w:val="0"/>
          <w:bCs/>
          <w:spacing w:val="-4"/>
          <w:kern w:val="2"/>
          <w:lang w:eastAsia="zh-CN"/>
        </w:rPr>
      </w:pPr>
      <w:r>
        <w:rPr>
          <w:rStyle w:val="21"/>
          <w:rFonts w:hint="eastAsia" w:ascii="仿宋_GB2312" w:hAnsi="仿宋_GB2312" w:eastAsia="仿宋_GB2312" w:cs="仿宋_GB2312"/>
          <w:b w:val="0"/>
          <w:bCs/>
          <w:spacing w:val="-4"/>
          <w:kern w:val="2"/>
        </w:rPr>
        <w:t>绩效目标合理权重为1分，得分1分</w:t>
      </w:r>
      <w:r>
        <w:rPr>
          <w:rStyle w:val="21"/>
          <w:rFonts w:hint="eastAsia" w:ascii="仿宋_GB2312" w:hAnsi="仿宋_GB2312" w:eastAsia="仿宋_GB2312" w:cs="仿宋_GB2312"/>
          <w:b w:val="0"/>
          <w:bCs/>
          <w:spacing w:val="-4"/>
          <w:kern w:val="2"/>
          <w:lang w:eastAsia="zh-CN"/>
        </w:rPr>
        <w:t>；</w:t>
      </w:r>
    </w:p>
    <w:p>
      <w:pPr>
        <w:pStyle w:val="2"/>
        <w:pageBreakBefore w:val="0"/>
        <w:numPr>
          <w:ilvl w:val="0"/>
          <w:numId w:val="5"/>
        </w:numPr>
        <w:kinsoku/>
        <w:wordWrap/>
        <w:overflowPunct/>
        <w:topLinePunct w:val="0"/>
        <w:autoSpaceDE/>
        <w:autoSpaceDN/>
        <w:bidi w:val="0"/>
        <w:adjustRightInd/>
        <w:snapToGrid/>
        <w:spacing w:before="0" w:after="0" w:line="560" w:lineRule="exact"/>
        <w:ind w:left="0" w:leftChars="0" w:firstLine="624" w:firstLineChars="200"/>
        <w:jc w:val="both"/>
        <w:rPr>
          <w:rStyle w:val="21"/>
          <w:rFonts w:hint="eastAsia" w:ascii="仿宋_GB2312" w:hAnsi="仿宋_GB2312" w:eastAsia="仿宋_GB2312" w:cs="仿宋_GB2312"/>
          <w:b w:val="0"/>
          <w:bCs/>
          <w:spacing w:val="-4"/>
          <w:kern w:val="2"/>
        </w:rPr>
      </w:pPr>
      <w:r>
        <w:rPr>
          <w:rStyle w:val="21"/>
          <w:rFonts w:hint="eastAsia" w:ascii="仿宋_GB2312" w:hAnsi="仿宋_GB2312" w:eastAsia="仿宋_GB2312" w:cs="仿宋_GB2312"/>
          <w:b w:val="0"/>
          <w:bCs/>
          <w:spacing w:val="-4"/>
          <w:kern w:val="2"/>
        </w:rPr>
        <w:t>绩效目标指标明确权重为1分，得分1分；</w:t>
      </w:r>
    </w:p>
    <w:p>
      <w:pPr>
        <w:pageBreakBefore w:val="0"/>
        <w:kinsoku/>
        <w:wordWrap/>
        <w:overflowPunct/>
        <w:topLinePunct w:val="0"/>
        <w:autoSpaceDE/>
        <w:autoSpaceDN/>
        <w:bidi w:val="0"/>
        <w:adjustRightInd/>
        <w:snapToGrid/>
        <w:spacing w:line="560" w:lineRule="exact"/>
        <w:ind w:firstLine="624" w:firstLineChars="200"/>
        <w:rPr>
          <w:rFonts w:hint="eastAsia" w:ascii="仿宋_GB2312" w:hAnsi="仿宋_GB2312" w:eastAsia="仿宋_GB2312" w:cs="仿宋_GB2312"/>
          <w:sz w:val="36"/>
          <w:szCs w:val="44"/>
          <w:highlight w:val="yellow"/>
        </w:rPr>
      </w:pPr>
      <w:r>
        <w:rPr>
          <w:rStyle w:val="21"/>
          <w:rFonts w:hint="eastAsia" w:ascii="仿宋_GB2312" w:hAnsi="仿宋_GB2312" w:eastAsia="仿宋_GB2312" w:cs="仿宋_GB2312"/>
          <w:b w:val="0"/>
          <w:spacing w:val="-4"/>
          <w:sz w:val="32"/>
          <w:szCs w:val="32"/>
          <w:lang w:val="en-US" w:eastAsia="zh-CN"/>
        </w:rPr>
        <w:t>5、</w:t>
      </w:r>
      <w:r>
        <w:rPr>
          <w:rStyle w:val="21"/>
          <w:rFonts w:hint="eastAsia" w:ascii="仿宋_GB2312" w:hAnsi="仿宋_GB2312" w:eastAsia="仿宋_GB2312" w:cs="仿宋_GB2312"/>
          <w:b w:val="0"/>
          <w:spacing w:val="-4"/>
          <w:sz w:val="32"/>
          <w:szCs w:val="32"/>
        </w:rPr>
        <w:t>资金投入预算编制科学权重1分，得分1分，资金分配合理权重为1分，得分1分。</w:t>
      </w:r>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楷体_GB2312" w:hAnsi="楷体_GB2312" w:eastAsia="楷体_GB2312" w:cs="楷体_GB2312"/>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二</w:t>
      </w:r>
      <w:r>
        <w:rPr>
          <w:rFonts w:hint="eastAsia" w:ascii="楷体_GB2312" w:hAnsi="楷体_GB2312" w:eastAsia="楷体_GB2312" w:cs="楷体_GB2312"/>
          <w:lang w:eastAsia="zh-CN"/>
        </w:rPr>
        <w:t>）</w:t>
      </w:r>
      <w:r>
        <w:rPr>
          <w:rFonts w:hint="eastAsia" w:ascii="楷体_GB2312" w:hAnsi="楷体_GB2312" w:eastAsia="楷体_GB2312" w:cs="楷体_GB2312"/>
        </w:rPr>
        <w:t>项目过程情况</w:t>
      </w:r>
    </w:p>
    <w:p>
      <w:pPr>
        <w:pageBreakBefore w:val="0"/>
        <w:kinsoku/>
        <w:wordWrap/>
        <w:overflowPunct/>
        <w:topLinePunct w:val="0"/>
        <w:autoSpaceDE/>
        <w:autoSpaceDN/>
        <w:bidi w:val="0"/>
        <w:adjustRightInd/>
        <w:snapToGrid w:val="0"/>
        <w:spacing w:line="560" w:lineRule="exact"/>
        <w:ind w:firstLine="640"/>
        <w:rPr>
          <w:rStyle w:val="50"/>
          <w:rFonts w:hint="eastAsia"/>
          <w:color w:val="auto"/>
          <w:highlight w:val="none"/>
          <w:lang w:val="en-US" w:eastAsia="zh-CN"/>
        </w:rPr>
      </w:pPr>
      <w:r>
        <w:rPr>
          <w:rStyle w:val="50"/>
          <w:rFonts w:hint="eastAsia"/>
          <w:color w:val="auto"/>
          <w:highlight w:val="none"/>
          <w:lang w:val="en-US" w:eastAsia="zh-CN"/>
        </w:rPr>
        <w:t>项目过程指标得分情况如表所示。</w:t>
      </w:r>
    </w:p>
    <w:tbl>
      <w:tblPr>
        <w:tblStyle w:val="19"/>
        <w:tblW w:w="8567" w:type="dxa"/>
        <w:tblInd w:w="0" w:type="dxa"/>
        <w:tblLayout w:type="fixed"/>
        <w:tblCellMar>
          <w:top w:w="0" w:type="dxa"/>
          <w:left w:w="0" w:type="dxa"/>
          <w:bottom w:w="0" w:type="dxa"/>
          <w:right w:w="0" w:type="dxa"/>
        </w:tblCellMar>
      </w:tblPr>
      <w:tblGrid>
        <w:gridCol w:w="2424"/>
        <w:gridCol w:w="2016"/>
        <w:gridCol w:w="2016"/>
        <w:gridCol w:w="2111"/>
      </w:tblGrid>
      <w:tr>
        <w:tblPrEx>
          <w:tblCellMar>
            <w:top w:w="0" w:type="dxa"/>
            <w:left w:w="0" w:type="dxa"/>
            <w:bottom w:w="0" w:type="dxa"/>
            <w:right w:w="0" w:type="dxa"/>
          </w:tblCellMar>
        </w:tblPrEx>
        <w:trPr>
          <w:trHeight w:val="450"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三级指标</w:t>
            </w:r>
          </w:p>
        </w:tc>
        <w:tc>
          <w:tcPr>
            <w:tcW w:w="20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权重</w:t>
            </w:r>
          </w:p>
        </w:tc>
        <w:tc>
          <w:tcPr>
            <w:tcW w:w="20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得分率</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实际得分</w:t>
            </w:r>
          </w:p>
        </w:tc>
      </w:tr>
      <w:tr>
        <w:tblPrEx>
          <w:tblCellMar>
            <w:top w:w="0" w:type="dxa"/>
            <w:left w:w="0" w:type="dxa"/>
            <w:bottom w:w="0" w:type="dxa"/>
            <w:right w:w="0" w:type="dxa"/>
          </w:tblCellMar>
        </w:tblPrEx>
        <w:trPr>
          <w:trHeight w:val="312"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资金到位率</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lang w:eastAsia="zh-CN"/>
              </w:rPr>
            </w:pPr>
            <w:r>
              <w:rPr>
                <w:rFonts w:hint="eastAsia" w:ascii="仿宋_GB2312" w:hAnsi="仿宋_GB2312" w:eastAsia="仿宋_GB2312" w:cs="仿宋_GB2312"/>
                <w:color w:val="000000"/>
                <w:kern w:val="0"/>
                <w:sz w:val="28"/>
                <w:szCs w:val="28"/>
                <w:highlight w:val="none"/>
                <w:lang w:val="en-US" w:eastAsia="zh-CN"/>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100%</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lang w:val="en-US" w:eastAsia="zh-CN"/>
              </w:rPr>
              <w:t>1</w:t>
            </w:r>
          </w:p>
        </w:tc>
      </w:tr>
      <w:tr>
        <w:tblPrEx>
          <w:tblCellMar>
            <w:top w:w="0" w:type="dxa"/>
            <w:left w:w="0" w:type="dxa"/>
            <w:bottom w:w="0" w:type="dxa"/>
            <w:right w:w="0" w:type="dxa"/>
          </w:tblCellMar>
        </w:tblPrEx>
        <w:trPr>
          <w:trHeight w:val="615"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预算执行率</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lang w:eastAsia="zh-CN"/>
              </w:rPr>
            </w:pPr>
            <w:r>
              <w:rPr>
                <w:rFonts w:hint="eastAsia" w:ascii="仿宋_GB2312" w:hAnsi="仿宋_GB2312" w:eastAsia="仿宋_GB2312" w:cs="仿宋_GB2312"/>
                <w:color w:val="000000"/>
                <w:kern w:val="0"/>
                <w:sz w:val="28"/>
                <w:szCs w:val="28"/>
                <w:highlight w:val="none"/>
                <w:lang w:val="en-US" w:eastAsia="zh-CN"/>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lang w:val="en-US" w:eastAsia="zh-CN"/>
              </w:rPr>
              <w:t>99.5</w:t>
            </w:r>
            <w:r>
              <w:rPr>
                <w:rFonts w:hint="eastAsia" w:ascii="仿宋_GB2312" w:hAnsi="仿宋_GB2312" w:eastAsia="仿宋_GB2312" w:cs="仿宋_GB2312"/>
                <w:color w:val="000000"/>
                <w:kern w:val="0"/>
                <w:sz w:val="28"/>
                <w:szCs w:val="28"/>
                <w:highlight w:val="none"/>
              </w:rPr>
              <w:t>%</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lang w:val="en-US"/>
              </w:rPr>
            </w:pPr>
            <w:r>
              <w:rPr>
                <w:rFonts w:hint="eastAsia" w:ascii="仿宋_GB2312" w:hAnsi="仿宋_GB2312" w:eastAsia="仿宋_GB2312" w:cs="仿宋_GB2312"/>
                <w:color w:val="000000"/>
                <w:kern w:val="0"/>
                <w:sz w:val="28"/>
                <w:szCs w:val="28"/>
                <w:highlight w:val="none"/>
                <w:lang w:val="en-US" w:eastAsia="zh-CN"/>
              </w:rPr>
              <w:t>0.99</w:t>
            </w:r>
          </w:p>
        </w:tc>
      </w:tr>
      <w:tr>
        <w:tblPrEx>
          <w:tblCellMar>
            <w:top w:w="0" w:type="dxa"/>
            <w:left w:w="0" w:type="dxa"/>
            <w:bottom w:w="0" w:type="dxa"/>
            <w:right w:w="0" w:type="dxa"/>
          </w:tblCellMar>
        </w:tblPrEx>
        <w:trPr>
          <w:trHeight w:val="432"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资金使用合规性</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lang w:eastAsia="zh-CN"/>
              </w:rPr>
            </w:pPr>
            <w:r>
              <w:rPr>
                <w:rFonts w:hint="eastAsia" w:ascii="仿宋_GB2312" w:hAnsi="仿宋_GB2312" w:eastAsia="仿宋_GB2312" w:cs="仿宋_GB2312"/>
                <w:color w:val="000000"/>
                <w:kern w:val="0"/>
                <w:sz w:val="28"/>
                <w:szCs w:val="28"/>
                <w:highlight w:val="none"/>
                <w:lang w:val="en-US" w:eastAsia="zh-CN"/>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100%</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lang w:val="en-US" w:eastAsia="zh-CN"/>
              </w:rPr>
              <w:t>1</w:t>
            </w:r>
          </w:p>
        </w:tc>
      </w:tr>
      <w:tr>
        <w:tblPrEx>
          <w:tblCellMar>
            <w:top w:w="0" w:type="dxa"/>
            <w:left w:w="0" w:type="dxa"/>
            <w:bottom w:w="0" w:type="dxa"/>
            <w:right w:w="0" w:type="dxa"/>
          </w:tblCellMar>
        </w:tblPrEx>
        <w:trPr>
          <w:trHeight w:val="432"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管理制度健全性</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lang w:eastAsia="zh-CN"/>
              </w:rPr>
            </w:pPr>
            <w:r>
              <w:rPr>
                <w:rFonts w:hint="eastAsia" w:ascii="仿宋_GB2312" w:hAnsi="仿宋_GB2312" w:eastAsia="仿宋_GB2312" w:cs="仿宋_GB2312"/>
                <w:color w:val="000000"/>
                <w:kern w:val="0"/>
                <w:sz w:val="28"/>
                <w:szCs w:val="28"/>
                <w:highlight w:val="none"/>
                <w:lang w:val="en-US" w:eastAsia="zh-CN"/>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100%</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lang w:val="en-US" w:eastAsia="zh-CN"/>
              </w:rPr>
              <w:t>1</w:t>
            </w:r>
          </w:p>
        </w:tc>
      </w:tr>
      <w:tr>
        <w:tblPrEx>
          <w:tblCellMar>
            <w:top w:w="0" w:type="dxa"/>
            <w:left w:w="0" w:type="dxa"/>
            <w:bottom w:w="0" w:type="dxa"/>
            <w:right w:w="0" w:type="dxa"/>
          </w:tblCellMar>
        </w:tblPrEx>
        <w:trPr>
          <w:trHeight w:val="432"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制度执行</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lang w:eastAsia="zh-CN"/>
              </w:rPr>
            </w:pPr>
            <w:r>
              <w:rPr>
                <w:rFonts w:hint="eastAsia" w:ascii="仿宋_GB2312" w:hAnsi="仿宋_GB2312" w:eastAsia="仿宋_GB2312" w:cs="仿宋_GB2312"/>
                <w:color w:val="000000"/>
                <w:kern w:val="0"/>
                <w:sz w:val="28"/>
                <w:szCs w:val="28"/>
                <w:highlight w:val="none"/>
                <w:lang w:val="en-US" w:eastAsia="zh-CN"/>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100%</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lang w:val="en-US" w:eastAsia="zh-CN"/>
              </w:rPr>
              <w:t>1</w:t>
            </w:r>
          </w:p>
        </w:tc>
      </w:tr>
      <w:tr>
        <w:tblPrEx>
          <w:tblCellMar>
            <w:top w:w="0" w:type="dxa"/>
            <w:left w:w="0" w:type="dxa"/>
            <w:bottom w:w="0" w:type="dxa"/>
            <w:right w:w="0" w:type="dxa"/>
          </w:tblCellMar>
        </w:tblPrEx>
        <w:trPr>
          <w:trHeight w:val="432" w:hRule="atLeast"/>
        </w:trPr>
        <w:tc>
          <w:tcPr>
            <w:tcW w:w="242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合计</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lang w:val="en-US" w:eastAsia="zh-CN"/>
              </w:rPr>
              <w:t>99.8</w:t>
            </w:r>
            <w:r>
              <w:rPr>
                <w:rFonts w:hint="eastAsia" w:ascii="仿宋_GB2312" w:hAnsi="仿宋_GB2312" w:eastAsia="仿宋_GB2312" w:cs="仿宋_GB2312"/>
                <w:color w:val="000000"/>
                <w:kern w:val="0"/>
                <w:sz w:val="28"/>
                <w:szCs w:val="28"/>
                <w:highlight w:val="none"/>
              </w:rPr>
              <w:t>%</w:t>
            </w:r>
          </w:p>
        </w:tc>
        <w:tc>
          <w:tcPr>
            <w:tcW w:w="211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kern w:val="0"/>
                <w:sz w:val="28"/>
                <w:szCs w:val="28"/>
                <w:highlight w:val="none"/>
                <w:lang w:val="en-US" w:eastAsia="zh-CN"/>
              </w:rPr>
              <w:t>4.99</w:t>
            </w:r>
          </w:p>
        </w:tc>
      </w:tr>
    </w:tbl>
    <w:p>
      <w:pPr>
        <w:pStyle w:val="2"/>
        <w:pageBreakBefore w:val="0"/>
        <w:kinsoku/>
        <w:wordWrap/>
        <w:overflowPunct/>
        <w:topLinePunct w:val="0"/>
        <w:autoSpaceDE/>
        <w:autoSpaceDN/>
        <w:bidi w:val="0"/>
        <w:adjustRightInd/>
        <w:snapToGrid/>
        <w:spacing w:before="0" w:after="0" w:line="560" w:lineRule="exact"/>
        <w:ind w:firstLine="624" w:firstLineChars="200"/>
        <w:jc w:val="both"/>
        <w:rPr>
          <w:rStyle w:val="21"/>
          <w:rFonts w:ascii="仿宋" w:hAnsi="仿宋" w:eastAsia="仿宋" w:cs="仿宋"/>
          <w:b w:val="0"/>
          <w:bCs/>
          <w:spacing w:val="-4"/>
          <w:kern w:val="2"/>
        </w:rPr>
      </w:pPr>
      <w:r>
        <w:rPr>
          <w:rStyle w:val="21"/>
          <w:rFonts w:hint="eastAsia" w:ascii="仿宋_GB2312" w:hAnsi="仿宋_GB2312" w:eastAsia="仿宋_GB2312" w:cs="仿宋_GB2312"/>
          <w:b w:val="0"/>
          <w:bCs/>
          <w:spacing w:val="-4"/>
          <w:kern w:val="2"/>
        </w:rPr>
        <w:t>本项目资金的到位率</w:t>
      </w:r>
      <w:r>
        <w:rPr>
          <w:rStyle w:val="21"/>
          <w:rFonts w:hint="eastAsia" w:ascii="仿宋_GB2312" w:hAnsi="仿宋_GB2312" w:eastAsia="仿宋_GB2312" w:cs="仿宋_GB2312"/>
          <w:b w:val="0"/>
          <w:bCs/>
          <w:spacing w:val="-4"/>
          <w:kern w:val="2"/>
          <w:lang w:val="en-US" w:eastAsia="zh-CN"/>
        </w:rPr>
        <w:t>100</w:t>
      </w:r>
      <w:r>
        <w:rPr>
          <w:rStyle w:val="21"/>
          <w:rFonts w:hint="eastAsia" w:ascii="仿宋_GB2312" w:hAnsi="仿宋_GB2312" w:eastAsia="仿宋_GB2312" w:cs="仿宋_GB2312"/>
          <w:b w:val="0"/>
          <w:bCs/>
          <w:spacing w:val="-4"/>
          <w:kern w:val="2"/>
        </w:rPr>
        <w:t>%，执行率</w:t>
      </w:r>
      <w:r>
        <w:rPr>
          <w:rStyle w:val="21"/>
          <w:rFonts w:hint="eastAsia" w:ascii="仿宋_GB2312" w:hAnsi="仿宋_GB2312" w:eastAsia="仿宋_GB2312" w:cs="仿宋_GB2312"/>
          <w:b w:val="0"/>
          <w:bCs/>
          <w:spacing w:val="-4"/>
          <w:kern w:val="2"/>
          <w:lang w:val="en-US" w:eastAsia="zh-CN"/>
        </w:rPr>
        <w:t>99.5</w:t>
      </w:r>
      <w:r>
        <w:rPr>
          <w:rStyle w:val="21"/>
          <w:rFonts w:hint="eastAsia" w:ascii="仿宋_GB2312" w:hAnsi="仿宋_GB2312" w:eastAsia="仿宋_GB2312" w:cs="仿宋_GB2312"/>
          <w:b w:val="0"/>
          <w:bCs/>
          <w:spacing w:val="-4"/>
          <w:kern w:val="2"/>
        </w:rPr>
        <w:t>%，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w:t>
      </w:r>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楷体_GB2312" w:hAnsi="楷体_GB2312" w:eastAsia="楷体_GB2312" w:cs="楷体_GB2312"/>
          <w:lang w:eastAsia="zh-CN"/>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三</w:t>
      </w:r>
      <w:r>
        <w:rPr>
          <w:rFonts w:hint="eastAsia" w:ascii="楷体_GB2312" w:hAnsi="楷体_GB2312" w:eastAsia="楷体_GB2312" w:cs="楷体_GB2312"/>
          <w:lang w:eastAsia="zh-CN"/>
        </w:rPr>
        <w:t>）项目产出</w:t>
      </w:r>
    </w:p>
    <w:p>
      <w:pPr>
        <w:pageBreakBefore w:val="0"/>
        <w:kinsoku/>
        <w:wordWrap/>
        <w:overflowPunct/>
        <w:topLinePunct w:val="0"/>
        <w:autoSpaceDE/>
        <w:autoSpaceDN/>
        <w:bidi w:val="0"/>
        <w:adjustRightInd/>
        <w:snapToGrid w:val="0"/>
        <w:spacing w:line="560" w:lineRule="exact"/>
        <w:ind w:firstLine="640"/>
        <w:rPr>
          <w:rStyle w:val="50"/>
          <w:rFonts w:hint="eastAsia" w:ascii="仿宋_GB2312" w:hAnsi="仿宋_GB2312" w:eastAsia="仿宋_GB2312" w:cs="仿宋_GB2312"/>
          <w:color w:val="auto"/>
          <w:sz w:val="32"/>
          <w:szCs w:val="32"/>
          <w:highlight w:val="none"/>
          <w:lang w:val="en-US" w:eastAsia="zh-CN"/>
        </w:rPr>
      </w:pPr>
      <w:r>
        <w:rPr>
          <w:rStyle w:val="21"/>
          <w:rFonts w:hint="eastAsia" w:ascii="仿宋_GB2312" w:hAnsi="仿宋_GB2312" w:eastAsia="仿宋_GB2312" w:cs="仿宋_GB2312"/>
          <w:b w:val="0"/>
          <w:bCs/>
          <w:spacing w:val="-4"/>
          <w:sz w:val="32"/>
          <w:szCs w:val="32"/>
          <w:highlight w:val="none"/>
        </w:rPr>
        <w:t>产出指标方面：</w:t>
      </w:r>
    </w:p>
    <w:tbl>
      <w:tblPr>
        <w:tblStyle w:val="19"/>
        <w:tblW w:w="87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88"/>
        <w:gridCol w:w="2042"/>
        <w:gridCol w:w="2041"/>
        <w:gridCol w:w="20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88" w:type="dxa"/>
            <w:shd w:val="clear" w:color="auto" w:fill="auto"/>
            <w:vAlign w:val="center"/>
          </w:tcPr>
          <w:p>
            <w:pPr>
              <w:pageBreakBefore w:val="0"/>
              <w:widowControl/>
              <w:kinsoku/>
              <w:wordWrap/>
              <w:overflowPunct/>
              <w:topLinePunct w:val="0"/>
              <w:autoSpaceDE/>
              <w:autoSpaceDN/>
              <w:bidi w:val="0"/>
              <w:adjustRightInd/>
              <w:snapToGrid w:val="0"/>
              <w:spacing w:line="560" w:lineRule="exact"/>
              <w:ind w:firstLine="640" w:firstLineChars="200"/>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三级指标</w:t>
            </w:r>
          </w:p>
        </w:tc>
        <w:tc>
          <w:tcPr>
            <w:tcW w:w="2042" w:type="dxa"/>
            <w:shd w:val="clear" w:color="auto" w:fill="auto"/>
            <w:vAlign w:val="center"/>
          </w:tcPr>
          <w:p>
            <w:pPr>
              <w:pageBreakBefore w:val="0"/>
              <w:widowControl/>
              <w:kinsoku/>
              <w:wordWrap/>
              <w:overflowPunct/>
              <w:topLinePunct w:val="0"/>
              <w:autoSpaceDE/>
              <w:autoSpaceDN/>
              <w:bidi w:val="0"/>
              <w:adjustRightInd/>
              <w:snapToGrid w:val="0"/>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权重</w:t>
            </w:r>
          </w:p>
        </w:tc>
        <w:tc>
          <w:tcPr>
            <w:tcW w:w="2041" w:type="dxa"/>
            <w:shd w:val="clear" w:color="auto" w:fill="auto"/>
            <w:vAlign w:val="center"/>
          </w:tcPr>
          <w:p>
            <w:pPr>
              <w:pageBreakBefore w:val="0"/>
              <w:widowControl/>
              <w:kinsoku/>
              <w:wordWrap/>
              <w:overflowPunct/>
              <w:topLinePunct w:val="0"/>
              <w:autoSpaceDE/>
              <w:autoSpaceDN/>
              <w:bidi w:val="0"/>
              <w:adjustRightInd/>
              <w:snapToGrid w:val="0"/>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得分率</w:t>
            </w:r>
          </w:p>
        </w:tc>
        <w:tc>
          <w:tcPr>
            <w:tcW w:w="2042" w:type="dxa"/>
            <w:shd w:val="clear" w:color="auto" w:fill="auto"/>
            <w:vAlign w:val="center"/>
          </w:tcPr>
          <w:p>
            <w:pPr>
              <w:pageBreakBefore w:val="0"/>
              <w:widowControl/>
              <w:kinsoku/>
              <w:wordWrap/>
              <w:overflowPunct/>
              <w:topLinePunct w:val="0"/>
              <w:autoSpaceDE/>
              <w:autoSpaceDN/>
              <w:bidi w:val="0"/>
              <w:adjustRightInd/>
              <w:snapToGrid w:val="0"/>
              <w:spacing w:line="560" w:lineRule="exact"/>
              <w:jc w:val="left"/>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实际得分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88" w:type="dxa"/>
            <w:shd w:val="clear" w:color="auto" w:fill="auto"/>
            <w:vAlign w:val="center"/>
          </w:tcPr>
          <w:p>
            <w:pPr>
              <w:pageBreakBefore w:val="0"/>
              <w:widowControl/>
              <w:kinsoku/>
              <w:wordWrap/>
              <w:overflowPunct/>
              <w:topLinePunct w:val="0"/>
              <w:autoSpaceDE/>
              <w:autoSpaceDN/>
              <w:bidi w:val="0"/>
              <w:adjustRightInd/>
              <w:snapToGrid w:val="0"/>
              <w:spacing w:line="560" w:lineRule="exact"/>
              <w:ind w:firstLine="640" w:firstLineChars="200"/>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产出数量</w:t>
            </w:r>
          </w:p>
        </w:tc>
        <w:tc>
          <w:tcPr>
            <w:tcW w:w="2042" w:type="dxa"/>
            <w:shd w:val="clear" w:color="auto" w:fill="auto"/>
            <w:vAlign w:val="center"/>
          </w:tcPr>
          <w:p>
            <w:pPr>
              <w:pageBreakBefore w:val="0"/>
              <w:widowControl/>
              <w:kinsoku/>
              <w:wordWrap/>
              <w:overflowPunct/>
              <w:topLinePunct w:val="0"/>
              <w:autoSpaceDE/>
              <w:autoSpaceDN/>
              <w:bidi w:val="0"/>
              <w:adjustRightInd/>
              <w:snapToGrid w:val="0"/>
              <w:spacing w:line="560" w:lineRule="exact"/>
              <w:jc w:val="center"/>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15</w:t>
            </w:r>
          </w:p>
        </w:tc>
        <w:tc>
          <w:tcPr>
            <w:tcW w:w="2041" w:type="dxa"/>
            <w:shd w:val="clear" w:color="auto" w:fill="auto"/>
            <w:vAlign w:val="center"/>
          </w:tcPr>
          <w:p>
            <w:pPr>
              <w:pageBreakBefore w:val="0"/>
              <w:widowControl/>
              <w:kinsoku/>
              <w:wordWrap/>
              <w:overflowPunct/>
              <w:topLinePunct w:val="0"/>
              <w:autoSpaceDE/>
              <w:autoSpaceDN/>
              <w:bidi w:val="0"/>
              <w:adjustRightInd/>
              <w:snapToGrid w:val="0"/>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100%</w:t>
            </w:r>
          </w:p>
        </w:tc>
        <w:tc>
          <w:tcPr>
            <w:tcW w:w="2042" w:type="dxa"/>
            <w:shd w:val="clear" w:color="auto" w:fill="auto"/>
            <w:vAlign w:val="center"/>
          </w:tcPr>
          <w:p>
            <w:pPr>
              <w:pageBreakBefore w:val="0"/>
              <w:widowControl/>
              <w:kinsoku/>
              <w:wordWrap/>
              <w:overflowPunct/>
              <w:topLinePunct w:val="0"/>
              <w:autoSpaceDE/>
              <w:autoSpaceDN/>
              <w:bidi w:val="0"/>
              <w:adjustRightInd/>
              <w:snapToGrid w:val="0"/>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88" w:type="dxa"/>
            <w:shd w:val="clear" w:color="auto" w:fill="auto"/>
            <w:vAlign w:val="center"/>
          </w:tcPr>
          <w:p>
            <w:pPr>
              <w:pageBreakBefore w:val="0"/>
              <w:widowControl/>
              <w:kinsoku/>
              <w:wordWrap/>
              <w:overflowPunct/>
              <w:topLinePunct w:val="0"/>
              <w:autoSpaceDE/>
              <w:autoSpaceDN/>
              <w:bidi w:val="0"/>
              <w:adjustRightInd/>
              <w:snapToGrid w:val="0"/>
              <w:spacing w:line="560" w:lineRule="exact"/>
              <w:ind w:firstLine="640" w:firstLineChars="200"/>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产出质量</w:t>
            </w:r>
          </w:p>
        </w:tc>
        <w:tc>
          <w:tcPr>
            <w:tcW w:w="2042" w:type="dxa"/>
            <w:shd w:val="clear" w:color="auto" w:fill="auto"/>
            <w:vAlign w:val="center"/>
          </w:tcPr>
          <w:p>
            <w:pPr>
              <w:pageBreakBefore w:val="0"/>
              <w:widowControl/>
              <w:kinsoku/>
              <w:wordWrap/>
              <w:overflowPunct/>
              <w:topLinePunct w:val="0"/>
              <w:autoSpaceDE/>
              <w:autoSpaceDN/>
              <w:bidi w:val="0"/>
              <w:adjustRightInd/>
              <w:snapToGrid w:val="0"/>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10</w:t>
            </w:r>
          </w:p>
        </w:tc>
        <w:tc>
          <w:tcPr>
            <w:tcW w:w="2041" w:type="dxa"/>
            <w:shd w:val="clear" w:color="auto" w:fill="auto"/>
            <w:vAlign w:val="center"/>
          </w:tcPr>
          <w:p>
            <w:pPr>
              <w:pageBreakBefore w:val="0"/>
              <w:widowControl/>
              <w:kinsoku/>
              <w:wordWrap/>
              <w:overflowPunct/>
              <w:topLinePunct w:val="0"/>
              <w:autoSpaceDE/>
              <w:autoSpaceDN/>
              <w:bidi w:val="0"/>
              <w:adjustRightInd/>
              <w:snapToGrid w:val="0"/>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100%</w:t>
            </w:r>
          </w:p>
        </w:tc>
        <w:tc>
          <w:tcPr>
            <w:tcW w:w="2042" w:type="dxa"/>
            <w:shd w:val="clear" w:color="auto" w:fill="auto"/>
            <w:vAlign w:val="center"/>
          </w:tcPr>
          <w:p>
            <w:pPr>
              <w:pageBreakBefore w:val="0"/>
              <w:widowControl/>
              <w:kinsoku/>
              <w:wordWrap/>
              <w:overflowPunct/>
              <w:topLinePunct w:val="0"/>
              <w:autoSpaceDE/>
              <w:autoSpaceDN/>
              <w:bidi w:val="0"/>
              <w:adjustRightInd/>
              <w:snapToGrid w:val="0"/>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88" w:type="dxa"/>
            <w:shd w:val="clear" w:color="auto" w:fill="auto"/>
            <w:vAlign w:val="center"/>
          </w:tcPr>
          <w:p>
            <w:pPr>
              <w:pageBreakBefore w:val="0"/>
              <w:widowControl/>
              <w:kinsoku/>
              <w:wordWrap/>
              <w:overflowPunct/>
              <w:topLinePunct w:val="0"/>
              <w:autoSpaceDE/>
              <w:autoSpaceDN/>
              <w:bidi w:val="0"/>
              <w:adjustRightInd/>
              <w:snapToGrid w:val="0"/>
              <w:spacing w:line="560" w:lineRule="exact"/>
              <w:ind w:firstLine="640" w:firstLineChars="200"/>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产出时效</w:t>
            </w:r>
          </w:p>
        </w:tc>
        <w:tc>
          <w:tcPr>
            <w:tcW w:w="2042" w:type="dxa"/>
            <w:shd w:val="clear" w:color="auto" w:fill="auto"/>
            <w:vAlign w:val="center"/>
          </w:tcPr>
          <w:p>
            <w:pPr>
              <w:pageBreakBefore w:val="0"/>
              <w:widowControl/>
              <w:kinsoku/>
              <w:wordWrap/>
              <w:overflowPunct/>
              <w:topLinePunct w:val="0"/>
              <w:autoSpaceDE/>
              <w:autoSpaceDN/>
              <w:bidi w:val="0"/>
              <w:adjustRightInd/>
              <w:snapToGrid w:val="0"/>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lang w:val="en-US" w:eastAsia="zh-CN"/>
              </w:rPr>
              <w:t>15</w:t>
            </w:r>
          </w:p>
        </w:tc>
        <w:tc>
          <w:tcPr>
            <w:tcW w:w="2041" w:type="dxa"/>
            <w:shd w:val="clear" w:color="auto" w:fill="auto"/>
            <w:vAlign w:val="center"/>
          </w:tcPr>
          <w:p>
            <w:pPr>
              <w:pageBreakBefore w:val="0"/>
              <w:widowControl/>
              <w:kinsoku/>
              <w:wordWrap/>
              <w:overflowPunct/>
              <w:topLinePunct w:val="0"/>
              <w:autoSpaceDE/>
              <w:autoSpaceDN/>
              <w:bidi w:val="0"/>
              <w:adjustRightInd/>
              <w:snapToGrid w:val="0"/>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lang w:val="en-US" w:eastAsia="zh-CN"/>
              </w:rPr>
              <w:t>100</w:t>
            </w:r>
            <w:r>
              <w:rPr>
                <w:rFonts w:hint="eastAsia" w:ascii="仿宋_GB2312" w:hAnsi="仿宋_GB2312" w:eastAsia="仿宋_GB2312" w:cs="仿宋_GB2312"/>
                <w:color w:val="000000"/>
                <w:kern w:val="0"/>
                <w:sz w:val="32"/>
                <w:szCs w:val="32"/>
                <w:highlight w:val="none"/>
              </w:rPr>
              <w:t>%</w:t>
            </w:r>
          </w:p>
        </w:tc>
        <w:tc>
          <w:tcPr>
            <w:tcW w:w="2042" w:type="dxa"/>
            <w:shd w:val="clear" w:color="auto" w:fill="auto"/>
            <w:vAlign w:val="center"/>
          </w:tcPr>
          <w:p>
            <w:pPr>
              <w:pageBreakBefore w:val="0"/>
              <w:widowControl/>
              <w:kinsoku/>
              <w:wordWrap/>
              <w:overflowPunct/>
              <w:topLinePunct w:val="0"/>
              <w:autoSpaceDE/>
              <w:autoSpaceDN/>
              <w:bidi w:val="0"/>
              <w:adjustRightInd/>
              <w:snapToGrid w:val="0"/>
              <w:spacing w:line="560" w:lineRule="exact"/>
              <w:jc w:val="center"/>
              <w:rPr>
                <w:rFonts w:hint="eastAsia" w:ascii="仿宋_GB2312" w:hAnsi="仿宋_GB2312" w:eastAsia="仿宋_GB2312" w:cs="仿宋_GB2312"/>
                <w:color w:val="000000"/>
                <w:kern w:val="0"/>
                <w:sz w:val="32"/>
                <w:szCs w:val="32"/>
                <w:highlight w:val="none"/>
                <w:lang w:val="en-US"/>
              </w:rPr>
            </w:pPr>
            <w:r>
              <w:rPr>
                <w:rFonts w:hint="eastAsia" w:ascii="仿宋_GB2312" w:hAnsi="仿宋_GB2312" w:eastAsia="仿宋_GB2312" w:cs="仿宋_GB2312"/>
                <w:color w:val="000000"/>
                <w:kern w:val="0"/>
                <w:sz w:val="32"/>
                <w:szCs w:val="32"/>
                <w:highlight w:val="none"/>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88" w:type="dxa"/>
            <w:shd w:val="clear" w:color="auto" w:fill="auto"/>
            <w:vAlign w:val="center"/>
          </w:tcPr>
          <w:p>
            <w:pPr>
              <w:pageBreakBefore w:val="0"/>
              <w:widowControl/>
              <w:kinsoku/>
              <w:wordWrap/>
              <w:overflowPunct/>
              <w:topLinePunct w:val="0"/>
              <w:autoSpaceDE/>
              <w:autoSpaceDN/>
              <w:bidi w:val="0"/>
              <w:adjustRightInd/>
              <w:snapToGrid w:val="0"/>
              <w:spacing w:line="560" w:lineRule="exact"/>
              <w:ind w:firstLine="640" w:firstLineChars="200"/>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成本情况</w:t>
            </w:r>
          </w:p>
        </w:tc>
        <w:tc>
          <w:tcPr>
            <w:tcW w:w="2042" w:type="dxa"/>
            <w:shd w:val="clear" w:color="auto" w:fill="auto"/>
            <w:vAlign w:val="center"/>
          </w:tcPr>
          <w:p>
            <w:pPr>
              <w:pageBreakBefore w:val="0"/>
              <w:widowControl/>
              <w:kinsoku/>
              <w:wordWrap/>
              <w:overflowPunct/>
              <w:topLinePunct w:val="0"/>
              <w:autoSpaceDE/>
              <w:autoSpaceDN/>
              <w:bidi w:val="0"/>
              <w:adjustRightInd/>
              <w:snapToGrid w:val="0"/>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10</w:t>
            </w:r>
          </w:p>
        </w:tc>
        <w:tc>
          <w:tcPr>
            <w:tcW w:w="2041" w:type="dxa"/>
            <w:shd w:val="clear" w:color="auto" w:fill="auto"/>
            <w:vAlign w:val="center"/>
          </w:tcPr>
          <w:p>
            <w:pPr>
              <w:pageBreakBefore w:val="0"/>
              <w:widowControl/>
              <w:kinsoku/>
              <w:wordWrap/>
              <w:overflowPunct/>
              <w:topLinePunct w:val="0"/>
              <w:autoSpaceDE/>
              <w:autoSpaceDN/>
              <w:bidi w:val="0"/>
              <w:adjustRightInd/>
              <w:snapToGrid w:val="0"/>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lang w:val="en-US" w:eastAsia="zh-CN"/>
              </w:rPr>
              <w:t>99.5</w:t>
            </w:r>
            <w:r>
              <w:rPr>
                <w:rFonts w:hint="eastAsia" w:ascii="仿宋_GB2312" w:hAnsi="仿宋_GB2312" w:eastAsia="仿宋_GB2312" w:cs="仿宋_GB2312"/>
                <w:color w:val="000000"/>
                <w:kern w:val="0"/>
                <w:sz w:val="32"/>
                <w:szCs w:val="32"/>
                <w:highlight w:val="none"/>
              </w:rPr>
              <w:t>%</w:t>
            </w:r>
          </w:p>
        </w:tc>
        <w:tc>
          <w:tcPr>
            <w:tcW w:w="2042" w:type="dxa"/>
            <w:shd w:val="clear" w:color="auto" w:fill="auto"/>
            <w:vAlign w:val="center"/>
          </w:tcPr>
          <w:p>
            <w:pPr>
              <w:pageBreakBefore w:val="0"/>
              <w:widowControl/>
              <w:kinsoku/>
              <w:wordWrap/>
              <w:overflowPunct/>
              <w:topLinePunct w:val="0"/>
              <w:autoSpaceDE/>
              <w:autoSpaceDN/>
              <w:bidi w:val="0"/>
              <w:adjustRightInd/>
              <w:snapToGrid w:val="0"/>
              <w:spacing w:line="560" w:lineRule="exact"/>
              <w:jc w:val="center"/>
              <w:rPr>
                <w:rFonts w:hint="default"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9.95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88" w:type="dxa"/>
            <w:shd w:val="clear" w:color="auto" w:fill="auto"/>
            <w:vAlign w:val="center"/>
          </w:tcPr>
          <w:p>
            <w:pPr>
              <w:pageBreakBefore w:val="0"/>
              <w:widowControl/>
              <w:kinsoku/>
              <w:wordWrap/>
              <w:overflowPunct/>
              <w:topLinePunct w:val="0"/>
              <w:autoSpaceDE/>
              <w:autoSpaceDN/>
              <w:bidi w:val="0"/>
              <w:adjustRightInd/>
              <w:snapToGrid w:val="0"/>
              <w:spacing w:line="560" w:lineRule="exact"/>
              <w:ind w:firstLine="640" w:firstLineChars="200"/>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合计</w:t>
            </w:r>
          </w:p>
        </w:tc>
        <w:tc>
          <w:tcPr>
            <w:tcW w:w="2042" w:type="dxa"/>
            <w:shd w:val="clear" w:color="auto" w:fill="auto"/>
            <w:vAlign w:val="center"/>
          </w:tcPr>
          <w:p>
            <w:pPr>
              <w:pageBreakBefore w:val="0"/>
              <w:widowControl/>
              <w:kinsoku/>
              <w:wordWrap/>
              <w:overflowPunct/>
              <w:topLinePunct w:val="0"/>
              <w:autoSpaceDE/>
              <w:autoSpaceDN/>
              <w:bidi w:val="0"/>
              <w:adjustRightInd/>
              <w:snapToGrid w:val="0"/>
              <w:spacing w:line="560" w:lineRule="exact"/>
              <w:jc w:val="center"/>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50</w:t>
            </w:r>
          </w:p>
        </w:tc>
        <w:tc>
          <w:tcPr>
            <w:tcW w:w="2041" w:type="dxa"/>
            <w:shd w:val="clear" w:color="auto" w:fill="auto"/>
            <w:vAlign w:val="center"/>
          </w:tcPr>
          <w:p>
            <w:pPr>
              <w:pageBreakBefore w:val="0"/>
              <w:widowControl/>
              <w:kinsoku/>
              <w:wordWrap/>
              <w:overflowPunct/>
              <w:topLinePunct w:val="0"/>
              <w:autoSpaceDE/>
              <w:autoSpaceDN/>
              <w:bidi w:val="0"/>
              <w:adjustRightInd/>
              <w:snapToGrid w:val="0"/>
              <w:spacing w:line="560" w:lineRule="exact"/>
              <w:jc w:val="center"/>
              <w:rPr>
                <w:rFonts w:hint="default"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99.9%</w:t>
            </w:r>
          </w:p>
        </w:tc>
        <w:tc>
          <w:tcPr>
            <w:tcW w:w="2042" w:type="dxa"/>
            <w:shd w:val="clear" w:color="auto" w:fill="auto"/>
            <w:vAlign w:val="center"/>
          </w:tcPr>
          <w:p>
            <w:pPr>
              <w:pageBreakBefore w:val="0"/>
              <w:widowControl/>
              <w:kinsoku/>
              <w:wordWrap/>
              <w:overflowPunct/>
              <w:topLinePunct w:val="0"/>
              <w:autoSpaceDE/>
              <w:autoSpaceDN/>
              <w:bidi w:val="0"/>
              <w:adjustRightInd/>
              <w:snapToGrid w:val="0"/>
              <w:spacing w:line="560" w:lineRule="exact"/>
              <w:jc w:val="center"/>
              <w:rPr>
                <w:rFonts w:hint="default"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49.95</w:t>
            </w:r>
          </w:p>
        </w:tc>
      </w:tr>
    </w:tbl>
    <w:p>
      <w:pPr>
        <w:pStyle w:val="2"/>
        <w:keepNext w:val="0"/>
        <w:keepLines w:val="0"/>
        <w:pageBreakBefore w:val="0"/>
        <w:kinsoku/>
        <w:wordWrap/>
        <w:overflowPunct/>
        <w:topLinePunct w:val="0"/>
        <w:autoSpaceDE/>
        <w:autoSpaceDN/>
        <w:bidi w:val="0"/>
        <w:adjustRightInd/>
        <w:snapToGrid/>
        <w:spacing w:before="0" w:after="0" w:line="560" w:lineRule="exact"/>
        <w:ind w:firstLine="624" w:firstLineChars="200"/>
        <w:jc w:val="both"/>
        <w:textAlignment w:val="auto"/>
        <w:rPr>
          <w:rStyle w:val="21"/>
          <w:rFonts w:hint="default" w:ascii="仿宋_GB2312" w:hAnsi="仿宋_GB2312" w:eastAsia="仿宋_GB2312" w:cs="仿宋_GB2312"/>
          <w:b w:val="0"/>
          <w:bCs/>
          <w:spacing w:val="-4"/>
          <w:kern w:val="2"/>
          <w:sz w:val="32"/>
          <w:szCs w:val="32"/>
          <w:lang w:val="en-US" w:eastAsia="zh-CN"/>
        </w:rPr>
      </w:pPr>
      <w:r>
        <w:rPr>
          <w:rStyle w:val="21"/>
          <w:rFonts w:hint="eastAsia" w:ascii="仿宋_GB2312" w:hAnsi="仿宋_GB2312" w:eastAsia="仿宋_GB2312" w:cs="仿宋_GB2312"/>
          <w:b w:val="0"/>
          <w:bCs/>
          <w:spacing w:val="-4"/>
          <w:sz w:val="32"/>
          <w:szCs w:val="32"/>
        </w:rPr>
        <w:t>数量指标方面：</w:t>
      </w:r>
      <w:r>
        <w:rPr>
          <w:rStyle w:val="21"/>
          <w:rFonts w:hint="eastAsia" w:ascii="仿宋_GB2312" w:hAnsi="仿宋_GB2312" w:eastAsia="仿宋_GB2312" w:cs="仿宋_GB2312"/>
          <w:b w:val="0"/>
          <w:bCs/>
          <w:spacing w:val="-4"/>
          <w:kern w:val="2"/>
          <w:sz w:val="32"/>
          <w:szCs w:val="32"/>
        </w:rPr>
        <w:t>培训农牧民人数</w:t>
      </w:r>
      <w:r>
        <w:rPr>
          <w:rStyle w:val="21"/>
          <w:rFonts w:hint="eastAsia" w:ascii="仿宋_GB2312" w:hAnsi="仿宋_GB2312" w:eastAsia="仿宋_GB2312" w:cs="仿宋_GB2312"/>
          <w:b w:val="0"/>
          <w:bCs/>
          <w:spacing w:val="-4"/>
          <w:kern w:val="2"/>
          <w:sz w:val="32"/>
          <w:szCs w:val="32"/>
          <w:lang w:eastAsia="zh-CN"/>
        </w:rPr>
        <w:t>，</w:t>
      </w:r>
      <w:r>
        <w:rPr>
          <w:rStyle w:val="21"/>
          <w:rFonts w:hint="eastAsia" w:ascii="仿宋_GB2312" w:hAnsi="仿宋_GB2312" w:eastAsia="仿宋_GB2312" w:cs="仿宋_GB2312"/>
          <w:b w:val="0"/>
          <w:bCs/>
          <w:spacing w:val="-4"/>
          <w:kern w:val="2"/>
          <w:sz w:val="32"/>
          <w:szCs w:val="32"/>
        </w:rPr>
        <w:t>评价目标值：≥100次，业绩值：100次</w:t>
      </w:r>
      <w:r>
        <w:rPr>
          <w:rStyle w:val="21"/>
          <w:rFonts w:hint="eastAsia" w:ascii="仿宋_GB2312" w:hAnsi="仿宋_GB2312" w:eastAsia="仿宋_GB2312" w:cs="仿宋_GB2312"/>
          <w:b w:val="0"/>
          <w:bCs/>
          <w:spacing w:val="-4"/>
          <w:kern w:val="2"/>
          <w:sz w:val="32"/>
          <w:szCs w:val="32"/>
          <w:lang w:eastAsia="zh-CN"/>
        </w:rPr>
        <w:t>，指标完成率</w:t>
      </w:r>
      <w:r>
        <w:rPr>
          <w:rStyle w:val="21"/>
          <w:rFonts w:hint="eastAsia" w:ascii="仿宋_GB2312" w:hAnsi="仿宋_GB2312" w:eastAsia="仿宋_GB2312" w:cs="仿宋_GB2312"/>
          <w:b w:val="0"/>
          <w:bCs/>
          <w:spacing w:val="-4"/>
          <w:kern w:val="2"/>
          <w:sz w:val="32"/>
          <w:szCs w:val="32"/>
          <w:lang w:val="en-US" w:eastAsia="zh-CN"/>
        </w:rPr>
        <w:t>100%。</w:t>
      </w:r>
    </w:p>
    <w:p>
      <w:pPr>
        <w:pStyle w:val="2"/>
        <w:keepNext w:val="0"/>
        <w:keepLines w:val="0"/>
        <w:pageBreakBefore w:val="0"/>
        <w:kinsoku/>
        <w:wordWrap/>
        <w:overflowPunct/>
        <w:topLinePunct w:val="0"/>
        <w:autoSpaceDE/>
        <w:autoSpaceDN/>
        <w:bidi w:val="0"/>
        <w:adjustRightInd/>
        <w:snapToGrid/>
        <w:spacing w:before="0" w:after="0" w:line="560" w:lineRule="exact"/>
        <w:ind w:firstLine="624" w:firstLineChars="200"/>
        <w:jc w:val="both"/>
        <w:textAlignment w:val="auto"/>
        <w:rPr>
          <w:rStyle w:val="21"/>
          <w:rFonts w:hint="eastAsia" w:ascii="仿宋_GB2312" w:hAnsi="仿宋_GB2312" w:eastAsia="仿宋_GB2312" w:cs="仿宋_GB2312"/>
          <w:b w:val="0"/>
          <w:bCs/>
          <w:spacing w:val="-4"/>
          <w:kern w:val="2"/>
          <w:sz w:val="32"/>
          <w:szCs w:val="32"/>
        </w:rPr>
      </w:pPr>
      <w:r>
        <w:rPr>
          <w:rStyle w:val="21"/>
          <w:rFonts w:hint="eastAsia" w:ascii="仿宋_GB2312" w:hAnsi="仿宋_GB2312" w:eastAsia="仿宋_GB2312" w:cs="仿宋_GB2312"/>
          <w:b w:val="0"/>
          <w:bCs/>
          <w:spacing w:val="-4"/>
          <w:sz w:val="32"/>
          <w:szCs w:val="32"/>
        </w:rPr>
        <w:t>数量指标方面：</w:t>
      </w:r>
      <w:r>
        <w:rPr>
          <w:rStyle w:val="21"/>
          <w:rFonts w:hint="eastAsia" w:ascii="仿宋_GB2312" w:hAnsi="仿宋_GB2312" w:eastAsia="仿宋_GB2312" w:cs="仿宋_GB2312"/>
          <w:b w:val="0"/>
          <w:bCs/>
          <w:spacing w:val="-4"/>
          <w:kern w:val="2"/>
          <w:sz w:val="32"/>
          <w:szCs w:val="32"/>
        </w:rPr>
        <w:t>举办班次数</w:t>
      </w:r>
      <w:r>
        <w:rPr>
          <w:rStyle w:val="21"/>
          <w:rFonts w:hint="eastAsia" w:ascii="仿宋_GB2312" w:hAnsi="仿宋_GB2312" w:eastAsia="仿宋_GB2312" w:cs="仿宋_GB2312"/>
          <w:b w:val="0"/>
          <w:bCs/>
          <w:spacing w:val="-4"/>
          <w:kern w:val="2"/>
          <w:sz w:val="32"/>
          <w:szCs w:val="32"/>
          <w:lang w:eastAsia="zh-CN"/>
        </w:rPr>
        <w:t>，</w:t>
      </w:r>
      <w:r>
        <w:rPr>
          <w:rStyle w:val="21"/>
          <w:rFonts w:hint="eastAsia" w:ascii="仿宋_GB2312" w:hAnsi="仿宋_GB2312" w:eastAsia="仿宋_GB2312" w:cs="仿宋_GB2312"/>
          <w:b w:val="0"/>
          <w:bCs/>
          <w:spacing w:val="-4"/>
          <w:kern w:val="2"/>
          <w:sz w:val="32"/>
          <w:szCs w:val="32"/>
        </w:rPr>
        <w:t>评价目标值：≥1次，业绩值：1次;</w:t>
      </w:r>
      <w:r>
        <w:rPr>
          <w:rStyle w:val="21"/>
          <w:rFonts w:hint="eastAsia" w:ascii="仿宋_GB2312" w:hAnsi="仿宋_GB2312" w:eastAsia="仿宋_GB2312" w:cs="仿宋_GB2312"/>
          <w:b w:val="0"/>
          <w:bCs/>
          <w:spacing w:val="-4"/>
          <w:kern w:val="2"/>
          <w:sz w:val="32"/>
          <w:szCs w:val="32"/>
          <w:lang w:eastAsia="zh-CN"/>
        </w:rPr>
        <w:t>指标完成率</w:t>
      </w:r>
      <w:r>
        <w:rPr>
          <w:rStyle w:val="21"/>
          <w:rFonts w:hint="eastAsia" w:ascii="仿宋_GB2312" w:hAnsi="仿宋_GB2312" w:eastAsia="仿宋_GB2312" w:cs="仿宋_GB2312"/>
          <w:b w:val="0"/>
          <w:bCs/>
          <w:spacing w:val="-4"/>
          <w:kern w:val="2"/>
          <w:sz w:val="32"/>
          <w:szCs w:val="32"/>
          <w:lang w:val="en-US" w:eastAsia="zh-CN"/>
        </w:rPr>
        <w:t>100%。</w:t>
      </w:r>
    </w:p>
    <w:p>
      <w:pPr>
        <w:pStyle w:val="2"/>
        <w:keepNext w:val="0"/>
        <w:keepLines w:val="0"/>
        <w:pageBreakBefore w:val="0"/>
        <w:kinsoku/>
        <w:wordWrap/>
        <w:overflowPunct/>
        <w:topLinePunct w:val="0"/>
        <w:autoSpaceDE/>
        <w:autoSpaceDN/>
        <w:bidi w:val="0"/>
        <w:adjustRightInd/>
        <w:snapToGrid/>
        <w:spacing w:before="0" w:after="0" w:line="560" w:lineRule="exact"/>
        <w:ind w:firstLine="624" w:firstLineChars="200"/>
        <w:jc w:val="both"/>
        <w:textAlignment w:val="auto"/>
        <w:rPr>
          <w:rStyle w:val="21"/>
          <w:rFonts w:hint="eastAsia" w:ascii="仿宋_GB2312" w:hAnsi="仿宋_GB2312" w:eastAsia="仿宋_GB2312" w:cs="仿宋_GB2312"/>
          <w:b w:val="0"/>
          <w:bCs/>
          <w:spacing w:val="-4"/>
          <w:kern w:val="2"/>
          <w:sz w:val="32"/>
          <w:szCs w:val="32"/>
        </w:rPr>
      </w:pPr>
      <w:r>
        <w:rPr>
          <w:rStyle w:val="21"/>
          <w:rFonts w:hint="eastAsia" w:ascii="仿宋_GB2312" w:hAnsi="仿宋_GB2312" w:eastAsia="仿宋_GB2312" w:cs="仿宋_GB2312"/>
          <w:b w:val="0"/>
          <w:bCs/>
          <w:spacing w:val="-4"/>
          <w:sz w:val="32"/>
          <w:szCs w:val="32"/>
        </w:rPr>
        <w:t>数量指标方面：政策宣传次数</w:t>
      </w:r>
      <w:r>
        <w:rPr>
          <w:rStyle w:val="21"/>
          <w:rFonts w:hint="eastAsia" w:ascii="仿宋_GB2312" w:hAnsi="仿宋_GB2312" w:eastAsia="仿宋_GB2312" w:cs="仿宋_GB2312"/>
          <w:b w:val="0"/>
          <w:bCs/>
          <w:spacing w:val="-4"/>
          <w:sz w:val="32"/>
          <w:szCs w:val="32"/>
          <w:lang w:eastAsia="zh-CN"/>
        </w:rPr>
        <w:t>，</w:t>
      </w:r>
      <w:r>
        <w:rPr>
          <w:rStyle w:val="21"/>
          <w:rFonts w:hint="eastAsia" w:ascii="仿宋_GB2312" w:hAnsi="仿宋_GB2312" w:eastAsia="仿宋_GB2312" w:cs="仿宋_GB2312"/>
          <w:b w:val="0"/>
          <w:bCs/>
          <w:spacing w:val="-4"/>
          <w:kern w:val="2"/>
          <w:sz w:val="32"/>
          <w:szCs w:val="32"/>
        </w:rPr>
        <w:t>评价目标值：≥1次，业绩值：1次;</w:t>
      </w:r>
      <w:r>
        <w:rPr>
          <w:rStyle w:val="21"/>
          <w:rFonts w:hint="eastAsia" w:ascii="仿宋_GB2312" w:hAnsi="仿宋_GB2312" w:eastAsia="仿宋_GB2312" w:cs="仿宋_GB2312"/>
          <w:b w:val="0"/>
          <w:bCs/>
          <w:spacing w:val="-4"/>
          <w:kern w:val="2"/>
          <w:sz w:val="32"/>
          <w:szCs w:val="32"/>
          <w:lang w:eastAsia="zh-CN"/>
        </w:rPr>
        <w:t>指标完成率</w:t>
      </w:r>
      <w:r>
        <w:rPr>
          <w:rStyle w:val="21"/>
          <w:rFonts w:hint="eastAsia" w:ascii="仿宋_GB2312" w:hAnsi="仿宋_GB2312" w:eastAsia="仿宋_GB2312" w:cs="仿宋_GB2312"/>
          <w:b w:val="0"/>
          <w:bCs/>
          <w:spacing w:val="-4"/>
          <w:kern w:val="2"/>
          <w:sz w:val="32"/>
          <w:szCs w:val="32"/>
          <w:lang w:val="en-US" w:eastAsia="zh-CN"/>
        </w:rPr>
        <w:t>100%。</w:t>
      </w:r>
    </w:p>
    <w:p>
      <w:pPr>
        <w:pStyle w:val="2"/>
        <w:keepNext w:val="0"/>
        <w:keepLines w:val="0"/>
        <w:pageBreakBefore w:val="0"/>
        <w:kinsoku/>
        <w:wordWrap/>
        <w:overflowPunct/>
        <w:topLinePunct w:val="0"/>
        <w:autoSpaceDE/>
        <w:autoSpaceDN/>
        <w:bidi w:val="0"/>
        <w:adjustRightInd/>
        <w:snapToGrid/>
        <w:spacing w:before="0" w:after="0" w:line="560" w:lineRule="exact"/>
        <w:ind w:firstLine="624" w:firstLineChars="200"/>
        <w:jc w:val="both"/>
        <w:textAlignment w:val="auto"/>
        <w:rPr>
          <w:rFonts w:hint="eastAsia" w:ascii="仿宋_GB2312" w:hAnsi="仿宋_GB2312" w:eastAsia="仿宋_GB2312" w:cs="仿宋_GB2312"/>
          <w:sz w:val="32"/>
          <w:szCs w:val="32"/>
          <w:lang w:eastAsia="zh-CN"/>
        </w:rPr>
      </w:pPr>
      <w:r>
        <w:rPr>
          <w:rStyle w:val="21"/>
          <w:rFonts w:hint="eastAsia" w:ascii="仿宋_GB2312" w:hAnsi="仿宋_GB2312" w:eastAsia="仿宋_GB2312" w:cs="仿宋_GB2312"/>
          <w:b w:val="0"/>
          <w:bCs/>
          <w:spacing w:val="-4"/>
          <w:sz w:val="32"/>
          <w:szCs w:val="32"/>
        </w:rPr>
        <w:t>数量指标方面：</w:t>
      </w:r>
      <w:r>
        <w:rPr>
          <w:rStyle w:val="21"/>
          <w:rFonts w:hint="eastAsia" w:ascii="仿宋_GB2312" w:hAnsi="仿宋_GB2312" w:eastAsia="仿宋_GB2312" w:cs="仿宋_GB2312"/>
          <w:b w:val="0"/>
          <w:bCs/>
          <w:spacing w:val="-4"/>
          <w:kern w:val="2"/>
          <w:sz w:val="32"/>
          <w:szCs w:val="32"/>
        </w:rPr>
        <w:t>推广牧草高产种植技术1项</w:t>
      </w:r>
      <w:r>
        <w:rPr>
          <w:rStyle w:val="21"/>
          <w:rFonts w:hint="eastAsia" w:ascii="仿宋_GB2312" w:hAnsi="仿宋_GB2312" w:eastAsia="仿宋_GB2312" w:cs="仿宋_GB2312"/>
          <w:b w:val="0"/>
          <w:bCs/>
          <w:spacing w:val="-4"/>
          <w:kern w:val="2"/>
          <w:sz w:val="32"/>
          <w:szCs w:val="32"/>
          <w:lang w:eastAsia="zh-CN"/>
        </w:rPr>
        <w:t>，</w:t>
      </w:r>
      <w:r>
        <w:rPr>
          <w:rStyle w:val="21"/>
          <w:rFonts w:hint="eastAsia" w:ascii="仿宋_GB2312" w:hAnsi="仿宋_GB2312" w:eastAsia="仿宋_GB2312" w:cs="仿宋_GB2312"/>
          <w:b w:val="0"/>
          <w:bCs/>
          <w:spacing w:val="-4"/>
          <w:kern w:val="2"/>
          <w:sz w:val="32"/>
          <w:szCs w:val="32"/>
        </w:rPr>
        <w:t>评价目标值：≥1项，业绩值：</w:t>
      </w:r>
      <w:r>
        <w:rPr>
          <w:rStyle w:val="21"/>
          <w:rFonts w:hint="eastAsia" w:ascii="仿宋_GB2312" w:hAnsi="仿宋_GB2312" w:eastAsia="仿宋_GB2312" w:cs="仿宋_GB2312"/>
          <w:b w:val="0"/>
          <w:bCs/>
          <w:spacing w:val="-4"/>
          <w:kern w:val="2"/>
          <w:sz w:val="32"/>
          <w:szCs w:val="32"/>
          <w:lang w:val="en-US" w:eastAsia="zh-CN"/>
        </w:rPr>
        <w:t>1</w:t>
      </w:r>
      <w:r>
        <w:rPr>
          <w:rStyle w:val="21"/>
          <w:rFonts w:hint="eastAsia" w:ascii="仿宋_GB2312" w:hAnsi="仿宋_GB2312" w:eastAsia="仿宋_GB2312" w:cs="仿宋_GB2312"/>
          <w:b w:val="0"/>
          <w:bCs/>
          <w:spacing w:val="-4"/>
          <w:kern w:val="2"/>
          <w:sz w:val="32"/>
          <w:szCs w:val="32"/>
        </w:rPr>
        <w:t>项</w:t>
      </w:r>
      <w:r>
        <w:rPr>
          <w:rStyle w:val="21"/>
          <w:rFonts w:hint="eastAsia" w:ascii="仿宋_GB2312" w:hAnsi="仿宋_GB2312" w:eastAsia="仿宋_GB2312" w:cs="仿宋_GB2312"/>
          <w:b w:val="0"/>
          <w:bCs/>
          <w:spacing w:val="-4"/>
          <w:kern w:val="2"/>
          <w:sz w:val="32"/>
          <w:szCs w:val="32"/>
          <w:lang w:eastAsia="zh-CN"/>
        </w:rPr>
        <w:t>；指标完成率</w:t>
      </w:r>
      <w:r>
        <w:rPr>
          <w:rStyle w:val="21"/>
          <w:rFonts w:hint="eastAsia" w:ascii="仿宋_GB2312" w:hAnsi="仿宋_GB2312" w:eastAsia="仿宋_GB2312" w:cs="仿宋_GB2312"/>
          <w:b w:val="0"/>
          <w:bCs/>
          <w:spacing w:val="-4"/>
          <w:kern w:val="2"/>
          <w:sz w:val="32"/>
          <w:szCs w:val="32"/>
          <w:lang w:val="en-US" w:eastAsia="zh-CN"/>
        </w:rPr>
        <w:t>100%。</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bCs/>
          <w:sz w:val="32"/>
          <w:szCs w:val="32"/>
          <w:lang w:eastAsia="zh-CN"/>
        </w:rPr>
      </w:pPr>
      <w:r>
        <w:rPr>
          <w:rStyle w:val="50"/>
          <w:rFonts w:hint="eastAsia" w:ascii="仿宋_GB2312" w:hAnsi="仿宋_GB2312" w:eastAsia="仿宋_GB2312" w:cs="仿宋_GB2312"/>
          <w:color w:val="auto"/>
          <w:sz w:val="32"/>
          <w:szCs w:val="32"/>
        </w:rPr>
        <w:t>时效指标方面：</w:t>
      </w:r>
      <w:r>
        <w:rPr>
          <w:rStyle w:val="21"/>
          <w:rFonts w:hint="eastAsia" w:ascii="仿宋_GB2312" w:hAnsi="仿宋_GB2312" w:eastAsia="仿宋_GB2312" w:cs="仿宋_GB2312"/>
          <w:b w:val="0"/>
          <w:spacing w:val="-4"/>
          <w:sz w:val="32"/>
          <w:szCs w:val="32"/>
        </w:rPr>
        <w:t>工作按时完成时间</w:t>
      </w:r>
      <w:r>
        <w:rPr>
          <w:rStyle w:val="21"/>
          <w:rFonts w:hint="eastAsia" w:ascii="仿宋_GB2312" w:hAnsi="仿宋_GB2312" w:eastAsia="仿宋_GB2312" w:cs="仿宋_GB2312"/>
          <w:b w:val="0"/>
          <w:spacing w:val="-4"/>
          <w:sz w:val="32"/>
          <w:szCs w:val="32"/>
          <w:lang w:eastAsia="zh-CN"/>
        </w:rPr>
        <w:t>，评价目标值：12月底，业绩值：12月；</w:t>
      </w:r>
      <w:r>
        <w:rPr>
          <w:rStyle w:val="21"/>
          <w:rFonts w:hint="eastAsia" w:ascii="仿宋_GB2312" w:hAnsi="仿宋_GB2312" w:eastAsia="仿宋_GB2312" w:cs="仿宋_GB2312"/>
          <w:b w:val="0"/>
          <w:bCs/>
          <w:spacing w:val="-4"/>
          <w:kern w:val="2"/>
          <w:sz w:val="32"/>
          <w:szCs w:val="32"/>
          <w:lang w:eastAsia="zh-CN"/>
        </w:rPr>
        <w:t>指标完成率</w:t>
      </w:r>
      <w:r>
        <w:rPr>
          <w:rStyle w:val="21"/>
          <w:rFonts w:hint="eastAsia" w:ascii="仿宋_GB2312" w:hAnsi="仿宋_GB2312" w:eastAsia="仿宋_GB2312" w:cs="仿宋_GB2312"/>
          <w:b w:val="0"/>
          <w:bCs/>
          <w:spacing w:val="-4"/>
          <w:kern w:val="2"/>
          <w:sz w:val="32"/>
          <w:szCs w:val="32"/>
          <w:lang w:val="en-US" w:eastAsia="zh-CN"/>
        </w:rPr>
        <w:t>100%。</w:t>
      </w:r>
    </w:p>
    <w:p>
      <w:pPr>
        <w:pStyle w:val="2"/>
        <w:pageBreakBefore w:val="0"/>
        <w:kinsoku/>
        <w:wordWrap/>
        <w:overflowPunct/>
        <w:topLinePunct w:val="0"/>
        <w:autoSpaceDE/>
        <w:autoSpaceDN/>
        <w:bidi w:val="0"/>
        <w:adjustRightInd/>
        <w:snapToGrid/>
        <w:spacing w:before="0" w:after="0" w:line="560" w:lineRule="exact"/>
        <w:ind w:firstLine="640" w:firstLineChars="200"/>
        <w:jc w:val="both"/>
        <w:rPr>
          <w:rStyle w:val="50"/>
          <w:rFonts w:hint="eastAsia" w:ascii="仿宋_GB2312" w:hAnsi="仿宋_GB2312" w:eastAsia="仿宋_GB2312" w:cs="仿宋_GB2312"/>
          <w:b w:val="0"/>
          <w:bCs w:val="0"/>
          <w:color w:val="auto"/>
          <w:sz w:val="32"/>
          <w:szCs w:val="32"/>
          <w:lang w:val="en-US" w:eastAsia="zh-CN"/>
        </w:rPr>
      </w:pPr>
      <w:r>
        <w:rPr>
          <w:rStyle w:val="50"/>
          <w:rFonts w:hint="eastAsia" w:ascii="仿宋_GB2312" w:hAnsi="仿宋_GB2312" w:eastAsia="仿宋_GB2312" w:cs="仿宋_GB2312"/>
          <w:b w:val="0"/>
          <w:bCs w:val="0"/>
          <w:color w:val="auto"/>
          <w:sz w:val="32"/>
          <w:szCs w:val="32"/>
        </w:rPr>
        <w:t>成本指标方面：</w:t>
      </w:r>
      <w:r>
        <w:rPr>
          <w:rStyle w:val="21"/>
          <w:rFonts w:hint="eastAsia" w:ascii="仿宋_GB2312" w:hAnsi="仿宋_GB2312" w:eastAsia="仿宋_GB2312" w:cs="仿宋_GB2312"/>
          <w:b w:val="0"/>
          <w:bCs/>
          <w:spacing w:val="-4"/>
          <w:kern w:val="2"/>
          <w:sz w:val="32"/>
          <w:szCs w:val="32"/>
        </w:rPr>
        <w:t>服务成本</w:t>
      </w:r>
      <w:r>
        <w:rPr>
          <w:rStyle w:val="21"/>
          <w:rFonts w:hint="eastAsia" w:ascii="仿宋_GB2312" w:hAnsi="仿宋_GB2312" w:eastAsia="仿宋_GB2312" w:cs="仿宋_GB2312"/>
          <w:b w:val="0"/>
          <w:bCs/>
          <w:spacing w:val="-4"/>
          <w:kern w:val="2"/>
          <w:sz w:val="32"/>
          <w:szCs w:val="32"/>
          <w:lang w:eastAsia="zh-CN"/>
        </w:rPr>
        <w:t>，</w:t>
      </w:r>
      <w:r>
        <w:rPr>
          <w:rStyle w:val="21"/>
          <w:rFonts w:hint="eastAsia" w:ascii="仿宋_GB2312" w:hAnsi="仿宋_GB2312" w:eastAsia="仿宋_GB2312" w:cs="仿宋_GB2312"/>
          <w:b w:val="0"/>
          <w:bCs/>
          <w:spacing w:val="-4"/>
          <w:kern w:val="2"/>
          <w:sz w:val="32"/>
          <w:szCs w:val="32"/>
        </w:rPr>
        <w:t>评价目标值：=2万元，业绩值：1.99</w:t>
      </w:r>
      <w:r>
        <w:rPr>
          <w:rStyle w:val="21"/>
          <w:rFonts w:hint="eastAsia" w:ascii="仿宋_GB2312" w:hAnsi="仿宋_GB2312" w:eastAsia="仿宋_GB2312" w:cs="仿宋_GB2312"/>
          <w:b w:val="0"/>
          <w:bCs/>
          <w:spacing w:val="-4"/>
          <w:kern w:val="2"/>
          <w:sz w:val="32"/>
          <w:szCs w:val="32"/>
          <w:lang w:val="en-US" w:eastAsia="zh-CN"/>
        </w:rPr>
        <w:t>万元。</w:t>
      </w:r>
      <w:r>
        <w:rPr>
          <w:rStyle w:val="21"/>
          <w:rFonts w:hint="eastAsia" w:ascii="仿宋_GB2312" w:hAnsi="仿宋_GB2312" w:eastAsia="仿宋_GB2312" w:cs="仿宋_GB2312"/>
          <w:b w:val="0"/>
          <w:bCs/>
          <w:spacing w:val="-4"/>
          <w:kern w:val="2"/>
          <w:sz w:val="32"/>
          <w:szCs w:val="32"/>
          <w:lang w:eastAsia="zh-CN"/>
        </w:rPr>
        <w:t>指标完成率</w:t>
      </w:r>
      <w:r>
        <w:rPr>
          <w:rStyle w:val="21"/>
          <w:rFonts w:hint="eastAsia" w:ascii="仿宋_GB2312" w:hAnsi="仿宋_GB2312" w:eastAsia="仿宋_GB2312" w:cs="仿宋_GB2312"/>
          <w:b w:val="0"/>
          <w:bCs/>
          <w:spacing w:val="-4"/>
          <w:kern w:val="2"/>
          <w:sz w:val="32"/>
          <w:szCs w:val="32"/>
          <w:lang w:val="en-US" w:eastAsia="zh-CN"/>
        </w:rPr>
        <w:t>99.5%。</w:t>
      </w:r>
    </w:p>
    <w:p>
      <w:pPr>
        <w:pStyle w:val="2"/>
        <w:pageBreakBefore w:val="0"/>
        <w:kinsoku/>
        <w:wordWrap/>
        <w:overflowPunct/>
        <w:topLinePunct w:val="0"/>
        <w:autoSpaceDE/>
        <w:autoSpaceDN/>
        <w:bidi w:val="0"/>
        <w:adjustRightInd/>
        <w:snapToGrid/>
        <w:spacing w:before="0" w:after="0" w:line="560" w:lineRule="exact"/>
        <w:ind w:firstLine="643" w:firstLineChars="200"/>
        <w:jc w:val="both"/>
        <w:rPr>
          <w:rFonts w:hint="eastAsia" w:ascii="楷体_GB2312" w:hAnsi="楷体_GB2312" w:eastAsia="楷体_GB2312" w:cs="楷体_GB2312"/>
          <w:lang w:eastAsia="zh-CN"/>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四</w:t>
      </w:r>
      <w:r>
        <w:rPr>
          <w:rFonts w:hint="eastAsia" w:ascii="楷体_GB2312" w:hAnsi="楷体_GB2312" w:eastAsia="楷体_GB2312" w:cs="楷体_GB2312"/>
          <w:lang w:eastAsia="zh-CN"/>
        </w:rPr>
        <w:t>）效益情况</w:t>
      </w:r>
    </w:p>
    <w:p>
      <w:pPr>
        <w:pStyle w:val="18"/>
        <w:pageBreakBefore w:val="0"/>
        <w:numPr>
          <w:ilvl w:val="0"/>
          <w:numId w:val="0"/>
        </w:numPr>
        <w:kinsoku/>
        <w:wordWrap/>
        <w:overflowPunct/>
        <w:topLinePunct w:val="0"/>
        <w:autoSpaceDE/>
        <w:autoSpaceDN/>
        <w:bidi w:val="0"/>
        <w:adjustRightInd/>
        <w:snapToGrid w:val="0"/>
        <w:spacing w:after="0" w:line="560" w:lineRule="exact"/>
        <w:ind w:firstLine="1600" w:firstLineChars="500"/>
        <w:rPr>
          <w:rStyle w:val="50"/>
          <w:rFonts w:hint="eastAsia"/>
          <w:color w:val="auto"/>
          <w:highlight w:val="none"/>
        </w:rPr>
      </w:pPr>
      <w:r>
        <w:rPr>
          <w:rStyle w:val="50"/>
          <w:rFonts w:hint="eastAsia"/>
          <w:color w:val="auto"/>
          <w:highlight w:val="none"/>
        </w:rPr>
        <w:t>项目绩效指标得分情况如表所示：</w:t>
      </w:r>
    </w:p>
    <w:tbl>
      <w:tblPr>
        <w:tblStyle w:val="19"/>
        <w:tblpPr w:leftFromText="180" w:rightFromText="180" w:vertAnchor="text" w:horzAnchor="page" w:tblpX="1880" w:tblpY="207"/>
        <w:tblOverlap w:val="never"/>
        <w:tblW w:w="8581" w:type="dxa"/>
        <w:jc w:val="center"/>
        <w:tblLayout w:type="fixed"/>
        <w:tblCellMar>
          <w:top w:w="0" w:type="dxa"/>
          <w:left w:w="0" w:type="dxa"/>
          <w:bottom w:w="0" w:type="dxa"/>
          <w:right w:w="0" w:type="dxa"/>
        </w:tblCellMar>
      </w:tblPr>
      <w:tblGrid>
        <w:gridCol w:w="2452"/>
        <w:gridCol w:w="2043"/>
        <w:gridCol w:w="2043"/>
        <w:gridCol w:w="2043"/>
      </w:tblGrid>
      <w:tr>
        <w:tblPrEx>
          <w:tblCellMar>
            <w:top w:w="0" w:type="dxa"/>
            <w:left w:w="0" w:type="dxa"/>
            <w:bottom w:w="0" w:type="dxa"/>
            <w:right w:w="0" w:type="dxa"/>
          </w:tblCellMar>
        </w:tblPrEx>
        <w:trPr>
          <w:trHeight w:val="312" w:hRule="atLeast"/>
          <w:jc w:val="center"/>
        </w:trPr>
        <w:tc>
          <w:tcPr>
            <w:tcW w:w="245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三级指标</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权重</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得分率</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实际得分</w:t>
            </w:r>
          </w:p>
        </w:tc>
      </w:tr>
      <w:tr>
        <w:tblPrEx>
          <w:tblCellMar>
            <w:top w:w="0" w:type="dxa"/>
            <w:left w:w="0" w:type="dxa"/>
            <w:bottom w:w="0" w:type="dxa"/>
            <w:right w:w="0" w:type="dxa"/>
          </w:tblCellMar>
        </w:tblPrEx>
        <w:trPr>
          <w:trHeight w:val="312" w:hRule="atLeast"/>
          <w:jc w:val="center"/>
        </w:trPr>
        <w:tc>
          <w:tcPr>
            <w:tcW w:w="245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实施效益</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jc w:val="center"/>
              <w:textAlignment w:val="center"/>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30</w:t>
            </w:r>
          </w:p>
        </w:tc>
        <w:tc>
          <w:tcPr>
            <w:tcW w:w="204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lang w:val="en-US" w:eastAsia="zh-CN"/>
              </w:rPr>
              <w:t>100</w:t>
            </w:r>
            <w:r>
              <w:rPr>
                <w:rFonts w:hint="eastAsia" w:ascii="仿宋_GB2312" w:hAnsi="仿宋_GB2312" w:eastAsia="仿宋_GB2312" w:cs="仿宋_GB2312"/>
                <w:color w:val="000000"/>
                <w:kern w:val="0"/>
                <w:sz w:val="32"/>
                <w:szCs w:val="32"/>
                <w:highlight w:val="none"/>
              </w:rPr>
              <w:t>%</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jc w:val="center"/>
              <w:textAlignment w:val="center"/>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30</w:t>
            </w:r>
          </w:p>
        </w:tc>
      </w:tr>
      <w:tr>
        <w:tblPrEx>
          <w:tblCellMar>
            <w:top w:w="0" w:type="dxa"/>
            <w:left w:w="0" w:type="dxa"/>
            <w:bottom w:w="0" w:type="dxa"/>
            <w:right w:w="0" w:type="dxa"/>
          </w:tblCellMar>
        </w:tblPrEx>
        <w:trPr>
          <w:trHeight w:val="312" w:hRule="atLeast"/>
          <w:jc w:val="center"/>
        </w:trPr>
        <w:tc>
          <w:tcPr>
            <w:tcW w:w="245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满意度</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10</w:t>
            </w:r>
          </w:p>
        </w:tc>
        <w:tc>
          <w:tcPr>
            <w:tcW w:w="204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lang w:val="en-US" w:eastAsia="zh-CN"/>
              </w:rPr>
              <w:t>100</w:t>
            </w:r>
            <w:r>
              <w:rPr>
                <w:rFonts w:hint="eastAsia" w:ascii="仿宋_GB2312" w:hAnsi="仿宋_GB2312" w:eastAsia="仿宋_GB2312" w:cs="仿宋_GB2312"/>
                <w:color w:val="000000"/>
                <w:kern w:val="0"/>
                <w:sz w:val="32"/>
                <w:szCs w:val="32"/>
                <w:highlight w:val="none"/>
              </w:rPr>
              <w:t>%</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jc w:val="center"/>
              <w:textAlignment w:val="center"/>
              <w:rPr>
                <w:rFonts w:hint="default"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10</w:t>
            </w:r>
          </w:p>
        </w:tc>
      </w:tr>
      <w:tr>
        <w:tblPrEx>
          <w:tblCellMar>
            <w:top w:w="0" w:type="dxa"/>
            <w:left w:w="0" w:type="dxa"/>
            <w:bottom w:w="0" w:type="dxa"/>
            <w:right w:w="0" w:type="dxa"/>
          </w:tblCellMar>
        </w:tblPrEx>
        <w:trPr>
          <w:trHeight w:val="312" w:hRule="atLeast"/>
          <w:jc w:val="center"/>
        </w:trPr>
        <w:tc>
          <w:tcPr>
            <w:tcW w:w="245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bottom"/>
          </w:tcPr>
          <w:p>
            <w:pPr>
              <w:pageBreakBefore w:val="0"/>
              <w:widowControl/>
              <w:kinsoku/>
              <w:wordWrap/>
              <w:overflowPunct/>
              <w:topLinePunct w:val="0"/>
              <w:autoSpaceDE/>
              <w:autoSpaceDN/>
              <w:bidi w:val="0"/>
              <w:adjustRightInd/>
              <w:snapToGrid w:val="0"/>
              <w:spacing w:line="560" w:lineRule="exact"/>
              <w:jc w:val="center"/>
              <w:textAlignment w:val="bottom"/>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合计</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pageBreakBefore w:val="0"/>
              <w:widowControl/>
              <w:kinsoku/>
              <w:wordWrap/>
              <w:overflowPunct/>
              <w:topLinePunct w:val="0"/>
              <w:autoSpaceDE/>
              <w:autoSpaceDN/>
              <w:bidi w:val="0"/>
              <w:adjustRightInd/>
              <w:snapToGrid w:val="0"/>
              <w:spacing w:line="560" w:lineRule="exact"/>
              <w:jc w:val="center"/>
              <w:textAlignment w:val="bottom"/>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40</w:t>
            </w:r>
          </w:p>
        </w:tc>
        <w:tc>
          <w:tcPr>
            <w:tcW w:w="204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val="0"/>
              <w:spacing w:line="560" w:lineRule="exact"/>
              <w:ind w:firstLine="640" w:firstLineChars="200"/>
              <w:jc w:val="both"/>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lang w:val="en-US" w:eastAsia="zh-CN"/>
              </w:rPr>
              <w:t>100</w:t>
            </w:r>
            <w:r>
              <w:rPr>
                <w:rFonts w:hint="eastAsia" w:ascii="仿宋_GB2312" w:hAnsi="仿宋_GB2312" w:eastAsia="仿宋_GB2312" w:cs="仿宋_GB2312"/>
                <w:color w:val="000000"/>
                <w:kern w:val="0"/>
                <w:sz w:val="32"/>
                <w:szCs w:val="32"/>
                <w:highlight w:val="none"/>
              </w:rPr>
              <w:t>%</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pageBreakBefore w:val="0"/>
              <w:widowControl/>
              <w:kinsoku/>
              <w:wordWrap/>
              <w:overflowPunct/>
              <w:topLinePunct w:val="0"/>
              <w:autoSpaceDE/>
              <w:autoSpaceDN/>
              <w:bidi w:val="0"/>
              <w:adjustRightInd/>
              <w:snapToGrid w:val="0"/>
              <w:spacing w:line="560" w:lineRule="exact"/>
              <w:jc w:val="center"/>
              <w:textAlignment w:val="bottom"/>
              <w:rPr>
                <w:rFonts w:hint="default"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40</w:t>
            </w:r>
          </w:p>
        </w:tc>
      </w:tr>
    </w:tbl>
    <w:p>
      <w:pPr>
        <w:pageBreakBefore w:val="0"/>
        <w:kinsoku/>
        <w:wordWrap/>
        <w:overflowPunct/>
        <w:topLinePunct w:val="0"/>
        <w:autoSpaceDE/>
        <w:autoSpaceDN/>
        <w:bidi w:val="0"/>
        <w:adjustRightInd/>
        <w:snapToGrid/>
        <w:spacing w:line="560" w:lineRule="exact"/>
        <w:ind w:firstLine="640"/>
        <w:rPr>
          <w:rStyle w:val="50"/>
          <w:rFonts w:hint="eastAsia" w:ascii="仿宋_GB2312" w:hAnsi="仿宋_GB2312" w:eastAsia="仿宋_GB2312" w:cs="仿宋_GB2312"/>
          <w:color w:val="auto"/>
          <w:lang w:eastAsia="zh-CN"/>
        </w:rPr>
      </w:pPr>
      <w:r>
        <w:rPr>
          <w:rStyle w:val="50"/>
          <w:rFonts w:hint="eastAsia" w:ascii="仿宋_GB2312" w:hAnsi="仿宋_GB2312" w:eastAsia="仿宋_GB2312" w:cs="仿宋_GB2312"/>
          <w:color w:val="auto"/>
        </w:rPr>
        <w:t>经济效益指标方面：农牧民草原人工种草经济效益</w:t>
      </w:r>
      <w:r>
        <w:rPr>
          <w:rStyle w:val="50"/>
          <w:rFonts w:hint="eastAsia" w:ascii="仿宋_GB2312" w:hAnsi="仿宋_GB2312" w:eastAsia="仿宋_GB2312" w:cs="仿宋_GB2312"/>
          <w:color w:val="auto"/>
          <w:lang w:eastAsia="zh-CN"/>
        </w:rPr>
        <w:t>，评价目标值：≥500元，业绩值：500元。</w:t>
      </w:r>
    </w:p>
    <w:p>
      <w:pPr>
        <w:pStyle w:val="2"/>
        <w:pageBreakBefore w:val="0"/>
        <w:kinsoku/>
        <w:wordWrap/>
        <w:overflowPunct/>
        <w:topLinePunct w:val="0"/>
        <w:autoSpaceDE/>
        <w:autoSpaceDN/>
        <w:bidi w:val="0"/>
        <w:adjustRightInd/>
        <w:snapToGrid/>
        <w:spacing w:before="0" w:after="0" w:line="560" w:lineRule="exact"/>
        <w:ind w:firstLine="624" w:firstLineChars="200"/>
        <w:jc w:val="both"/>
        <w:rPr>
          <w:rStyle w:val="21"/>
          <w:rFonts w:hint="eastAsia" w:ascii="仿宋_GB2312" w:hAnsi="仿宋_GB2312" w:eastAsia="仿宋_GB2312" w:cs="仿宋_GB2312"/>
          <w:b w:val="0"/>
          <w:bCs/>
          <w:spacing w:val="-4"/>
          <w:kern w:val="2"/>
          <w:lang w:eastAsia="zh-CN"/>
        </w:rPr>
      </w:pPr>
      <w:r>
        <w:rPr>
          <w:rStyle w:val="21"/>
          <w:rFonts w:hint="eastAsia" w:ascii="仿宋_GB2312" w:hAnsi="仿宋_GB2312" w:eastAsia="仿宋_GB2312" w:cs="仿宋_GB2312"/>
          <w:b w:val="0"/>
          <w:bCs/>
          <w:spacing w:val="-4"/>
          <w:kern w:val="2"/>
        </w:rPr>
        <w:t>社会效益指标方面：提上农牧民运用牧草种植技发展生产的能力术</w:t>
      </w:r>
      <w:r>
        <w:rPr>
          <w:rStyle w:val="21"/>
          <w:rFonts w:hint="eastAsia" w:ascii="仿宋_GB2312" w:hAnsi="仿宋_GB2312" w:eastAsia="仿宋_GB2312" w:cs="仿宋_GB2312"/>
          <w:b w:val="0"/>
          <w:bCs/>
          <w:spacing w:val="-4"/>
          <w:kern w:val="2"/>
          <w:lang w:eastAsia="zh-CN"/>
        </w:rPr>
        <w:t>，评价目标值：农牧民牧草种植技术运用能力提升，业绩值：有所提升。</w:t>
      </w:r>
    </w:p>
    <w:p>
      <w:pPr>
        <w:pStyle w:val="2"/>
        <w:pageBreakBefore w:val="0"/>
        <w:kinsoku/>
        <w:wordWrap/>
        <w:overflowPunct/>
        <w:topLinePunct w:val="0"/>
        <w:autoSpaceDE/>
        <w:autoSpaceDN/>
        <w:bidi w:val="0"/>
        <w:adjustRightInd/>
        <w:snapToGrid/>
        <w:spacing w:before="0" w:after="0" w:line="560" w:lineRule="exact"/>
        <w:ind w:firstLine="624" w:firstLineChars="200"/>
        <w:jc w:val="both"/>
        <w:rPr>
          <w:rStyle w:val="21"/>
          <w:rFonts w:hint="eastAsia" w:ascii="仿宋_GB2312" w:hAnsi="仿宋_GB2312" w:eastAsia="仿宋_GB2312" w:cs="仿宋_GB2312"/>
          <w:b w:val="0"/>
          <w:bCs/>
          <w:spacing w:val="-4"/>
          <w:kern w:val="2"/>
          <w:lang w:eastAsia="zh-CN"/>
        </w:rPr>
      </w:pPr>
      <w:r>
        <w:rPr>
          <w:rStyle w:val="21"/>
          <w:rFonts w:hint="eastAsia" w:ascii="仿宋_GB2312" w:hAnsi="仿宋_GB2312" w:eastAsia="仿宋_GB2312" w:cs="仿宋_GB2312"/>
          <w:b w:val="0"/>
          <w:bCs/>
          <w:spacing w:val="-4"/>
          <w:kern w:val="2"/>
          <w:lang w:eastAsia="zh-CN"/>
        </w:rPr>
        <w:t>生态效益指标</w:t>
      </w:r>
      <w:r>
        <w:rPr>
          <w:rStyle w:val="21"/>
          <w:rFonts w:hint="eastAsia" w:ascii="仿宋_GB2312" w:hAnsi="仿宋_GB2312" w:eastAsia="仿宋_GB2312" w:cs="仿宋_GB2312"/>
          <w:b w:val="0"/>
          <w:bCs/>
          <w:spacing w:val="-4"/>
          <w:kern w:val="2"/>
          <w:lang w:val="en-US" w:eastAsia="zh-CN"/>
        </w:rPr>
        <w:t>方面：受援农牧民生态保护意识，</w:t>
      </w:r>
      <w:r>
        <w:rPr>
          <w:rStyle w:val="21"/>
          <w:rFonts w:hint="eastAsia" w:ascii="仿宋_GB2312" w:hAnsi="仿宋_GB2312" w:eastAsia="仿宋_GB2312" w:cs="仿宋_GB2312"/>
          <w:b w:val="0"/>
          <w:bCs/>
          <w:spacing w:val="-4"/>
          <w:kern w:val="2"/>
          <w:lang w:eastAsia="zh-CN"/>
        </w:rPr>
        <w:t>评价目标值：有所提升，业绩值：有所提升。</w:t>
      </w:r>
    </w:p>
    <w:p>
      <w:pPr>
        <w:pStyle w:val="2"/>
        <w:pageBreakBefore w:val="0"/>
        <w:kinsoku/>
        <w:wordWrap/>
        <w:overflowPunct/>
        <w:topLinePunct w:val="0"/>
        <w:autoSpaceDE/>
        <w:autoSpaceDN/>
        <w:bidi w:val="0"/>
        <w:adjustRightInd/>
        <w:snapToGrid/>
        <w:spacing w:before="0" w:after="0" w:line="560" w:lineRule="exact"/>
        <w:ind w:firstLine="624" w:firstLineChars="200"/>
        <w:jc w:val="both"/>
        <w:rPr>
          <w:rFonts w:hint="eastAsia" w:ascii="仿宋_GB2312" w:hAnsi="仿宋_GB2312" w:eastAsia="仿宋_GB2312" w:cs="仿宋_GB2312"/>
          <w:lang w:eastAsia="zh-CN"/>
        </w:rPr>
      </w:pPr>
      <w:r>
        <w:rPr>
          <w:rStyle w:val="21"/>
          <w:rFonts w:hint="eastAsia" w:ascii="仿宋_GB2312" w:hAnsi="仿宋_GB2312" w:eastAsia="仿宋_GB2312" w:cs="仿宋_GB2312"/>
          <w:b w:val="0"/>
          <w:bCs/>
          <w:spacing w:val="-4"/>
          <w:kern w:val="2"/>
        </w:rPr>
        <w:t>可持续影响指标方面：农民提高人工种草保护草原意识</w:t>
      </w:r>
      <w:r>
        <w:rPr>
          <w:rStyle w:val="21"/>
          <w:rFonts w:hint="eastAsia" w:ascii="仿宋_GB2312" w:hAnsi="仿宋_GB2312" w:eastAsia="仿宋_GB2312" w:cs="仿宋_GB2312"/>
          <w:b w:val="0"/>
          <w:bCs/>
          <w:spacing w:val="-4"/>
          <w:kern w:val="2"/>
          <w:lang w:eastAsia="zh-CN"/>
        </w:rPr>
        <w:t>，评价目标值：不断提升，业绩值：有所提升。</w:t>
      </w:r>
    </w:p>
    <w:p>
      <w:pPr>
        <w:pageBreakBefore w:val="0"/>
        <w:kinsoku/>
        <w:wordWrap/>
        <w:overflowPunct/>
        <w:topLinePunct w:val="0"/>
        <w:autoSpaceDE/>
        <w:autoSpaceDN/>
        <w:bidi w:val="0"/>
        <w:adjustRightInd/>
        <w:snapToGrid/>
        <w:spacing w:line="560" w:lineRule="exact"/>
        <w:ind w:firstLine="640"/>
        <w:rPr>
          <w:rStyle w:val="21"/>
          <w:rFonts w:hint="eastAsia" w:ascii="仿宋_GB2312" w:hAnsi="仿宋_GB2312" w:eastAsia="仿宋_GB2312" w:cs="仿宋_GB2312"/>
          <w:b w:val="0"/>
          <w:spacing w:val="-4"/>
          <w:kern w:val="2"/>
          <w:sz w:val="32"/>
          <w:szCs w:val="32"/>
          <w:lang w:val="en-US" w:eastAsia="zh-CN" w:bidi="ar-SA"/>
        </w:rPr>
      </w:pPr>
      <w:r>
        <w:rPr>
          <w:rStyle w:val="50"/>
          <w:rFonts w:hint="eastAsia" w:ascii="仿宋_GB2312" w:hAnsi="仿宋_GB2312" w:eastAsia="仿宋_GB2312" w:cs="仿宋_GB2312"/>
          <w:color w:val="auto"/>
        </w:rPr>
        <w:t>满意度指标方面</w:t>
      </w:r>
      <w:r>
        <w:rPr>
          <w:rStyle w:val="21"/>
          <w:rFonts w:hint="eastAsia" w:ascii="仿宋_GB2312" w:hAnsi="仿宋_GB2312" w:eastAsia="仿宋_GB2312" w:cs="仿宋_GB2312"/>
          <w:b w:val="0"/>
          <w:spacing w:val="-4"/>
          <w:kern w:val="2"/>
          <w:sz w:val="32"/>
          <w:szCs w:val="32"/>
          <w:lang w:val="en-US" w:eastAsia="zh-CN" w:bidi="ar-SA"/>
        </w:rPr>
        <w:t>：受援农牧民满意度，评价目标值：≥85%，业绩值：85%。</w:t>
      </w:r>
    </w:p>
    <w:p>
      <w:pPr>
        <w:pageBreakBefore w:val="0"/>
        <w:kinsoku/>
        <w:wordWrap/>
        <w:overflowPunct/>
        <w:topLinePunct w:val="0"/>
        <w:autoSpaceDE/>
        <w:autoSpaceDN/>
        <w:bidi w:val="0"/>
        <w:adjustRightInd/>
        <w:snapToGrid/>
        <w:spacing w:line="560" w:lineRule="exact"/>
        <w:ind w:firstLine="641"/>
        <w:rPr>
          <w:rStyle w:val="50"/>
          <w:color w:val="auto"/>
        </w:rPr>
      </w:pPr>
      <w:r>
        <w:rPr>
          <w:rFonts w:hint="eastAsia" w:ascii="黑体" w:hAnsi="黑体" w:eastAsia="黑体"/>
          <w:sz w:val="32"/>
          <w:szCs w:val="32"/>
        </w:rPr>
        <w:t>五、主要经验及做法、存在的问题及原因分析</w:t>
      </w:r>
    </w:p>
    <w:p>
      <w:pPr>
        <w:pageBreakBefore w:val="0"/>
        <w:kinsoku/>
        <w:wordWrap/>
        <w:overflowPunct/>
        <w:topLinePunct w:val="0"/>
        <w:autoSpaceDE/>
        <w:autoSpaceDN/>
        <w:bidi w:val="0"/>
        <w:adjustRightInd/>
        <w:snapToGrid/>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（一）主要经验及做法</w:t>
      </w:r>
    </w:p>
    <w:p>
      <w:pPr>
        <w:pageBreakBefore w:val="0"/>
        <w:kinsoku/>
        <w:wordWrap/>
        <w:overflowPunct/>
        <w:topLinePunct w:val="0"/>
        <w:autoSpaceDE/>
        <w:autoSpaceDN/>
        <w:bidi w:val="0"/>
        <w:adjustRightInd/>
        <w:snapToGrid/>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pageBreakBefore w:val="0"/>
        <w:kinsoku/>
        <w:wordWrap/>
        <w:overflowPunct/>
        <w:topLinePunct w:val="0"/>
        <w:autoSpaceDE/>
        <w:autoSpaceDN/>
        <w:bidi w:val="0"/>
        <w:adjustRightInd/>
        <w:snapToGrid/>
        <w:spacing w:before="0" w:after="0" w:line="560" w:lineRule="exact"/>
        <w:ind w:firstLine="640" w:firstLineChars="200"/>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pageBreakBefore w:val="0"/>
        <w:numPr>
          <w:ilvl w:val="0"/>
          <w:numId w:val="6"/>
        </w:numPr>
        <w:kinsoku/>
        <w:wordWrap/>
        <w:overflowPunct/>
        <w:topLinePunct w:val="0"/>
        <w:autoSpaceDE/>
        <w:autoSpaceDN/>
        <w:bidi w:val="0"/>
        <w:adjustRightInd/>
        <w:snapToGrid/>
        <w:spacing w:line="560" w:lineRule="exac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存在的问题及原因分析</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一是今</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rPr>
        <w:t>夏季干旱缺水，影响村队生产生活。</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二是夏季</w:t>
      </w:r>
      <w:r>
        <w:rPr>
          <w:rFonts w:hint="eastAsia" w:ascii="仿宋_GB2312" w:hAnsi="仿宋_GB2312" w:eastAsia="仿宋_GB2312" w:cs="仿宋_GB2312"/>
          <w:sz w:val="32"/>
          <w:szCs w:val="32"/>
          <w:lang w:eastAsia="zh-CN"/>
        </w:rPr>
        <w:t>传染病防控</w:t>
      </w:r>
      <w:r>
        <w:rPr>
          <w:rFonts w:hint="eastAsia" w:ascii="仿宋_GB2312" w:hAnsi="仿宋_GB2312" w:eastAsia="仿宋_GB2312" w:cs="仿宋_GB2312"/>
          <w:sz w:val="32"/>
          <w:szCs w:val="32"/>
        </w:rPr>
        <w:t>影响了科技服务工作。</w:t>
      </w:r>
    </w:p>
    <w:p>
      <w:pPr>
        <w:pageBreakBefore w:val="0"/>
        <w:numPr>
          <w:ilvl w:val="0"/>
          <w:numId w:val="7"/>
        </w:numPr>
        <w:kinsoku/>
        <w:wordWrap/>
        <w:overflowPunct/>
        <w:topLinePunct w:val="0"/>
        <w:autoSpaceDE/>
        <w:autoSpaceDN/>
        <w:bidi w:val="0"/>
        <w:adjustRightInd/>
        <w:snapToGrid/>
        <w:spacing w:line="560" w:lineRule="exact"/>
        <w:ind w:firstLine="641"/>
        <w:rPr>
          <w:rFonts w:ascii="黑体" w:hAnsi="黑体" w:eastAsia="黑体"/>
          <w:sz w:val="32"/>
          <w:szCs w:val="32"/>
        </w:rPr>
      </w:pPr>
      <w:r>
        <w:rPr>
          <w:rFonts w:hint="eastAsia" w:ascii="黑体" w:hAnsi="黑体" w:eastAsia="黑体"/>
          <w:sz w:val="32"/>
          <w:szCs w:val="32"/>
        </w:rPr>
        <w:t>有关建议</w:t>
      </w:r>
    </w:p>
    <w:p>
      <w:pPr>
        <w:pageBreakBefore w:val="0"/>
        <w:numPr>
          <w:ilvl w:val="0"/>
          <w:numId w:val="8"/>
        </w:numPr>
        <w:kinsoku/>
        <w:wordWrap/>
        <w:overflowPunct/>
        <w:topLinePunct w:val="0"/>
        <w:autoSpaceDE/>
        <w:autoSpaceDN/>
        <w:bidi w:val="0"/>
        <w:adjustRightInd/>
        <w:snapToGrid/>
        <w:spacing w:line="56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pPr>
        <w:pageBreakBefore w:val="0"/>
        <w:numPr>
          <w:ilvl w:val="0"/>
          <w:numId w:val="8"/>
        </w:numPr>
        <w:kinsoku/>
        <w:wordWrap/>
        <w:overflowPunct/>
        <w:topLinePunct w:val="0"/>
        <w:autoSpaceDE/>
        <w:autoSpaceDN/>
        <w:bidi w:val="0"/>
        <w:adjustRightInd/>
        <w:snapToGrid/>
        <w:spacing w:line="56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财政和项目实施单位严格实行“三专”管理，即设专户、建专帐、定专人。同时，资金拨付除坚持按项目计划、工程进度和质量分阶段验收拨款外，还坚持部门联审制，项目单位先做事、后报帐，从而确保专项资金专款专用，有效地防止了截留、挤占和挪用。</w:t>
      </w:r>
    </w:p>
    <w:p>
      <w:pPr>
        <w:pageBreakBefore w:val="0"/>
        <w:numPr>
          <w:ilvl w:val="0"/>
          <w:numId w:val="7"/>
        </w:numPr>
        <w:kinsoku/>
        <w:wordWrap/>
        <w:overflowPunct/>
        <w:topLinePunct w:val="0"/>
        <w:autoSpaceDE/>
        <w:autoSpaceDN/>
        <w:bidi w:val="0"/>
        <w:adjustRightInd/>
        <w:snapToGrid/>
        <w:spacing w:line="560" w:lineRule="exact"/>
        <w:ind w:firstLine="641"/>
        <w:rPr>
          <w:rFonts w:ascii="黑体" w:hAnsi="黑体" w:eastAsia="黑体"/>
          <w:sz w:val="32"/>
          <w:szCs w:val="32"/>
        </w:rPr>
      </w:pPr>
      <w:r>
        <w:rPr>
          <w:rFonts w:hint="eastAsia" w:ascii="黑体" w:hAnsi="黑体" w:eastAsia="黑体"/>
          <w:sz w:val="32"/>
          <w:szCs w:val="32"/>
        </w:rPr>
        <w:t>其他需要说</w:t>
      </w:r>
      <w:bookmarkStart w:id="1" w:name="page8"/>
      <w:bookmarkEnd w:id="1"/>
      <w:r>
        <w:rPr>
          <w:rFonts w:hint="eastAsia" w:ascii="黑体" w:hAnsi="黑体" w:eastAsia="黑体"/>
          <w:sz w:val="32"/>
          <w:szCs w:val="32"/>
        </w:rPr>
        <w:t>明的问题</w:t>
      </w:r>
    </w:p>
    <w:p>
      <w:pPr>
        <w:pageBreakBefore w:val="0"/>
        <w:kinsoku/>
        <w:wordWrap/>
        <w:overflowPunct/>
        <w:topLinePunct w:val="0"/>
        <w:autoSpaceDE/>
        <w:autoSpaceDN/>
        <w:bidi w:val="0"/>
        <w:adjustRightInd/>
        <w:snapToGrid/>
        <w:spacing w:line="560" w:lineRule="exact"/>
        <w:ind w:firstLine="640" w:firstLineChars="200"/>
        <w:jc w:val="left"/>
        <w:rPr>
          <w:rFonts w:ascii="黑体" w:hAnsi="黑体" w:eastAsia="黑体"/>
          <w:sz w:val="32"/>
          <w:szCs w:val="32"/>
        </w:rPr>
      </w:pPr>
      <w:r>
        <w:rPr>
          <w:rFonts w:hint="eastAsia" w:ascii="仿宋_GB2312" w:hAnsi="仿宋_GB2312" w:eastAsia="仿宋_GB2312" w:cs="仿宋_GB2312"/>
          <w:sz w:val="32"/>
          <w:szCs w:val="32"/>
        </w:rPr>
        <w:t>无。</w:t>
      </w:r>
    </w:p>
    <w:p>
      <w:pPr>
        <w:pStyle w:val="2"/>
        <w:pageBreakBefore w:val="0"/>
        <w:kinsoku/>
        <w:wordWrap/>
        <w:overflowPunct/>
        <w:topLinePunct w:val="0"/>
        <w:autoSpaceDE/>
        <w:autoSpaceDN/>
        <w:bidi w:val="0"/>
        <w:adjustRightInd/>
        <w:snapToGrid/>
        <w:spacing w:before="0" w:after="0" w:line="560" w:lineRule="exact"/>
        <w:jc w:val="both"/>
      </w:pPr>
    </w:p>
    <w:p/>
    <w:p>
      <w:pPr>
        <w:pStyle w:val="2"/>
      </w:pPr>
    </w:p>
    <w:p/>
    <w:p>
      <w:pPr>
        <w:pStyle w:val="2"/>
      </w:pPr>
    </w:p>
    <w:p/>
    <w:p>
      <w:pPr>
        <w:pStyle w:val="2"/>
      </w:pPr>
    </w:p>
    <w:p/>
    <w:p>
      <w:pPr>
        <w:pStyle w:val="2"/>
      </w:pPr>
    </w:p>
    <w:p/>
    <w:p>
      <w:pPr>
        <w:pStyle w:val="2"/>
      </w:pPr>
    </w:p>
    <w:p/>
    <w:p>
      <w:pPr>
        <w:pStyle w:val="2"/>
      </w:pPr>
    </w:p>
    <w:p/>
    <w:tbl>
      <w:tblPr>
        <w:tblStyle w:val="19"/>
        <w:tblW w:w="9060" w:type="dxa"/>
        <w:tblInd w:w="0" w:type="dxa"/>
        <w:shd w:val="clear" w:color="auto" w:fill="auto"/>
        <w:tblLayout w:type="fixed"/>
        <w:tblCellMar>
          <w:top w:w="0" w:type="dxa"/>
          <w:left w:w="0" w:type="dxa"/>
          <w:bottom w:w="0" w:type="dxa"/>
          <w:right w:w="0" w:type="dxa"/>
        </w:tblCellMar>
      </w:tblPr>
      <w:tblGrid>
        <w:gridCol w:w="945"/>
        <w:gridCol w:w="946"/>
        <w:gridCol w:w="1002"/>
        <w:gridCol w:w="982"/>
        <w:gridCol w:w="1009"/>
        <w:gridCol w:w="981"/>
        <w:gridCol w:w="846"/>
        <w:gridCol w:w="376"/>
        <w:gridCol w:w="404"/>
        <w:gridCol w:w="1569"/>
      </w:tblGrid>
      <w:tr>
        <w:tblPrEx>
          <w:shd w:val="clear" w:color="auto" w:fill="auto"/>
          <w:tblCellMar>
            <w:top w:w="0" w:type="dxa"/>
            <w:left w:w="0" w:type="dxa"/>
            <w:bottom w:w="0" w:type="dxa"/>
            <w:right w:w="0" w:type="dxa"/>
          </w:tblCellMar>
        </w:tblPrEx>
        <w:trPr>
          <w:trHeight w:val="409" w:hRule="atLeast"/>
        </w:trPr>
        <w:tc>
          <w:tcPr>
            <w:tcW w:w="9060" w:type="dxa"/>
            <w:gridSpan w:val="10"/>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tblPrEx>
          <w:shd w:val="clear" w:color="auto" w:fill="auto"/>
          <w:tblCellMar>
            <w:top w:w="0" w:type="dxa"/>
            <w:left w:w="0" w:type="dxa"/>
            <w:bottom w:w="0" w:type="dxa"/>
            <w:right w:w="0" w:type="dxa"/>
          </w:tblCellMar>
        </w:tblPrEx>
        <w:trPr>
          <w:trHeight w:val="409" w:hRule="atLeast"/>
        </w:trPr>
        <w:tc>
          <w:tcPr>
            <w:tcW w:w="9060" w:type="dxa"/>
            <w:gridSpan w:val="10"/>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2"/>
                <w:szCs w:val="32"/>
                <w:u w:val="none"/>
              </w:rPr>
            </w:pPr>
            <w:r>
              <w:rPr>
                <w:rFonts w:hint="eastAsia" w:ascii="宋体" w:hAnsi="宋体" w:eastAsia="宋体" w:cs="宋体"/>
                <w:i w:val="0"/>
                <w:color w:val="000000"/>
                <w:kern w:val="0"/>
                <w:sz w:val="32"/>
                <w:szCs w:val="32"/>
                <w:u w:val="none"/>
                <w:lang w:val="en-US" w:eastAsia="zh-CN" w:bidi="ar"/>
              </w:rPr>
              <w:t>（   2020 年度）</w:t>
            </w:r>
          </w:p>
        </w:tc>
      </w:tr>
      <w:tr>
        <w:tblPrEx>
          <w:shd w:val="clear" w:color="auto" w:fill="auto"/>
          <w:tblCellMar>
            <w:top w:w="0" w:type="dxa"/>
            <w:left w:w="0" w:type="dxa"/>
            <w:bottom w:w="0" w:type="dxa"/>
            <w:right w:w="0" w:type="dxa"/>
          </w:tblCellMar>
        </w:tblPrEx>
        <w:trPr>
          <w:trHeight w:val="270" w:hRule="atLeast"/>
        </w:trPr>
        <w:tc>
          <w:tcPr>
            <w:tcW w:w="9060" w:type="dxa"/>
            <w:gridSpan w:val="10"/>
            <w:tcBorders>
              <w:top w:val="nil"/>
              <w:left w:val="nil"/>
              <w:bottom w:val="nil"/>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shd w:val="clear" w:color="auto" w:fill="auto"/>
          <w:tblCellMar>
            <w:top w:w="0" w:type="dxa"/>
            <w:left w:w="0" w:type="dxa"/>
            <w:bottom w:w="0" w:type="dxa"/>
            <w:right w:w="0" w:type="dxa"/>
          </w:tblCellMar>
        </w:tblPrEx>
        <w:trPr>
          <w:trHeight w:val="270" w:hRule="atLeast"/>
        </w:trPr>
        <w:tc>
          <w:tcPr>
            <w:tcW w:w="18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7169" w:type="dxa"/>
            <w:gridSpan w:val="8"/>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2020自治区科技特派员工作补助经费</w:t>
            </w:r>
          </w:p>
        </w:tc>
      </w:tr>
      <w:tr>
        <w:tblPrEx>
          <w:shd w:val="clear" w:color="auto" w:fill="auto"/>
          <w:tblCellMar>
            <w:top w:w="0" w:type="dxa"/>
            <w:left w:w="0" w:type="dxa"/>
            <w:bottom w:w="0" w:type="dxa"/>
            <w:right w:w="0" w:type="dxa"/>
          </w:tblCellMar>
        </w:tblPrEx>
        <w:trPr>
          <w:trHeight w:val="600" w:hRule="atLeast"/>
        </w:trPr>
        <w:tc>
          <w:tcPr>
            <w:tcW w:w="18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4820" w:type="dxa"/>
            <w:gridSpan w:val="5"/>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15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塔城地区草原工作站</w:t>
            </w:r>
          </w:p>
        </w:tc>
      </w:tr>
      <w:tr>
        <w:tblPrEx>
          <w:shd w:val="clear" w:color="auto" w:fill="auto"/>
          <w:tblCellMar>
            <w:top w:w="0" w:type="dxa"/>
            <w:left w:w="0" w:type="dxa"/>
            <w:bottom w:w="0" w:type="dxa"/>
            <w:right w:w="0" w:type="dxa"/>
          </w:tblCellMar>
        </w:tblPrEx>
        <w:trPr>
          <w:trHeight w:val="392" w:hRule="atLeast"/>
        </w:trPr>
        <w:tc>
          <w:tcPr>
            <w:tcW w:w="18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p>
        </w:tc>
        <w:tc>
          <w:tcPr>
            <w:tcW w:w="1002" w:type="dxa"/>
            <w:tcBorders>
              <w:top w:val="nil"/>
              <w:left w:val="nil"/>
              <w:bottom w:val="nil"/>
              <w:right w:val="nil"/>
            </w:tcBorders>
            <w:shd w:val="clear" w:color="auto" w:fill="auto"/>
            <w:noWrap/>
            <w:tcMar>
              <w:top w:w="15" w:type="dxa"/>
              <w:left w:w="15" w:type="dxa"/>
              <w:right w:w="15" w:type="dxa"/>
            </w:tcMar>
            <w:vAlign w:val="bottom"/>
          </w:tcPr>
          <w:p>
            <w:pPr>
              <w:rPr>
                <w:rFonts w:hint="eastAsia" w:ascii="Arial" w:hAnsi="Arial" w:cs="Arial"/>
                <w:i w:val="0"/>
                <w:color w:val="000000"/>
                <w:sz w:val="20"/>
                <w:szCs w:val="20"/>
                <w:u w:val="none"/>
              </w:rPr>
            </w:pPr>
          </w:p>
        </w:tc>
        <w:tc>
          <w:tcPr>
            <w:tcW w:w="982"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1827"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15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r>
      <w:tr>
        <w:tblPrEx>
          <w:shd w:val="clear" w:color="auto" w:fill="auto"/>
          <w:tblCellMar>
            <w:top w:w="0" w:type="dxa"/>
            <w:left w:w="0" w:type="dxa"/>
            <w:bottom w:w="0" w:type="dxa"/>
            <w:right w:w="0" w:type="dxa"/>
          </w:tblCellMar>
        </w:tblPrEx>
        <w:trPr>
          <w:trHeight w:val="270" w:hRule="atLeast"/>
        </w:trPr>
        <w:tc>
          <w:tcPr>
            <w:tcW w:w="18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198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1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827"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5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r>
      <w:tr>
        <w:tblPrEx>
          <w:shd w:val="clear" w:color="auto" w:fill="auto"/>
          <w:tblCellMar>
            <w:top w:w="0" w:type="dxa"/>
            <w:left w:w="0" w:type="dxa"/>
            <w:bottom w:w="0" w:type="dxa"/>
            <w:right w:w="0" w:type="dxa"/>
          </w:tblCellMar>
        </w:tblPrEx>
        <w:trPr>
          <w:trHeight w:val="372" w:hRule="atLeast"/>
        </w:trPr>
        <w:tc>
          <w:tcPr>
            <w:tcW w:w="18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98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1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2.00</w:t>
            </w:r>
          </w:p>
        </w:tc>
        <w:tc>
          <w:tcPr>
            <w:tcW w:w="1827"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2.00</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2.00</w:t>
            </w:r>
          </w:p>
        </w:tc>
        <w:tc>
          <w:tcPr>
            <w:tcW w:w="15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433" w:hRule="atLeast"/>
        </w:trPr>
        <w:tc>
          <w:tcPr>
            <w:tcW w:w="18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98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1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827"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5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270" w:hRule="atLeast"/>
        </w:trPr>
        <w:tc>
          <w:tcPr>
            <w:tcW w:w="18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98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1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827"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5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433" w:hRule="atLeast"/>
        </w:trPr>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5766" w:type="dxa"/>
            <w:gridSpan w:val="6"/>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234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tblPrEx>
          <w:shd w:val="clear" w:color="auto" w:fill="auto"/>
          <w:tblCellMar>
            <w:top w:w="0" w:type="dxa"/>
            <w:left w:w="0" w:type="dxa"/>
            <w:bottom w:w="0" w:type="dxa"/>
            <w:right w:w="0" w:type="dxa"/>
          </w:tblCellMar>
        </w:tblPrEx>
        <w:trPr>
          <w:trHeight w:val="1060"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766" w:type="dxa"/>
            <w:gridSpan w:val="6"/>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科技人员到裕民县开展技术服务不少于2次，政策宣传不少于2次，技术培训联少于1次。</w:t>
            </w:r>
          </w:p>
        </w:tc>
        <w:tc>
          <w:tcPr>
            <w:tcW w:w="234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科技人员到裕民县开展技术服务不少于2次，政策宣传不少于2次，技术培训联少于1次。</w:t>
            </w:r>
          </w:p>
        </w:tc>
      </w:tr>
      <w:tr>
        <w:tblPrEx>
          <w:shd w:val="clear" w:color="auto" w:fill="auto"/>
          <w:tblCellMar>
            <w:top w:w="0" w:type="dxa"/>
            <w:left w:w="0" w:type="dxa"/>
            <w:bottom w:w="0" w:type="dxa"/>
            <w:right w:w="0" w:type="dxa"/>
          </w:tblCellMar>
        </w:tblPrEx>
        <w:trPr>
          <w:trHeight w:val="412" w:hRule="atLeast"/>
        </w:trPr>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4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100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297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846"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7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15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shd w:val="clear" w:color="auto" w:fill="auto"/>
          <w:tblCellMar>
            <w:top w:w="0" w:type="dxa"/>
            <w:left w:w="0" w:type="dxa"/>
            <w:bottom w:w="0" w:type="dxa"/>
            <w:right w:w="0" w:type="dxa"/>
          </w:tblCellMar>
        </w:tblPrEx>
        <w:trPr>
          <w:trHeight w:val="270"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0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97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5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1165" w:hRule="atLeast"/>
        </w:trPr>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年度绩效指标完成情况</w:t>
            </w:r>
          </w:p>
        </w:tc>
        <w:tc>
          <w:tcPr>
            <w:tcW w:w="94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100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297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培训农牧民人数</w:t>
            </w:r>
          </w:p>
        </w:tc>
        <w:tc>
          <w:tcPr>
            <w:tcW w:w="8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≥100次</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100次</w:t>
            </w:r>
          </w:p>
        </w:tc>
        <w:tc>
          <w:tcPr>
            <w:tcW w:w="15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840"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0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97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举办班次数</w:t>
            </w:r>
          </w:p>
        </w:tc>
        <w:tc>
          <w:tcPr>
            <w:tcW w:w="8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≥1次</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1次</w:t>
            </w:r>
          </w:p>
        </w:tc>
        <w:tc>
          <w:tcPr>
            <w:tcW w:w="15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840"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0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97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政策宣传次数</w:t>
            </w:r>
          </w:p>
        </w:tc>
        <w:tc>
          <w:tcPr>
            <w:tcW w:w="8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≥1次</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1次</w:t>
            </w:r>
          </w:p>
        </w:tc>
        <w:tc>
          <w:tcPr>
            <w:tcW w:w="15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840"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297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推广牧草高产种植技术1项</w:t>
            </w:r>
          </w:p>
        </w:tc>
        <w:tc>
          <w:tcPr>
            <w:tcW w:w="8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≥1项</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1项</w:t>
            </w:r>
          </w:p>
        </w:tc>
        <w:tc>
          <w:tcPr>
            <w:tcW w:w="15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962"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297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工作按时完成时间</w:t>
            </w:r>
          </w:p>
        </w:tc>
        <w:tc>
          <w:tcPr>
            <w:tcW w:w="8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=12月底</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12月</w:t>
            </w:r>
          </w:p>
        </w:tc>
        <w:tc>
          <w:tcPr>
            <w:tcW w:w="15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1003"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297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服务成本</w:t>
            </w:r>
          </w:p>
        </w:tc>
        <w:tc>
          <w:tcPr>
            <w:tcW w:w="8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=2万元</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1.99万元</w:t>
            </w:r>
          </w:p>
        </w:tc>
        <w:tc>
          <w:tcPr>
            <w:tcW w:w="15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1003"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4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10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297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农牧民草原人工种草经济效益</w:t>
            </w:r>
          </w:p>
        </w:tc>
        <w:tc>
          <w:tcPr>
            <w:tcW w:w="8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≥500元</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500元</w:t>
            </w:r>
          </w:p>
        </w:tc>
        <w:tc>
          <w:tcPr>
            <w:tcW w:w="15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1367"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297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提上农牧民运用牧草种植技发展生产的能力术</w:t>
            </w:r>
          </w:p>
        </w:tc>
        <w:tc>
          <w:tcPr>
            <w:tcW w:w="8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农牧民牧草种植技术运用能力提升</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有所提升</w:t>
            </w:r>
          </w:p>
        </w:tc>
        <w:tc>
          <w:tcPr>
            <w:tcW w:w="15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1003"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生态效益指标</w:t>
            </w:r>
          </w:p>
        </w:tc>
        <w:tc>
          <w:tcPr>
            <w:tcW w:w="297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受援农牧民生态保护意识</w:t>
            </w:r>
          </w:p>
        </w:tc>
        <w:tc>
          <w:tcPr>
            <w:tcW w:w="8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有所提升</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有所提升</w:t>
            </w:r>
          </w:p>
        </w:tc>
        <w:tc>
          <w:tcPr>
            <w:tcW w:w="15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1043"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297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农民提高人工种草保护草原意识</w:t>
            </w:r>
          </w:p>
        </w:tc>
        <w:tc>
          <w:tcPr>
            <w:tcW w:w="8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不断提升</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有所提升</w:t>
            </w:r>
          </w:p>
        </w:tc>
        <w:tc>
          <w:tcPr>
            <w:tcW w:w="15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1124"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10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297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受援农牧民满意度</w:t>
            </w:r>
          </w:p>
        </w:tc>
        <w:tc>
          <w:tcPr>
            <w:tcW w:w="84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≥85%</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85%</w:t>
            </w:r>
          </w:p>
        </w:tc>
        <w:tc>
          <w:tcPr>
            <w:tcW w:w="15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270" w:hRule="atLeast"/>
        </w:trPr>
        <w:tc>
          <w:tcPr>
            <w:tcW w:w="945"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946"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002"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982"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009"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981"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846"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376"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404"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569"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r>
      <w:tr>
        <w:tblPrEx>
          <w:tblCellMar>
            <w:top w:w="0" w:type="dxa"/>
            <w:left w:w="0" w:type="dxa"/>
            <w:bottom w:w="0" w:type="dxa"/>
            <w:right w:w="0" w:type="dxa"/>
          </w:tblCellMar>
        </w:tblPrEx>
        <w:trPr>
          <w:trHeight w:val="390" w:hRule="atLeast"/>
        </w:trPr>
        <w:tc>
          <w:tcPr>
            <w:tcW w:w="945"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946"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002"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982"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009"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981"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846"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376"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404"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569"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r>
      <w:tr>
        <w:tblPrEx>
          <w:tblCellMar>
            <w:top w:w="0" w:type="dxa"/>
            <w:left w:w="0" w:type="dxa"/>
            <w:bottom w:w="0" w:type="dxa"/>
            <w:right w:w="0" w:type="dxa"/>
          </w:tblCellMar>
        </w:tblPrEx>
        <w:trPr>
          <w:trHeight w:val="405" w:hRule="atLeast"/>
        </w:trPr>
        <w:tc>
          <w:tcPr>
            <w:tcW w:w="945"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946"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002"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982"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009"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981"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846"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376"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404"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569"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r>
      <w:tr>
        <w:tblPrEx>
          <w:tblCellMar>
            <w:top w:w="0" w:type="dxa"/>
            <w:left w:w="0" w:type="dxa"/>
            <w:bottom w:w="0" w:type="dxa"/>
            <w:right w:w="0" w:type="dxa"/>
          </w:tblCellMar>
        </w:tblPrEx>
        <w:trPr>
          <w:trHeight w:val="405" w:hRule="atLeast"/>
        </w:trPr>
        <w:tc>
          <w:tcPr>
            <w:tcW w:w="945"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946"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002"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982"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009"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981"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846"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376"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404"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1569"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r>
    </w:tbl>
    <w:p>
      <w:pPr>
        <w:pStyle w:val="2"/>
      </w:pPr>
    </w:p>
    <w:p>
      <w:pPr>
        <w:sectPr>
          <w:footerReference r:id="rId3" w:type="default"/>
          <w:pgSz w:w="11906" w:h="16838"/>
          <w:pgMar w:top="1440" w:right="1558" w:bottom="1440" w:left="1800" w:header="851" w:footer="992" w:gutter="0"/>
          <w:cols w:space="425" w:num="1"/>
          <w:docGrid w:type="lines" w:linePitch="312" w:charSpace="0"/>
        </w:sectPr>
      </w:pPr>
    </w:p>
    <w:p>
      <w:pPr>
        <w:pageBreakBefore w:val="0"/>
        <w:kinsoku/>
        <w:wordWrap/>
        <w:overflowPunct/>
        <w:topLinePunct w:val="0"/>
        <w:autoSpaceDE/>
        <w:autoSpaceDN/>
        <w:bidi w:val="0"/>
        <w:adjustRightInd/>
        <w:snapToGrid/>
        <w:spacing w:line="560" w:lineRule="exact"/>
        <w:rPr>
          <w:rFonts w:ascii="仿宋_GB2312"/>
          <w:bCs/>
          <w:sz w:val="32"/>
          <w:szCs w:val="32"/>
        </w:rPr>
      </w:pPr>
      <w:r>
        <w:rPr>
          <w:rFonts w:hint="eastAsia" w:ascii="仿宋_GB2312"/>
          <w:bCs/>
          <w:sz w:val="32"/>
          <w:szCs w:val="32"/>
        </w:rPr>
        <w:t>附件1</w:t>
      </w:r>
    </w:p>
    <w:tbl>
      <w:tblPr>
        <w:tblStyle w:val="19"/>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76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235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指标解释</w:t>
            </w:r>
          </w:p>
        </w:tc>
        <w:tc>
          <w:tcPr>
            <w:tcW w:w="5188"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指标说明</w:t>
            </w:r>
          </w:p>
        </w:tc>
        <w:tc>
          <w:tcPr>
            <w:tcW w:w="130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b/>
                <w:bCs/>
                <w:color w:val="000000"/>
                <w:kern w:val="0"/>
                <w:sz w:val="22"/>
                <w:szCs w:val="22"/>
                <w:highlight w:val="yellow"/>
              </w:rPr>
            </w:pPr>
            <w:r>
              <w:rPr>
                <w:rFonts w:hint="eastAsia" w:ascii="宋体" w:hAnsi="宋体" w:cs="宋体"/>
                <w:b/>
                <w:bCs/>
                <w:color w:val="000000"/>
                <w:kern w:val="0"/>
                <w:sz w:val="22"/>
                <w:szCs w:val="22"/>
              </w:rPr>
              <w:t>权重</w:t>
            </w:r>
          </w:p>
        </w:tc>
        <w:tc>
          <w:tcPr>
            <w:tcW w:w="1363" w:type="dxa"/>
            <w:shd w:val="clear" w:color="auto" w:fill="FFFFF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rPr>
                <w:rFonts w:ascii="宋体" w:hAnsi="宋体" w:cs="宋体"/>
                <w:b/>
                <w:bCs/>
                <w:color w:val="000000"/>
                <w:kern w:val="0"/>
                <w:sz w:val="22"/>
                <w:szCs w:val="22"/>
                <w:highlight w:val="yellow"/>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39"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决策　</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　</w:t>
            </w:r>
          </w:p>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767"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项目立项　</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立项依据</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充分性</w:t>
            </w:r>
          </w:p>
        </w:tc>
        <w:tc>
          <w:tcPr>
            <w:tcW w:w="2353" w:type="dxa"/>
            <w:shd w:val="clear" w:color="auto"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000000"/>
                <w:kern w:val="0"/>
                <w:sz w:val="22"/>
                <w:szCs w:val="22"/>
              </w:rPr>
            </w:pPr>
            <w:r>
              <w:rPr>
                <w:rFonts w:hint="eastAsia" w:ascii="宋体" w:hAnsi="宋体" w:cs="宋体"/>
                <w:color w:val="000000"/>
                <w:kern w:val="0"/>
                <w:sz w:val="22"/>
                <w:szCs w:val="22"/>
              </w:rPr>
              <w:t>项目立项是否符合法律法规、相关政策、发展规划以及部门职责，用以反映和考核项目立项依据情况。</w:t>
            </w:r>
          </w:p>
        </w:tc>
        <w:tc>
          <w:tcPr>
            <w:tcW w:w="5188" w:type="dxa"/>
            <w:shd w:val="clear" w:color="auto" w:fill="FFFFFF"/>
            <w:vAlign w:val="center"/>
          </w:tcPr>
          <w:p>
            <w:pPr>
              <w:pageBreakBefore w:val="0"/>
              <w:widowControl/>
              <w:kinsoku/>
              <w:wordWrap/>
              <w:overflowPunct/>
              <w:topLinePunct w:val="0"/>
              <w:autoSpaceDE/>
              <w:autoSpaceDN/>
              <w:bidi w:val="0"/>
              <w:adjustRightInd/>
              <w:snapToGrid/>
              <w:spacing w:line="560" w:lineRule="exact"/>
              <w:jc w:val="lef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①项目立项是否符合国家法律法规、国民经济发展规划和相关政策；</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②项目立项是否符合行业发展规划和政策要求；</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③项目立项是否与部门职责范围相符，属于部门履职所需；</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④项目是否属于公共财政支持范围，是否符合中央、地方事权支出责任划分原则；</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⑤项目是否与相关部门同类项目或部门内部相关项目重复。</w:t>
            </w:r>
          </w:p>
        </w:tc>
        <w:tc>
          <w:tcPr>
            <w:tcW w:w="130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0.5</w:t>
            </w:r>
          </w:p>
        </w:tc>
        <w:tc>
          <w:tcPr>
            <w:tcW w:w="136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39"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767"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立项程序</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规范性</w:t>
            </w:r>
          </w:p>
        </w:tc>
        <w:tc>
          <w:tcPr>
            <w:tcW w:w="2353" w:type="dxa"/>
            <w:shd w:val="clear" w:color="auto"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000000"/>
                <w:kern w:val="0"/>
                <w:sz w:val="22"/>
                <w:szCs w:val="22"/>
              </w:rPr>
            </w:pPr>
            <w:r>
              <w:rPr>
                <w:rFonts w:hint="eastAsia" w:ascii="宋体" w:hAnsi="宋体" w:cs="宋体"/>
                <w:color w:val="000000"/>
                <w:kern w:val="0"/>
                <w:sz w:val="22"/>
                <w:szCs w:val="22"/>
              </w:rPr>
              <w:t>项目申请、设立过程是否符合相关要求，用以反映和考核项目立项的规范情况。</w:t>
            </w:r>
          </w:p>
        </w:tc>
        <w:tc>
          <w:tcPr>
            <w:tcW w:w="5188" w:type="dxa"/>
            <w:shd w:val="clear" w:color="auto" w:fill="FFFFFF"/>
            <w:vAlign w:val="center"/>
          </w:tcPr>
          <w:p>
            <w:pPr>
              <w:pageBreakBefore w:val="0"/>
              <w:widowControl/>
              <w:kinsoku/>
              <w:wordWrap/>
              <w:overflowPunct/>
              <w:topLinePunct w:val="0"/>
              <w:autoSpaceDE/>
              <w:autoSpaceDN/>
              <w:bidi w:val="0"/>
              <w:adjustRightInd/>
              <w:snapToGrid/>
              <w:spacing w:line="560" w:lineRule="exact"/>
              <w:jc w:val="lef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①项目是否按照规定的程序申请设立；</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②审批文件、材料是否符合相关要求；</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③事前是否已经过必要的可行性研究、专家论证、风险评估、绩效评估、集体决策。</w:t>
            </w:r>
          </w:p>
        </w:tc>
        <w:tc>
          <w:tcPr>
            <w:tcW w:w="130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0.5</w:t>
            </w:r>
          </w:p>
        </w:tc>
        <w:tc>
          <w:tcPr>
            <w:tcW w:w="136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39"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76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绩效目标　</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绩效目标</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2353"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000000"/>
                <w:kern w:val="0"/>
                <w:sz w:val="22"/>
                <w:szCs w:val="22"/>
              </w:rPr>
            </w:pPr>
            <w:r>
              <w:rPr>
                <w:rFonts w:hint="eastAsia" w:ascii="宋体" w:hAnsi="宋体" w:cs="宋体"/>
                <w:color w:val="000000"/>
                <w:kern w:val="0"/>
                <w:sz w:val="22"/>
                <w:szCs w:val="22"/>
              </w:rPr>
              <w:t>项目所设定的绩效目标是否依据充分，是否符合客观实际，用以反映和考核项目绩效目标与项目实施的相符情况。</w:t>
            </w:r>
          </w:p>
        </w:tc>
        <w:tc>
          <w:tcPr>
            <w:tcW w:w="5188"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lef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（如未设定预算绩效目标，也可考核其他工作任务目标）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①项目是否有绩效目标；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②项目绩效目标与实际工作内容是否具有相关性；</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③项目预期产出效益和效果是否符合正常的业绩水平；</w:t>
            </w:r>
          </w:p>
          <w:p>
            <w:pPr>
              <w:pageBreakBefore w:val="0"/>
              <w:widowControl/>
              <w:kinsoku/>
              <w:wordWrap/>
              <w:overflowPunct/>
              <w:topLinePunct w:val="0"/>
              <w:autoSpaceDE/>
              <w:autoSpaceDN/>
              <w:bidi w:val="0"/>
              <w:adjustRightInd/>
              <w:snapToGrid/>
              <w:spacing w:line="560" w:lineRule="exact"/>
              <w:jc w:val="left"/>
              <w:rPr>
                <w:rFonts w:ascii="宋体" w:hAnsi="宋体" w:cs="宋体"/>
                <w:color w:val="000000"/>
                <w:kern w:val="0"/>
                <w:sz w:val="22"/>
                <w:szCs w:val="22"/>
              </w:rPr>
            </w:pPr>
            <w:r>
              <w:rPr>
                <w:rFonts w:hint="eastAsia" w:ascii="宋体" w:hAnsi="宋体" w:cs="宋体"/>
                <w:color w:val="000000"/>
                <w:kern w:val="0"/>
                <w:sz w:val="22"/>
                <w:szCs w:val="22"/>
              </w:rPr>
              <w:t>④是否与预算确定的项目投资额或资金量相匹配。</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39"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决策　</w:t>
            </w:r>
          </w:p>
        </w:tc>
        <w:tc>
          <w:tcPr>
            <w:tcW w:w="76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绩效目标</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绩效指标</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明确性</w:t>
            </w:r>
          </w:p>
        </w:tc>
        <w:tc>
          <w:tcPr>
            <w:tcW w:w="2353"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000000"/>
                <w:kern w:val="0"/>
                <w:sz w:val="22"/>
                <w:szCs w:val="22"/>
              </w:rPr>
            </w:pPr>
            <w:r>
              <w:rPr>
                <w:rFonts w:hint="eastAsia" w:ascii="宋体" w:hAnsi="宋体" w:cs="宋体"/>
                <w:color w:val="000000"/>
                <w:kern w:val="0"/>
                <w:sz w:val="22"/>
                <w:szCs w:val="22"/>
              </w:rPr>
              <w:t>依据绩效目标设定的绩效指标是否清晰、细化、可衡量等，用以反映和考核项目绩效目标的明细化情况。</w:t>
            </w:r>
          </w:p>
        </w:tc>
        <w:tc>
          <w:tcPr>
            <w:tcW w:w="5188"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①是否将项目绩效目标细化分解为具体的绩效指标；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②是否通过清晰、可衡量的指标值予以体现；</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③是否与项目目标任务数或计划数相对应。</w:t>
            </w:r>
            <w:r>
              <w:rPr>
                <w:rFonts w:hint="eastAsia" w:ascii="宋体" w:hAnsi="宋体" w:cs="宋体"/>
                <w:color w:val="000000"/>
                <w:kern w:val="0"/>
                <w:sz w:val="22"/>
                <w:szCs w:val="22"/>
              </w:rPr>
              <w:br w:type="textWrapping"/>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39"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767"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资金投入</w:t>
            </w:r>
          </w:p>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预算编制</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科学性</w:t>
            </w:r>
          </w:p>
        </w:tc>
        <w:tc>
          <w:tcPr>
            <w:tcW w:w="2353" w:type="dxa"/>
            <w:shd w:val="clear" w:color="auto"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000000"/>
                <w:kern w:val="0"/>
                <w:sz w:val="22"/>
                <w:szCs w:val="22"/>
              </w:rPr>
            </w:pPr>
            <w:r>
              <w:rPr>
                <w:rFonts w:hint="eastAsia" w:ascii="宋体" w:hAnsi="宋体" w:cs="宋体"/>
                <w:color w:val="000000"/>
                <w:kern w:val="0"/>
                <w:sz w:val="22"/>
                <w:szCs w:val="22"/>
              </w:rPr>
              <w:t>项目预算编制是否经过科学论证、有明确标准，资金额度与年度目标是否相适应，用以反映和考核项目预算编制的科学性、合理性情况。</w:t>
            </w:r>
          </w:p>
        </w:tc>
        <w:tc>
          <w:tcPr>
            <w:tcW w:w="5188" w:type="dxa"/>
            <w:shd w:val="clear" w:color="auto"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①预算编制是否经过科学论证；</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②预算内容与项目内容是否匹配；</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③预算额度测算依据是否充分，是否按照标准编制；</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④预算确定的项目投资额或资金量是否与工作任务相匹配。</w:t>
            </w:r>
          </w:p>
        </w:tc>
        <w:tc>
          <w:tcPr>
            <w:tcW w:w="130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36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9"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767"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资金分配</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2353" w:type="dxa"/>
            <w:shd w:val="clear" w:color="auto"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000000"/>
                <w:kern w:val="0"/>
                <w:sz w:val="22"/>
                <w:szCs w:val="22"/>
              </w:rPr>
            </w:pPr>
            <w:r>
              <w:rPr>
                <w:rFonts w:hint="eastAsia" w:ascii="宋体" w:hAnsi="宋体" w:cs="宋体"/>
                <w:color w:val="000000"/>
                <w:kern w:val="0"/>
                <w:sz w:val="22"/>
                <w:szCs w:val="22"/>
              </w:rPr>
              <w:t>项目预算资金分配是否有测算依据，与补助单位或地方实际是否相适应，用以反映和考核项目预算资金分配的科学性、合理性情况。</w:t>
            </w:r>
          </w:p>
        </w:tc>
        <w:tc>
          <w:tcPr>
            <w:tcW w:w="5188" w:type="dxa"/>
            <w:shd w:val="clear" w:color="auto"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①预算资金分配依据是否充分；</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②资金分配额度是否合理，与项目单位或地方实际是否相适应。</w:t>
            </w:r>
          </w:p>
        </w:tc>
        <w:tc>
          <w:tcPr>
            <w:tcW w:w="130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36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39" w:type="dxa"/>
            <w:vMerge w:val="restart"/>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过程</w:t>
            </w:r>
          </w:p>
        </w:tc>
        <w:tc>
          <w:tcPr>
            <w:tcW w:w="767"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资金到位率</w:t>
            </w:r>
          </w:p>
        </w:tc>
        <w:tc>
          <w:tcPr>
            <w:tcW w:w="2353"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000000"/>
                <w:kern w:val="0"/>
                <w:sz w:val="22"/>
                <w:szCs w:val="22"/>
              </w:rPr>
            </w:pPr>
            <w:r>
              <w:rPr>
                <w:rFonts w:hint="eastAsia" w:ascii="宋体" w:hAnsi="宋体" w:cs="宋体"/>
                <w:color w:val="000000"/>
                <w:kern w:val="0"/>
                <w:sz w:val="22"/>
                <w:szCs w:val="22"/>
              </w:rPr>
              <w:t>实际到位资金与预算资金的比率，用以反映和考核资金落实情况对项目实施的总体保障程度。</w:t>
            </w:r>
          </w:p>
        </w:tc>
        <w:tc>
          <w:tcPr>
            <w:tcW w:w="5188"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000000"/>
                <w:kern w:val="0"/>
                <w:sz w:val="22"/>
                <w:szCs w:val="22"/>
              </w:rPr>
            </w:pPr>
            <w:r>
              <w:rPr>
                <w:rFonts w:hint="eastAsia" w:ascii="宋体" w:hAnsi="宋体" w:cs="宋体"/>
                <w:color w:val="000000"/>
                <w:kern w:val="0"/>
                <w:sz w:val="22"/>
                <w:szCs w:val="22"/>
              </w:rPr>
              <w:t>资金到位率=（实际到位资金/预算资金）×100%。</w:t>
            </w:r>
          </w:p>
          <w:p>
            <w:pPr>
              <w:pageBreakBefore w:val="0"/>
              <w:widowControl/>
              <w:kinsoku/>
              <w:wordWrap/>
              <w:overflowPunct/>
              <w:topLinePunct w:val="0"/>
              <w:autoSpaceDE/>
              <w:autoSpaceDN/>
              <w:bidi w:val="0"/>
              <w:adjustRightInd/>
              <w:snapToGrid/>
              <w:spacing w:line="560" w:lineRule="exact"/>
              <w:rPr>
                <w:rFonts w:ascii="宋体" w:hAnsi="宋体" w:cs="宋体"/>
                <w:color w:val="000000"/>
                <w:kern w:val="0"/>
                <w:sz w:val="22"/>
                <w:szCs w:val="22"/>
              </w:rPr>
            </w:pPr>
            <w:r>
              <w:rPr>
                <w:rFonts w:hint="eastAsia" w:ascii="宋体" w:hAnsi="宋体" w:cs="宋体"/>
                <w:color w:val="000000"/>
                <w:kern w:val="0"/>
                <w:sz w:val="22"/>
                <w:szCs w:val="22"/>
              </w:rPr>
              <w:t>实际到位资金：一定时期（本年度或项目期）内落实到具体项目的资金。</w:t>
            </w:r>
          </w:p>
          <w:p>
            <w:pPr>
              <w:pageBreakBefore w:val="0"/>
              <w:widowControl/>
              <w:kinsoku/>
              <w:wordWrap/>
              <w:overflowPunct/>
              <w:topLinePunct w:val="0"/>
              <w:autoSpaceDE/>
              <w:autoSpaceDN/>
              <w:bidi w:val="0"/>
              <w:adjustRightInd/>
              <w:snapToGrid/>
              <w:spacing w:line="560" w:lineRule="exact"/>
              <w:rPr>
                <w:rFonts w:ascii="宋体" w:hAnsi="宋体" w:cs="宋体"/>
                <w:color w:val="000000"/>
                <w:kern w:val="0"/>
                <w:sz w:val="22"/>
                <w:szCs w:val="22"/>
              </w:rPr>
            </w:pPr>
            <w:r>
              <w:rPr>
                <w:rFonts w:hint="eastAsia" w:ascii="宋体" w:hAnsi="宋体" w:cs="宋体"/>
                <w:color w:val="000000"/>
                <w:kern w:val="0"/>
                <w:sz w:val="22"/>
                <w:szCs w:val="22"/>
              </w:rPr>
              <w:t>预算资金：一定时期（本年度或项目期）内预算安排到具体项目的资金。</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39"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767"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预算执行率</w:t>
            </w:r>
          </w:p>
        </w:tc>
        <w:tc>
          <w:tcPr>
            <w:tcW w:w="2353" w:type="dxa"/>
            <w:shd w:val="clear" w:color="auto"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000000"/>
                <w:kern w:val="0"/>
                <w:sz w:val="22"/>
                <w:szCs w:val="22"/>
              </w:rPr>
            </w:pPr>
            <w:r>
              <w:rPr>
                <w:rFonts w:hint="eastAsia" w:ascii="宋体" w:hAnsi="宋体" w:cs="宋体"/>
                <w:color w:val="000000"/>
                <w:kern w:val="0"/>
                <w:sz w:val="22"/>
                <w:szCs w:val="22"/>
              </w:rPr>
              <w:t>项目预算资金是否按照计划执行，用以反映或考核项目预算执行情况。</w:t>
            </w:r>
          </w:p>
        </w:tc>
        <w:tc>
          <w:tcPr>
            <w:tcW w:w="5188" w:type="dxa"/>
            <w:shd w:val="clear" w:color="auto"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000000"/>
                <w:kern w:val="0"/>
                <w:sz w:val="22"/>
                <w:szCs w:val="22"/>
              </w:rPr>
            </w:pPr>
            <w:r>
              <w:rPr>
                <w:rFonts w:hint="eastAsia" w:ascii="宋体" w:hAnsi="宋体" w:cs="宋体"/>
                <w:color w:val="000000"/>
                <w:kern w:val="0"/>
                <w:sz w:val="22"/>
                <w:szCs w:val="22"/>
              </w:rPr>
              <w:t>预算执行率=（实际支出资金/实际到位资金）×100%。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实际支出资金：一定时期（本年度或项目期）内项目实际拨付的资金。</w:t>
            </w:r>
          </w:p>
        </w:tc>
        <w:tc>
          <w:tcPr>
            <w:tcW w:w="130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36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rPr>
              <w:t>0.</w:t>
            </w:r>
            <w:r>
              <w:rPr>
                <w:rFonts w:hint="eastAsia" w:ascii="宋体" w:hAnsi="宋体" w:cs="宋体"/>
                <w:color w:val="000000"/>
                <w:kern w:val="0"/>
                <w:sz w:val="22"/>
                <w:szCs w:val="22"/>
                <w:lang w:val="en-US" w:eastAsia="zh-CN"/>
              </w:rPr>
              <w:t>99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　</w:t>
            </w:r>
          </w:p>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过程　</w:t>
            </w:r>
          </w:p>
        </w:tc>
        <w:tc>
          <w:tcPr>
            <w:tcW w:w="76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资金使用</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合规性</w:t>
            </w:r>
          </w:p>
        </w:tc>
        <w:tc>
          <w:tcPr>
            <w:tcW w:w="2353"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000000"/>
                <w:kern w:val="0"/>
                <w:sz w:val="22"/>
                <w:szCs w:val="22"/>
              </w:rPr>
            </w:pPr>
            <w:r>
              <w:rPr>
                <w:rFonts w:hint="eastAsia" w:ascii="宋体" w:hAnsi="宋体" w:cs="宋体"/>
                <w:color w:val="000000"/>
                <w:kern w:val="0"/>
                <w:sz w:val="22"/>
                <w:szCs w:val="22"/>
              </w:rPr>
              <w:t>项目资金使用是否符合相关的财务管理制度规定，用以反映和考核项目资金的规范运行情况。</w:t>
            </w:r>
          </w:p>
        </w:tc>
        <w:tc>
          <w:tcPr>
            <w:tcW w:w="5188"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①是否符合国家财经法规和财务管理制度以及有关专项资金管理办法的规定；</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②资金的拨付是否有完整的审批程序和手续；</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③是否符合项目预算批复或合同规定的用途；</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④是否存在截留、挤占、挪用、虚列支出等情况。</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39"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767"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组织实施</w:t>
            </w:r>
          </w:p>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管理制度</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健全性</w:t>
            </w:r>
          </w:p>
        </w:tc>
        <w:tc>
          <w:tcPr>
            <w:tcW w:w="2353"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000000"/>
                <w:kern w:val="0"/>
                <w:sz w:val="22"/>
                <w:szCs w:val="22"/>
              </w:rPr>
            </w:pPr>
            <w:r>
              <w:rPr>
                <w:rFonts w:hint="eastAsia" w:ascii="宋体" w:hAnsi="宋体" w:cs="宋体"/>
                <w:color w:val="000000"/>
                <w:kern w:val="0"/>
                <w:sz w:val="22"/>
                <w:szCs w:val="22"/>
              </w:rPr>
              <w:t>项目实施单位的财务和业务管理制度是否健全，用以反映和考核财务和业务管理制度对项目顺利实施的保障情况。</w:t>
            </w:r>
          </w:p>
        </w:tc>
        <w:tc>
          <w:tcPr>
            <w:tcW w:w="5188"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①是否已制定或具有相应的财务和业务管理制度；</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②财务和业务管理制度是否合法、合规、完整。</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9"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767"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制度执行</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有效性</w:t>
            </w:r>
          </w:p>
        </w:tc>
        <w:tc>
          <w:tcPr>
            <w:tcW w:w="2353"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000000"/>
                <w:kern w:val="0"/>
                <w:sz w:val="22"/>
                <w:szCs w:val="22"/>
              </w:rPr>
            </w:pPr>
            <w:r>
              <w:rPr>
                <w:rFonts w:hint="eastAsia" w:ascii="宋体" w:hAnsi="宋体" w:cs="宋体"/>
                <w:color w:val="000000"/>
                <w:kern w:val="0"/>
                <w:sz w:val="22"/>
                <w:szCs w:val="22"/>
              </w:rPr>
              <w:t>项目实施是否符合相关管理规定，用以反映和考核相关管理制度的有效执行情况。</w:t>
            </w:r>
          </w:p>
        </w:tc>
        <w:tc>
          <w:tcPr>
            <w:tcW w:w="5188"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①是否遵守相关法律法规和相关管理规定；</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②项目调整及支出调整手续是否完备；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③项目合同书、验收报告、技术鉴定等资料是否齐全并及时归档；</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④项目实施的人员条件、场地设备、信息支撑等是否落实到位。</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3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产出</w:t>
            </w:r>
          </w:p>
        </w:tc>
        <w:tc>
          <w:tcPr>
            <w:tcW w:w="76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产出数量</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实际完成率</w:t>
            </w:r>
          </w:p>
        </w:tc>
        <w:tc>
          <w:tcPr>
            <w:tcW w:w="2353"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000000"/>
                <w:kern w:val="0"/>
                <w:sz w:val="22"/>
                <w:szCs w:val="22"/>
              </w:rPr>
            </w:pPr>
            <w:r>
              <w:rPr>
                <w:rFonts w:hint="eastAsia" w:ascii="宋体" w:hAnsi="宋体" w:cs="宋体"/>
                <w:color w:val="000000"/>
                <w:kern w:val="0"/>
                <w:sz w:val="22"/>
                <w:szCs w:val="22"/>
              </w:rPr>
              <w:t>项目实施的实际产出数与计划产出数的比率，用以反映和考核项目产出数量目标的实现程度。</w:t>
            </w:r>
          </w:p>
        </w:tc>
        <w:tc>
          <w:tcPr>
            <w:tcW w:w="5188"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000000"/>
                <w:kern w:val="0"/>
                <w:sz w:val="22"/>
                <w:szCs w:val="22"/>
              </w:rPr>
            </w:pPr>
            <w:r>
              <w:rPr>
                <w:rFonts w:hint="eastAsia" w:ascii="宋体" w:hAnsi="宋体" w:cs="宋体"/>
                <w:color w:val="000000"/>
                <w:kern w:val="0"/>
                <w:sz w:val="22"/>
                <w:szCs w:val="22"/>
              </w:rPr>
              <w:t>实际完成率=（实际产出数/计划产出数）×100%。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实际产出数：一定时期（本年度或项目期）内项目实际产出的产品或提供的服务数量。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计划产出数：项目绩效目标确定的在一定时期（本年度或项目期）内计划产出的产品或提供的服务数量。</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9"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产出</w:t>
            </w:r>
          </w:p>
        </w:tc>
        <w:tc>
          <w:tcPr>
            <w:tcW w:w="76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产出质量</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质量达标率</w:t>
            </w:r>
          </w:p>
        </w:tc>
        <w:tc>
          <w:tcPr>
            <w:tcW w:w="2353"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000000"/>
                <w:kern w:val="0"/>
                <w:sz w:val="22"/>
                <w:szCs w:val="22"/>
              </w:rPr>
            </w:pPr>
            <w:r>
              <w:rPr>
                <w:rFonts w:hint="eastAsia" w:ascii="宋体" w:hAnsi="宋体" w:cs="宋体"/>
                <w:color w:val="000000"/>
                <w:kern w:val="0"/>
                <w:sz w:val="22"/>
                <w:szCs w:val="22"/>
              </w:rPr>
              <w:t>项目完成的质量达标产出数与实际产出数的比率，用以反映和考核项目产出质量目标的实现程度。</w:t>
            </w:r>
          </w:p>
        </w:tc>
        <w:tc>
          <w:tcPr>
            <w:tcW w:w="5188"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000000"/>
                <w:kern w:val="0"/>
                <w:sz w:val="22"/>
                <w:szCs w:val="22"/>
              </w:rPr>
            </w:pPr>
            <w:r>
              <w:rPr>
                <w:rFonts w:hint="eastAsia" w:ascii="宋体" w:hAnsi="宋体" w:cs="宋体"/>
                <w:color w:val="000000"/>
                <w:kern w:val="0"/>
                <w:sz w:val="22"/>
                <w:szCs w:val="22"/>
              </w:rPr>
              <w:t>质量达标率=（质量达标产出数/实际产出数）×100%。</w:t>
            </w:r>
          </w:p>
          <w:p>
            <w:pPr>
              <w:pageBreakBefore w:val="0"/>
              <w:widowControl/>
              <w:kinsoku/>
              <w:wordWrap/>
              <w:overflowPunct/>
              <w:topLinePunct w:val="0"/>
              <w:autoSpaceDE/>
              <w:autoSpaceDN/>
              <w:bidi w:val="0"/>
              <w:adjustRightInd/>
              <w:snapToGrid/>
              <w:spacing w:line="560" w:lineRule="exact"/>
              <w:rPr>
                <w:rFonts w:ascii="宋体" w:hAnsi="宋体" w:cs="宋体"/>
                <w:color w:val="000000"/>
                <w:kern w:val="0"/>
                <w:sz w:val="22"/>
                <w:szCs w:val="22"/>
              </w:rPr>
            </w:pPr>
            <w:r>
              <w:rPr>
                <w:rFonts w:hint="eastAsia" w:ascii="宋体" w:hAnsi="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39"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767" w:type="dxa"/>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产出时效</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完成及时性</w:t>
            </w:r>
          </w:p>
        </w:tc>
        <w:tc>
          <w:tcPr>
            <w:tcW w:w="2353"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000000"/>
                <w:kern w:val="0"/>
                <w:sz w:val="22"/>
                <w:szCs w:val="22"/>
              </w:rPr>
            </w:pPr>
            <w:r>
              <w:rPr>
                <w:rFonts w:hint="eastAsia" w:ascii="宋体" w:hAnsi="宋体" w:cs="宋体"/>
                <w:color w:val="000000"/>
                <w:kern w:val="0"/>
                <w:sz w:val="22"/>
                <w:szCs w:val="22"/>
              </w:rPr>
              <w:t>项目实际完成时间与计划完成时间的比较，用以反映和考核项目产出时效目标的实现程度。</w:t>
            </w:r>
          </w:p>
        </w:tc>
        <w:tc>
          <w:tcPr>
            <w:tcW w:w="5188"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000000"/>
                <w:kern w:val="0"/>
                <w:sz w:val="22"/>
                <w:szCs w:val="22"/>
              </w:rPr>
            </w:pPr>
            <w:r>
              <w:rPr>
                <w:rFonts w:hint="eastAsia" w:ascii="宋体" w:hAnsi="宋体" w:cs="宋体"/>
                <w:color w:val="000000"/>
                <w:kern w:val="0"/>
                <w:sz w:val="22"/>
                <w:szCs w:val="22"/>
              </w:rPr>
              <w:t>实际完成时间：项目实施单位完成该项目实际所耗用的时间。</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计划完成时间：按照项目实施计划或相关规定完成该项目所需的时间。</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76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产出成本</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成本节约率</w:t>
            </w:r>
          </w:p>
        </w:tc>
        <w:tc>
          <w:tcPr>
            <w:tcW w:w="2353"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000000"/>
                <w:kern w:val="0"/>
                <w:sz w:val="22"/>
                <w:szCs w:val="22"/>
              </w:rPr>
            </w:pPr>
            <w:r>
              <w:rPr>
                <w:rFonts w:hint="eastAsia" w:ascii="宋体" w:hAnsi="宋体" w:cs="宋体"/>
                <w:color w:val="000000"/>
                <w:kern w:val="0"/>
                <w:sz w:val="22"/>
                <w:szCs w:val="22"/>
              </w:rPr>
              <w:t>完成项目计划工作目标的实际节约成本与计划成本的比率，用以反映和考核项目的成本节约程度。</w:t>
            </w:r>
          </w:p>
        </w:tc>
        <w:tc>
          <w:tcPr>
            <w:tcW w:w="5188"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000000"/>
                <w:kern w:val="0"/>
                <w:sz w:val="22"/>
                <w:szCs w:val="22"/>
              </w:rPr>
            </w:pP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成本节约率=[（计划成本-实际成本）/计划成本]×100%。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实际成本：项目实施单位如期、保质、保量完成既定工作目标实际所耗费的支出。</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计划成本：项目实施单位为完成工作目标计划安排的支出，一般以项目预算为参考。</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9.99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9"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效益　</w:t>
            </w:r>
          </w:p>
        </w:tc>
        <w:tc>
          <w:tcPr>
            <w:tcW w:w="767"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项目效益　</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实施效益</w:t>
            </w:r>
          </w:p>
        </w:tc>
        <w:tc>
          <w:tcPr>
            <w:tcW w:w="235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left"/>
              <w:rPr>
                <w:rFonts w:ascii="宋体" w:hAnsi="宋体" w:cs="宋体"/>
                <w:color w:val="000000"/>
                <w:kern w:val="0"/>
                <w:sz w:val="22"/>
                <w:szCs w:val="22"/>
              </w:rPr>
            </w:pPr>
            <w:r>
              <w:rPr>
                <w:rFonts w:hint="eastAsia" w:ascii="宋体" w:hAnsi="宋体" w:cs="宋体"/>
                <w:color w:val="000000"/>
                <w:kern w:val="0"/>
                <w:sz w:val="22"/>
                <w:szCs w:val="22"/>
              </w:rPr>
              <w:t>项目实施所产生的效益。</w:t>
            </w:r>
          </w:p>
        </w:tc>
        <w:tc>
          <w:tcPr>
            <w:tcW w:w="5188" w:type="dxa"/>
            <w:shd w:val="clear" w:color="auto"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000000"/>
                <w:kern w:val="0"/>
                <w:sz w:val="22"/>
                <w:szCs w:val="22"/>
              </w:rPr>
            </w:pPr>
            <w:r>
              <w:rPr>
                <w:rFonts w:hint="eastAsia" w:ascii="宋体" w:hAnsi="宋体" w:cs="宋体"/>
                <w:color w:val="000000"/>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30</w:t>
            </w:r>
          </w:p>
        </w:tc>
        <w:tc>
          <w:tcPr>
            <w:tcW w:w="136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39"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767"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满意度</w:t>
            </w:r>
          </w:p>
        </w:tc>
        <w:tc>
          <w:tcPr>
            <w:tcW w:w="2353"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000000"/>
                <w:kern w:val="0"/>
                <w:sz w:val="22"/>
                <w:szCs w:val="22"/>
              </w:rPr>
            </w:pPr>
            <w:r>
              <w:rPr>
                <w:rFonts w:hint="eastAsia" w:ascii="宋体" w:hAnsi="宋体" w:cs="宋体"/>
                <w:color w:val="000000"/>
                <w:kern w:val="0"/>
                <w:sz w:val="22"/>
                <w:szCs w:val="22"/>
              </w:rPr>
              <w:t>社会公众或服务对象对项目实施效果的满意程度。</w:t>
            </w:r>
          </w:p>
        </w:tc>
        <w:tc>
          <w:tcPr>
            <w:tcW w:w="5188" w:type="dxa"/>
            <w:shd w:val="clear" w:color="000000" w:fill="FFFFFF"/>
            <w:vAlign w:val="center"/>
          </w:tcPr>
          <w:p>
            <w:pPr>
              <w:pageBreakBefore w:val="0"/>
              <w:widowControl/>
              <w:kinsoku/>
              <w:wordWrap/>
              <w:overflowPunct/>
              <w:topLinePunct w:val="0"/>
              <w:autoSpaceDE/>
              <w:autoSpaceDN/>
              <w:bidi w:val="0"/>
              <w:adjustRightInd/>
              <w:snapToGrid/>
              <w:spacing w:line="560" w:lineRule="exact"/>
              <w:rPr>
                <w:rFonts w:ascii="宋体" w:hAnsi="宋体" w:cs="宋体"/>
                <w:color w:val="000000"/>
                <w:kern w:val="0"/>
                <w:sz w:val="22"/>
                <w:szCs w:val="22"/>
              </w:rPr>
            </w:pPr>
            <w:r>
              <w:rPr>
                <w:rFonts w:hint="eastAsia" w:ascii="宋体" w:hAnsi="宋体" w:cs="宋体"/>
                <w:color w:val="000000"/>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10</w:t>
            </w:r>
          </w:p>
        </w:tc>
      </w:tr>
    </w:tbl>
    <w:p>
      <w:pPr>
        <w:pStyle w:val="2"/>
        <w:pageBreakBefore w:val="0"/>
        <w:kinsoku/>
        <w:wordWrap/>
        <w:overflowPunct/>
        <w:topLinePunct w:val="0"/>
        <w:autoSpaceDE/>
        <w:autoSpaceDN/>
        <w:bidi w:val="0"/>
        <w:adjustRightInd/>
        <w:snapToGrid/>
        <w:spacing w:before="0" w:after="0" w:line="560" w:lineRule="exact"/>
      </w:pPr>
    </w:p>
    <w:p>
      <w:pPr>
        <w:pageBreakBefore w:val="0"/>
        <w:kinsoku/>
        <w:wordWrap/>
        <w:overflowPunct/>
        <w:topLinePunct w:val="0"/>
        <w:autoSpaceDE/>
        <w:autoSpaceDN/>
        <w:bidi w:val="0"/>
        <w:adjustRightInd/>
        <w:snapToGrid/>
        <w:spacing w:line="560" w:lineRule="exact"/>
      </w:pPr>
    </w:p>
    <w:p>
      <w:pPr>
        <w:pageBreakBefore w:val="0"/>
        <w:kinsoku/>
        <w:wordWrap/>
        <w:overflowPunct/>
        <w:topLinePunct w:val="0"/>
        <w:autoSpaceDE/>
        <w:autoSpaceDN/>
        <w:bidi w:val="0"/>
        <w:adjustRightInd/>
        <w:snapToGrid/>
        <w:spacing w:line="560" w:lineRule="exact"/>
        <w:rPr>
          <w:rStyle w:val="21"/>
          <w:rFonts w:ascii="黑体" w:hAnsi="黑体" w:eastAsia="黑体"/>
          <w:bCs w:val="0"/>
          <w:spacing w:val="-4"/>
          <w:sz w:val="32"/>
          <w:szCs w:val="32"/>
        </w:rPr>
        <w:sectPr>
          <w:pgSz w:w="16838" w:h="11906" w:orient="landscape"/>
          <w:pgMar w:top="1800" w:right="1440" w:bottom="1558" w:left="1440" w:header="851" w:footer="992" w:gutter="0"/>
          <w:cols w:space="425" w:num="1"/>
          <w:docGrid w:type="lines" w:linePitch="312" w:charSpace="0"/>
        </w:sectPr>
      </w:pPr>
    </w:p>
    <w:p>
      <w:pPr>
        <w:pageBreakBefore w:val="0"/>
        <w:kinsoku/>
        <w:wordWrap/>
        <w:overflowPunct/>
        <w:topLinePunct w:val="0"/>
        <w:autoSpaceDE/>
        <w:autoSpaceDN/>
        <w:bidi w:val="0"/>
        <w:adjustRightInd/>
        <w:snapToGrid/>
        <w:spacing w:line="560" w:lineRule="exact"/>
        <w:rPr>
          <w:rStyle w:val="21"/>
          <w:rFonts w:ascii="黑体" w:hAnsi="黑体" w:eastAsia="黑体"/>
          <w:bCs w:val="0"/>
          <w:spacing w:val="-4"/>
          <w:sz w:val="32"/>
          <w:szCs w:val="32"/>
        </w:rPr>
      </w:pPr>
    </w:p>
    <w:p>
      <w:pPr>
        <w:pageBreakBefore w:val="0"/>
        <w:kinsoku/>
        <w:wordWrap/>
        <w:overflowPunct/>
        <w:topLinePunct w:val="0"/>
        <w:autoSpaceDE/>
        <w:autoSpaceDN/>
        <w:bidi w:val="0"/>
        <w:adjustRightInd/>
        <w:snapToGrid/>
        <w:spacing w:line="560" w:lineRule="exact"/>
        <w:ind w:firstLine="640"/>
        <w:rPr>
          <w:rStyle w:val="21"/>
          <w:rFonts w:ascii="黑体" w:hAnsi="黑体" w:eastAsia="黑体"/>
          <w:bCs w:val="0"/>
          <w:spacing w:val="-4"/>
          <w:sz w:val="32"/>
          <w:szCs w:val="32"/>
        </w:rPr>
      </w:pPr>
    </w:p>
    <w:p>
      <w:pPr>
        <w:pageBreakBefore w:val="0"/>
        <w:kinsoku/>
        <w:wordWrap/>
        <w:overflowPunct/>
        <w:topLinePunct w:val="0"/>
        <w:autoSpaceDE/>
        <w:autoSpaceDN/>
        <w:bidi w:val="0"/>
        <w:adjustRightInd/>
        <w:snapToGrid/>
        <w:spacing w:line="560" w:lineRule="exact"/>
        <w:ind w:firstLine="640"/>
        <w:rPr>
          <w:rStyle w:val="21"/>
          <w:rFonts w:ascii="黑体" w:hAnsi="黑体" w:eastAsia="黑体"/>
          <w:bCs w:val="0"/>
          <w:spacing w:val="-4"/>
          <w:sz w:val="32"/>
          <w:szCs w:val="32"/>
        </w:rPr>
      </w:pPr>
    </w:p>
    <w:p>
      <w:pPr>
        <w:pageBreakBefore w:val="0"/>
        <w:kinsoku/>
        <w:wordWrap/>
        <w:overflowPunct/>
        <w:topLinePunct w:val="0"/>
        <w:autoSpaceDE/>
        <w:autoSpaceDN/>
        <w:bidi w:val="0"/>
        <w:adjustRightInd/>
        <w:snapToGrid/>
        <w:spacing w:line="560" w:lineRule="exact"/>
        <w:rPr>
          <w:rStyle w:val="21"/>
          <w:rFonts w:ascii="仿宋" w:hAnsi="仿宋" w:eastAsia="仿宋"/>
          <w:b w:val="0"/>
          <w:spacing w:val="-4"/>
          <w:sz w:val="32"/>
          <w:szCs w:val="32"/>
        </w:rPr>
      </w:pPr>
    </w:p>
    <w:sectPr>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5"/>
          <w:jc w:val="center"/>
          <w:rPr>
            <w:rFonts w:hint="eastAsia"/>
          </w:rPr>
        </w:pPr>
        <w:r>
          <w:fldChar w:fldCharType="begin"/>
        </w:r>
        <w:r>
          <w:instrText xml:space="preserve">PAGE   \* MERGEFORMAT</w:instrText>
        </w:r>
        <w:r>
          <w:fldChar w:fldCharType="separate"/>
        </w:r>
        <w:r>
          <w:rPr>
            <w:rFonts w:hint="eastAsia"/>
            <w:lang w:val="zh-CN"/>
          </w:rPr>
          <w:t>13</w:t>
        </w:r>
        <w:r>
          <w:fldChar w:fldCharType="end"/>
        </w:r>
      </w:p>
    </w:sdtContent>
  </w:sdt>
  <w:p>
    <w:pPr>
      <w:pStyle w:val="15"/>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EE5C6BF8"/>
    <w:multiLevelType w:val="singleLevel"/>
    <w:tmpl w:val="EE5C6BF8"/>
    <w:lvl w:ilvl="0" w:tentative="0">
      <w:start w:val="2"/>
      <w:numFmt w:val="decimal"/>
      <w:suff w:val="nothing"/>
      <w:lvlText w:val="%1、"/>
      <w:lvlJc w:val="left"/>
    </w:lvl>
  </w:abstractNum>
  <w:abstractNum w:abstractNumId="3">
    <w:nsid w:val="FC0F4537"/>
    <w:multiLevelType w:val="singleLevel"/>
    <w:tmpl w:val="FC0F4537"/>
    <w:lvl w:ilvl="0" w:tentative="0">
      <w:start w:val="1"/>
      <w:numFmt w:val="decimal"/>
      <w:suff w:val="nothing"/>
      <w:lvlText w:val="%1、"/>
      <w:lvlJc w:val="left"/>
    </w:lvl>
  </w:abstractNum>
  <w:abstractNum w:abstractNumId="4">
    <w:nsid w:val="FF4BB6DE"/>
    <w:multiLevelType w:val="singleLevel"/>
    <w:tmpl w:val="FF4BB6DE"/>
    <w:lvl w:ilvl="0" w:tentative="0">
      <w:start w:val="1"/>
      <w:numFmt w:val="decimal"/>
      <w:suff w:val="nothing"/>
      <w:lvlText w:val="%1、"/>
      <w:lvlJc w:val="left"/>
    </w:lvl>
  </w:abstractNum>
  <w:abstractNum w:abstractNumId="5">
    <w:nsid w:val="FF9379A8"/>
    <w:multiLevelType w:val="singleLevel"/>
    <w:tmpl w:val="FF9379A8"/>
    <w:lvl w:ilvl="0" w:tentative="0">
      <w:start w:val="2"/>
      <w:numFmt w:val="chineseCounting"/>
      <w:suff w:val="nothing"/>
      <w:lvlText w:val="（%1）"/>
      <w:lvlJc w:val="left"/>
      <w:rPr>
        <w:rFonts w:hint="eastAsia"/>
      </w:rPr>
    </w:lvl>
  </w:abstractNum>
  <w:abstractNum w:abstractNumId="6">
    <w:nsid w:val="116B29BF"/>
    <w:multiLevelType w:val="singleLevel"/>
    <w:tmpl w:val="116B29BF"/>
    <w:lvl w:ilvl="0" w:tentative="0">
      <w:start w:val="3"/>
      <w:numFmt w:val="chineseCounting"/>
      <w:suff w:val="nothing"/>
      <w:lvlText w:val="%1、"/>
      <w:lvlJc w:val="left"/>
      <w:rPr>
        <w:rFonts w:hint="eastAsia"/>
      </w:rPr>
    </w:lvl>
  </w:abstractNum>
  <w:abstractNum w:abstractNumId="7">
    <w:nsid w:val="3730CCE4"/>
    <w:multiLevelType w:val="singleLevel"/>
    <w:tmpl w:val="3730CCE4"/>
    <w:lvl w:ilvl="0" w:tentative="0">
      <w:start w:val="2"/>
      <w:numFmt w:val="decimal"/>
      <w:suff w:val="nothing"/>
      <w:lvlText w:val="（%1）"/>
      <w:lvlJc w:val="left"/>
    </w:lvl>
  </w:abstractNum>
  <w:num w:numId="1">
    <w:abstractNumId w:val="7"/>
  </w:num>
  <w:num w:numId="2">
    <w:abstractNumId w:val="2"/>
  </w:num>
  <w:num w:numId="3">
    <w:abstractNumId w:val="1"/>
  </w:num>
  <w:num w:numId="4">
    <w:abstractNumId w:val="6"/>
  </w:num>
  <w:num w:numId="5">
    <w:abstractNumId w:val="3"/>
  </w:num>
  <w:num w:numId="6">
    <w:abstractNumId w:val="5"/>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5325B"/>
    <w:rsid w:val="00056465"/>
    <w:rsid w:val="000E50F0"/>
    <w:rsid w:val="000E586C"/>
    <w:rsid w:val="00121AE4"/>
    <w:rsid w:val="00146AAD"/>
    <w:rsid w:val="001B3A40"/>
    <w:rsid w:val="003C18BC"/>
    <w:rsid w:val="004366A8"/>
    <w:rsid w:val="00464900"/>
    <w:rsid w:val="00502BA7"/>
    <w:rsid w:val="005162F1"/>
    <w:rsid w:val="00535153"/>
    <w:rsid w:val="00554F82"/>
    <w:rsid w:val="0056390D"/>
    <w:rsid w:val="00570BC8"/>
    <w:rsid w:val="005719B0"/>
    <w:rsid w:val="005D10D6"/>
    <w:rsid w:val="007806A5"/>
    <w:rsid w:val="00855E3A"/>
    <w:rsid w:val="00922CB9"/>
    <w:rsid w:val="009E5CD9"/>
    <w:rsid w:val="00A26421"/>
    <w:rsid w:val="00A40AAE"/>
    <w:rsid w:val="00A4293B"/>
    <w:rsid w:val="00A67D50"/>
    <w:rsid w:val="00A8691A"/>
    <w:rsid w:val="00AC1946"/>
    <w:rsid w:val="00B40063"/>
    <w:rsid w:val="00B41F61"/>
    <w:rsid w:val="00BA46E6"/>
    <w:rsid w:val="00C56C72"/>
    <w:rsid w:val="00CA6457"/>
    <w:rsid w:val="00D17F2E"/>
    <w:rsid w:val="00D30354"/>
    <w:rsid w:val="00DF42A0"/>
    <w:rsid w:val="00DF7C45"/>
    <w:rsid w:val="00E31565"/>
    <w:rsid w:val="00E46C51"/>
    <w:rsid w:val="00E769FE"/>
    <w:rsid w:val="00EA2CBE"/>
    <w:rsid w:val="00F32FEE"/>
    <w:rsid w:val="00F71278"/>
    <w:rsid w:val="00FB10BB"/>
    <w:rsid w:val="043C64CB"/>
    <w:rsid w:val="051A56F5"/>
    <w:rsid w:val="066D6EAA"/>
    <w:rsid w:val="08C662D4"/>
    <w:rsid w:val="08CB56BF"/>
    <w:rsid w:val="09BD4D95"/>
    <w:rsid w:val="0C463C19"/>
    <w:rsid w:val="0F8D41CB"/>
    <w:rsid w:val="0FFD46A6"/>
    <w:rsid w:val="102D7239"/>
    <w:rsid w:val="11B769D9"/>
    <w:rsid w:val="11C75270"/>
    <w:rsid w:val="12637CC3"/>
    <w:rsid w:val="12E657C5"/>
    <w:rsid w:val="139C08B2"/>
    <w:rsid w:val="15C513E5"/>
    <w:rsid w:val="167C7687"/>
    <w:rsid w:val="168B3546"/>
    <w:rsid w:val="1A2374E0"/>
    <w:rsid w:val="1C317CE2"/>
    <w:rsid w:val="1DD45808"/>
    <w:rsid w:val="1DED42AC"/>
    <w:rsid w:val="1ED04E61"/>
    <w:rsid w:val="1F1B5EE6"/>
    <w:rsid w:val="20005763"/>
    <w:rsid w:val="20FB313D"/>
    <w:rsid w:val="220B4804"/>
    <w:rsid w:val="282475E3"/>
    <w:rsid w:val="2B2D6714"/>
    <w:rsid w:val="2B567F34"/>
    <w:rsid w:val="2B8F4060"/>
    <w:rsid w:val="2BC10EBF"/>
    <w:rsid w:val="2C6100C1"/>
    <w:rsid w:val="2EA954E8"/>
    <w:rsid w:val="31852954"/>
    <w:rsid w:val="3264220D"/>
    <w:rsid w:val="35464CC5"/>
    <w:rsid w:val="360F106A"/>
    <w:rsid w:val="36406B20"/>
    <w:rsid w:val="3963178C"/>
    <w:rsid w:val="3C7728F7"/>
    <w:rsid w:val="41CC2676"/>
    <w:rsid w:val="42A3549E"/>
    <w:rsid w:val="439174F1"/>
    <w:rsid w:val="43F3265F"/>
    <w:rsid w:val="44D63BBC"/>
    <w:rsid w:val="451F62B1"/>
    <w:rsid w:val="46B21672"/>
    <w:rsid w:val="4ACF20DB"/>
    <w:rsid w:val="4C6702A0"/>
    <w:rsid w:val="4F552460"/>
    <w:rsid w:val="4FCC6863"/>
    <w:rsid w:val="500A214A"/>
    <w:rsid w:val="5204689F"/>
    <w:rsid w:val="522D604D"/>
    <w:rsid w:val="5297585E"/>
    <w:rsid w:val="52AD7D6F"/>
    <w:rsid w:val="5549519D"/>
    <w:rsid w:val="5557596B"/>
    <w:rsid w:val="569D2445"/>
    <w:rsid w:val="5B596DFC"/>
    <w:rsid w:val="5DF03945"/>
    <w:rsid w:val="637C2815"/>
    <w:rsid w:val="64511705"/>
    <w:rsid w:val="661F49D6"/>
    <w:rsid w:val="66B404EB"/>
    <w:rsid w:val="6BAF5138"/>
    <w:rsid w:val="6D621831"/>
    <w:rsid w:val="6F1624CD"/>
    <w:rsid w:val="71E85E40"/>
    <w:rsid w:val="71FD5B1A"/>
    <w:rsid w:val="759D2B77"/>
    <w:rsid w:val="7A353D0B"/>
    <w:rsid w:val="7C2F77BB"/>
    <w:rsid w:val="7CA374D6"/>
    <w:rsid w:val="7D3A5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3"/>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4"/>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5"/>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6"/>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7"/>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8"/>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29"/>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0"/>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1"/>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2"/>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text"/>
    <w:basedOn w:val="1"/>
    <w:semiHidden/>
    <w:unhideWhenUsed/>
    <w:qFormat/>
    <w:uiPriority w:val="99"/>
    <w:pPr>
      <w:jc w:val="left"/>
    </w:pPr>
  </w:style>
  <w:style w:type="paragraph" w:styleId="13">
    <w:name w:val="Body Text"/>
    <w:basedOn w:val="1"/>
    <w:qFormat/>
    <w:uiPriority w:val="0"/>
    <w:pPr>
      <w:spacing w:after="120"/>
    </w:pPr>
  </w:style>
  <w:style w:type="paragraph" w:styleId="14">
    <w:name w:val="Balloon Text"/>
    <w:basedOn w:val="1"/>
    <w:link w:val="48"/>
    <w:semiHidden/>
    <w:unhideWhenUsed/>
    <w:qFormat/>
    <w:uiPriority w:val="99"/>
    <w:rPr>
      <w:sz w:val="18"/>
      <w:szCs w:val="18"/>
    </w:rPr>
  </w:style>
  <w:style w:type="paragraph" w:styleId="15">
    <w:name w:val="footer"/>
    <w:basedOn w:val="1"/>
    <w:link w:val="47"/>
    <w:unhideWhenUsed/>
    <w:qFormat/>
    <w:uiPriority w:val="99"/>
    <w:pPr>
      <w:tabs>
        <w:tab w:val="center" w:pos="4153"/>
        <w:tab w:val="right" w:pos="8306"/>
      </w:tabs>
      <w:snapToGrid w:val="0"/>
      <w:jc w:val="left"/>
    </w:pPr>
    <w:rPr>
      <w:rFonts w:ascii="Calibri" w:hAnsi="Calibri"/>
      <w:sz w:val="18"/>
      <w:szCs w:val="18"/>
    </w:rPr>
  </w:style>
  <w:style w:type="paragraph" w:styleId="16">
    <w:name w:val="header"/>
    <w:basedOn w:val="1"/>
    <w:link w:val="46"/>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7">
    <w:name w:val="Subtitle"/>
    <w:basedOn w:val="1"/>
    <w:next w:val="1"/>
    <w:link w:val="33"/>
    <w:qFormat/>
    <w:uiPriority w:val="11"/>
    <w:pPr>
      <w:widowControl/>
      <w:spacing w:after="60"/>
      <w:jc w:val="center"/>
      <w:outlineLvl w:val="1"/>
    </w:pPr>
    <w:rPr>
      <w:rFonts w:asciiTheme="majorHAnsi" w:hAnsiTheme="majorHAnsi" w:eastAsiaTheme="majorEastAsia"/>
      <w:kern w:val="0"/>
      <w:sz w:val="24"/>
    </w:rPr>
  </w:style>
  <w:style w:type="paragraph" w:styleId="18">
    <w:name w:val="Body Text First Indent"/>
    <w:basedOn w:val="13"/>
    <w:qFormat/>
    <w:uiPriority w:val="0"/>
    <w:pPr>
      <w:spacing w:after="0"/>
      <w:ind w:firstLine="200" w:firstLineChars="200"/>
    </w:pPr>
  </w:style>
  <w:style w:type="character" w:styleId="21">
    <w:name w:val="Strong"/>
    <w:basedOn w:val="20"/>
    <w:qFormat/>
    <w:uiPriority w:val="0"/>
    <w:rPr>
      <w:b/>
      <w:bCs/>
    </w:rPr>
  </w:style>
  <w:style w:type="character" w:styleId="22">
    <w:name w:val="Emphasis"/>
    <w:basedOn w:val="20"/>
    <w:qFormat/>
    <w:uiPriority w:val="20"/>
    <w:rPr>
      <w:rFonts w:asciiTheme="minorHAnsi" w:hAnsiTheme="minorHAnsi"/>
      <w:b/>
      <w:i/>
      <w:iCs/>
    </w:rPr>
  </w:style>
  <w:style w:type="character" w:customStyle="1" w:styleId="23">
    <w:name w:val="标题 1 Char"/>
    <w:basedOn w:val="20"/>
    <w:link w:val="3"/>
    <w:qFormat/>
    <w:uiPriority w:val="9"/>
    <w:rPr>
      <w:rFonts w:asciiTheme="majorHAnsi" w:hAnsiTheme="majorHAnsi" w:eastAsiaTheme="majorEastAsia"/>
      <w:b/>
      <w:bCs/>
      <w:kern w:val="32"/>
      <w:sz w:val="32"/>
      <w:szCs w:val="32"/>
    </w:rPr>
  </w:style>
  <w:style w:type="character" w:customStyle="1" w:styleId="24">
    <w:name w:val="标题 2 Char"/>
    <w:basedOn w:val="20"/>
    <w:link w:val="4"/>
    <w:semiHidden/>
    <w:qFormat/>
    <w:uiPriority w:val="9"/>
    <w:rPr>
      <w:rFonts w:asciiTheme="majorHAnsi" w:hAnsiTheme="majorHAnsi" w:eastAsiaTheme="majorEastAsia"/>
      <w:b/>
      <w:bCs/>
      <w:i/>
      <w:iCs/>
      <w:sz w:val="28"/>
      <w:szCs w:val="28"/>
    </w:rPr>
  </w:style>
  <w:style w:type="character" w:customStyle="1" w:styleId="25">
    <w:name w:val="标题 3 Char"/>
    <w:basedOn w:val="20"/>
    <w:link w:val="5"/>
    <w:semiHidden/>
    <w:qFormat/>
    <w:uiPriority w:val="9"/>
    <w:rPr>
      <w:rFonts w:asciiTheme="majorHAnsi" w:hAnsiTheme="majorHAnsi" w:eastAsiaTheme="majorEastAsia"/>
      <w:b/>
      <w:bCs/>
      <w:sz w:val="26"/>
      <w:szCs w:val="26"/>
    </w:rPr>
  </w:style>
  <w:style w:type="character" w:customStyle="1" w:styleId="26">
    <w:name w:val="标题 4 Char"/>
    <w:basedOn w:val="20"/>
    <w:link w:val="6"/>
    <w:semiHidden/>
    <w:qFormat/>
    <w:uiPriority w:val="9"/>
    <w:rPr>
      <w:b/>
      <w:bCs/>
      <w:sz w:val="28"/>
      <w:szCs w:val="28"/>
    </w:rPr>
  </w:style>
  <w:style w:type="character" w:customStyle="1" w:styleId="27">
    <w:name w:val="标题 5 Char"/>
    <w:basedOn w:val="20"/>
    <w:link w:val="7"/>
    <w:semiHidden/>
    <w:qFormat/>
    <w:uiPriority w:val="9"/>
    <w:rPr>
      <w:b/>
      <w:bCs/>
      <w:i/>
      <w:iCs/>
      <w:sz w:val="26"/>
      <w:szCs w:val="26"/>
    </w:rPr>
  </w:style>
  <w:style w:type="character" w:customStyle="1" w:styleId="28">
    <w:name w:val="标题 6 Char"/>
    <w:basedOn w:val="20"/>
    <w:link w:val="8"/>
    <w:semiHidden/>
    <w:qFormat/>
    <w:uiPriority w:val="9"/>
    <w:rPr>
      <w:b/>
      <w:bCs/>
    </w:rPr>
  </w:style>
  <w:style w:type="character" w:customStyle="1" w:styleId="29">
    <w:name w:val="标题 7 Char"/>
    <w:basedOn w:val="20"/>
    <w:link w:val="9"/>
    <w:semiHidden/>
    <w:qFormat/>
    <w:uiPriority w:val="9"/>
    <w:rPr>
      <w:sz w:val="24"/>
      <w:szCs w:val="24"/>
    </w:rPr>
  </w:style>
  <w:style w:type="character" w:customStyle="1" w:styleId="30">
    <w:name w:val="标题 8 Char"/>
    <w:basedOn w:val="20"/>
    <w:link w:val="10"/>
    <w:semiHidden/>
    <w:qFormat/>
    <w:uiPriority w:val="9"/>
    <w:rPr>
      <w:i/>
      <w:iCs/>
      <w:sz w:val="24"/>
      <w:szCs w:val="24"/>
    </w:rPr>
  </w:style>
  <w:style w:type="character" w:customStyle="1" w:styleId="31">
    <w:name w:val="标题 9 Char"/>
    <w:basedOn w:val="20"/>
    <w:link w:val="11"/>
    <w:semiHidden/>
    <w:qFormat/>
    <w:uiPriority w:val="9"/>
    <w:rPr>
      <w:rFonts w:asciiTheme="majorHAnsi" w:hAnsiTheme="majorHAnsi" w:eastAsiaTheme="majorEastAsia"/>
    </w:rPr>
  </w:style>
  <w:style w:type="character" w:customStyle="1" w:styleId="32">
    <w:name w:val="标题 Char"/>
    <w:basedOn w:val="20"/>
    <w:link w:val="2"/>
    <w:qFormat/>
    <w:uiPriority w:val="10"/>
    <w:rPr>
      <w:rFonts w:asciiTheme="majorHAnsi" w:hAnsiTheme="majorHAnsi" w:eastAsiaTheme="majorEastAsia"/>
      <w:b/>
      <w:bCs/>
      <w:kern w:val="28"/>
      <w:sz w:val="32"/>
      <w:szCs w:val="32"/>
    </w:rPr>
  </w:style>
  <w:style w:type="character" w:customStyle="1" w:styleId="33">
    <w:name w:val="副标题 Char"/>
    <w:basedOn w:val="20"/>
    <w:link w:val="17"/>
    <w:qFormat/>
    <w:uiPriority w:val="11"/>
    <w:rPr>
      <w:rFonts w:asciiTheme="majorHAnsi" w:hAnsiTheme="majorHAnsi" w:eastAsiaTheme="majorEastAsia"/>
      <w:sz w:val="24"/>
      <w:szCs w:val="24"/>
    </w:rPr>
  </w:style>
  <w:style w:type="paragraph" w:styleId="34">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5">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6">
    <w:name w:val="Quote"/>
    <w:basedOn w:val="1"/>
    <w:next w:val="1"/>
    <w:link w:val="37"/>
    <w:qFormat/>
    <w:uiPriority w:val="29"/>
    <w:pPr>
      <w:widowControl/>
      <w:jc w:val="left"/>
    </w:pPr>
    <w:rPr>
      <w:rFonts w:asciiTheme="minorHAnsi" w:hAnsiTheme="minorHAnsi" w:eastAsiaTheme="minorEastAsia"/>
      <w:i/>
      <w:kern w:val="0"/>
      <w:sz w:val="24"/>
    </w:rPr>
  </w:style>
  <w:style w:type="character" w:customStyle="1" w:styleId="37">
    <w:name w:val="引用 Char"/>
    <w:basedOn w:val="20"/>
    <w:link w:val="36"/>
    <w:qFormat/>
    <w:uiPriority w:val="29"/>
    <w:rPr>
      <w:i/>
      <w:sz w:val="24"/>
      <w:szCs w:val="24"/>
    </w:rPr>
  </w:style>
  <w:style w:type="paragraph" w:styleId="38">
    <w:name w:val="Intense Quote"/>
    <w:basedOn w:val="1"/>
    <w:next w:val="1"/>
    <w:link w:val="39"/>
    <w:qFormat/>
    <w:uiPriority w:val="30"/>
    <w:pPr>
      <w:widowControl/>
      <w:ind w:left="720" w:right="720"/>
      <w:jc w:val="left"/>
    </w:pPr>
    <w:rPr>
      <w:rFonts w:asciiTheme="minorHAnsi" w:hAnsiTheme="minorHAnsi" w:eastAsiaTheme="minorEastAsia"/>
      <w:b/>
      <w:i/>
      <w:kern w:val="0"/>
      <w:sz w:val="24"/>
      <w:szCs w:val="22"/>
    </w:rPr>
  </w:style>
  <w:style w:type="character" w:customStyle="1" w:styleId="39">
    <w:name w:val="明显引用 Char"/>
    <w:basedOn w:val="20"/>
    <w:link w:val="38"/>
    <w:qFormat/>
    <w:uiPriority w:val="30"/>
    <w:rPr>
      <w:b/>
      <w:i/>
      <w:sz w:val="24"/>
    </w:rPr>
  </w:style>
  <w:style w:type="character" w:customStyle="1" w:styleId="40">
    <w:name w:val="不明显强调1"/>
    <w:qFormat/>
    <w:uiPriority w:val="19"/>
    <w:rPr>
      <w:i/>
      <w:color w:val="585858" w:themeColor="text1" w:themeTint="A6"/>
    </w:rPr>
  </w:style>
  <w:style w:type="character" w:customStyle="1" w:styleId="41">
    <w:name w:val="明显强调1"/>
    <w:basedOn w:val="20"/>
    <w:qFormat/>
    <w:uiPriority w:val="21"/>
    <w:rPr>
      <w:b/>
      <w:i/>
      <w:sz w:val="24"/>
      <w:szCs w:val="24"/>
      <w:u w:val="single"/>
    </w:rPr>
  </w:style>
  <w:style w:type="character" w:customStyle="1" w:styleId="42">
    <w:name w:val="不明显参考1"/>
    <w:basedOn w:val="20"/>
    <w:qFormat/>
    <w:uiPriority w:val="31"/>
    <w:rPr>
      <w:sz w:val="24"/>
      <w:szCs w:val="24"/>
      <w:u w:val="single"/>
    </w:rPr>
  </w:style>
  <w:style w:type="character" w:customStyle="1" w:styleId="43">
    <w:name w:val="明显参考1"/>
    <w:basedOn w:val="20"/>
    <w:qFormat/>
    <w:uiPriority w:val="32"/>
    <w:rPr>
      <w:b/>
      <w:sz w:val="24"/>
      <w:u w:val="single"/>
    </w:rPr>
  </w:style>
  <w:style w:type="character" w:customStyle="1" w:styleId="44">
    <w:name w:val="书籍标题1"/>
    <w:basedOn w:val="20"/>
    <w:qFormat/>
    <w:uiPriority w:val="33"/>
    <w:rPr>
      <w:rFonts w:asciiTheme="majorHAnsi" w:hAnsiTheme="majorHAnsi" w:eastAsiaTheme="majorEastAsia"/>
      <w:b/>
      <w:i/>
      <w:sz w:val="24"/>
      <w:szCs w:val="24"/>
    </w:rPr>
  </w:style>
  <w:style w:type="paragraph" w:customStyle="1" w:styleId="45">
    <w:name w:val="TOC 标题1"/>
    <w:basedOn w:val="3"/>
    <w:next w:val="1"/>
    <w:semiHidden/>
    <w:unhideWhenUsed/>
    <w:qFormat/>
    <w:uiPriority w:val="39"/>
    <w:pPr>
      <w:outlineLvl w:val="9"/>
    </w:pPr>
    <w:rPr>
      <w:lang w:eastAsia="en-US" w:bidi="en-US"/>
    </w:rPr>
  </w:style>
  <w:style w:type="character" w:customStyle="1" w:styleId="46">
    <w:name w:val="页眉 Char"/>
    <w:basedOn w:val="20"/>
    <w:link w:val="16"/>
    <w:qFormat/>
    <w:uiPriority w:val="99"/>
    <w:rPr>
      <w:rFonts w:ascii="Calibri" w:hAnsi="Calibri" w:eastAsia="宋体"/>
      <w:kern w:val="2"/>
      <w:sz w:val="18"/>
      <w:szCs w:val="18"/>
    </w:rPr>
  </w:style>
  <w:style w:type="character" w:customStyle="1" w:styleId="47">
    <w:name w:val="页脚 Char"/>
    <w:basedOn w:val="20"/>
    <w:link w:val="15"/>
    <w:qFormat/>
    <w:uiPriority w:val="99"/>
    <w:rPr>
      <w:rFonts w:ascii="Calibri" w:hAnsi="Calibri" w:eastAsia="宋体"/>
      <w:kern w:val="2"/>
      <w:sz w:val="18"/>
      <w:szCs w:val="18"/>
    </w:rPr>
  </w:style>
  <w:style w:type="character" w:customStyle="1" w:styleId="48">
    <w:name w:val="批注框文本 Char"/>
    <w:basedOn w:val="20"/>
    <w:link w:val="14"/>
    <w:semiHidden/>
    <w:qFormat/>
    <w:uiPriority w:val="99"/>
    <w:rPr>
      <w:rFonts w:ascii="Times New Roman" w:hAnsi="Times New Roman" w:eastAsia="宋体"/>
      <w:kern w:val="2"/>
      <w:sz w:val="18"/>
      <w:szCs w:val="18"/>
    </w:rPr>
  </w:style>
  <w:style w:type="paragraph" w:customStyle="1" w:styleId="49">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0">
    <w:name w:val="fontstyle01"/>
    <w:qFormat/>
    <w:uiPriority w:val="0"/>
    <w:rPr>
      <w:rFonts w:ascii="仿宋_GB2312" w:hAnsi="仿宋_GB2312" w:eastAsia="仿宋_GB2312" w:cs="仿宋_GB2312"/>
      <w:color w:val="000000"/>
      <w:sz w:val="32"/>
      <w:szCs w:val="32"/>
    </w:rPr>
  </w:style>
  <w:style w:type="paragraph" w:customStyle="1" w:styleId="51">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18</Pages>
  <Words>1131</Words>
  <Characters>6451</Characters>
  <Lines>53</Lines>
  <Paragraphs>15</Paragraphs>
  <TotalTime>7</TotalTime>
  <ScaleCrop>false</ScaleCrop>
  <LinksUpToDate>false</LinksUpToDate>
  <CharactersWithSpaces>7567</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Administrator</cp:lastModifiedBy>
  <cp:lastPrinted>2021-04-08T05:14:00Z</cp:lastPrinted>
  <dcterms:modified xsi:type="dcterms:W3CDTF">2025-09-05T05:47:08Z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8B61D488BE774ABC9566A78092016FDB</vt:lpwstr>
  </property>
</Properties>
</file>