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contextualSpacing/>
        <w:rPr>
          <w:rFonts w:ascii="黑体" w:hAnsi="仿宋_GB2312" w:eastAsia="黑体" w:cs="仿宋_GB2312"/>
          <w:sz w:val="32"/>
          <w:szCs w:val="32"/>
        </w:rPr>
      </w:pPr>
      <w:r>
        <w:rPr>
          <w:rFonts w:hint="eastAsia" w:ascii="黑体" w:hAnsi="仿宋_GB2312" w:eastAsia="黑体" w:cs="仿宋_GB2312"/>
          <w:sz w:val="32"/>
          <w:szCs w:val="32"/>
        </w:rPr>
        <w:t>附件3</w:t>
      </w:r>
    </w:p>
    <w:p>
      <w:pPr>
        <w:pStyle w:val="3"/>
        <w:rPr>
          <w:rFonts w:ascii="黑体" w:hAnsi="仿宋_GB2312" w:eastAsia="黑体" w:cs="仿宋_GB2312"/>
        </w:rPr>
      </w:pPr>
    </w:p>
    <w:p>
      <w:pPr>
        <w:spacing w:line="540" w:lineRule="exact"/>
        <w:jc w:val="center"/>
        <w:rPr>
          <w:rFonts w:hint="eastAsia" w:ascii="方正小标宋简体" w:hAnsi="方正小标宋简体" w:eastAsia="方正小标宋简体" w:cs="方正小标宋简体"/>
          <w:kern w:val="0"/>
          <w:sz w:val="44"/>
          <w:szCs w:val="44"/>
        </w:rPr>
      </w:pPr>
      <w:r>
        <w:rPr>
          <w:rFonts w:hint="eastAsia" w:ascii="方正小标宋简体" w:hAnsi="方正小标宋简体" w:eastAsia="方正小标宋简体" w:cs="方正小标宋简体"/>
          <w:kern w:val="0"/>
          <w:sz w:val="44"/>
          <w:szCs w:val="44"/>
        </w:rPr>
        <w:t>塔城地区统计局全国第七次人口普查</w:t>
      </w:r>
    </w:p>
    <w:p>
      <w:pPr>
        <w:spacing w:line="540" w:lineRule="exact"/>
        <w:jc w:val="center"/>
        <w:rPr>
          <w:rFonts w:ascii="黑体" w:hAnsi="黑体" w:eastAsia="黑体" w:cs="黑体"/>
          <w:kern w:val="0"/>
          <w:sz w:val="44"/>
          <w:szCs w:val="44"/>
        </w:rPr>
      </w:pPr>
      <w:r>
        <w:rPr>
          <w:rFonts w:hint="eastAsia" w:ascii="方正小标宋简体" w:hAnsi="方正小标宋简体" w:eastAsia="方正小标宋简体" w:cs="方正小标宋简体"/>
          <w:kern w:val="0"/>
          <w:sz w:val="44"/>
          <w:szCs w:val="44"/>
        </w:rPr>
        <w:t>资金项目支出绩效评价报告</w:t>
      </w: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仿宋_GB2312" w:hAnsi="仿宋_GB2312" w:eastAsia="仿宋_GB2312" w:cs="仿宋_GB2312"/>
          <w:kern w:val="0"/>
          <w:sz w:val="36"/>
          <w:szCs w:val="36"/>
        </w:rPr>
      </w:pPr>
      <w:r>
        <w:rPr>
          <w:rFonts w:hint="eastAsia" w:ascii="仿宋_GB2312" w:hAnsi="仿宋_GB2312" w:eastAsia="仿宋_GB2312" w:cs="仿宋_GB2312"/>
          <w:kern w:val="0"/>
          <w:sz w:val="36"/>
          <w:szCs w:val="36"/>
        </w:rPr>
        <w:t>（ 2020年度）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ind w:firstLine="720" w:firstLineChars="200"/>
        <w:jc w:val="left"/>
        <w:rPr>
          <w:rFonts w:hint="eastAsia" w:ascii="仿宋_GB2312" w:hAnsi="仿宋_GB2312" w:eastAsia="仿宋_GB2312" w:cs="仿宋_GB2312"/>
          <w:kern w:val="0"/>
          <w:sz w:val="36"/>
          <w:szCs w:val="36"/>
        </w:rPr>
      </w:pPr>
      <w:r>
        <w:rPr>
          <w:rFonts w:hint="eastAsia" w:ascii="仿宋_GB2312" w:hAnsi="仿宋_GB2312" w:eastAsia="仿宋_GB2312" w:cs="仿宋_GB2312"/>
          <w:kern w:val="0"/>
          <w:sz w:val="36"/>
          <w:szCs w:val="36"/>
        </w:rPr>
        <w:t>项目名称：全国第七次人口普查项目资金</w:t>
      </w:r>
    </w:p>
    <w:p>
      <w:pPr>
        <w:spacing w:line="700" w:lineRule="exact"/>
        <w:ind w:firstLine="720" w:firstLineChars="200"/>
        <w:jc w:val="left"/>
        <w:rPr>
          <w:rFonts w:hint="eastAsia" w:ascii="仿宋_GB2312" w:hAnsi="仿宋_GB2312" w:eastAsia="仿宋_GB2312" w:cs="仿宋_GB2312"/>
          <w:kern w:val="0"/>
          <w:sz w:val="36"/>
          <w:szCs w:val="36"/>
        </w:rPr>
      </w:pPr>
      <w:r>
        <w:rPr>
          <w:rFonts w:hint="eastAsia" w:ascii="仿宋_GB2312" w:hAnsi="仿宋_GB2312" w:eastAsia="仿宋_GB2312" w:cs="仿宋_GB2312"/>
          <w:kern w:val="0"/>
          <w:sz w:val="36"/>
          <w:szCs w:val="36"/>
        </w:rPr>
        <w:t>实施单位（公章）：塔城地区统计局</w:t>
      </w:r>
    </w:p>
    <w:p>
      <w:pPr>
        <w:spacing w:line="700" w:lineRule="exact"/>
        <w:ind w:firstLine="720" w:firstLineChars="200"/>
        <w:jc w:val="left"/>
        <w:rPr>
          <w:rFonts w:hint="eastAsia" w:ascii="仿宋_GB2312" w:hAnsi="仿宋_GB2312" w:eastAsia="仿宋_GB2312" w:cs="仿宋_GB2312"/>
          <w:kern w:val="0"/>
          <w:sz w:val="36"/>
          <w:szCs w:val="36"/>
        </w:rPr>
      </w:pPr>
      <w:r>
        <w:rPr>
          <w:rFonts w:hint="eastAsia" w:ascii="仿宋_GB2312" w:hAnsi="仿宋_GB2312" w:eastAsia="仿宋_GB2312" w:cs="仿宋_GB2312"/>
          <w:kern w:val="0"/>
          <w:sz w:val="36"/>
          <w:szCs w:val="36"/>
        </w:rPr>
        <w:t>主管部门（公章）：塔城地区统计局</w:t>
      </w:r>
    </w:p>
    <w:p>
      <w:pPr>
        <w:spacing w:line="700" w:lineRule="exact"/>
        <w:ind w:firstLine="720" w:firstLineChars="200"/>
        <w:jc w:val="left"/>
        <w:rPr>
          <w:rFonts w:hint="eastAsia" w:ascii="仿宋_GB2312" w:hAnsi="仿宋_GB2312" w:eastAsia="仿宋_GB2312" w:cs="仿宋_GB2312"/>
          <w:kern w:val="0"/>
          <w:sz w:val="36"/>
          <w:szCs w:val="36"/>
        </w:rPr>
      </w:pPr>
      <w:r>
        <w:rPr>
          <w:rFonts w:hint="eastAsia" w:ascii="仿宋_GB2312" w:hAnsi="仿宋_GB2312" w:eastAsia="仿宋_GB2312" w:cs="仿宋_GB2312"/>
          <w:kern w:val="0"/>
          <w:sz w:val="36"/>
          <w:szCs w:val="36"/>
        </w:rPr>
        <w:t>填报时间：2021年3月31日</w:t>
      </w:r>
    </w:p>
    <w:p>
      <w:pPr>
        <w:spacing w:line="540" w:lineRule="exact"/>
        <w:jc w:val="center"/>
        <w:rPr>
          <w:rFonts w:hAnsi="宋体" w:eastAsia="仿宋_GB2312" w:cs="宋体"/>
          <w:kern w:val="0"/>
          <w:sz w:val="30"/>
          <w:szCs w:val="30"/>
        </w:rPr>
      </w:pPr>
    </w:p>
    <w:p/>
    <w:p>
      <w:pPr>
        <w:pStyle w:val="2"/>
      </w:pPr>
    </w:p>
    <w:p/>
    <w:p/>
    <w:p>
      <w:pPr>
        <w:contextualSpacing/>
        <w:rPr>
          <w:rFonts w:ascii="仿宋_GB2312" w:hAnsi="仿宋_GB2312" w:eastAsia="仿宋_GB2312" w:cs="仿宋_GB2312"/>
          <w:szCs w:val="30"/>
        </w:rPr>
      </w:pPr>
    </w:p>
    <w:p>
      <w:pPr>
        <w:pageBreakBefore w:val="0"/>
        <w:kinsoku/>
        <w:wordWrap/>
        <w:overflowPunct/>
        <w:topLinePunct w:val="0"/>
        <w:autoSpaceDE/>
        <w:autoSpaceDN/>
        <w:bidi w:val="0"/>
        <w:adjustRightInd/>
        <w:snapToGrid/>
        <w:spacing w:line="560" w:lineRule="atLeast"/>
        <w:ind w:firstLine="640" w:firstLineChars="200"/>
        <w:contextualSpacing/>
        <w:rPr>
          <w:rFonts w:ascii="黑体" w:hAnsi="黑体" w:eastAsia="黑体" w:cs="黑体"/>
          <w:sz w:val="32"/>
          <w:szCs w:val="32"/>
        </w:rPr>
      </w:pPr>
      <w:r>
        <w:rPr>
          <w:rFonts w:hint="eastAsia" w:ascii="黑体" w:hAnsi="黑体" w:eastAsia="黑体" w:cs="黑体"/>
          <w:sz w:val="32"/>
          <w:szCs w:val="32"/>
        </w:rPr>
        <w:t>一、基本情况</w:t>
      </w:r>
    </w:p>
    <w:p>
      <w:pPr>
        <w:pageBreakBefore w:val="0"/>
        <w:kinsoku/>
        <w:wordWrap/>
        <w:overflowPunct/>
        <w:topLinePunct w:val="0"/>
        <w:autoSpaceDE/>
        <w:autoSpaceDN/>
        <w:bidi w:val="0"/>
        <w:adjustRightInd/>
        <w:snapToGrid/>
        <w:spacing w:line="560" w:lineRule="atLeast"/>
        <w:ind w:firstLine="641"/>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1、项目背景</w:t>
      </w:r>
    </w:p>
    <w:p>
      <w:pPr>
        <w:pageBreakBefore w:val="0"/>
        <w:kinsoku/>
        <w:wordWrap/>
        <w:overflowPunct/>
        <w:topLinePunct w:val="0"/>
        <w:autoSpaceDE/>
        <w:autoSpaceDN/>
        <w:bidi w:val="0"/>
        <w:adjustRightInd/>
        <w:snapToGrid/>
        <w:spacing w:line="560" w:lineRule="atLeast"/>
        <w:ind w:firstLine="643" w:firstLineChars="200"/>
        <w:rPr>
          <w:rFonts w:ascii="仿宋_GB2312" w:hAnsi="仿宋_GB2312" w:eastAsia="仿宋_GB2312" w:cs="仿宋_GB2312"/>
          <w:b/>
          <w:bCs/>
          <w:kern w:val="0"/>
          <w:sz w:val="32"/>
          <w:szCs w:val="32"/>
        </w:rPr>
      </w:pPr>
      <w:r>
        <w:rPr>
          <w:rFonts w:hint="eastAsia" w:ascii="仿宋_GB2312" w:hAnsi="仿宋_GB2312" w:eastAsia="仿宋_GB2312" w:cs="仿宋_GB2312"/>
          <w:b/>
          <w:bCs/>
          <w:kern w:val="0"/>
          <w:sz w:val="32"/>
          <w:szCs w:val="32"/>
        </w:rPr>
        <w:t>（1）项目实施的政策背景</w:t>
      </w:r>
    </w:p>
    <w:p>
      <w:pPr>
        <w:pStyle w:val="2"/>
        <w:pageBreakBefore w:val="0"/>
        <w:kinsoku/>
        <w:wordWrap/>
        <w:overflowPunct/>
        <w:topLinePunct w:val="0"/>
        <w:autoSpaceDE/>
        <w:autoSpaceDN/>
        <w:bidi w:val="0"/>
        <w:adjustRightInd/>
        <w:snapToGrid/>
        <w:spacing w:before="0" w:after="0" w:line="560" w:lineRule="atLeast"/>
        <w:ind w:firstLine="640" w:firstLineChars="200"/>
        <w:jc w:val="left"/>
      </w:pPr>
      <w:r>
        <w:rPr>
          <w:rFonts w:hint="eastAsia" w:ascii="仿宋_GB2312" w:hAnsi="仿宋_GB2312" w:eastAsia="仿宋_GB2312" w:cs="仿宋_GB2312"/>
          <w:b w:val="0"/>
          <w:bCs w:val="0"/>
          <w:kern w:val="2"/>
        </w:rPr>
        <w:t>第七次全国人口普查是在中国特色社会主义进入新时代开展的一次重大国情国力调查，具有重要而深远的意义。自治区3月29日动员会议后，地区成立了第七次全国人口普查领导小组，紧紧围绕第七次全国人口普查工作重点，落实自治区人口普查各项工作要求，稳步推进地区第七次全国人口普查各项工作开展。</w:t>
      </w:r>
    </w:p>
    <w:p>
      <w:pPr>
        <w:pStyle w:val="2"/>
        <w:pageBreakBefore w:val="0"/>
        <w:numPr>
          <w:ilvl w:val="0"/>
          <w:numId w:val="1"/>
        </w:numPr>
        <w:kinsoku/>
        <w:wordWrap/>
        <w:overflowPunct/>
        <w:topLinePunct w:val="0"/>
        <w:autoSpaceDE/>
        <w:autoSpaceDN/>
        <w:bidi w:val="0"/>
        <w:adjustRightInd/>
        <w:snapToGrid/>
        <w:spacing w:before="0" w:after="0" w:line="560" w:lineRule="atLeast"/>
        <w:ind w:firstLine="643" w:firstLineChars="200"/>
        <w:jc w:val="both"/>
        <w:rPr>
          <w:rFonts w:ascii="仿宋_GB2312" w:hAnsi="仿宋_GB2312" w:eastAsia="仿宋_GB2312" w:cs="仿宋_GB2312"/>
          <w:b/>
          <w:bCs/>
          <w:kern w:val="0"/>
        </w:rPr>
      </w:pPr>
      <w:r>
        <w:rPr>
          <w:rFonts w:hint="eastAsia" w:ascii="仿宋_GB2312" w:hAnsi="仿宋_GB2312" w:eastAsia="仿宋_GB2312" w:cs="仿宋_GB2312"/>
          <w:b/>
          <w:bCs/>
          <w:kern w:val="0"/>
        </w:rPr>
        <w:t>项目实施的历史概况</w:t>
      </w:r>
    </w:p>
    <w:p>
      <w:pPr>
        <w:pStyle w:val="2"/>
        <w:pageBreakBefore w:val="0"/>
        <w:kinsoku/>
        <w:wordWrap/>
        <w:overflowPunct/>
        <w:topLinePunct w:val="0"/>
        <w:autoSpaceDE/>
        <w:autoSpaceDN/>
        <w:bidi w:val="0"/>
        <w:adjustRightInd/>
        <w:snapToGrid/>
        <w:spacing w:before="0" w:after="0" w:line="560" w:lineRule="atLeast"/>
        <w:ind w:firstLine="640" w:firstLineChars="200"/>
        <w:jc w:val="left"/>
        <w:rPr>
          <w:rFonts w:ascii="仿宋_GB2312" w:hAnsi="仿宋_GB2312" w:eastAsia="仿宋_GB2312" w:cs="仿宋_GB2312"/>
        </w:rPr>
      </w:pPr>
      <w:r>
        <w:rPr>
          <w:rFonts w:hint="eastAsia" w:ascii="仿宋_GB2312" w:hAnsi="仿宋_GB2312" w:eastAsia="仿宋_GB2312" w:cs="仿宋_GB2312"/>
          <w:b w:val="0"/>
          <w:bCs w:val="0"/>
        </w:rPr>
        <w:t>全国人口普查工作是我国统计行业的一项重要工作，人口普查的统计对实施国策、振兴经济有着不可缺少的作用。人口普查工作每十年普查一次，通过统计普查工作全面掌握国家人口总数，通过对全国人口调查的方式充分了解我国人口分布现状，掌握人口分布密度，对全国各省人口比重的分析，计算国民经济发展水平。</w:t>
      </w:r>
    </w:p>
    <w:p>
      <w:pPr>
        <w:pageBreakBefore w:val="0"/>
        <w:numPr>
          <w:ilvl w:val="0"/>
          <w:numId w:val="2"/>
        </w:numPr>
        <w:kinsoku/>
        <w:wordWrap/>
        <w:overflowPunct/>
        <w:topLinePunct w:val="0"/>
        <w:autoSpaceDE/>
        <w:autoSpaceDN/>
        <w:bidi w:val="0"/>
        <w:adjustRightInd/>
        <w:snapToGrid/>
        <w:spacing w:line="560" w:lineRule="atLeast"/>
        <w:ind w:firstLine="641"/>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项目主要内容及实施情况</w:t>
      </w:r>
    </w:p>
    <w:p>
      <w:pPr>
        <w:pageBreakBefore w:val="0"/>
        <w:kinsoku/>
        <w:wordWrap/>
        <w:overflowPunct/>
        <w:topLinePunct w:val="0"/>
        <w:autoSpaceDE/>
        <w:autoSpaceDN/>
        <w:bidi w:val="0"/>
        <w:adjustRightInd/>
        <w:snapToGrid/>
        <w:spacing w:line="560" w:lineRule="atLeas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项目主要内容：各项工作围绕1.高度重视力推人口普查工作。2.</w:t>
      </w:r>
      <w:r>
        <w:rPr>
          <w:rFonts w:hint="eastAsia" w:ascii="仿宋_GB2312" w:hAnsi="仿宋_GB2312" w:eastAsia="仿宋_GB2312" w:cs="仿宋_GB2312"/>
          <w:kern w:val="0"/>
          <w:sz w:val="32"/>
          <w:szCs w:val="32"/>
          <w:lang w:bidi="ar"/>
        </w:rPr>
        <w:t>各项准备工作顺利完成。3.全力做好清查摸底和登记工作等内容进行展开。</w:t>
      </w:r>
      <w:r>
        <w:rPr>
          <w:rFonts w:hint="eastAsia" w:ascii="仿宋_GB2312" w:hAnsi="仿宋_GB2312" w:eastAsia="仿宋_GB2312" w:cs="仿宋_GB2312"/>
          <w:sz w:val="32"/>
          <w:szCs w:val="32"/>
        </w:rPr>
        <w:t>12月底组织普查指导员完成长表的抽样登记工作。</w:t>
      </w:r>
    </w:p>
    <w:p>
      <w:pPr>
        <w:pageBreakBefore w:val="0"/>
        <w:kinsoku/>
        <w:wordWrap/>
        <w:overflowPunct/>
        <w:topLinePunct w:val="0"/>
        <w:autoSpaceDE/>
        <w:autoSpaceDN/>
        <w:bidi w:val="0"/>
        <w:adjustRightInd/>
        <w:snapToGrid/>
        <w:spacing w:line="560" w:lineRule="atLeas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项目实施情况：项目目前已经完成实际设立的目标，项目在实施过程中严格按照目标设立的各阶段任务进行开展工作，在前期立项过程中严格把质量关，建立监控管理制度，落实监控整改措施，保证项目实施各阶段顺利进行。</w:t>
      </w:r>
    </w:p>
    <w:p>
      <w:pPr>
        <w:pageBreakBefore w:val="0"/>
        <w:kinsoku/>
        <w:wordWrap/>
        <w:overflowPunct/>
        <w:topLinePunct w:val="0"/>
        <w:autoSpaceDE/>
        <w:autoSpaceDN/>
        <w:bidi w:val="0"/>
        <w:adjustRightInd/>
        <w:snapToGrid/>
        <w:spacing w:line="560" w:lineRule="atLeast"/>
        <w:ind w:firstLine="640" w:firstLineChars="200"/>
        <w:contextualSpacing/>
        <w:rPr>
          <w:rFonts w:ascii="仿宋_GB2312" w:hAnsi="仿宋_GB2312" w:eastAsia="仿宋_GB2312" w:cs="仿宋_GB2312"/>
          <w:sz w:val="32"/>
          <w:szCs w:val="32"/>
        </w:rPr>
      </w:pPr>
      <w:r>
        <w:rPr>
          <w:rFonts w:hint="eastAsia" w:ascii="仿宋_GB2312" w:hAnsi="仿宋_GB2312" w:eastAsia="仿宋_GB2312" w:cs="仿宋_GB2312"/>
          <w:sz w:val="32"/>
          <w:szCs w:val="32"/>
        </w:rPr>
        <w:t>本项目总投资32万元，其中：财政本级资金32万元。项目实际支出26.0</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万元，支出率为81%,资金结余5.9</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万元。</w:t>
      </w:r>
    </w:p>
    <w:p>
      <w:pPr>
        <w:pageBreakBefore w:val="0"/>
        <w:kinsoku/>
        <w:wordWrap/>
        <w:overflowPunct/>
        <w:topLinePunct w:val="0"/>
        <w:autoSpaceDE/>
        <w:autoSpaceDN/>
        <w:bidi w:val="0"/>
        <w:adjustRightInd/>
        <w:snapToGrid/>
        <w:spacing w:line="560" w:lineRule="atLeast"/>
        <w:ind w:firstLine="641"/>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3、资金投入和使用情况</w:t>
      </w:r>
    </w:p>
    <w:p>
      <w:pPr>
        <w:pageBreakBefore w:val="0"/>
        <w:kinsoku/>
        <w:wordWrap/>
        <w:overflowPunct/>
        <w:topLinePunct w:val="0"/>
        <w:autoSpaceDE/>
        <w:autoSpaceDN/>
        <w:bidi w:val="0"/>
        <w:adjustRightInd/>
        <w:snapToGrid/>
        <w:spacing w:line="560" w:lineRule="atLeast"/>
        <w:ind w:firstLine="641"/>
        <w:rPr>
          <w:rFonts w:ascii="仿宋_GB2312" w:hAnsi="仿宋_GB2312" w:eastAsia="仿宋_GB2312" w:cs="仿宋_GB2312"/>
          <w:sz w:val="20"/>
          <w:szCs w:val="20"/>
        </w:rPr>
      </w:pPr>
      <w:r>
        <w:rPr>
          <w:rFonts w:hint="eastAsia" w:ascii="仿宋_GB2312" w:hAnsi="仿宋_GB2312" w:eastAsia="仿宋_GB2312" w:cs="仿宋_GB2312"/>
          <w:sz w:val="32"/>
          <w:szCs w:val="32"/>
        </w:rPr>
        <w:t>（1）资金安排</w:t>
      </w:r>
    </w:p>
    <w:p>
      <w:pPr>
        <w:pageBreakBefore w:val="0"/>
        <w:kinsoku/>
        <w:wordWrap/>
        <w:overflowPunct/>
        <w:topLinePunct w:val="0"/>
        <w:autoSpaceDE/>
        <w:autoSpaceDN/>
        <w:bidi w:val="0"/>
        <w:adjustRightInd/>
        <w:snapToGrid/>
        <w:spacing w:line="560" w:lineRule="atLeast"/>
        <w:ind w:firstLine="579" w:firstLineChars="181"/>
        <w:rPr>
          <w:rFonts w:ascii="仿宋_GB2312" w:hAnsi="仿宋_GB2312" w:eastAsia="仿宋_GB2312" w:cs="仿宋_GB2312"/>
          <w:sz w:val="32"/>
          <w:szCs w:val="32"/>
        </w:rPr>
      </w:pPr>
      <w:r>
        <w:rPr>
          <w:rFonts w:hint="eastAsia" w:ascii="仿宋_GB2312" w:hAnsi="仿宋_GB2312" w:eastAsia="仿宋_GB2312" w:cs="仿宋_GB2312"/>
          <w:sz w:val="32"/>
          <w:szCs w:val="32"/>
        </w:rPr>
        <w:t>项目总投资32万元，按照《第七次全国人口普查工作专项资金管理办法》及单位财务制度等相关规定，资金支出符合第七次全国人口普查工作专项资金费用范围，做到了专款专用。在项目资金拨付和使用过程中，为确保项目资金的安全性，提高项目资金使用效率，严格遵循第七次全国人口普查工作专项资金的拨付程序，认真审核项目实施各阶段的相关材料和手续，根据项目实施进展情况拨付资金。</w:t>
      </w:r>
    </w:p>
    <w:p>
      <w:pPr>
        <w:pageBreakBefore w:val="0"/>
        <w:kinsoku/>
        <w:wordWrap/>
        <w:overflowPunct/>
        <w:topLinePunct w:val="0"/>
        <w:autoSpaceDE/>
        <w:autoSpaceDN/>
        <w:bidi w:val="0"/>
        <w:adjustRightInd/>
        <w:snapToGrid/>
        <w:spacing w:line="560" w:lineRule="atLeast"/>
        <w:ind w:firstLine="641"/>
        <w:rPr>
          <w:rFonts w:ascii="仿宋_GB2312" w:hAnsi="仿宋_GB2312" w:eastAsia="仿宋_GB2312" w:cs="仿宋_GB2312"/>
          <w:sz w:val="32"/>
          <w:szCs w:val="32"/>
        </w:rPr>
      </w:pPr>
      <w:r>
        <w:rPr>
          <w:rFonts w:hint="eastAsia" w:ascii="仿宋_GB2312" w:hAnsi="仿宋_GB2312" w:eastAsia="仿宋_GB2312" w:cs="仿宋_GB2312"/>
          <w:sz w:val="32"/>
          <w:szCs w:val="32"/>
        </w:rPr>
        <w:t>（2）预算资金来源及使用情况</w:t>
      </w:r>
      <w:bookmarkStart w:id="0" w:name="page10"/>
      <w:bookmarkEnd w:id="0"/>
    </w:p>
    <w:p>
      <w:pPr>
        <w:pStyle w:val="2"/>
        <w:pageBreakBefore w:val="0"/>
        <w:kinsoku/>
        <w:wordWrap/>
        <w:overflowPunct/>
        <w:topLinePunct w:val="0"/>
        <w:autoSpaceDE/>
        <w:autoSpaceDN/>
        <w:bidi w:val="0"/>
        <w:adjustRightInd/>
        <w:snapToGrid/>
        <w:spacing w:before="0" w:after="0" w:line="560" w:lineRule="atLeast"/>
        <w:ind w:firstLine="640" w:firstLineChars="200"/>
        <w:jc w:val="left"/>
      </w:pPr>
      <w:r>
        <w:rPr>
          <w:rFonts w:hint="eastAsia" w:ascii="仿宋_GB2312" w:hAnsi="仿宋_GB2312" w:eastAsia="仿宋_GB2312" w:cs="仿宋_GB2312"/>
          <w:b w:val="0"/>
          <w:bCs w:val="0"/>
          <w:kern w:val="2"/>
        </w:rPr>
        <w:t>项目预算资金来源于年初批复的资金，项目资金到位32万元，用于支付项目实施进程中的各项费用。</w:t>
      </w:r>
    </w:p>
    <w:p>
      <w:pPr>
        <w:pageBreakBefore w:val="0"/>
        <w:kinsoku/>
        <w:wordWrap/>
        <w:overflowPunct/>
        <w:topLinePunct w:val="0"/>
        <w:autoSpaceDE/>
        <w:autoSpaceDN/>
        <w:bidi w:val="0"/>
        <w:adjustRightInd/>
        <w:snapToGrid/>
        <w:spacing w:line="560" w:lineRule="atLeast"/>
        <w:ind w:firstLine="643" w:firstLineChars="200"/>
        <w:contextualSpacing/>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(二)项目绩效目标。</w:t>
      </w:r>
    </w:p>
    <w:p>
      <w:pPr>
        <w:pageBreakBefore w:val="0"/>
        <w:kinsoku/>
        <w:wordWrap/>
        <w:overflowPunct/>
        <w:topLinePunct w:val="0"/>
        <w:autoSpaceDE/>
        <w:autoSpaceDN/>
        <w:bidi w:val="0"/>
        <w:adjustRightInd/>
        <w:snapToGrid/>
        <w:spacing w:line="560" w:lineRule="atLeast"/>
        <w:ind w:firstLine="640" w:firstLineChars="200"/>
        <w:contextualSpacing/>
        <w:rPr>
          <w:rFonts w:ascii="仿宋_GB2312" w:hAnsi="仿宋_GB2312" w:eastAsia="仿宋_GB2312" w:cs="仿宋_GB2312"/>
          <w:sz w:val="32"/>
          <w:szCs w:val="32"/>
        </w:rPr>
      </w:pPr>
      <w:r>
        <w:rPr>
          <w:rFonts w:hint="eastAsia" w:ascii="仿宋_GB2312" w:hAnsi="仿宋_GB2312" w:eastAsia="仿宋_GB2312" w:cs="仿宋_GB2312"/>
          <w:sz w:val="32"/>
          <w:szCs w:val="32"/>
        </w:rPr>
        <w:t>1.总体目标：完成塔城地区第七次全国人口普查工作，形成地区普查公报。</w:t>
      </w:r>
    </w:p>
    <w:p>
      <w:pPr>
        <w:pageBreakBefore w:val="0"/>
        <w:kinsoku/>
        <w:wordWrap/>
        <w:overflowPunct/>
        <w:topLinePunct w:val="0"/>
        <w:autoSpaceDE/>
        <w:autoSpaceDN/>
        <w:bidi w:val="0"/>
        <w:adjustRightInd/>
        <w:snapToGrid/>
        <w:spacing w:line="560" w:lineRule="atLeast"/>
        <w:ind w:firstLine="641"/>
        <w:rPr>
          <w:rFonts w:ascii="仿宋_GB2312" w:hAnsi="仿宋_GB2312" w:eastAsia="仿宋_GB2312" w:cs="仿宋_GB2312"/>
          <w:sz w:val="32"/>
          <w:szCs w:val="32"/>
        </w:rPr>
      </w:pPr>
      <w:r>
        <w:rPr>
          <w:rFonts w:hint="eastAsia" w:ascii="仿宋_GB2312" w:hAnsi="仿宋_GB2312" w:eastAsia="仿宋_GB2312" w:cs="仿宋_GB2312"/>
          <w:sz w:val="32"/>
          <w:szCs w:val="32"/>
        </w:rPr>
        <w:t>2.阶段性目标：（1）前期准备：根据《塔城地区第七次全国人口普查方案》，通过制定项目实施方案，经项目负责人审核通过后，有序开展后续工作。</w:t>
      </w:r>
    </w:p>
    <w:p>
      <w:pPr>
        <w:pageBreakBefore w:val="0"/>
        <w:kinsoku/>
        <w:wordWrap/>
        <w:overflowPunct/>
        <w:topLinePunct w:val="0"/>
        <w:autoSpaceDE/>
        <w:autoSpaceDN/>
        <w:bidi w:val="0"/>
        <w:adjustRightInd/>
        <w:snapToGrid/>
        <w:spacing w:line="560" w:lineRule="atLeast"/>
        <w:ind w:firstLine="640" w:firstLineChars="200"/>
        <w:rPr>
          <w:rFonts w:eastAsia="仿宋_GB2312"/>
        </w:rPr>
      </w:pPr>
      <w:r>
        <w:rPr>
          <w:rFonts w:hint="eastAsia" w:ascii="仿宋_GB2312" w:hAnsi="仿宋_GB2312" w:eastAsia="仿宋_GB2312" w:cs="仿宋_GB2312"/>
          <w:sz w:val="32"/>
          <w:szCs w:val="32"/>
        </w:rPr>
        <w:t>（2）组织实施：资金一到位，立即根据项目要求实施项目。项目责任人按照《塔城地区第七次全国人口普查方案》要求逐一进行项目部署安排，提高项目质量及效率性。</w:t>
      </w:r>
    </w:p>
    <w:p>
      <w:pPr>
        <w:pageBreakBefore w:val="0"/>
        <w:kinsoku/>
        <w:wordWrap/>
        <w:overflowPunct/>
        <w:topLinePunct w:val="0"/>
        <w:autoSpaceDE/>
        <w:autoSpaceDN/>
        <w:bidi w:val="0"/>
        <w:adjustRightInd/>
        <w:snapToGrid/>
        <w:spacing w:line="560" w:lineRule="atLeast"/>
        <w:ind w:firstLine="640" w:firstLineChars="200"/>
        <w:contextualSpacing/>
        <w:rPr>
          <w:rFonts w:ascii="黑体" w:hAnsi="黑体" w:eastAsia="黑体" w:cs="黑体"/>
          <w:sz w:val="32"/>
          <w:szCs w:val="32"/>
        </w:rPr>
      </w:pPr>
      <w:r>
        <w:rPr>
          <w:rFonts w:hint="eastAsia" w:ascii="黑体" w:hAnsi="黑体" w:eastAsia="黑体" w:cs="黑体"/>
          <w:sz w:val="32"/>
          <w:szCs w:val="32"/>
        </w:rPr>
        <w:t>二、绩效评价工作开展情况</w:t>
      </w:r>
    </w:p>
    <w:p>
      <w:pPr>
        <w:pageBreakBefore w:val="0"/>
        <w:kinsoku/>
        <w:wordWrap/>
        <w:overflowPunct/>
        <w:topLinePunct w:val="0"/>
        <w:autoSpaceDE/>
        <w:autoSpaceDN/>
        <w:bidi w:val="0"/>
        <w:adjustRightInd/>
        <w:snapToGrid/>
        <w:spacing w:line="560" w:lineRule="atLeast"/>
        <w:ind w:firstLine="643" w:firstLineChars="200"/>
        <w:contextualSpacing/>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（一）绩效评价目的、对象和范围。</w:t>
      </w:r>
    </w:p>
    <w:p>
      <w:pPr>
        <w:pageBreakBefore w:val="0"/>
        <w:kinsoku/>
        <w:wordWrap/>
        <w:overflowPunct/>
        <w:topLinePunct w:val="0"/>
        <w:autoSpaceDE/>
        <w:autoSpaceDN/>
        <w:bidi w:val="0"/>
        <w:adjustRightInd/>
        <w:snapToGrid/>
        <w:spacing w:line="560" w:lineRule="atLeast"/>
        <w:ind w:firstLine="640" w:firstLineChars="200"/>
        <w:rPr>
          <w:rFonts w:ascii="仿宋_GB2312" w:hAnsi="仿宋_GB2312" w:eastAsia="仿宋_GB2312" w:cs="仿宋_GB2312"/>
          <w:color w:val="333333"/>
          <w:sz w:val="32"/>
          <w:szCs w:val="32"/>
          <w:shd w:val="clear" w:color="auto" w:fill="FFFFFF"/>
        </w:rPr>
      </w:pPr>
      <w:r>
        <w:rPr>
          <w:rFonts w:hint="eastAsia" w:ascii="仿宋_GB2312" w:hAnsi="仿宋_GB2312" w:eastAsia="仿宋_GB2312" w:cs="仿宋_GB2312"/>
          <w:color w:val="333333"/>
          <w:sz w:val="32"/>
          <w:szCs w:val="32"/>
          <w:shd w:val="clear" w:color="auto" w:fill="FFFFFF"/>
        </w:rPr>
        <w:t>1.绩效评价目的：绩效评价旨在通过评价改善预算部门的财政支出管理，优化资源配置及提高公共服务水平。运用科学、规范的绩效评价方法，按照财政部《关于印发&lt;项目支出绩效评价管理办法&gt;的通知》，《关于印发&lt;塔城地区全面实施财政支出绩效管理的工作方案&gt;的通知》（塔财预〔2020〕15号），对全国第七次人口普查经费项目进行科学评价，资金项目预算编制合理性、资金使用合规性、项目管理的规范性、项目目标的实现情况、服务对象的满意度等，通过本次绩效评价来总结经验和教训，促进项目成果转化和应用，为今后类似项目的长效管理，提供可行性参考建议。从专项资金的角度提出有针对性的建议，提高对全国第七次人口普查经费的有效利用度，进一步提升塔城地区统计局的工作水平。</w:t>
      </w:r>
    </w:p>
    <w:p>
      <w:pPr>
        <w:pageBreakBefore w:val="0"/>
        <w:numPr>
          <w:ilvl w:val="0"/>
          <w:numId w:val="3"/>
        </w:numPr>
        <w:kinsoku/>
        <w:wordWrap/>
        <w:overflowPunct/>
        <w:topLinePunct w:val="0"/>
        <w:autoSpaceDE/>
        <w:autoSpaceDN/>
        <w:bidi w:val="0"/>
        <w:adjustRightInd/>
        <w:snapToGrid/>
        <w:spacing w:line="560" w:lineRule="atLeast"/>
        <w:ind w:firstLine="641"/>
        <w:rPr>
          <w:rFonts w:ascii="仿宋_GB2312" w:hAnsi="仿宋_GB2312" w:eastAsia="仿宋_GB2312" w:cs="仿宋_GB2312"/>
          <w:sz w:val="32"/>
          <w:szCs w:val="32"/>
        </w:rPr>
      </w:pPr>
      <w:r>
        <w:rPr>
          <w:rFonts w:hint="eastAsia" w:ascii="仿宋_GB2312" w:hAnsi="仿宋_GB2312" w:eastAsia="仿宋_GB2312" w:cs="仿宋_GB2312"/>
          <w:sz w:val="32"/>
          <w:szCs w:val="32"/>
        </w:rPr>
        <w:t>项目在实施前向项目负责人提供财政支出绩效方面的资金管理信息，促进项目支出严格按照资金管理规定进行。</w:t>
      </w:r>
    </w:p>
    <w:p>
      <w:pPr>
        <w:pageBreakBefore w:val="0"/>
        <w:kinsoku/>
        <w:wordWrap/>
        <w:overflowPunct/>
        <w:topLinePunct w:val="0"/>
        <w:autoSpaceDE/>
        <w:autoSpaceDN/>
        <w:bidi w:val="0"/>
        <w:adjustRightInd/>
        <w:snapToGrid/>
        <w:spacing w:line="560" w:lineRule="atLeast"/>
        <w:ind w:left="641"/>
        <w:rPr>
          <w:rFonts w:ascii="仿宋_GB2312" w:hAnsi="仿宋_GB2312" w:eastAsia="仿宋_GB2312" w:cs="仿宋_GB2312"/>
          <w:sz w:val="32"/>
          <w:szCs w:val="32"/>
        </w:rPr>
      </w:pPr>
      <w:r>
        <w:rPr>
          <w:rFonts w:hint="eastAsia" w:ascii="仿宋_GB2312" w:hAnsi="仿宋_GB2312" w:eastAsia="仿宋_GB2312" w:cs="仿宋_GB2312"/>
          <w:sz w:val="32"/>
          <w:szCs w:val="32"/>
        </w:rPr>
        <w:t>（2）项目绩效管理财政支出运行提供及时、有效的信息。</w:t>
      </w:r>
    </w:p>
    <w:p>
      <w:pPr>
        <w:pageBreakBefore w:val="0"/>
        <w:kinsoku/>
        <w:wordWrap/>
        <w:overflowPunct/>
        <w:topLinePunct w:val="0"/>
        <w:autoSpaceDE/>
        <w:autoSpaceDN/>
        <w:bidi w:val="0"/>
        <w:adjustRightInd/>
        <w:snapToGrid/>
        <w:spacing w:line="560" w:lineRule="atLeast"/>
        <w:ind w:firstLine="641"/>
      </w:pPr>
      <w:r>
        <w:rPr>
          <w:rFonts w:hint="eastAsia" w:ascii="仿宋_GB2312" w:hAnsi="仿宋_GB2312" w:eastAsia="仿宋_GB2312" w:cs="仿宋_GB2312"/>
          <w:sz w:val="32"/>
          <w:szCs w:val="32"/>
        </w:rPr>
        <w:t>综合来看，通过开展有效的财政支出绩效评价管理，达到改进预算管理、控制节约成本，提高预算资金使用效益的目的。</w:t>
      </w:r>
    </w:p>
    <w:p>
      <w:pPr>
        <w:pageBreakBefore w:val="0"/>
        <w:numPr>
          <w:ilvl w:val="0"/>
          <w:numId w:val="4"/>
        </w:numPr>
        <w:kinsoku/>
        <w:wordWrap/>
        <w:overflowPunct/>
        <w:topLinePunct w:val="0"/>
        <w:autoSpaceDE/>
        <w:autoSpaceDN/>
        <w:bidi w:val="0"/>
        <w:adjustRightInd/>
        <w:snapToGrid/>
        <w:spacing w:line="560" w:lineRule="atLeast"/>
        <w:ind w:firstLine="641"/>
        <w:rPr>
          <w:rFonts w:ascii="仿宋_GB2312" w:hAnsi="仿宋_GB2312" w:eastAsia="仿宋_GB2312" w:cs="仿宋_GB2312"/>
          <w:b/>
          <w:bCs/>
          <w:color w:val="333333"/>
          <w:sz w:val="32"/>
          <w:szCs w:val="32"/>
          <w:shd w:val="clear" w:color="auto" w:fill="FFFFFF"/>
        </w:rPr>
      </w:pPr>
      <w:r>
        <w:rPr>
          <w:rFonts w:ascii="仿宋_GB2312" w:hAnsi="仿宋_GB2312" w:eastAsia="仿宋_GB2312" w:cs="仿宋_GB2312"/>
          <w:b/>
          <w:bCs/>
          <w:color w:val="333333"/>
          <w:sz w:val="32"/>
          <w:szCs w:val="32"/>
          <w:shd w:val="clear" w:color="auto" w:fill="FFFFFF"/>
        </w:rPr>
        <w:t>绩效评价的对象</w:t>
      </w:r>
      <w:r>
        <w:rPr>
          <w:rFonts w:hint="eastAsia" w:ascii="仿宋_GB2312" w:hAnsi="仿宋_GB2312" w:eastAsia="仿宋_GB2312" w:cs="仿宋_GB2312"/>
          <w:b/>
          <w:bCs/>
          <w:color w:val="333333"/>
          <w:sz w:val="32"/>
          <w:szCs w:val="32"/>
          <w:shd w:val="clear" w:color="auto" w:fill="FFFFFF"/>
        </w:rPr>
        <w:t>：</w:t>
      </w:r>
    </w:p>
    <w:p>
      <w:pPr>
        <w:pStyle w:val="2"/>
        <w:pageBreakBefore w:val="0"/>
        <w:kinsoku/>
        <w:wordWrap/>
        <w:overflowPunct/>
        <w:topLinePunct w:val="0"/>
        <w:autoSpaceDE/>
        <w:autoSpaceDN/>
        <w:bidi w:val="0"/>
        <w:adjustRightInd/>
        <w:snapToGrid/>
        <w:spacing w:before="0" w:after="0" w:line="560" w:lineRule="atLeast"/>
        <w:ind w:firstLine="640" w:firstLineChars="200"/>
        <w:jc w:val="both"/>
      </w:pPr>
      <w:r>
        <w:rPr>
          <w:rFonts w:hint="eastAsia" w:ascii="仿宋_GB2312" w:hAnsi="仿宋_GB2312" w:eastAsia="仿宋_GB2312" w:cs="仿宋_GB2312"/>
          <w:b w:val="0"/>
          <w:bCs w:val="0"/>
          <w:color w:val="333333"/>
          <w:kern w:val="2"/>
          <w:shd w:val="clear" w:color="auto" w:fill="FFFFFF"/>
        </w:rPr>
        <w:t>评价对象为全国第七次人口普查项目</w:t>
      </w:r>
    </w:p>
    <w:p>
      <w:pPr>
        <w:pageBreakBefore w:val="0"/>
        <w:numPr>
          <w:ilvl w:val="0"/>
          <w:numId w:val="4"/>
        </w:numPr>
        <w:kinsoku/>
        <w:wordWrap/>
        <w:overflowPunct/>
        <w:topLinePunct w:val="0"/>
        <w:autoSpaceDE/>
        <w:autoSpaceDN/>
        <w:bidi w:val="0"/>
        <w:adjustRightInd/>
        <w:snapToGrid/>
        <w:spacing w:line="560" w:lineRule="atLeast"/>
        <w:ind w:firstLine="641"/>
        <w:rPr>
          <w:rFonts w:ascii="仿宋_GB2312" w:hAnsi="仿宋_GB2312" w:eastAsia="仿宋_GB2312" w:cs="仿宋_GB2312"/>
          <w:color w:val="333333"/>
          <w:sz w:val="32"/>
          <w:szCs w:val="32"/>
          <w:shd w:val="clear" w:color="auto" w:fill="FFFFFF"/>
        </w:rPr>
      </w:pPr>
      <w:r>
        <w:rPr>
          <w:rFonts w:ascii="仿宋_GB2312" w:hAnsi="仿宋_GB2312" w:eastAsia="仿宋_GB2312" w:cs="仿宋_GB2312"/>
          <w:color w:val="333333"/>
          <w:sz w:val="32"/>
          <w:szCs w:val="32"/>
          <w:shd w:val="clear" w:color="auto" w:fill="FFFFFF"/>
        </w:rPr>
        <w:t>绩效评价的</w:t>
      </w:r>
      <w:r>
        <w:rPr>
          <w:rFonts w:hint="eastAsia" w:ascii="仿宋_GB2312" w:hAnsi="仿宋_GB2312" w:eastAsia="仿宋_GB2312" w:cs="仿宋_GB2312"/>
          <w:color w:val="333333"/>
          <w:sz w:val="32"/>
          <w:szCs w:val="32"/>
          <w:shd w:val="clear" w:color="auto" w:fill="FFFFFF"/>
        </w:rPr>
        <w:t>范围</w:t>
      </w:r>
      <w:r>
        <w:rPr>
          <w:rFonts w:ascii="仿宋_GB2312" w:hAnsi="仿宋_GB2312" w:eastAsia="仿宋_GB2312" w:cs="仿宋_GB2312"/>
          <w:color w:val="333333"/>
          <w:sz w:val="32"/>
          <w:szCs w:val="32"/>
          <w:shd w:val="clear" w:color="auto" w:fill="FFFFFF"/>
        </w:rPr>
        <w:t>：</w:t>
      </w:r>
    </w:p>
    <w:p>
      <w:pPr>
        <w:pStyle w:val="2"/>
        <w:pageBreakBefore w:val="0"/>
        <w:kinsoku/>
        <w:wordWrap/>
        <w:overflowPunct/>
        <w:topLinePunct w:val="0"/>
        <w:autoSpaceDE/>
        <w:autoSpaceDN/>
        <w:bidi w:val="0"/>
        <w:adjustRightInd/>
        <w:snapToGrid/>
        <w:spacing w:before="0" w:after="0" w:line="560" w:lineRule="atLeast"/>
        <w:ind w:firstLine="640" w:firstLineChars="200"/>
        <w:jc w:val="both"/>
        <w:rPr>
          <w:rFonts w:ascii="仿宋_GB2312" w:hAnsi="仿宋_GB2312" w:eastAsia="仿宋_GB2312" w:cs="仿宋_GB2312"/>
          <w:b w:val="0"/>
          <w:bCs w:val="0"/>
          <w:kern w:val="2"/>
        </w:rPr>
      </w:pPr>
      <w:r>
        <w:rPr>
          <w:rFonts w:hint="eastAsia" w:ascii="仿宋_GB2312" w:hAnsi="仿宋_GB2312" w:eastAsia="仿宋_GB2312" w:cs="仿宋_GB2312"/>
          <w:b w:val="0"/>
          <w:bCs w:val="0"/>
          <w:kern w:val="2"/>
        </w:rPr>
        <w:t>评价范围从此项目的项目决策、项目过程、项目产出、项目效益等方面进行评价。</w:t>
      </w:r>
    </w:p>
    <w:p>
      <w:pPr>
        <w:pageBreakBefore w:val="0"/>
        <w:kinsoku/>
        <w:wordWrap/>
        <w:overflowPunct/>
        <w:topLinePunct w:val="0"/>
        <w:autoSpaceDE/>
        <w:autoSpaceDN/>
        <w:bidi w:val="0"/>
        <w:adjustRightInd/>
        <w:snapToGrid/>
        <w:spacing w:line="560" w:lineRule="atLeast"/>
        <w:ind w:firstLine="421" w:firstLineChars="131"/>
        <w:contextualSpacing/>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（二）绩效评价原则、评价指标体系（附表说明）、评价方法、评价标准等。</w:t>
      </w:r>
    </w:p>
    <w:p>
      <w:pPr>
        <w:pageBreakBefore w:val="0"/>
        <w:kinsoku/>
        <w:wordWrap/>
        <w:overflowPunct/>
        <w:topLinePunct w:val="0"/>
        <w:autoSpaceDE/>
        <w:autoSpaceDN/>
        <w:bidi w:val="0"/>
        <w:adjustRightInd/>
        <w:snapToGrid/>
        <w:spacing w:line="560" w:lineRule="atLeast"/>
        <w:ind w:firstLine="643" w:firstLineChars="200"/>
        <w:rPr>
          <w:rFonts w:ascii="仿宋_GB2312" w:hAnsi="仿宋_GB2312" w:eastAsia="仿宋_GB2312" w:cs="仿宋_GB2312"/>
          <w:color w:val="333333"/>
          <w:sz w:val="32"/>
          <w:szCs w:val="32"/>
          <w:shd w:val="clear" w:color="auto" w:fill="FFFFFF"/>
        </w:rPr>
      </w:pPr>
      <w:bookmarkStart w:id="1" w:name="_Toc402181873"/>
      <w:bookmarkStart w:id="2" w:name="_Toc407184396"/>
      <w:bookmarkStart w:id="3" w:name="_Toc30152846"/>
      <w:r>
        <w:rPr>
          <w:rFonts w:hint="eastAsia" w:ascii="仿宋_GB2312" w:hAnsi="仿宋_GB2312" w:eastAsia="仿宋_GB2312" w:cs="仿宋_GB2312"/>
          <w:b/>
          <w:bCs/>
          <w:color w:val="333333"/>
          <w:sz w:val="32"/>
          <w:szCs w:val="32"/>
          <w:shd w:val="clear" w:color="auto" w:fill="FFFFFF"/>
        </w:rPr>
        <w:t>1、绩效评价原则</w:t>
      </w:r>
    </w:p>
    <w:p>
      <w:pPr>
        <w:pageBreakBefore w:val="0"/>
        <w:kinsoku/>
        <w:wordWrap/>
        <w:overflowPunct/>
        <w:topLinePunct w:val="0"/>
        <w:autoSpaceDE/>
        <w:autoSpaceDN/>
        <w:bidi w:val="0"/>
        <w:adjustRightInd/>
        <w:snapToGrid/>
        <w:spacing w:line="560" w:lineRule="atLeast"/>
        <w:ind w:firstLine="640" w:firstLineChars="200"/>
        <w:rPr>
          <w:rFonts w:ascii="仿宋_GB2312" w:hAnsi="仿宋_GB2312" w:eastAsia="仿宋_GB2312" w:cs="仿宋_GB2312"/>
          <w:color w:val="333333"/>
          <w:sz w:val="32"/>
          <w:szCs w:val="32"/>
          <w:shd w:val="clear" w:color="auto" w:fill="FFFFFF"/>
        </w:rPr>
      </w:pPr>
      <w:r>
        <w:rPr>
          <w:rFonts w:hint="eastAsia" w:ascii="仿宋_GB2312" w:hAnsi="仿宋_GB2312" w:eastAsia="仿宋_GB2312" w:cs="仿宋_GB2312"/>
          <w:color w:val="333333"/>
          <w:sz w:val="32"/>
          <w:szCs w:val="32"/>
          <w:shd w:val="clear" w:color="auto" w:fill="FFFFFF"/>
        </w:rPr>
        <w:t>本次绩效评价主要遵循以下原则：</w:t>
      </w:r>
    </w:p>
    <w:p>
      <w:pPr>
        <w:pageBreakBefore w:val="0"/>
        <w:kinsoku/>
        <w:wordWrap/>
        <w:overflowPunct/>
        <w:topLinePunct w:val="0"/>
        <w:autoSpaceDE/>
        <w:autoSpaceDN/>
        <w:bidi w:val="0"/>
        <w:adjustRightInd/>
        <w:snapToGrid/>
        <w:spacing w:line="560" w:lineRule="atLeast"/>
        <w:ind w:firstLine="640" w:firstLineChars="200"/>
        <w:rPr>
          <w:rFonts w:ascii="仿宋_GB2312" w:hAnsi="仿宋_GB2312" w:eastAsia="仿宋_GB2312" w:cs="仿宋_GB2312"/>
          <w:color w:val="333333"/>
          <w:sz w:val="32"/>
          <w:szCs w:val="32"/>
          <w:shd w:val="clear" w:color="auto" w:fill="FFFFFF"/>
        </w:rPr>
      </w:pPr>
      <w:r>
        <w:rPr>
          <w:rFonts w:hint="eastAsia" w:ascii="仿宋_GB2312" w:hAnsi="仿宋_GB2312" w:eastAsia="仿宋_GB2312" w:cs="仿宋_GB2312"/>
          <w:color w:val="333333"/>
          <w:sz w:val="32"/>
          <w:szCs w:val="32"/>
          <w:shd w:val="clear" w:color="auto" w:fill="FFFFFF"/>
        </w:rPr>
        <w:t>（1）科学公正。绩效评价应当运用科学合理的方法，按照规范的程序，对项目绩效进行客观、公正的反映。</w:t>
      </w:r>
    </w:p>
    <w:p>
      <w:pPr>
        <w:pageBreakBefore w:val="0"/>
        <w:kinsoku/>
        <w:wordWrap/>
        <w:overflowPunct/>
        <w:topLinePunct w:val="0"/>
        <w:autoSpaceDE/>
        <w:autoSpaceDN/>
        <w:bidi w:val="0"/>
        <w:adjustRightInd/>
        <w:snapToGrid/>
        <w:spacing w:line="560" w:lineRule="atLeast"/>
        <w:ind w:firstLine="640" w:firstLineChars="200"/>
        <w:rPr>
          <w:rFonts w:ascii="仿宋_GB2312" w:hAnsi="仿宋_GB2312" w:eastAsia="仿宋_GB2312" w:cs="仿宋_GB2312"/>
          <w:color w:val="333333"/>
          <w:sz w:val="32"/>
          <w:szCs w:val="32"/>
          <w:shd w:val="clear" w:color="auto" w:fill="FFFFFF"/>
        </w:rPr>
      </w:pPr>
      <w:r>
        <w:rPr>
          <w:rFonts w:hint="eastAsia" w:ascii="仿宋_GB2312" w:hAnsi="仿宋_GB2312" w:eastAsia="仿宋_GB2312" w:cs="仿宋_GB2312"/>
          <w:color w:val="333333"/>
          <w:sz w:val="32"/>
          <w:szCs w:val="32"/>
          <w:shd w:val="clear" w:color="auto" w:fill="FFFFFF"/>
        </w:rPr>
        <w:t>（2）统筹兼顾。单位自评、部门评价和财政评价应职责明确，各有侧重，相互衔接。</w:t>
      </w:r>
    </w:p>
    <w:p>
      <w:pPr>
        <w:pageBreakBefore w:val="0"/>
        <w:kinsoku/>
        <w:wordWrap/>
        <w:overflowPunct/>
        <w:topLinePunct w:val="0"/>
        <w:autoSpaceDE/>
        <w:autoSpaceDN/>
        <w:bidi w:val="0"/>
        <w:adjustRightInd/>
        <w:snapToGrid/>
        <w:spacing w:line="560" w:lineRule="atLeast"/>
        <w:ind w:firstLine="640" w:firstLineChars="200"/>
        <w:rPr>
          <w:rFonts w:ascii="仿宋_GB2312" w:hAnsi="仿宋_GB2312" w:eastAsia="仿宋_GB2312" w:cs="仿宋_GB2312"/>
          <w:color w:val="333333"/>
          <w:sz w:val="32"/>
          <w:szCs w:val="32"/>
          <w:shd w:val="clear" w:color="auto" w:fill="FFFFFF"/>
        </w:rPr>
      </w:pPr>
      <w:r>
        <w:rPr>
          <w:rFonts w:hint="eastAsia" w:ascii="仿宋_GB2312" w:hAnsi="仿宋_GB2312" w:eastAsia="仿宋_GB2312" w:cs="仿宋_GB2312"/>
          <w:color w:val="333333"/>
          <w:sz w:val="32"/>
          <w:szCs w:val="32"/>
          <w:shd w:val="clear" w:color="auto" w:fill="FFFFFF"/>
        </w:rPr>
        <w:t>（3）激励约束。绩效评价结果应与预算安排、政策调整、改进管理实质性挂钩，体现奖优罚劣和激励相容导向，有效要安排、低效要压减、无效要问责。</w:t>
      </w:r>
    </w:p>
    <w:p>
      <w:pPr>
        <w:pageBreakBefore w:val="0"/>
        <w:kinsoku/>
        <w:wordWrap/>
        <w:overflowPunct/>
        <w:topLinePunct w:val="0"/>
        <w:autoSpaceDE/>
        <w:autoSpaceDN/>
        <w:bidi w:val="0"/>
        <w:adjustRightInd/>
        <w:snapToGrid/>
        <w:spacing w:line="560" w:lineRule="atLeast"/>
        <w:ind w:firstLine="640" w:firstLineChars="200"/>
        <w:rPr>
          <w:rFonts w:ascii="仿宋_GB2312" w:hAnsi="仿宋_GB2312" w:eastAsia="仿宋_GB2312" w:cs="仿宋_GB2312"/>
          <w:color w:val="333333"/>
          <w:sz w:val="32"/>
          <w:szCs w:val="32"/>
          <w:shd w:val="clear" w:color="auto" w:fill="FFFFFF"/>
        </w:rPr>
      </w:pPr>
      <w:r>
        <w:rPr>
          <w:rFonts w:hint="eastAsia" w:ascii="仿宋_GB2312" w:hAnsi="仿宋_GB2312" w:eastAsia="仿宋_GB2312" w:cs="仿宋_GB2312"/>
          <w:color w:val="333333"/>
          <w:sz w:val="32"/>
          <w:szCs w:val="32"/>
          <w:shd w:val="clear" w:color="auto" w:fill="FFFFFF"/>
        </w:rPr>
        <w:t>（4）公开透明。绩效评价结果应依法依规公开，并自觉接受社会监督。</w:t>
      </w:r>
      <w:bookmarkEnd w:id="1"/>
      <w:bookmarkEnd w:id="2"/>
      <w:bookmarkEnd w:id="3"/>
    </w:p>
    <w:p>
      <w:pPr>
        <w:pageBreakBefore w:val="0"/>
        <w:kinsoku/>
        <w:wordWrap/>
        <w:overflowPunct/>
        <w:topLinePunct w:val="0"/>
        <w:autoSpaceDE/>
        <w:autoSpaceDN/>
        <w:bidi w:val="0"/>
        <w:adjustRightInd/>
        <w:snapToGrid/>
        <w:spacing w:line="560" w:lineRule="atLeast"/>
        <w:ind w:firstLine="643" w:firstLineChars="200"/>
        <w:rPr>
          <w:rFonts w:ascii="仿宋_GB2312" w:hAnsi="仿宋_GB2312" w:eastAsia="仿宋_GB2312" w:cs="仿宋_GB2312"/>
          <w:b/>
          <w:bCs/>
          <w:color w:val="333333"/>
          <w:sz w:val="32"/>
          <w:szCs w:val="32"/>
          <w:shd w:val="clear" w:color="auto" w:fill="FFFFFF"/>
        </w:rPr>
      </w:pPr>
      <w:r>
        <w:rPr>
          <w:rFonts w:hint="eastAsia" w:ascii="仿宋_GB2312" w:hAnsi="仿宋_GB2312" w:eastAsia="仿宋_GB2312" w:cs="仿宋_GB2312"/>
          <w:b/>
          <w:bCs/>
          <w:color w:val="333333"/>
          <w:sz w:val="32"/>
          <w:szCs w:val="32"/>
          <w:shd w:val="clear" w:color="auto" w:fill="FFFFFF"/>
        </w:rPr>
        <w:t>2、绩效评价指标体系</w:t>
      </w:r>
    </w:p>
    <w:p>
      <w:pPr>
        <w:pageBreakBefore w:val="0"/>
        <w:kinsoku/>
        <w:wordWrap/>
        <w:overflowPunct/>
        <w:topLinePunct w:val="0"/>
        <w:autoSpaceDE/>
        <w:autoSpaceDN/>
        <w:bidi w:val="0"/>
        <w:adjustRightInd/>
        <w:snapToGrid/>
        <w:spacing w:line="560" w:lineRule="atLeast"/>
        <w:ind w:firstLine="641"/>
        <w:rPr>
          <w:rFonts w:ascii="宋体" w:hAnsi="宋体" w:cs="宋体"/>
          <w:color w:val="000000"/>
          <w:spacing w:val="17"/>
          <w:sz w:val="32"/>
          <w:szCs w:val="32"/>
        </w:rPr>
      </w:pPr>
      <w:r>
        <w:rPr>
          <w:rFonts w:hint="eastAsia" w:ascii="仿宋_GB2312" w:hAnsi="仿宋_GB2312" w:eastAsia="仿宋_GB2312" w:cs="仿宋_GB2312"/>
          <w:color w:val="000000"/>
          <w:spacing w:val="17"/>
          <w:sz w:val="32"/>
          <w:szCs w:val="32"/>
        </w:rPr>
        <w:t>绩效评价框架是开展绩效评价的核心。绩效评价框架包括评价准则、关键评价问题、评价指标、数据来源、数据收集方法等。指标体系建立过程如下：</w:t>
      </w:r>
    </w:p>
    <w:p>
      <w:pPr>
        <w:pageBreakBefore w:val="0"/>
        <w:kinsoku/>
        <w:wordWrap/>
        <w:overflowPunct/>
        <w:topLinePunct w:val="0"/>
        <w:autoSpaceDE/>
        <w:autoSpaceDN/>
        <w:bidi w:val="0"/>
        <w:adjustRightInd/>
        <w:snapToGrid/>
        <w:spacing w:line="560" w:lineRule="atLeas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（1）确定评价指标</w:t>
      </w:r>
    </w:p>
    <w:p>
      <w:pPr>
        <w:pageBreakBefore w:val="0"/>
        <w:kinsoku/>
        <w:wordWrap/>
        <w:overflowPunct/>
        <w:topLinePunct w:val="0"/>
        <w:autoSpaceDE/>
        <w:autoSpaceDN/>
        <w:bidi w:val="0"/>
        <w:adjustRightInd/>
        <w:snapToGrid/>
        <w:spacing w:line="560" w:lineRule="atLeas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采用层次分析法，建立评价指标体系。绩效评价将指标分为项目决策、项目产出指标、项目过程指标、项目效益指标四个维度，最终形成一个由多个相互联系的指标组成的多层次指标体系。</w:t>
      </w:r>
    </w:p>
    <w:p>
      <w:pPr>
        <w:pageBreakBefore w:val="0"/>
        <w:kinsoku/>
        <w:wordWrap/>
        <w:overflowPunct/>
        <w:topLinePunct w:val="0"/>
        <w:autoSpaceDE/>
        <w:autoSpaceDN/>
        <w:bidi w:val="0"/>
        <w:adjustRightInd/>
        <w:snapToGrid/>
        <w:spacing w:line="560" w:lineRule="atLeast"/>
        <w:ind w:firstLine="641"/>
        <w:rPr>
          <w:rFonts w:ascii="仿宋_GB2312" w:hAnsi="仿宋_GB2312" w:eastAsia="仿宋_GB2312" w:cs="仿宋_GB2312"/>
          <w:b/>
          <w:bCs/>
          <w:color w:val="000000"/>
          <w:spacing w:val="17"/>
          <w:sz w:val="32"/>
          <w:szCs w:val="32"/>
        </w:rPr>
      </w:pPr>
      <w:r>
        <w:rPr>
          <w:rFonts w:hint="eastAsia" w:ascii="仿宋_GB2312" w:hAnsi="仿宋_GB2312" w:eastAsia="仿宋_GB2312" w:cs="仿宋_GB2312"/>
          <w:b/>
          <w:bCs/>
          <w:color w:val="000000"/>
          <w:spacing w:val="17"/>
          <w:sz w:val="32"/>
          <w:szCs w:val="32"/>
        </w:rPr>
        <w:t>（2）确定权重</w:t>
      </w:r>
    </w:p>
    <w:p>
      <w:pPr>
        <w:pageBreakBefore w:val="0"/>
        <w:kinsoku/>
        <w:wordWrap/>
        <w:overflowPunct/>
        <w:topLinePunct w:val="0"/>
        <w:autoSpaceDE/>
        <w:autoSpaceDN/>
        <w:bidi w:val="0"/>
        <w:adjustRightInd/>
        <w:snapToGrid/>
        <w:spacing w:line="560" w:lineRule="atLeas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确定各个指标相对于项目总体绩效的权重分值。在绩效评价指标体系中，项目决策权重为20，项目过程权重值占20，项目产出权重值占40，项目效益权重占20</w:t>
      </w:r>
    </w:p>
    <w:p>
      <w:pPr>
        <w:pageBreakBefore w:val="0"/>
        <w:kinsoku/>
        <w:wordWrap/>
        <w:overflowPunct/>
        <w:topLinePunct w:val="0"/>
        <w:autoSpaceDE/>
        <w:autoSpaceDN/>
        <w:bidi w:val="0"/>
        <w:adjustRightInd/>
        <w:snapToGrid/>
        <w:spacing w:line="560" w:lineRule="atLeast"/>
        <w:ind w:firstLine="641"/>
        <w:rPr>
          <w:rFonts w:ascii="仿宋_GB2312" w:hAnsi="仿宋_GB2312" w:eastAsia="仿宋_GB2312" w:cs="仿宋_GB2312"/>
          <w:b/>
          <w:bCs/>
          <w:color w:val="000000"/>
          <w:spacing w:val="17"/>
          <w:sz w:val="32"/>
          <w:szCs w:val="32"/>
        </w:rPr>
      </w:pPr>
      <w:r>
        <w:rPr>
          <w:rFonts w:hint="eastAsia" w:ascii="仿宋_GB2312" w:hAnsi="仿宋_GB2312" w:eastAsia="仿宋_GB2312" w:cs="仿宋_GB2312"/>
          <w:b/>
          <w:bCs/>
          <w:color w:val="000000"/>
          <w:spacing w:val="17"/>
          <w:sz w:val="32"/>
          <w:szCs w:val="32"/>
        </w:rPr>
        <w:t>（3）确定指标标准值</w:t>
      </w:r>
    </w:p>
    <w:p>
      <w:pPr>
        <w:pageBreakBefore w:val="0"/>
        <w:kinsoku/>
        <w:wordWrap/>
        <w:overflowPunct/>
        <w:topLinePunct w:val="0"/>
        <w:autoSpaceDE/>
        <w:autoSpaceDN/>
        <w:bidi w:val="0"/>
        <w:adjustRightInd/>
        <w:snapToGrid/>
        <w:spacing w:line="560" w:lineRule="atLeas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2"/>
        <w:pageBreakBefore w:val="0"/>
        <w:kinsoku/>
        <w:wordWrap/>
        <w:overflowPunct/>
        <w:topLinePunct w:val="0"/>
        <w:autoSpaceDE/>
        <w:autoSpaceDN/>
        <w:bidi w:val="0"/>
        <w:adjustRightInd/>
        <w:snapToGrid/>
        <w:spacing w:before="0" w:after="0" w:line="560" w:lineRule="atLeast"/>
        <w:ind w:firstLine="708" w:firstLineChars="200"/>
        <w:jc w:val="both"/>
        <w:rPr>
          <w:rFonts w:ascii="仿宋_GB2312" w:hAnsi="仿宋_GB2312" w:eastAsia="仿宋_GB2312" w:cs="仿宋_GB2312"/>
          <w:b w:val="0"/>
          <w:bCs w:val="0"/>
          <w:color w:val="333333"/>
          <w:kern w:val="2"/>
          <w:shd w:val="clear" w:color="auto" w:fill="FFFFFF"/>
        </w:rPr>
      </w:pPr>
      <w:r>
        <w:rPr>
          <w:rFonts w:hint="eastAsia" w:ascii="仿宋_GB2312" w:hAnsi="仿宋_GB2312" w:eastAsia="仿宋_GB2312" w:cs="仿宋_GB2312"/>
          <w:b w:val="0"/>
          <w:bCs w:val="0"/>
          <w:color w:val="000000"/>
          <w:spacing w:val="17"/>
          <w:kern w:val="2"/>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ageBreakBefore w:val="0"/>
        <w:kinsoku/>
        <w:wordWrap/>
        <w:overflowPunct/>
        <w:topLinePunct w:val="0"/>
        <w:autoSpaceDE/>
        <w:autoSpaceDN/>
        <w:bidi w:val="0"/>
        <w:adjustRightInd/>
        <w:snapToGrid/>
        <w:spacing w:line="560" w:lineRule="atLeast"/>
        <w:ind w:firstLine="640" w:firstLineChars="200"/>
        <w:rPr>
          <w:rFonts w:ascii="方正仿宋_GBK" w:eastAsia="方正仿宋_GBK"/>
          <w:sz w:val="28"/>
          <w:szCs w:val="28"/>
        </w:rPr>
      </w:pPr>
      <w:r>
        <w:rPr>
          <w:rFonts w:hint="eastAsia" w:ascii="仿宋_GB2312" w:hAnsi="仿宋_GB2312" w:eastAsia="仿宋_GB2312" w:cs="仿宋_GB2312"/>
          <w:color w:val="333333"/>
          <w:sz w:val="32"/>
          <w:szCs w:val="32"/>
          <w:shd w:val="clear" w:color="auto" w:fill="FFFFFF"/>
        </w:rPr>
        <w:t>项目绩效评价指标体系详见下表：</w:t>
      </w:r>
    </w:p>
    <w:tbl>
      <w:tblPr>
        <w:tblStyle w:val="9"/>
        <w:tblW w:w="8987" w:type="dxa"/>
        <w:jc w:val="center"/>
        <w:tblLayout w:type="fixed"/>
        <w:tblCellMar>
          <w:top w:w="0" w:type="dxa"/>
          <w:left w:w="0" w:type="dxa"/>
          <w:bottom w:w="0" w:type="dxa"/>
          <w:right w:w="0" w:type="dxa"/>
        </w:tblCellMar>
      </w:tblPr>
      <w:tblGrid>
        <w:gridCol w:w="847"/>
        <w:gridCol w:w="1020"/>
        <w:gridCol w:w="1233"/>
        <w:gridCol w:w="5412"/>
        <w:gridCol w:w="475"/>
      </w:tblGrid>
      <w:tr>
        <w:tblPrEx>
          <w:tblCellMar>
            <w:top w:w="0" w:type="dxa"/>
            <w:left w:w="0" w:type="dxa"/>
            <w:bottom w:w="0" w:type="dxa"/>
            <w:right w:w="0" w:type="dxa"/>
          </w:tblCellMar>
        </w:tblPrEx>
        <w:trPr>
          <w:cantSplit/>
          <w:trHeight w:val="756" w:hRule="exact"/>
          <w:jc w:val="center"/>
        </w:trPr>
        <w:tc>
          <w:tcPr>
            <w:tcW w:w="847"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jc w:val="center"/>
              <w:textAlignment w:val="center"/>
              <w:rPr>
                <w:rFonts w:ascii="宋体" w:hAnsi="宋体" w:cs="宋体"/>
                <w:b/>
                <w:color w:val="000000"/>
                <w:sz w:val="22"/>
                <w:szCs w:val="22"/>
              </w:rPr>
            </w:pPr>
            <w:r>
              <w:rPr>
                <w:rFonts w:hint="eastAsia" w:ascii="宋体" w:hAnsi="宋体" w:cs="宋体"/>
                <w:b/>
                <w:color w:val="000000"/>
                <w:kern w:val="0"/>
                <w:sz w:val="22"/>
                <w:szCs w:val="22"/>
                <w:lang w:bidi="ar"/>
              </w:rPr>
              <w:t>一级指标</w:t>
            </w:r>
          </w:p>
        </w:tc>
        <w:tc>
          <w:tcPr>
            <w:tcW w:w="1020"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jc w:val="center"/>
              <w:textAlignment w:val="center"/>
              <w:rPr>
                <w:rFonts w:ascii="宋体" w:hAnsi="宋体" w:cs="宋体"/>
                <w:b/>
                <w:color w:val="000000"/>
                <w:sz w:val="22"/>
                <w:szCs w:val="22"/>
              </w:rPr>
            </w:pPr>
            <w:r>
              <w:rPr>
                <w:rFonts w:hint="eastAsia" w:ascii="宋体" w:hAnsi="宋体" w:cs="宋体"/>
                <w:b/>
                <w:color w:val="000000"/>
                <w:kern w:val="0"/>
                <w:sz w:val="22"/>
                <w:szCs w:val="22"/>
                <w:lang w:bidi="ar"/>
              </w:rPr>
              <w:t>二级指标</w:t>
            </w:r>
          </w:p>
        </w:tc>
        <w:tc>
          <w:tcPr>
            <w:tcW w:w="1233"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jc w:val="center"/>
              <w:textAlignment w:val="center"/>
              <w:rPr>
                <w:rFonts w:ascii="宋体" w:hAnsi="宋体" w:cs="宋体"/>
                <w:b/>
                <w:color w:val="000000"/>
                <w:sz w:val="22"/>
                <w:szCs w:val="22"/>
              </w:rPr>
            </w:pPr>
            <w:r>
              <w:rPr>
                <w:rFonts w:hint="eastAsia" w:ascii="宋体" w:hAnsi="宋体" w:cs="宋体"/>
                <w:b/>
                <w:color w:val="000000"/>
                <w:kern w:val="0"/>
                <w:sz w:val="22"/>
                <w:szCs w:val="22"/>
                <w:lang w:bidi="ar"/>
              </w:rPr>
              <w:t>三级指标</w:t>
            </w:r>
          </w:p>
        </w:tc>
        <w:tc>
          <w:tcPr>
            <w:tcW w:w="5412"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jc w:val="center"/>
              <w:textAlignment w:val="center"/>
              <w:rPr>
                <w:rFonts w:ascii="宋体" w:hAnsi="宋体" w:cs="宋体"/>
                <w:b/>
                <w:color w:val="000000"/>
                <w:sz w:val="22"/>
                <w:szCs w:val="22"/>
              </w:rPr>
            </w:pPr>
            <w:r>
              <w:rPr>
                <w:rFonts w:hint="eastAsia" w:ascii="宋体" w:hAnsi="宋体" w:cs="宋体"/>
                <w:b/>
                <w:color w:val="000000"/>
                <w:kern w:val="0"/>
                <w:sz w:val="22"/>
                <w:szCs w:val="22"/>
                <w:lang w:bidi="ar"/>
              </w:rPr>
              <w:t>指标解释</w:t>
            </w:r>
          </w:p>
        </w:tc>
        <w:tc>
          <w:tcPr>
            <w:tcW w:w="475"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jc w:val="center"/>
              <w:textAlignment w:val="center"/>
              <w:rPr>
                <w:rFonts w:ascii="宋体" w:hAnsi="宋体" w:cs="宋体"/>
                <w:b/>
                <w:color w:val="000000"/>
                <w:sz w:val="22"/>
                <w:szCs w:val="22"/>
              </w:rPr>
            </w:pPr>
            <w:r>
              <w:rPr>
                <w:rFonts w:hint="eastAsia" w:ascii="宋体" w:hAnsi="宋体" w:cs="宋体"/>
                <w:b/>
                <w:color w:val="000000"/>
                <w:kern w:val="0"/>
                <w:sz w:val="22"/>
                <w:szCs w:val="22"/>
                <w:lang w:bidi="ar"/>
              </w:rPr>
              <w:t>分值</w:t>
            </w:r>
          </w:p>
        </w:tc>
      </w:tr>
      <w:tr>
        <w:tblPrEx>
          <w:tblCellMar>
            <w:top w:w="0" w:type="dxa"/>
            <w:left w:w="0" w:type="dxa"/>
            <w:bottom w:w="0" w:type="dxa"/>
            <w:right w:w="0" w:type="dxa"/>
          </w:tblCellMar>
        </w:tblPrEx>
        <w:trPr>
          <w:cantSplit/>
          <w:trHeight w:val="1592" w:hRule="atLeast"/>
          <w:jc w:val="center"/>
        </w:trPr>
        <w:tc>
          <w:tcPr>
            <w:tcW w:w="847" w:type="dxa"/>
            <w:vMerge w:val="restart"/>
            <w:tcBorders>
              <w:top w:val="single" w:color="000000" w:sz="4" w:space="0"/>
              <w:left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22"/>
                <w:szCs w:val="22"/>
              </w:rPr>
            </w:pPr>
            <w:r>
              <w:rPr>
                <w:rFonts w:hint="eastAsia" w:ascii="宋体" w:hAnsi="宋体" w:cs="宋体"/>
                <w:color w:val="000000"/>
                <w:sz w:val="22"/>
                <w:szCs w:val="22"/>
              </w:rPr>
              <w:t>决策（20）</w:t>
            </w:r>
          </w:p>
        </w:tc>
        <w:tc>
          <w:tcPr>
            <w:tcW w:w="1020"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绩效目标</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（10）　　</w:t>
            </w:r>
          </w:p>
        </w:tc>
        <w:tc>
          <w:tcPr>
            <w:tcW w:w="1233"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绩效目标合理性</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（5）</w:t>
            </w:r>
          </w:p>
        </w:tc>
        <w:tc>
          <w:tcPr>
            <w:tcW w:w="5412"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textAlignment w:val="center"/>
              <w:rPr>
                <w:rFonts w:ascii="宋体" w:hAnsi="宋体" w:cs="宋体"/>
                <w:color w:val="000000"/>
                <w:sz w:val="22"/>
                <w:szCs w:val="22"/>
              </w:rPr>
            </w:pPr>
            <w:r>
              <w:rPr>
                <w:rFonts w:hint="eastAsia" w:ascii="宋体" w:hAnsi="宋体" w:cs="宋体"/>
                <w:color w:val="000000"/>
                <w:kern w:val="0"/>
                <w:sz w:val="22"/>
                <w:szCs w:val="22"/>
                <w:lang w:bidi="ar"/>
              </w:rPr>
              <w:t>项目所设定的绩效目标是否依据充分，是否符合客观实际，用以反映和考核项目绩效目标与项目实施的相符情况。</w:t>
            </w:r>
          </w:p>
        </w:tc>
        <w:tc>
          <w:tcPr>
            <w:tcW w:w="475"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5</w:t>
            </w:r>
          </w:p>
        </w:tc>
      </w:tr>
      <w:tr>
        <w:tblPrEx>
          <w:tblCellMar>
            <w:top w:w="0" w:type="dxa"/>
            <w:left w:w="0" w:type="dxa"/>
            <w:bottom w:w="0" w:type="dxa"/>
            <w:right w:w="0" w:type="dxa"/>
          </w:tblCellMar>
        </w:tblPrEx>
        <w:trPr>
          <w:cantSplit/>
          <w:trHeight w:val="1592" w:hRule="atLeast"/>
          <w:jc w:val="center"/>
        </w:trPr>
        <w:tc>
          <w:tcPr>
            <w:tcW w:w="847" w:type="dxa"/>
            <w:vMerge w:val="continue"/>
            <w:tcBorders>
              <w:left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22"/>
                <w:szCs w:val="22"/>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22"/>
                <w:szCs w:val="22"/>
              </w:rPr>
            </w:pPr>
          </w:p>
        </w:tc>
        <w:tc>
          <w:tcPr>
            <w:tcW w:w="1233"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绩效指标明确性</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（5）</w:t>
            </w:r>
          </w:p>
        </w:tc>
        <w:tc>
          <w:tcPr>
            <w:tcW w:w="5412"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textAlignment w:val="center"/>
              <w:rPr>
                <w:rFonts w:ascii="宋体" w:hAnsi="宋体" w:cs="宋体"/>
                <w:color w:val="000000"/>
                <w:sz w:val="22"/>
                <w:szCs w:val="22"/>
              </w:rPr>
            </w:pPr>
            <w:r>
              <w:rPr>
                <w:rFonts w:hint="eastAsia" w:ascii="宋体" w:hAnsi="宋体" w:cs="宋体"/>
                <w:color w:val="000000"/>
                <w:kern w:val="0"/>
                <w:sz w:val="22"/>
                <w:szCs w:val="22"/>
                <w:lang w:bidi="ar"/>
              </w:rPr>
              <w:t>依据绩效目标设定的绩效指标是否清晰、细化、可衡量等，用以反映和考核项目绩效目标的明细化情况。</w:t>
            </w:r>
          </w:p>
        </w:tc>
        <w:tc>
          <w:tcPr>
            <w:tcW w:w="475"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5</w:t>
            </w:r>
          </w:p>
        </w:tc>
      </w:tr>
      <w:tr>
        <w:tblPrEx>
          <w:tblCellMar>
            <w:top w:w="0" w:type="dxa"/>
            <w:left w:w="0" w:type="dxa"/>
            <w:bottom w:w="0" w:type="dxa"/>
            <w:right w:w="0" w:type="dxa"/>
          </w:tblCellMar>
        </w:tblPrEx>
        <w:trPr>
          <w:cantSplit/>
          <w:trHeight w:val="1592" w:hRule="atLeast"/>
          <w:jc w:val="center"/>
        </w:trPr>
        <w:tc>
          <w:tcPr>
            <w:tcW w:w="847" w:type="dxa"/>
            <w:vMerge w:val="continue"/>
            <w:tcBorders>
              <w:left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22"/>
                <w:szCs w:val="22"/>
              </w:rPr>
            </w:pPr>
          </w:p>
        </w:tc>
        <w:tc>
          <w:tcPr>
            <w:tcW w:w="1020"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资金投入</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（10）　　</w:t>
            </w:r>
          </w:p>
        </w:tc>
        <w:tc>
          <w:tcPr>
            <w:tcW w:w="1233"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预算编制科学性</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（5）</w:t>
            </w:r>
          </w:p>
        </w:tc>
        <w:tc>
          <w:tcPr>
            <w:tcW w:w="5412"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textAlignment w:val="center"/>
              <w:rPr>
                <w:rFonts w:ascii="宋体" w:hAnsi="宋体" w:cs="宋体"/>
                <w:color w:val="000000"/>
                <w:sz w:val="22"/>
                <w:szCs w:val="22"/>
              </w:rPr>
            </w:pPr>
            <w:r>
              <w:rPr>
                <w:rFonts w:hint="eastAsia" w:ascii="宋体" w:hAnsi="宋体" w:cs="宋体"/>
                <w:color w:val="000000"/>
                <w:kern w:val="0"/>
                <w:sz w:val="22"/>
                <w:szCs w:val="22"/>
                <w:lang w:bidi="ar"/>
              </w:rPr>
              <w:t>项目预算编制是否经过科学论证、有明确标准，资金额度与年度目标是否相适应，用以反映和考核项目预算编制的科学性、合理性情况。</w:t>
            </w:r>
          </w:p>
        </w:tc>
        <w:tc>
          <w:tcPr>
            <w:tcW w:w="475"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5</w:t>
            </w:r>
          </w:p>
        </w:tc>
      </w:tr>
      <w:tr>
        <w:tblPrEx>
          <w:tblCellMar>
            <w:top w:w="0" w:type="dxa"/>
            <w:left w:w="0" w:type="dxa"/>
            <w:bottom w:w="0" w:type="dxa"/>
            <w:right w:w="0" w:type="dxa"/>
          </w:tblCellMar>
        </w:tblPrEx>
        <w:trPr>
          <w:cantSplit/>
          <w:trHeight w:val="1592" w:hRule="atLeast"/>
          <w:jc w:val="center"/>
        </w:trPr>
        <w:tc>
          <w:tcPr>
            <w:tcW w:w="847" w:type="dxa"/>
            <w:vMerge w:val="continue"/>
            <w:tcBorders>
              <w:left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22"/>
                <w:szCs w:val="22"/>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22"/>
                <w:szCs w:val="22"/>
              </w:rPr>
            </w:pPr>
          </w:p>
        </w:tc>
        <w:tc>
          <w:tcPr>
            <w:tcW w:w="1233"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资金分配合理性</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（5）</w:t>
            </w:r>
          </w:p>
        </w:tc>
        <w:tc>
          <w:tcPr>
            <w:tcW w:w="5412"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textAlignment w:val="center"/>
              <w:rPr>
                <w:rFonts w:ascii="宋体" w:hAnsi="宋体" w:cs="宋体"/>
                <w:color w:val="000000"/>
                <w:sz w:val="22"/>
                <w:szCs w:val="22"/>
              </w:rPr>
            </w:pPr>
            <w:r>
              <w:rPr>
                <w:rFonts w:hint="eastAsia" w:ascii="宋体" w:hAnsi="宋体" w:cs="宋体"/>
                <w:color w:val="000000"/>
                <w:kern w:val="0"/>
                <w:sz w:val="22"/>
                <w:szCs w:val="22"/>
                <w:lang w:bidi="ar"/>
              </w:rPr>
              <w:t>项目预算资金分配是否有测算依据，与补助单位或地方实际是否相适应，用以反映和考核项目预算资金分配的科学性、合理性情况。</w:t>
            </w:r>
          </w:p>
        </w:tc>
        <w:tc>
          <w:tcPr>
            <w:tcW w:w="475"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5</w:t>
            </w:r>
          </w:p>
        </w:tc>
      </w:tr>
      <w:tr>
        <w:tblPrEx>
          <w:tblCellMar>
            <w:top w:w="0" w:type="dxa"/>
            <w:left w:w="0" w:type="dxa"/>
            <w:bottom w:w="0" w:type="dxa"/>
            <w:right w:w="0" w:type="dxa"/>
          </w:tblCellMar>
        </w:tblPrEx>
        <w:trPr>
          <w:cantSplit/>
          <w:trHeight w:val="1650" w:hRule="exact"/>
          <w:jc w:val="center"/>
        </w:trPr>
        <w:tc>
          <w:tcPr>
            <w:tcW w:w="847" w:type="dxa"/>
            <w:vMerge w:val="restart"/>
            <w:tcBorders>
              <w:top w:val="single" w:color="000000" w:sz="4" w:space="0"/>
              <w:left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22"/>
                <w:szCs w:val="22"/>
              </w:rPr>
            </w:pPr>
            <w:r>
              <w:rPr>
                <w:rFonts w:hint="eastAsia" w:ascii="宋体" w:hAnsi="宋体" w:cs="宋体"/>
                <w:color w:val="000000"/>
                <w:sz w:val="22"/>
                <w:szCs w:val="22"/>
              </w:rPr>
              <w:t>过程（20）</w:t>
            </w:r>
          </w:p>
        </w:tc>
        <w:tc>
          <w:tcPr>
            <w:tcW w:w="1020" w:type="dxa"/>
            <w:vMerge w:val="restart"/>
            <w:tcBorders>
              <w:left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jc w:val="center"/>
              <w:textAlignment w:val="center"/>
              <w:rPr>
                <w:rFonts w:ascii="宋体" w:hAnsi="宋体" w:cs="宋体"/>
                <w:color w:val="000000"/>
                <w:kern w:val="0"/>
                <w:sz w:val="22"/>
                <w:szCs w:val="22"/>
                <w:lang w:bidi="ar"/>
              </w:rPr>
            </w:pPr>
          </w:p>
          <w:p>
            <w:pPr>
              <w:pageBreakBefore w:val="0"/>
              <w:widowControl/>
              <w:kinsoku/>
              <w:wordWrap/>
              <w:overflowPunct/>
              <w:topLinePunct w:val="0"/>
              <w:autoSpaceDE/>
              <w:autoSpaceDN/>
              <w:bidi w:val="0"/>
              <w:adjustRightInd/>
              <w:snapToGrid/>
              <w:spacing w:line="560" w:lineRule="atLeast"/>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资金管理（10）</w:t>
            </w:r>
          </w:p>
          <w:p>
            <w:pPr>
              <w:pageBreakBefore w:val="0"/>
              <w:kinsoku/>
              <w:wordWrap/>
              <w:overflowPunct/>
              <w:topLinePunct w:val="0"/>
              <w:autoSpaceDE/>
              <w:autoSpaceDN/>
              <w:bidi w:val="0"/>
              <w:adjustRightInd/>
              <w:snapToGrid/>
              <w:spacing w:line="560" w:lineRule="atLeast"/>
              <w:jc w:val="center"/>
              <w:rPr>
                <w:rFonts w:ascii="宋体" w:hAnsi="宋体" w:cs="宋体"/>
                <w:color w:val="000000"/>
                <w:sz w:val="22"/>
                <w:szCs w:val="22"/>
              </w:rPr>
            </w:pPr>
          </w:p>
        </w:tc>
        <w:tc>
          <w:tcPr>
            <w:tcW w:w="1233"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预算执行率（5）</w:t>
            </w:r>
          </w:p>
        </w:tc>
        <w:tc>
          <w:tcPr>
            <w:tcW w:w="5412"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textAlignment w:val="center"/>
              <w:rPr>
                <w:rFonts w:ascii="宋体" w:hAnsi="宋体" w:cs="宋体"/>
                <w:color w:val="000000"/>
                <w:sz w:val="22"/>
                <w:szCs w:val="22"/>
              </w:rPr>
            </w:pPr>
            <w:r>
              <w:rPr>
                <w:rFonts w:hint="eastAsia" w:ascii="宋体" w:hAnsi="宋体" w:cs="宋体"/>
                <w:color w:val="000000"/>
                <w:kern w:val="0"/>
                <w:sz w:val="22"/>
                <w:szCs w:val="22"/>
                <w:lang w:bidi="ar"/>
              </w:rPr>
              <w:t>项目预算资金是否按照计划执行，用以反映或考核项目预算执行情况。</w:t>
            </w:r>
          </w:p>
        </w:tc>
        <w:tc>
          <w:tcPr>
            <w:tcW w:w="475"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5</w:t>
            </w:r>
          </w:p>
        </w:tc>
      </w:tr>
      <w:tr>
        <w:tblPrEx>
          <w:tblCellMar>
            <w:top w:w="0" w:type="dxa"/>
            <w:left w:w="0" w:type="dxa"/>
            <w:bottom w:w="0" w:type="dxa"/>
            <w:right w:w="0" w:type="dxa"/>
          </w:tblCellMar>
        </w:tblPrEx>
        <w:trPr>
          <w:cantSplit/>
          <w:trHeight w:val="1363" w:hRule="exact"/>
          <w:jc w:val="center"/>
        </w:trPr>
        <w:tc>
          <w:tcPr>
            <w:tcW w:w="847" w:type="dxa"/>
            <w:vMerge w:val="continue"/>
            <w:tcBorders>
              <w:left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22"/>
                <w:szCs w:val="22"/>
              </w:rPr>
            </w:pPr>
          </w:p>
        </w:tc>
        <w:tc>
          <w:tcPr>
            <w:tcW w:w="1020" w:type="dxa"/>
            <w:vMerge w:val="continue"/>
            <w:tcBorders>
              <w:left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jc w:val="center"/>
              <w:textAlignment w:val="center"/>
              <w:rPr>
                <w:rFonts w:ascii="宋体" w:hAnsi="宋体" w:cs="宋体"/>
                <w:color w:val="000000"/>
                <w:sz w:val="22"/>
                <w:szCs w:val="22"/>
              </w:rPr>
            </w:pPr>
          </w:p>
        </w:tc>
        <w:tc>
          <w:tcPr>
            <w:tcW w:w="1233"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资金使用合规性（5）</w:t>
            </w:r>
          </w:p>
        </w:tc>
        <w:tc>
          <w:tcPr>
            <w:tcW w:w="5412"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textAlignment w:val="center"/>
              <w:rPr>
                <w:rFonts w:ascii="宋体" w:hAnsi="宋体" w:cs="宋体"/>
                <w:color w:val="000000"/>
                <w:sz w:val="22"/>
                <w:szCs w:val="22"/>
              </w:rPr>
            </w:pPr>
            <w:r>
              <w:rPr>
                <w:rFonts w:hint="eastAsia" w:ascii="宋体" w:hAnsi="宋体" w:cs="宋体"/>
                <w:color w:val="000000"/>
                <w:kern w:val="0"/>
                <w:sz w:val="22"/>
                <w:szCs w:val="22"/>
                <w:lang w:bidi="ar"/>
              </w:rPr>
              <w:t>项目资金使用是否符合相关的财务管理制度规定，用以反映和考核项目资金的规范运行情况。</w:t>
            </w:r>
          </w:p>
        </w:tc>
        <w:tc>
          <w:tcPr>
            <w:tcW w:w="475"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5</w:t>
            </w:r>
          </w:p>
        </w:tc>
      </w:tr>
      <w:tr>
        <w:tblPrEx>
          <w:tblCellMar>
            <w:top w:w="0" w:type="dxa"/>
            <w:left w:w="0" w:type="dxa"/>
            <w:bottom w:w="0" w:type="dxa"/>
            <w:right w:w="0" w:type="dxa"/>
          </w:tblCellMar>
        </w:tblPrEx>
        <w:trPr>
          <w:cantSplit/>
          <w:trHeight w:val="1070" w:hRule="atLeast"/>
          <w:jc w:val="center"/>
        </w:trPr>
        <w:tc>
          <w:tcPr>
            <w:tcW w:w="847" w:type="dxa"/>
            <w:vMerge w:val="continue"/>
            <w:tcBorders>
              <w:left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22"/>
                <w:szCs w:val="22"/>
              </w:rPr>
            </w:pPr>
          </w:p>
        </w:tc>
        <w:tc>
          <w:tcPr>
            <w:tcW w:w="1020"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组织实施</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（10）</w:t>
            </w:r>
          </w:p>
        </w:tc>
        <w:tc>
          <w:tcPr>
            <w:tcW w:w="1233"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管理制度健全性（5）</w:t>
            </w:r>
          </w:p>
        </w:tc>
        <w:tc>
          <w:tcPr>
            <w:tcW w:w="5412"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textAlignment w:val="center"/>
              <w:rPr>
                <w:rFonts w:ascii="宋体" w:hAnsi="宋体" w:cs="宋体"/>
                <w:color w:val="000000"/>
                <w:sz w:val="22"/>
                <w:szCs w:val="22"/>
              </w:rPr>
            </w:pPr>
            <w:r>
              <w:rPr>
                <w:rFonts w:hint="eastAsia" w:ascii="宋体" w:hAnsi="宋体" w:cs="宋体"/>
                <w:color w:val="000000"/>
                <w:kern w:val="0"/>
                <w:sz w:val="22"/>
                <w:szCs w:val="22"/>
                <w:lang w:bidi="ar"/>
              </w:rPr>
              <w:t>项目实施单位的财务和业务管理制度是否健全，用以反映和考核财务和业务管理制度对项目顺利实施的保障情况。</w:t>
            </w:r>
          </w:p>
        </w:tc>
        <w:tc>
          <w:tcPr>
            <w:tcW w:w="475"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5</w:t>
            </w:r>
          </w:p>
        </w:tc>
      </w:tr>
      <w:tr>
        <w:tblPrEx>
          <w:tblCellMar>
            <w:top w:w="0" w:type="dxa"/>
            <w:left w:w="0" w:type="dxa"/>
            <w:bottom w:w="0" w:type="dxa"/>
            <w:right w:w="0" w:type="dxa"/>
          </w:tblCellMar>
        </w:tblPrEx>
        <w:trPr>
          <w:cantSplit/>
          <w:trHeight w:val="1303" w:hRule="atLeast"/>
          <w:jc w:val="center"/>
        </w:trPr>
        <w:tc>
          <w:tcPr>
            <w:tcW w:w="847" w:type="dxa"/>
            <w:vMerge w:val="continue"/>
            <w:tcBorders>
              <w:left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22"/>
                <w:szCs w:val="22"/>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22"/>
                <w:szCs w:val="22"/>
              </w:rPr>
            </w:pPr>
          </w:p>
        </w:tc>
        <w:tc>
          <w:tcPr>
            <w:tcW w:w="1233"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制度执行有效性（5）</w:t>
            </w:r>
          </w:p>
        </w:tc>
        <w:tc>
          <w:tcPr>
            <w:tcW w:w="5412"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textAlignment w:val="center"/>
              <w:rPr>
                <w:rFonts w:ascii="宋体" w:hAnsi="宋体" w:cs="宋体"/>
                <w:color w:val="000000"/>
                <w:sz w:val="22"/>
                <w:szCs w:val="22"/>
              </w:rPr>
            </w:pPr>
            <w:r>
              <w:rPr>
                <w:rFonts w:hint="eastAsia" w:ascii="宋体" w:hAnsi="宋体" w:cs="宋体"/>
                <w:color w:val="000000"/>
                <w:kern w:val="0"/>
                <w:sz w:val="22"/>
                <w:szCs w:val="22"/>
                <w:lang w:bidi="ar"/>
              </w:rPr>
              <w:t>项目实施是否符合相关管理规定，用以反映和考核相关管理制度的有效执行情况。</w:t>
            </w:r>
          </w:p>
        </w:tc>
        <w:tc>
          <w:tcPr>
            <w:tcW w:w="475"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5</w:t>
            </w:r>
          </w:p>
        </w:tc>
      </w:tr>
      <w:tr>
        <w:tblPrEx>
          <w:tblCellMar>
            <w:top w:w="0" w:type="dxa"/>
            <w:left w:w="0" w:type="dxa"/>
            <w:bottom w:w="0" w:type="dxa"/>
            <w:right w:w="0" w:type="dxa"/>
          </w:tblCellMar>
        </w:tblPrEx>
        <w:trPr>
          <w:cantSplit/>
          <w:trHeight w:val="407" w:hRule="exact"/>
          <w:jc w:val="center"/>
        </w:trPr>
        <w:tc>
          <w:tcPr>
            <w:tcW w:w="847"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产出（40）</w:t>
            </w:r>
          </w:p>
        </w:tc>
        <w:tc>
          <w:tcPr>
            <w:tcW w:w="1020"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产出数量（10）</w:t>
            </w:r>
          </w:p>
        </w:tc>
        <w:tc>
          <w:tcPr>
            <w:tcW w:w="1233"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实际完成率</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（10）</w:t>
            </w:r>
          </w:p>
        </w:tc>
        <w:tc>
          <w:tcPr>
            <w:tcW w:w="5412"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textAlignment w:val="center"/>
              <w:rPr>
                <w:rFonts w:ascii="宋体" w:hAnsi="宋体" w:cs="宋体"/>
                <w:color w:val="000000"/>
                <w:sz w:val="22"/>
                <w:szCs w:val="22"/>
              </w:rPr>
            </w:pPr>
            <w:r>
              <w:rPr>
                <w:rFonts w:hint="eastAsia" w:ascii="宋体" w:hAnsi="宋体" w:cs="宋体"/>
                <w:color w:val="000000"/>
                <w:kern w:val="0"/>
                <w:sz w:val="22"/>
                <w:szCs w:val="22"/>
                <w:lang w:bidi="ar"/>
              </w:rPr>
              <w:t>项目实施的实际产出数与计划产出数的比率，用以反映和考核项目产出数量目标的实现程度。</w:t>
            </w:r>
          </w:p>
        </w:tc>
        <w:tc>
          <w:tcPr>
            <w:tcW w:w="475"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9</w:t>
            </w:r>
          </w:p>
        </w:tc>
      </w:tr>
      <w:tr>
        <w:tblPrEx>
          <w:tblCellMar>
            <w:top w:w="0" w:type="dxa"/>
            <w:left w:w="0" w:type="dxa"/>
            <w:bottom w:w="0" w:type="dxa"/>
            <w:right w:w="0" w:type="dxa"/>
          </w:tblCellMar>
        </w:tblPrEx>
        <w:trPr>
          <w:cantSplit/>
          <w:trHeight w:val="407" w:hRule="exact"/>
          <w:jc w:val="center"/>
        </w:trPr>
        <w:tc>
          <w:tcPr>
            <w:tcW w:w="84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22"/>
                <w:szCs w:val="22"/>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22"/>
                <w:szCs w:val="22"/>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22"/>
                <w:szCs w:val="22"/>
              </w:rPr>
            </w:pPr>
          </w:p>
        </w:tc>
        <w:tc>
          <w:tcPr>
            <w:tcW w:w="541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rPr>
                <w:rFonts w:ascii="宋体" w:hAnsi="宋体" w:cs="宋体"/>
                <w:color w:val="000000"/>
                <w:sz w:val="22"/>
                <w:szCs w:val="22"/>
              </w:rPr>
            </w:pPr>
          </w:p>
        </w:tc>
        <w:tc>
          <w:tcPr>
            <w:tcW w:w="47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22"/>
                <w:szCs w:val="22"/>
              </w:rPr>
            </w:pPr>
          </w:p>
        </w:tc>
      </w:tr>
      <w:tr>
        <w:tblPrEx>
          <w:tblCellMar>
            <w:top w:w="0" w:type="dxa"/>
            <w:left w:w="0" w:type="dxa"/>
            <w:bottom w:w="0" w:type="dxa"/>
            <w:right w:w="0" w:type="dxa"/>
          </w:tblCellMar>
        </w:tblPrEx>
        <w:trPr>
          <w:cantSplit/>
          <w:trHeight w:val="407" w:hRule="exact"/>
          <w:jc w:val="center"/>
        </w:trPr>
        <w:tc>
          <w:tcPr>
            <w:tcW w:w="84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22"/>
                <w:szCs w:val="22"/>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22"/>
                <w:szCs w:val="22"/>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22"/>
                <w:szCs w:val="22"/>
              </w:rPr>
            </w:pPr>
          </w:p>
        </w:tc>
        <w:tc>
          <w:tcPr>
            <w:tcW w:w="541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rPr>
                <w:rFonts w:ascii="宋体" w:hAnsi="宋体" w:cs="宋体"/>
                <w:color w:val="000000"/>
                <w:sz w:val="22"/>
                <w:szCs w:val="22"/>
              </w:rPr>
            </w:pPr>
          </w:p>
        </w:tc>
        <w:tc>
          <w:tcPr>
            <w:tcW w:w="47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22"/>
                <w:szCs w:val="22"/>
              </w:rPr>
            </w:pPr>
          </w:p>
        </w:tc>
      </w:tr>
      <w:tr>
        <w:tblPrEx>
          <w:tblCellMar>
            <w:top w:w="0" w:type="dxa"/>
            <w:left w:w="0" w:type="dxa"/>
            <w:bottom w:w="0" w:type="dxa"/>
            <w:right w:w="0" w:type="dxa"/>
          </w:tblCellMar>
        </w:tblPrEx>
        <w:trPr>
          <w:cantSplit/>
          <w:trHeight w:val="407" w:hRule="exact"/>
          <w:jc w:val="center"/>
        </w:trPr>
        <w:tc>
          <w:tcPr>
            <w:tcW w:w="84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22"/>
                <w:szCs w:val="22"/>
              </w:rPr>
            </w:pPr>
          </w:p>
        </w:tc>
        <w:tc>
          <w:tcPr>
            <w:tcW w:w="1020"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产出质量（10）</w:t>
            </w:r>
          </w:p>
        </w:tc>
        <w:tc>
          <w:tcPr>
            <w:tcW w:w="1233"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质量达标率</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（10）</w:t>
            </w:r>
          </w:p>
        </w:tc>
        <w:tc>
          <w:tcPr>
            <w:tcW w:w="5412"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textAlignment w:val="center"/>
              <w:rPr>
                <w:rFonts w:ascii="宋体" w:hAnsi="宋体" w:cs="宋体"/>
                <w:color w:val="000000"/>
                <w:sz w:val="22"/>
                <w:szCs w:val="22"/>
              </w:rPr>
            </w:pPr>
            <w:r>
              <w:rPr>
                <w:rFonts w:hint="eastAsia" w:ascii="宋体" w:hAnsi="宋体" w:cs="宋体"/>
                <w:color w:val="000000"/>
                <w:kern w:val="0"/>
                <w:sz w:val="22"/>
                <w:szCs w:val="22"/>
                <w:lang w:bidi="ar"/>
              </w:rPr>
              <w:t>项目完成的质量达标产出数与实际产出数的比率，用以反映和考核项目产出质量目标的实现程度。</w:t>
            </w:r>
          </w:p>
        </w:tc>
        <w:tc>
          <w:tcPr>
            <w:tcW w:w="475"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10</w:t>
            </w:r>
          </w:p>
        </w:tc>
      </w:tr>
      <w:tr>
        <w:tblPrEx>
          <w:tblCellMar>
            <w:top w:w="0" w:type="dxa"/>
            <w:left w:w="0" w:type="dxa"/>
            <w:bottom w:w="0" w:type="dxa"/>
            <w:right w:w="0" w:type="dxa"/>
          </w:tblCellMar>
        </w:tblPrEx>
        <w:trPr>
          <w:cantSplit/>
          <w:trHeight w:val="663" w:hRule="exact"/>
          <w:jc w:val="center"/>
        </w:trPr>
        <w:tc>
          <w:tcPr>
            <w:tcW w:w="84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22"/>
                <w:szCs w:val="22"/>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22"/>
                <w:szCs w:val="22"/>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22"/>
                <w:szCs w:val="22"/>
              </w:rPr>
            </w:pPr>
          </w:p>
        </w:tc>
        <w:tc>
          <w:tcPr>
            <w:tcW w:w="541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rPr>
                <w:rFonts w:ascii="宋体" w:hAnsi="宋体" w:cs="宋体"/>
                <w:color w:val="000000"/>
                <w:sz w:val="22"/>
                <w:szCs w:val="22"/>
              </w:rPr>
            </w:pPr>
          </w:p>
        </w:tc>
        <w:tc>
          <w:tcPr>
            <w:tcW w:w="47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22"/>
                <w:szCs w:val="22"/>
              </w:rPr>
            </w:pPr>
          </w:p>
        </w:tc>
      </w:tr>
      <w:tr>
        <w:tblPrEx>
          <w:tblCellMar>
            <w:top w:w="0" w:type="dxa"/>
            <w:left w:w="0" w:type="dxa"/>
            <w:bottom w:w="0" w:type="dxa"/>
            <w:right w:w="0" w:type="dxa"/>
          </w:tblCellMar>
        </w:tblPrEx>
        <w:trPr>
          <w:cantSplit/>
          <w:trHeight w:val="407" w:hRule="exact"/>
          <w:jc w:val="center"/>
        </w:trPr>
        <w:tc>
          <w:tcPr>
            <w:tcW w:w="84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22"/>
                <w:szCs w:val="22"/>
              </w:rPr>
            </w:pPr>
          </w:p>
        </w:tc>
        <w:tc>
          <w:tcPr>
            <w:tcW w:w="1020"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产出时效（10）</w:t>
            </w:r>
          </w:p>
        </w:tc>
        <w:tc>
          <w:tcPr>
            <w:tcW w:w="1233"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完成及时性</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（10）</w:t>
            </w:r>
          </w:p>
        </w:tc>
        <w:tc>
          <w:tcPr>
            <w:tcW w:w="5412"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textAlignment w:val="center"/>
              <w:rPr>
                <w:rFonts w:ascii="宋体" w:hAnsi="宋体" w:cs="宋体"/>
                <w:color w:val="000000"/>
                <w:sz w:val="22"/>
                <w:szCs w:val="22"/>
              </w:rPr>
            </w:pPr>
            <w:r>
              <w:rPr>
                <w:rFonts w:hint="eastAsia" w:ascii="宋体" w:hAnsi="宋体" w:cs="宋体"/>
                <w:color w:val="000000"/>
                <w:kern w:val="0"/>
                <w:sz w:val="22"/>
                <w:szCs w:val="22"/>
                <w:lang w:bidi="ar"/>
              </w:rPr>
              <w:t>项目实际完成时间与计划完成时间的比较，用以反映和考核项目产出时效目标的实现程度。</w:t>
            </w:r>
          </w:p>
        </w:tc>
        <w:tc>
          <w:tcPr>
            <w:tcW w:w="475"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9</w:t>
            </w:r>
          </w:p>
        </w:tc>
      </w:tr>
      <w:tr>
        <w:tblPrEx>
          <w:tblCellMar>
            <w:top w:w="0" w:type="dxa"/>
            <w:left w:w="0" w:type="dxa"/>
            <w:bottom w:w="0" w:type="dxa"/>
            <w:right w:w="0" w:type="dxa"/>
          </w:tblCellMar>
        </w:tblPrEx>
        <w:trPr>
          <w:cantSplit/>
          <w:trHeight w:val="861" w:hRule="exact"/>
          <w:jc w:val="center"/>
        </w:trPr>
        <w:tc>
          <w:tcPr>
            <w:tcW w:w="84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22"/>
                <w:szCs w:val="22"/>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22"/>
                <w:szCs w:val="22"/>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22"/>
                <w:szCs w:val="22"/>
              </w:rPr>
            </w:pPr>
          </w:p>
        </w:tc>
        <w:tc>
          <w:tcPr>
            <w:tcW w:w="541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rPr>
                <w:rFonts w:ascii="宋体" w:hAnsi="宋体" w:cs="宋体"/>
                <w:color w:val="000000"/>
                <w:sz w:val="22"/>
                <w:szCs w:val="22"/>
              </w:rPr>
            </w:pPr>
          </w:p>
        </w:tc>
        <w:tc>
          <w:tcPr>
            <w:tcW w:w="47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22"/>
                <w:szCs w:val="22"/>
              </w:rPr>
            </w:pPr>
          </w:p>
        </w:tc>
      </w:tr>
      <w:tr>
        <w:tblPrEx>
          <w:tblCellMar>
            <w:top w:w="0" w:type="dxa"/>
            <w:left w:w="0" w:type="dxa"/>
            <w:bottom w:w="0" w:type="dxa"/>
            <w:right w:w="0" w:type="dxa"/>
          </w:tblCellMar>
        </w:tblPrEx>
        <w:trPr>
          <w:cantSplit/>
          <w:trHeight w:val="407" w:hRule="exact"/>
          <w:jc w:val="center"/>
        </w:trPr>
        <w:tc>
          <w:tcPr>
            <w:tcW w:w="84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22"/>
                <w:szCs w:val="22"/>
              </w:rPr>
            </w:pPr>
          </w:p>
        </w:tc>
        <w:tc>
          <w:tcPr>
            <w:tcW w:w="1020"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产出成本（10）</w:t>
            </w:r>
          </w:p>
        </w:tc>
        <w:tc>
          <w:tcPr>
            <w:tcW w:w="1233"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成本节约率</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（10）</w:t>
            </w:r>
          </w:p>
        </w:tc>
        <w:tc>
          <w:tcPr>
            <w:tcW w:w="5412"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textAlignment w:val="center"/>
            </w:pPr>
            <w:r>
              <w:rPr>
                <w:rFonts w:hint="eastAsia"/>
              </w:rPr>
              <w:t>完成项目计划工作目标的实际节约成本与计划成本的比率，用以反映和考核项目的成本节约程度。</w:t>
            </w:r>
          </w:p>
        </w:tc>
        <w:tc>
          <w:tcPr>
            <w:tcW w:w="475"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10</w:t>
            </w:r>
          </w:p>
        </w:tc>
      </w:tr>
      <w:tr>
        <w:tblPrEx>
          <w:tblCellMar>
            <w:top w:w="0" w:type="dxa"/>
            <w:left w:w="0" w:type="dxa"/>
            <w:bottom w:w="0" w:type="dxa"/>
            <w:right w:w="0" w:type="dxa"/>
          </w:tblCellMar>
        </w:tblPrEx>
        <w:trPr>
          <w:cantSplit/>
          <w:trHeight w:val="407" w:hRule="exact"/>
          <w:jc w:val="center"/>
        </w:trPr>
        <w:tc>
          <w:tcPr>
            <w:tcW w:w="84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22"/>
                <w:szCs w:val="22"/>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22"/>
                <w:szCs w:val="22"/>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22"/>
                <w:szCs w:val="22"/>
              </w:rPr>
            </w:pPr>
          </w:p>
        </w:tc>
        <w:tc>
          <w:tcPr>
            <w:tcW w:w="541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rPr>
                <w:rFonts w:ascii="宋体" w:hAnsi="宋体" w:cs="宋体"/>
                <w:color w:val="000000"/>
                <w:sz w:val="22"/>
                <w:szCs w:val="22"/>
              </w:rPr>
            </w:pPr>
          </w:p>
        </w:tc>
        <w:tc>
          <w:tcPr>
            <w:tcW w:w="47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22"/>
                <w:szCs w:val="22"/>
              </w:rPr>
            </w:pPr>
          </w:p>
        </w:tc>
      </w:tr>
      <w:tr>
        <w:tblPrEx>
          <w:tblCellMar>
            <w:top w:w="0" w:type="dxa"/>
            <w:left w:w="0" w:type="dxa"/>
            <w:bottom w:w="0" w:type="dxa"/>
            <w:right w:w="0" w:type="dxa"/>
          </w:tblCellMar>
        </w:tblPrEx>
        <w:trPr>
          <w:cantSplit/>
          <w:trHeight w:val="569" w:hRule="exact"/>
          <w:jc w:val="center"/>
        </w:trPr>
        <w:tc>
          <w:tcPr>
            <w:tcW w:w="84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22"/>
                <w:szCs w:val="22"/>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22"/>
                <w:szCs w:val="22"/>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22"/>
                <w:szCs w:val="22"/>
              </w:rPr>
            </w:pPr>
          </w:p>
        </w:tc>
        <w:tc>
          <w:tcPr>
            <w:tcW w:w="541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rPr>
                <w:rFonts w:ascii="宋体" w:hAnsi="宋体" w:cs="宋体"/>
                <w:color w:val="000000"/>
                <w:sz w:val="22"/>
                <w:szCs w:val="22"/>
              </w:rPr>
            </w:pPr>
          </w:p>
        </w:tc>
        <w:tc>
          <w:tcPr>
            <w:tcW w:w="47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22"/>
                <w:szCs w:val="22"/>
              </w:rPr>
            </w:pPr>
          </w:p>
        </w:tc>
      </w:tr>
      <w:tr>
        <w:tblPrEx>
          <w:tblCellMar>
            <w:top w:w="0" w:type="dxa"/>
            <w:left w:w="0" w:type="dxa"/>
            <w:bottom w:w="0" w:type="dxa"/>
            <w:right w:w="0" w:type="dxa"/>
          </w:tblCellMar>
        </w:tblPrEx>
        <w:trPr>
          <w:cantSplit/>
          <w:trHeight w:val="312" w:hRule="exact"/>
          <w:jc w:val="center"/>
        </w:trPr>
        <w:tc>
          <w:tcPr>
            <w:tcW w:w="84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22"/>
                <w:szCs w:val="22"/>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22"/>
                <w:szCs w:val="22"/>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22"/>
                <w:szCs w:val="22"/>
              </w:rPr>
            </w:pPr>
          </w:p>
        </w:tc>
        <w:tc>
          <w:tcPr>
            <w:tcW w:w="541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rPr>
                <w:rFonts w:ascii="宋体" w:hAnsi="宋体" w:cs="宋体"/>
                <w:color w:val="000000"/>
                <w:sz w:val="22"/>
                <w:szCs w:val="22"/>
              </w:rPr>
            </w:pPr>
          </w:p>
        </w:tc>
        <w:tc>
          <w:tcPr>
            <w:tcW w:w="47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22"/>
                <w:szCs w:val="22"/>
              </w:rPr>
            </w:pPr>
          </w:p>
        </w:tc>
      </w:tr>
      <w:tr>
        <w:tblPrEx>
          <w:tblCellMar>
            <w:top w:w="0" w:type="dxa"/>
            <w:left w:w="0" w:type="dxa"/>
            <w:bottom w:w="0" w:type="dxa"/>
            <w:right w:w="0" w:type="dxa"/>
          </w:tblCellMar>
        </w:tblPrEx>
        <w:trPr>
          <w:cantSplit/>
          <w:trHeight w:val="786" w:hRule="exact"/>
          <w:jc w:val="center"/>
        </w:trPr>
        <w:tc>
          <w:tcPr>
            <w:tcW w:w="847"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效益（20）</w:t>
            </w:r>
          </w:p>
        </w:tc>
        <w:tc>
          <w:tcPr>
            <w:tcW w:w="1020"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项目效益　</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（20）</w:t>
            </w:r>
          </w:p>
        </w:tc>
        <w:tc>
          <w:tcPr>
            <w:tcW w:w="1233"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实施效益</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（10）</w:t>
            </w:r>
          </w:p>
        </w:tc>
        <w:tc>
          <w:tcPr>
            <w:tcW w:w="5412"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项目实施所产生的效益。</w:t>
            </w:r>
          </w:p>
        </w:tc>
        <w:tc>
          <w:tcPr>
            <w:tcW w:w="475"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9</w:t>
            </w:r>
          </w:p>
        </w:tc>
      </w:tr>
      <w:tr>
        <w:tblPrEx>
          <w:tblCellMar>
            <w:top w:w="0" w:type="dxa"/>
            <w:left w:w="0" w:type="dxa"/>
            <w:bottom w:w="0" w:type="dxa"/>
            <w:right w:w="0" w:type="dxa"/>
          </w:tblCellMar>
        </w:tblPrEx>
        <w:trPr>
          <w:cantSplit/>
          <w:trHeight w:val="820" w:hRule="exact"/>
          <w:jc w:val="center"/>
        </w:trPr>
        <w:tc>
          <w:tcPr>
            <w:tcW w:w="84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22"/>
                <w:szCs w:val="22"/>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22"/>
                <w:szCs w:val="22"/>
              </w:rPr>
            </w:pPr>
          </w:p>
        </w:tc>
        <w:tc>
          <w:tcPr>
            <w:tcW w:w="1233"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满意度</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（10）</w:t>
            </w:r>
          </w:p>
        </w:tc>
        <w:tc>
          <w:tcPr>
            <w:tcW w:w="5412"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textAlignment w:val="center"/>
              <w:rPr>
                <w:rFonts w:ascii="宋体" w:hAnsi="宋体" w:cs="宋体"/>
                <w:color w:val="000000"/>
                <w:sz w:val="22"/>
                <w:szCs w:val="22"/>
              </w:rPr>
            </w:pPr>
            <w:r>
              <w:rPr>
                <w:rFonts w:hint="eastAsia" w:ascii="宋体" w:hAnsi="宋体" w:cs="宋体"/>
                <w:color w:val="000000"/>
                <w:kern w:val="0"/>
                <w:sz w:val="22"/>
                <w:szCs w:val="22"/>
                <w:lang w:bidi="ar"/>
              </w:rPr>
              <w:t>社会公众或服务对象对项目实施效果的满意程度。</w:t>
            </w:r>
          </w:p>
        </w:tc>
        <w:tc>
          <w:tcPr>
            <w:tcW w:w="475"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10</w:t>
            </w:r>
          </w:p>
        </w:tc>
      </w:tr>
    </w:tbl>
    <w:p>
      <w:pPr>
        <w:pageBreakBefore w:val="0"/>
        <w:kinsoku/>
        <w:wordWrap/>
        <w:overflowPunct/>
        <w:topLinePunct w:val="0"/>
        <w:autoSpaceDE/>
        <w:autoSpaceDN/>
        <w:bidi w:val="0"/>
        <w:adjustRightInd/>
        <w:snapToGrid/>
        <w:spacing w:line="560" w:lineRule="atLeast"/>
        <w:ind w:firstLine="640" w:firstLineChars="200"/>
        <w:contextualSpacing/>
        <w:rPr>
          <w:rFonts w:ascii="仿宋_GB2312" w:hAnsi="仿宋_GB2312" w:eastAsia="仿宋_GB2312" w:cs="仿宋_GB2312"/>
          <w:sz w:val="32"/>
          <w:szCs w:val="32"/>
        </w:rPr>
      </w:pPr>
      <w:r>
        <w:rPr>
          <w:rFonts w:hint="eastAsia" w:ascii="仿宋_GB2312" w:hAnsi="仿宋_GB2312" w:eastAsia="仿宋_GB2312" w:cs="仿宋_GB2312"/>
          <w:sz w:val="32"/>
          <w:szCs w:val="32"/>
        </w:rPr>
        <w:t>3、绩效评价方法</w:t>
      </w:r>
    </w:p>
    <w:p>
      <w:pPr>
        <w:pageBreakBefore w:val="0"/>
        <w:kinsoku/>
        <w:wordWrap/>
        <w:overflowPunct/>
        <w:topLinePunct w:val="0"/>
        <w:autoSpaceDE/>
        <w:autoSpaceDN/>
        <w:bidi w:val="0"/>
        <w:adjustRightInd/>
        <w:snapToGrid/>
        <w:spacing w:line="560" w:lineRule="atLeas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绩效评价从项目决策、项目过程、项目产出、项目效益四个维度进行评价。评价对象为项目目标实施情况，评价核心为资金的支出完成情况和项目的产出效益。</w:t>
      </w:r>
    </w:p>
    <w:p>
      <w:pPr>
        <w:pageBreakBefore w:val="0"/>
        <w:kinsoku/>
        <w:wordWrap/>
        <w:overflowPunct/>
        <w:topLinePunct w:val="0"/>
        <w:autoSpaceDE/>
        <w:autoSpaceDN/>
        <w:bidi w:val="0"/>
        <w:adjustRightInd/>
        <w:snapToGrid/>
        <w:spacing w:line="560" w:lineRule="atLeast"/>
        <w:ind w:firstLine="641"/>
        <w:rPr>
          <w:rFonts w:ascii="仿宋_GB2312" w:hAnsi="仿宋_GB2312" w:eastAsia="仿宋_GB2312" w:cs="仿宋_GB2312"/>
          <w:color w:val="333333"/>
          <w:sz w:val="32"/>
          <w:szCs w:val="32"/>
          <w:shd w:val="clear" w:color="auto" w:fill="FFFFFF"/>
        </w:rPr>
      </w:pPr>
      <w:r>
        <w:rPr>
          <w:rFonts w:hint="eastAsia" w:ascii="仿宋_GB2312" w:hAnsi="仿宋_GB2312" w:eastAsia="仿宋_GB2312" w:cs="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pageBreakBefore w:val="0"/>
        <w:kinsoku/>
        <w:wordWrap/>
        <w:overflowPunct/>
        <w:topLinePunct w:val="0"/>
        <w:autoSpaceDE/>
        <w:autoSpaceDN/>
        <w:bidi w:val="0"/>
        <w:adjustRightInd/>
        <w:snapToGrid/>
        <w:spacing w:line="560" w:lineRule="atLeas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因素分析法</w:t>
      </w:r>
    </w:p>
    <w:p>
      <w:pPr>
        <w:pageBreakBefore w:val="0"/>
        <w:kinsoku/>
        <w:wordWrap/>
        <w:overflowPunct/>
        <w:topLinePunct w:val="0"/>
        <w:autoSpaceDE/>
        <w:autoSpaceDN/>
        <w:bidi w:val="0"/>
        <w:adjustRightInd/>
        <w:snapToGrid/>
        <w:spacing w:line="560" w:lineRule="atLeas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通过综合分析影响绩效目标实现、实施效果的内外因素，评价绩效目标实现程度。通过对</w:t>
      </w:r>
      <w:r>
        <w:rPr>
          <w:rFonts w:hint="eastAsia" w:ascii="仿宋_GB2312" w:hAnsi="仿宋_GB2312" w:eastAsia="仿宋_GB2312" w:cs="仿宋_GB2312"/>
          <w:sz w:val="32"/>
          <w:szCs w:val="32"/>
        </w:rPr>
        <w:t>项目</w:t>
      </w:r>
      <w:r>
        <w:rPr>
          <w:rFonts w:hint="eastAsia" w:ascii="仿宋_GB2312" w:hAnsi="仿宋_GB2312" w:eastAsia="仿宋_GB2312" w:cs="仿宋_GB2312"/>
          <w:color w:val="000000"/>
          <w:spacing w:val="17"/>
          <w:sz w:val="32"/>
          <w:szCs w:val="32"/>
        </w:rPr>
        <w:t>的开展情况、项目产出数量、成本控制、资金拨付文件及自评报告等相关资料的收集和审核，综合分析各因素对绩效目标实现的影响。</w:t>
      </w:r>
    </w:p>
    <w:p>
      <w:pPr>
        <w:pStyle w:val="2"/>
        <w:pageBreakBefore w:val="0"/>
        <w:widowControl w:val="0"/>
        <w:kinsoku/>
        <w:wordWrap/>
        <w:overflowPunct/>
        <w:topLinePunct w:val="0"/>
        <w:autoSpaceDE/>
        <w:autoSpaceDN/>
        <w:bidi w:val="0"/>
        <w:adjustRightInd/>
        <w:snapToGrid/>
        <w:spacing w:before="0" w:after="0" w:line="560" w:lineRule="atLeast"/>
        <w:ind w:firstLine="641"/>
        <w:jc w:val="both"/>
        <w:outlineLvl w:val="9"/>
        <w:rPr>
          <w:rFonts w:ascii="仿宋_GB2312" w:hAnsi="仿宋_GB2312" w:eastAsia="仿宋_GB2312" w:cs="仿宋_GB2312"/>
          <w:b w:val="0"/>
          <w:bCs w:val="0"/>
        </w:rPr>
      </w:pPr>
      <w:r>
        <w:rPr>
          <w:rFonts w:hint="eastAsia" w:ascii="仿宋_GB2312" w:hAnsi="仿宋_GB2312" w:eastAsia="仿宋_GB2312" w:cs="仿宋_GB2312"/>
          <w:b w:val="0"/>
          <w:bCs w:val="0"/>
        </w:rPr>
        <w:t>4、评价标准</w:t>
      </w:r>
    </w:p>
    <w:p>
      <w:pPr>
        <w:pageBreakBefore w:val="0"/>
        <w:kinsoku/>
        <w:wordWrap/>
        <w:overflowPunct/>
        <w:topLinePunct w:val="0"/>
        <w:autoSpaceDE/>
        <w:autoSpaceDN/>
        <w:bidi w:val="0"/>
        <w:adjustRightInd/>
        <w:snapToGrid/>
        <w:spacing w:line="560" w:lineRule="atLeast"/>
        <w:ind w:firstLine="641"/>
        <w:rPr>
          <w:rFonts w:ascii="仿宋_GB2312" w:hAnsi="仿宋_GB2312" w:eastAsia="仿宋_GB2312" w:cs="仿宋_GB2312"/>
          <w:color w:val="000000"/>
          <w:spacing w:val="17"/>
          <w:sz w:val="32"/>
          <w:szCs w:val="32"/>
        </w:rPr>
      </w:pPr>
      <w:r>
        <w:rPr>
          <w:rFonts w:ascii="仿宋_GB2312" w:hAnsi="仿宋_GB2312" w:eastAsia="仿宋_GB2312" w:cs="仿宋_GB2312"/>
          <w:color w:val="000000"/>
          <w:spacing w:val="17"/>
          <w:sz w:val="32"/>
          <w:szCs w:val="32"/>
        </w:rPr>
        <w:t>绩效评价标准通常包括计划标准、行业标准、历史标准等，用于对绩效指标完成情况进行比较。本次评价主要采用了计划标准和行业标准。</w:t>
      </w:r>
    </w:p>
    <w:p>
      <w:pPr>
        <w:pStyle w:val="2"/>
        <w:pageBreakBefore w:val="0"/>
        <w:numPr>
          <w:ilvl w:val="0"/>
          <w:numId w:val="5"/>
        </w:numPr>
        <w:kinsoku/>
        <w:wordWrap/>
        <w:overflowPunct/>
        <w:topLinePunct w:val="0"/>
        <w:autoSpaceDE/>
        <w:autoSpaceDN/>
        <w:bidi w:val="0"/>
        <w:adjustRightInd/>
        <w:snapToGrid/>
        <w:spacing w:before="0" w:after="0" w:line="560" w:lineRule="atLeast"/>
        <w:jc w:val="both"/>
        <w:rPr>
          <w:rFonts w:ascii="仿宋_GB2312" w:hAnsi="仿宋_GB2312" w:eastAsia="仿宋_GB2312" w:cs="仿宋_GB2312"/>
          <w:color w:val="000000"/>
          <w:spacing w:val="17"/>
        </w:rPr>
      </w:pPr>
      <w:r>
        <w:rPr>
          <w:rFonts w:hint="eastAsia" w:ascii="仿宋_GB2312" w:hAnsi="仿宋_GB2312" w:eastAsia="仿宋_GB2312" w:cs="仿宋_GB2312"/>
          <w:color w:val="000000"/>
          <w:spacing w:val="17"/>
        </w:rPr>
        <w:t>绩效评价工作过程</w:t>
      </w:r>
    </w:p>
    <w:p>
      <w:pPr>
        <w:pageBreakBefore w:val="0"/>
        <w:kinsoku/>
        <w:wordWrap/>
        <w:overflowPunct/>
        <w:topLinePunct w:val="0"/>
        <w:autoSpaceDE/>
        <w:autoSpaceDN/>
        <w:bidi w:val="0"/>
        <w:adjustRightInd/>
        <w:snapToGrid/>
        <w:spacing w:line="560" w:lineRule="atLeas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前期准备。首先成立评价工作组，开展前期调研；其次明确项目绩效目标，设计绩效评价指标体系并确定绩效评价方法；接着确定现场和非现场评价范围，设计资料清单；最后制定评价实施方案并进行论证。</w:t>
      </w:r>
    </w:p>
    <w:p>
      <w:pPr>
        <w:pageBreakBefore w:val="0"/>
        <w:kinsoku/>
        <w:wordWrap/>
        <w:overflowPunct/>
        <w:topLinePunct w:val="0"/>
        <w:autoSpaceDE/>
        <w:autoSpaceDN/>
        <w:bidi w:val="0"/>
        <w:adjustRightInd/>
        <w:snapToGrid/>
        <w:spacing w:line="560" w:lineRule="atLeas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组织实施。制定绩效评价工作方案，具体包括项目概况、评价思路、方法手段、组织实施、进度安排等。收集项目立项依据、相关会议纪要、实施方案、财政资金分配方案、支付管理情况等相关评价资料并进行梳理。</w:t>
      </w:r>
    </w:p>
    <w:p>
      <w:pPr>
        <w:pageBreakBefore w:val="0"/>
        <w:kinsoku/>
        <w:wordWrap/>
        <w:overflowPunct/>
        <w:topLinePunct w:val="0"/>
        <w:autoSpaceDE/>
        <w:autoSpaceDN/>
        <w:bidi w:val="0"/>
        <w:adjustRightInd/>
        <w:snapToGrid/>
        <w:spacing w:line="560" w:lineRule="atLeast"/>
        <w:ind w:firstLine="641"/>
      </w:pPr>
      <w:r>
        <w:rPr>
          <w:rFonts w:hint="eastAsia" w:ascii="仿宋_GB2312" w:hAnsi="仿宋_GB2312" w:eastAsia="仿宋_GB2312" w:cs="仿宋_GB2312"/>
          <w:color w:val="000000"/>
          <w:spacing w:val="17"/>
          <w:sz w:val="32"/>
          <w:szCs w:val="32"/>
        </w:rPr>
        <w:t>分析评价。根据收集梳理的资料围绕项目立项、资金落实、业务管理、财务管理、项目产出、项目效益等内容，对照已确定的绩效评价指标进行详细全面的分析评价，逐项打分并形成绩效评价最终结果。</w:t>
      </w:r>
    </w:p>
    <w:p>
      <w:pPr>
        <w:pageBreakBefore w:val="0"/>
        <w:numPr>
          <w:ilvl w:val="0"/>
          <w:numId w:val="6"/>
        </w:numPr>
        <w:kinsoku/>
        <w:wordWrap/>
        <w:overflowPunct/>
        <w:topLinePunct w:val="0"/>
        <w:autoSpaceDE/>
        <w:autoSpaceDN/>
        <w:bidi w:val="0"/>
        <w:adjustRightInd/>
        <w:snapToGrid/>
        <w:spacing w:line="560" w:lineRule="atLeast"/>
        <w:ind w:firstLine="640"/>
        <w:contextualSpacing/>
        <w:rPr>
          <w:rFonts w:ascii="黑体" w:hAnsi="黑体" w:eastAsia="黑体" w:cs="黑体"/>
          <w:sz w:val="32"/>
          <w:szCs w:val="32"/>
        </w:rPr>
      </w:pPr>
      <w:r>
        <w:rPr>
          <w:rFonts w:hint="eastAsia" w:ascii="黑体" w:hAnsi="黑体" w:eastAsia="黑体" w:cs="黑体"/>
          <w:sz w:val="32"/>
          <w:szCs w:val="32"/>
        </w:rPr>
        <w:t>综合评价情况及评价结论（附相关评分表）</w:t>
      </w:r>
    </w:p>
    <w:p>
      <w:pPr>
        <w:pageBreakBefore w:val="0"/>
        <w:kinsoku/>
        <w:wordWrap/>
        <w:overflowPunct/>
        <w:topLinePunct w:val="0"/>
        <w:autoSpaceDE/>
        <w:autoSpaceDN/>
        <w:bidi w:val="0"/>
        <w:adjustRightInd/>
        <w:snapToGrid/>
        <w:spacing w:line="560" w:lineRule="atLeast"/>
        <w:ind w:firstLine="640" w:firstLineChars="200"/>
        <w:rPr>
          <w:rFonts w:ascii="Times New Roman" w:hAnsi="Times New Roman" w:eastAsia="方正仿宋_GBK"/>
          <w:sz w:val="32"/>
          <w:szCs w:val="32"/>
        </w:rPr>
      </w:pPr>
      <w:r>
        <w:rPr>
          <w:rFonts w:hint="eastAsia" w:ascii="仿宋_GB2312" w:hAnsi="仿宋_GB2312" w:eastAsia="仿宋_GB2312" w:cs="仿宋_GB2312"/>
          <w:color w:val="333333"/>
          <w:sz w:val="32"/>
          <w:szCs w:val="32"/>
          <w:shd w:val="clear" w:color="auto" w:fill="FFFFFF"/>
        </w:rPr>
        <w:t>运用该项目评价指标体系及评分标准，通过财务数据采集、数据统计整理等多元化组合，对全国第七次人口普查经费项目进行客观评价，最终评分结果：总得分为96.25分，属于“优”。其中：决策类指标权重为20分，得分为20分，得分率为100%；过程类指标权重为20分，得分为19.25分，得分率为95%；产出类指标权重为40分，得分为38分，得分率为95%；项目效益类指标权重为20分，得分为19分，得分率为95%；具体打分情况详见表1（综合评分表）。</w:t>
      </w:r>
    </w:p>
    <w:p>
      <w:pPr>
        <w:pStyle w:val="2"/>
        <w:pageBreakBefore w:val="0"/>
        <w:kinsoku/>
        <w:wordWrap/>
        <w:overflowPunct/>
        <w:topLinePunct w:val="0"/>
        <w:autoSpaceDE/>
        <w:autoSpaceDN/>
        <w:bidi w:val="0"/>
        <w:adjustRightInd/>
        <w:snapToGrid/>
        <w:spacing w:before="0" w:after="0" w:line="560" w:lineRule="atLeast"/>
        <w:rPr>
          <w:rFonts w:ascii="仿宋_GB2312" w:hAnsi="仿宋_GB2312" w:eastAsia="仿宋_GB2312" w:cs="仿宋_GB2312"/>
          <w:sz w:val="30"/>
          <w:szCs w:val="30"/>
        </w:rPr>
      </w:pPr>
      <w:r>
        <w:rPr>
          <w:rFonts w:hint="eastAsia" w:ascii="仿宋_GB2312" w:hAnsi="仿宋_GB2312" w:eastAsia="仿宋_GB2312" w:cs="仿宋_GB2312"/>
          <w:sz w:val="30"/>
          <w:szCs w:val="30"/>
        </w:rPr>
        <w:t>表1综合评分表</w:t>
      </w:r>
    </w:p>
    <w:tbl>
      <w:tblPr>
        <w:tblStyle w:val="9"/>
        <w:tblpPr w:leftFromText="180" w:rightFromText="180" w:vertAnchor="text" w:horzAnchor="page" w:tblpX="1010" w:tblpY="320"/>
        <w:tblOverlap w:val="never"/>
        <w:tblW w:w="9896"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098"/>
        <w:gridCol w:w="984"/>
        <w:gridCol w:w="1275"/>
        <w:gridCol w:w="1697"/>
        <w:gridCol w:w="723"/>
        <w:gridCol w:w="1038"/>
        <w:gridCol w:w="919"/>
        <w:gridCol w:w="1208"/>
        <w:gridCol w:w="954"/>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9" w:hRule="atLeast"/>
          <w:tblHeader/>
        </w:trPr>
        <w:tc>
          <w:tcPr>
            <w:tcW w:w="1098" w:type="dxa"/>
            <w:shd w:val="clear" w:color="auto" w:fill="BFBFBF"/>
            <w:vAlign w:val="center"/>
          </w:tcPr>
          <w:p>
            <w:pPr>
              <w:pageBreakBefore w:val="0"/>
              <w:widowControl/>
              <w:kinsoku/>
              <w:wordWrap/>
              <w:overflowPunct/>
              <w:topLinePunct w:val="0"/>
              <w:autoSpaceDE/>
              <w:autoSpaceDN/>
              <w:bidi w:val="0"/>
              <w:adjustRightInd/>
              <w:snapToGrid/>
              <w:spacing w:line="560" w:lineRule="atLeast"/>
              <w:rPr>
                <w:rFonts w:ascii="宋体" w:hAnsi="宋体" w:cs="宋体"/>
                <w:b/>
                <w:bCs/>
                <w:color w:val="000000"/>
                <w:kern w:val="0"/>
                <w:sz w:val="22"/>
                <w:szCs w:val="22"/>
              </w:rPr>
            </w:pPr>
            <w:r>
              <w:rPr>
                <w:rFonts w:hint="eastAsia" w:ascii="宋体" w:hAnsi="宋体" w:cs="宋体"/>
                <w:b/>
                <w:bCs/>
                <w:color w:val="000000"/>
                <w:kern w:val="0"/>
                <w:sz w:val="22"/>
                <w:szCs w:val="22"/>
              </w:rPr>
              <w:t>一级指标</w:t>
            </w:r>
          </w:p>
        </w:tc>
        <w:tc>
          <w:tcPr>
            <w:tcW w:w="984" w:type="dxa"/>
            <w:shd w:val="clear" w:color="auto" w:fill="BFBFBF"/>
            <w:vAlign w:val="center"/>
          </w:tcPr>
          <w:p>
            <w:pPr>
              <w:pageBreakBefore w:val="0"/>
              <w:widowControl/>
              <w:kinsoku/>
              <w:wordWrap/>
              <w:overflowPunct/>
              <w:topLinePunct w:val="0"/>
              <w:autoSpaceDE/>
              <w:autoSpaceDN/>
              <w:bidi w:val="0"/>
              <w:adjustRightInd/>
              <w:snapToGrid/>
              <w:spacing w:line="56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分值</w:t>
            </w:r>
          </w:p>
        </w:tc>
        <w:tc>
          <w:tcPr>
            <w:tcW w:w="1275" w:type="dxa"/>
            <w:shd w:val="clear" w:color="auto" w:fill="BFBFBF"/>
            <w:vAlign w:val="center"/>
          </w:tcPr>
          <w:p>
            <w:pPr>
              <w:pageBreakBefore w:val="0"/>
              <w:widowControl/>
              <w:kinsoku/>
              <w:wordWrap/>
              <w:overflowPunct/>
              <w:topLinePunct w:val="0"/>
              <w:autoSpaceDE/>
              <w:autoSpaceDN/>
              <w:bidi w:val="0"/>
              <w:adjustRightInd/>
              <w:snapToGrid/>
              <w:spacing w:line="56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二级指标</w:t>
            </w:r>
          </w:p>
        </w:tc>
        <w:tc>
          <w:tcPr>
            <w:tcW w:w="1697" w:type="dxa"/>
            <w:shd w:val="clear" w:color="auto" w:fill="BFBFBF"/>
            <w:vAlign w:val="center"/>
          </w:tcPr>
          <w:p>
            <w:pPr>
              <w:pageBreakBefore w:val="0"/>
              <w:widowControl/>
              <w:kinsoku/>
              <w:wordWrap/>
              <w:overflowPunct/>
              <w:topLinePunct w:val="0"/>
              <w:autoSpaceDE/>
              <w:autoSpaceDN/>
              <w:bidi w:val="0"/>
              <w:adjustRightInd/>
              <w:snapToGrid/>
              <w:spacing w:line="56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三级指标</w:t>
            </w:r>
          </w:p>
        </w:tc>
        <w:tc>
          <w:tcPr>
            <w:tcW w:w="723" w:type="dxa"/>
            <w:shd w:val="clear" w:color="auto" w:fill="BFBFBF"/>
            <w:vAlign w:val="center"/>
          </w:tcPr>
          <w:p>
            <w:pPr>
              <w:pageBreakBefore w:val="0"/>
              <w:widowControl/>
              <w:kinsoku/>
              <w:wordWrap/>
              <w:overflowPunct/>
              <w:topLinePunct w:val="0"/>
              <w:autoSpaceDE/>
              <w:autoSpaceDN/>
              <w:bidi w:val="0"/>
              <w:adjustRightInd/>
              <w:snapToGrid/>
              <w:spacing w:line="56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权重</w:t>
            </w:r>
          </w:p>
        </w:tc>
        <w:tc>
          <w:tcPr>
            <w:tcW w:w="1038"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napToGrid/>
              <w:spacing w:line="56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目标值</w:t>
            </w:r>
          </w:p>
        </w:tc>
        <w:tc>
          <w:tcPr>
            <w:tcW w:w="919"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napToGrid/>
              <w:spacing w:line="56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业绩值</w:t>
            </w:r>
          </w:p>
        </w:tc>
        <w:tc>
          <w:tcPr>
            <w:tcW w:w="1208"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napToGrid/>
              <w:spacing w:line="56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得分率</w:t>
            </w:r>
          </w:p>
        </w:tc>
        <w:tc>
          <w:tcPr>
            <w:tcW w:w="954"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napToGrid/>
              <w:spacing w:line="56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0" w:hRule="atLeast"/>
        </w:trPr>
        <w:tc>
          <w:tcPr>
            <w:tcW w:w="1098"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决策　</w:t>
            </w:r>
          </w:p>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　</w:t>
            </w:r>
          </w:p>
          <w:p>
            <w:pPr>
              <w:pageBreakBefore w:val="0"/>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　</w:t>
            </w:r>
          </w:p>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984"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kern w:val="0"/>
                <w:sz w:val="22"/>
                <w:szCs w:val="22"/>
              </w:rPr>
              <w:t>20分</w:t>
            </w:r>
          </w:p>
        </w:tc>
        <w:tc>
          <w:tcPr>
            <w:tcW w:w="1275"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项目立项　</w:t>
            </w:r>
          </w:p>
        </w:tc>
        <w:tc>
          <w:tcPr>
            <w:tcW w:w="169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立项依据</w:t>
            </w:r>
          </w:p>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充分性</w:t>
            </w:r>
          </w:p>
        </w:tc>
        <w:tc>
          <w:tcPr>
            <w:tcW w:w="723"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1038"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有立项文件</w:t>
            </w:r>
          </w:p>
        </w:tc>
        <w:tc>
          <w:tcPr>
            <w:tcW w:w="919"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有立项文件</w:t>
            </w:r>
          </w:p>
        </w:tc>
        <w:tc>
          <w:tcPr>
            <w:tcW w:w="1208"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p>
        </w:tc>
        <w:tc>
          <w:tcPr>
            <w:tcW w:w="954"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0" w:hRule="atLeast"/>
        </w:trPr>
        <w:tc>
          <w:tcPr>
            <w:tcW w:w="1098"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p>
        </w:tc>
        <w:tc>
          <w:tcPr>
            <w:tcW w:w="98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p>
        </w:tc>
        <w:tc>
          <w:tcPr>
            <w:tcW w:w="1275"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p>
        </w:tc>
        <w:tc>
          <w:tcPr>
            <w:tcW w:w="169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立项程序</w:t>
            </w:r>
          </w:p>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规范性</w:t>
            </w:r>
          </w:p>
        </w:tc>
        <w:tc>
          <w:tcPr>
            <w:tcW w:w="723"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1038"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按照项目要求立项</w:t>
            </w:r>
          </w:p>
        </w:tc>
        <w:tc>
          <w:tcPr>
            <w:tcW w:w="919"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按照项目要求立项</w:t>
            </w:r>
          </w:p>
        </w:tc>
        <w:tc>
          <w:tcPr>
            <w:tcW w:w="1208"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p>
        </w:tc>
        <w:tc>
          <w:tcPr>
            <w:tcW w:w="954"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0" w:hRule="atLeast"/>
        </w:trPr>
        <w:tc>
          <w:tcPr>
            <w:tcW w:w="1098"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p>
        </w:tc>
        <w:tc>
          <w:tcPr>
            <w:tcW w:w="98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p>
        </w:tc>
        <w:tc>
          <w:tcPr>
            <w:tcW w:w="1275"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绩效目标　</w:t>
            </w:r>
          </w:p>
        </w:tc>
        <w:tc>
          <w:tcPr>
            <w:tcW w:w="169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绩效目标</w:t>
            </w:r>
          </w:p>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合理性</w:t>
            </w:r>
          </w:p>
        </w:tc>
        <w:tc>
          <w:tcPr>
            <w:tcW w:w="723"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1038"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结合项目内容制定目标</w:t>
            </w:r>
          </w:p>
        </w:tc>
        <w:tc>
          <w:tcPr>
            <w:tcW w:w="919"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结合项目内容制定目标</w:t>
            </w:r>
          </w:p>
        </w:tc>
        <w:tc>
          <w:tcPr>
            <w:tcW w:w="1208"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p>
        </w:tc>
        <w:tc>
          <w:tcPr>
            <w:tcW w:w="95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0" w:hRule="atLeast"/>
        </w:trPr>
        <w:tc>
          <w:tcPr>
            <w:tcW w:w="1098"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p>
        </w:tc>
        <w:tc>
          <w:tcPr>
            <w:tcW w:w="98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p>
        </w:tc>
        <w:tc>
          <w:tcPr>
            <w:tcW w:w="1275"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p>
        </w:tc>
        <w:tc>
          <w:tcPr>
            <w:tcW w:w="169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绩效指标</w:t>
            </w:r>
          </w:p>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明确性</w:t>
            </w:r>
          </w:p>
        </w:tc>
        <w:tc>
          <w:tcPr>
            <w:tcW w:w="723"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1038"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对各项内容制定对应指标</w:t>
            </w:r>
          </w:p>
        </w:tc>
        <w:tc>
          <w:tcPr>
            <w:tcW w:w="919"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对各项内容制定对应指标</w:t>
            </w:r>
          </w:p>
        </w:tc>
        <w:tc>
          <w:tcPr>
            <w:tcW w:w="1208"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p>
        </w:tc>
        <w:tc>
          <w:tcPr>
            <w:tcW w:w="95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0" w:hRule="atLeast"/>
        </w:trPr>
        <w:tc>
          <w:tcPr>
            <w:tcW w:w="1098"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p>
        </w:tc>
        <w:tc>
          <w:tcPr>
            <w:tcW w:w="984"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p>
        </w:tc>
        <w:tc>
          <w:tcPr>
            <w:tcW w:w="1275"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资金投入</w:t>
            </w:r>
          </w:p>
        </w:tc>
        <w:tc>
          <w:tcPr>
            <w:tcW w:w="169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预算编制</w:t>
            </w:r>
          </w:p>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科学性</w:t>
            </w:r>
          </w:p>
        </w:tc>
        <w:tc>
          <w:tcPr>
            <w:tcW w:w="723"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4</w:t>
            </w:r>
          </w:p>
        </w:tc>
        <w:tc>
          <w:tcPr>
            <w:tcW w:w="1038"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按预算管理要求进行编制</w:t>
            </w:r>
          </w:p>
        </w:tc>
        <w:tc>
          <w:tcPr>
            <w:tcW w:w="919"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按预算管理要求进行编制</w:t>
            </w:r>
          </w:p>
        </w:tc>
        <w:tc>
          <w:tcPr>
            <w:tcW w:w="1208"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p>
        </w:tc>
        <w:tc>
          <w:tcPr>
            <w:tcW w:w="954"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0" w:hRule="atLeast"/>
        </w:trPr>
        <w:tc>
          <w:tcPr>
            <w:tcW w:w="1098"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p>
        </w:tc>
        <w:tc>
          <w:tcPr>
            <w:tcW w:w="98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p>
        </w:tc>
        <w:tc>
          <w:tcPr>
            <w:tcW w:w="1275"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p>
        </w:tc>
        <w:tc>
          <w:tcPr>
            <w:tcW w:w="169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资金分配</w:t>
            </w:r>
          </w:p>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合理性</w:t>
            </w:r>
          </w:p>
        </w:tc>
        <w:tc>
          <w:tcPr>
            <w:tcW w:w="723"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4</w:t>
            </w:r>
          </w:p>
        </w:tc>
        <w:tc>
          <w:tcPr>
            <w:tcW w:w="1038"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合理分配</w:t>
            </w:r>
          </w:p>
        </w:tc>
        <w:tc>
          <w:tcPr>
            <w:tcW w:w="919"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合理分配</w:t>
            </w:r>
          </w:p>
        </w:tc>
        <w:tc>
          <w:tcPr>
            <w:tcW w:w="1208"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p>
        </w:tc>
        <w:tc>
          <w:tcPr>
            <w:tcW w:w="954"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2" w:hRule="atLeast"/>
        </w:trPr>
        <w:tc>
          <w:tcPr>
            <w:tcW w:w="1098" w:type="dxa"/>
            <w:vMerge w:val="restart"/>
            <w:shd w:val="clear" w:color="auto" w:fill="FFFFFF"/>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过程</w:t>
            </w:r>
          </w:p>
          <w:p>
            <w:pPr>
              <w:pageBreakBefore w:val="0"/>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984"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kern w:val="0"/>
                <w:sz w:val="22"/>
                <w:szCs w:val="22"/>
              </w:rPr>
              <w:t>20分</w:t>
            </w:r>
          </w:p>
        </w:tc>
        <w:tc>
          <w:tcPr>
            <w:tcW w:w="1275"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资金管理</w:t>
            </w:r>
          </w:p>
        </w:tc>
        <w:tc>
          <w:tcPr>
            <w:tcW w:w="169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资金到位率</w:t>
            </w:r>
          </w:p>
        </w:tc>
        <w:tc>
          <w:tcPr>
            <w:tcW w:w="723"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4</w:t>
            </w:r>
          </w:p>
        </w:tc>
        <w:tc>
          <w:tcPr>
            <w:tcW w:w="1038"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p>
        </w:tc>
        <w:tc>
          <w:tcPr>
            <w:tcW w:w="919"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p>
        </w:tc>
        <w:tc>
          <w:tcPr>
            <w:tcW w:w="1208"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p>
        </w:tc>
        <w:tc>
          <w:tcPr>
            <w:tcW w:w="95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2" w:hRule="atLeast"/>
        </w:trPr>
        <w:tc>
          <w:tcPr>
            <w:tcW w:w="1098"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p>
        </w:tc>
        <w:tc>
          <w:tcPr>
            <w:tcW w:w="984"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p>
        </w:tc>
        <w:tc>
          <w:tcPr>
            <w:tcW w:w="1275"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p>
        </w:tc>
        <w:tc>
          <w:tcPr>
            <w:tcW w:w="169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预算执行率</w:t>
            </w:r>
          </w:p>
        </w:tc>
        <w:tc>
          <w:tcPr>
            <w:tcW w:w="723"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4</w:t>
            </w:r>
          </w:p>
        </w:tc>
        <w:tc>
          <w:tcPr>
            <w:tcW w:w="1038"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p>
        </w:tc>
        <w:tc>
          <w:tcPr>
            <w:tcW w:w="919"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81.34%</w:t>
            </w:r>
          </w:p>
        </w:tc>
        <w:tc>
          <w:tcPr>
            <w:tcW w:w="1208"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81.34%</w:t>
            </w:r>
          </w:p>
        </w:tc>
        <w:tc>
          <w:tcPr>
            <w:tcW w:w="954"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3.25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0" w:hRule="atLeast"/>
        </w:trPr>
        <w:tc>
          <w:tcPr>
            <w:tcW w:w="1098"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p>
        </w:tc>
        <w:tc>
          <w:tcPr>
            <w:tcW w:w="98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p>
        </w:tc>
        <w:tc>
          <w:tcPr>
            <w:tcW w:w="1275"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资金管理</w:t>
            </w:r>
          </w:p>
        </w:tc>
        <w:tc>
          <w:tcPr>
            <w:tcW w:w="169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资金使用</w:t>
            </w:r>
          </w:p>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合规性</w:t>
            </w:r>
          </w:p>
        </w:tc>
        <w:tc>
          <w:tcPr>
            <w:tcW w:w="723"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4</w:t>
            </w:r>
          </w:p>
        </w:tc>
        <w:tc>
          <w:tcPr>
            <w:tcW w:w="1038"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专款专用</w:t>
            </w:r>
          </w:p>
        </w:tc>
        <w:tc>
          <w:tcPr>
            <w:tcW w:w="919"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专款专用</w:t>
            </w:r>
          </w:p>
        </w:tc>
        <w:tc>
          <w:tcPr>
            <w:tcW w:w="1208"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p>
        </w:tc>
        <w:tc>
          <w:tcPr>
            <w:tcW w:w="95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0" w:hRule="atLeast"/>
        </w:trPr>
        <w:tc>
          <w:tcPr>
            <w:tcW w:w="1098"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p>
        </w:tc>
        <w:tc>
          <w:tcPr>
            <w:tcW w:w="984"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p>
        </w:tc>
        <w:tc>
          <w:tcPr>
            <w:tcW w:w="1275"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组织实施</w:t>
            </w:r>
          </w:p>
        </w:tc>
        <w:tc>
          <w:tcPr>
            <w:tcW w:w="169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管理制度</w:t>
            </w:r>
          </w:p>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健全性</w:t>
            </w:r>
          </w:p>
        </w:tc>
        <w:tc>
          <w:tcPr>
            <w:tcW w:w="723"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4</w:t>
            </w:r>
          </w:p>
        </w:tc>
        <w:tc>
          <w:tcPr>
            <w:tcW w:w="1038"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建立和健全各项制度</w:t>
            </w:r>
          </w:p>
        </w:tc>
        <w:tc>
          <w:tcPr>
            <w:tcW w:w="919"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建立和健全各项制度</w:t>
            </w:r>
          </w:p>
        </w:tc>
        <w:tc>
          <w:tcPr>
            <w:tcW w:w="1208"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p>
        </w:tc>
        <w:tc>
          <w:tcPr>
            <w:tcW w:w="95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0" w:hRule="atLeast"/>
        </w:trPr>
        <w:tc>
          <w:tcPr>
            <w:tcW w:w="1098"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p>
        </w:tc>
        <w:tc>
          <w:tcPr>
            <w:tcW w:w="98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p>
        </w:tc>
        <w:tc>
          <w:tcPr>
            <w:tcW w:w="1275"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p>
        </w:tc>
        <w:tc>
          <w:tcPr>
            <w:tcW w:w="169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制度执行</w:t>
            </w:r>
          </w:p>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有效性</w:t>
            </w:r>
          </w:p>
        </w:tc>
        <w:tc>
          <w:tcPr>
            <w:tcW w:w="723"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4</w:t>
            </w:r>
          </w:p>
        </w:tc>
        <w:tc>
          <w:tcPr>
            <w:tcW w:w="1038"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严格按照制度执行</w:t>
            </w:r>
          </w:p>
        </w:tc>
        <w:tc>
          <w:tcPr>
            <w:tcW w:w="919"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严格按照制度执行</w:t>
            </w:r>
          </w:p>
        </w:tc>
        <w:tc>
          <w:tcPr>
            <w:tcW w:w="1208"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p>
        </w:tc>
        <w:tc>
          <w:tcPr>
            <w:tcW w:w="95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2" w:hRule="atLeast"/>
        </w:trPr>
        <w:tc>
          <w:tcPr>
            <w:tcW w:w="1098"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产出</w:t>
            </w:r>
          </w:p>
        </w:tc>
        <w:tc>
          <w:tcPr>
            <w:tcW w:w="984"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kern w:val="0"/>
                <w:sz w:val="22"/>
                <w:szCs w:val="22"/>
              </w:rPr>
              <w:t>40分</w:t>
            </w:r>
          </w:p>
        </w:tc>
        <w:tc>
          <w:tcPr>
            <w:tcW w:w="1275"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产出数量</w:t>
            </w:r>
          </w:p>
        </w:tc>
        <w:tc>
          <w:tcPr>
            <w:tcW w:w="169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实际完成率</w:t>
            </w:r>
          </w:p>
        </w:tc>
        <w:tc>
          <w:tcPr>
            <w:tcW w:w="723"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1038"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p>
        </w:tc>
        <w:tc>
          <w:tcPr>
            <w:tcW w:w="919"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90%</w:t>
            </w:r>
          </w:p>
        </w:tc>
        <w:tc>
          <w:tcPr>
            <w:tcW w:w="1208"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p>
        </w:tc>
        <w:tc>
          <w:tcPr>
            <w:tcW w:w="95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2" w:hRule="atLeast"/>
        </w:trPr>
        <w:tc>
          <w:tcPr>
            <w:tcW w:w="1098"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p>
        </w:tc>
        <w:tc>
          <w:tcPr>
            <w:tcW w:w="98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p>
        </w:tc>
        <w:tc>
          <w:tcPr>
            <w:tcW w:w="1275"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产出质量</w:t>
            </w:r>
          </w:p>
        </w:tc>
        <w:tc>
          <w:tcPr>
            <w:tcW w:w="169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质量达标率</w:t>
            </w:r>
          </w:p>
        </w:tc>
        <w:tc>
          <w:tcPr>
            <w:tcW w:w="723"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1038"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p>
        </w:tc>
        <w:tc>
          <w:tcPr>
            <w:tcW w:w="919"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p>
        </w:tc>
        <w:tc>
          <w:tcPr>
            <w:tcW w:w="1208"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p>
        </w:tc>
        <w:tc>
          <w:tcPr>
            <w:tcW w:w="95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2" w:hRule="atLeast"/>
        </w:trPr>
        <w:tc>
          <w:tcPr>
            <w:tcW w:w="1098"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p>
        </w:tc>
        <w:tc>
          <w:tcPr>
            <w:tcW w:w="984"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p>
        </w:tc>
        <w:tc>
          <w:tcPr>
            <w:tcW w:w="1275" w:type="dxa"/>
            <w:shd w:val="clear" w:color="auto" w:fill="FFFFFF"/>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产出时效</w:t>
            </w:r>
          </w:p>
        </w:tc>
        <w:tc>
          <w:tcPr>
            <w:tcW w:w="169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完成及时性</w:t>
            </w:r>
          </w:p>
        </w:tc>
        <w:tc>
          <w:tcPr>
            <w:tcW w:w="723"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1038"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p>
        </w:tc>
        <w:tc>
          <w:tcPr>
            <w:tcW w:w="919"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p>
        </w:tc>
        <w:tc>
          <w:tcPr>
            <w:tcW w:w="1208"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p>
        </w:tc>
        <w:tc>
          <w:tcPr>
            <w:tcW w:w="95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2" w:hRule="atLeast"/>
        </w:trPr>
        <w:tc>
          <w:tcPr>
            <w:tcW w:w="1098"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p>
        </w:tc>
        <w:tc>
          <w:tcPr>
            <w:tcW w:w="98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p>
        </w:tc>
        <w:tc>
          <w:tcPr>
            <w:tcW w:w="1275"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产出成本</w:t>
            </w:r>
          </w:p>
        </w:tc>
        <w:tc>
          <w:tcPr>
            <w:tcW w:w="169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成本节约率</w:t>
            </w:r>
          </w:p>
        </w:tc>
        <w:tc>
          <w:tcPr>
            <w:tcW w:w="723"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1038"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p>
        </w:tc>
        <w:tc>
          <w:tcPr>
            <w:tcW w:w="919"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80%</w:t>
            </w:r>
          </w:p>
        </w:tc>
        <w:tc>
          <w:tcPr>
            <w:tcW w:w="1208"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80%</w:t>
            </w:r>
          </w:p>
        </w:tc>
        <w:tc>
          <w:tcPr>
            <w:tcW w:w="95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21" w:hRule="atLeast"/>
        </w:trPr>
        <w:tc>
          <w:tcPr>
            <w:tcW w:w="1098"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效益　</w:t>
            </w:r>
          </w:p>
        </w:tc>
        <w:tc>
          <w:tcPr>
            <w:tcW w:w="984"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20分</w:t>
            </w:r>
          </w:p>
        </w:tc>
        <w:tc>
          <w:tcPr>
            <w:tcW w:w="1275"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项目效益　</w:t>
            </w:r>
          </w:p>
        </w:tc>
        <w:tc>
          <w:tcPr>
            <w:tcW w:w="169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实施效益</w:t>
            </w:r>
          </w:p>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（社会效益、经济效益、可持续效益）</w:t>
            </w:r>
          </w:p>
        </w:tc>
        <w:tc>
          <w:tcPr>
            <w:tcW w:w="723"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1038"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效益提高</w:t>
            </w:r>
          </w:p>
        </w:tc>
        <w:tc>
          <w:tcPr>
            <w:tcW w:w="919"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效益提高</w:t>
            </w:r>
          </w:p>
        </w:tc>
        <w:tc>
          <w:tcPr>
            <w:tcW w:w="1208"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90%</w:t>
            </w:r>
          </w:p>
        </w:tc>
        <w:tc>
          <w:tcPr>
            <w:tcW w:w="954"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00" w:hRule="atLeast"/>
        </w:trPr>
        <w:tc>
          <w:tcPr>
            <w:tcW w:w="1098"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p>
        </w:tc>
        <w:tc>
          <w:tcPr>
            <w:tcW w:w="98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p>
        </w:tc>
        <w:tc>
          <w:tcPr>
            <w:tcW w:w="1275"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p>
        </w:tc>
        <w:tc>
          <w:tcPr>
            <w:tcW w:w="169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满意度</w:t>
            </w:r>
          </w:p>
        </w:tc>
        <w:tc>
          <w:tcPr>
            <w:tcW w:w="723"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1038"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达标</w:t>
            </w:r>
          </w:p>
        </w:tc>
        <w:tc>
          <w:tcPr>
            <w:tcW w:w="919"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达标</w:t>
            </w:r>
          </w:p>
        </w:tc>
        <w:tc>
          <w:tcPr>
            <w:tcW w:w="1208"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p>
        </w:tc>
        <w:tc>
          <w:tcPr>
            <w:tcW w:w="95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w:t>
            </w:r>
          </w:p>
        </w:tc>
      </w:tr>
    </w:tbl>
    <w:p>
      <w:pPr>
        <w:pageBreakBefore w:val="0"/>
        <w:kinsoku/>
        <w:wordWrap/>
        <w:overflowPunct/>
        <w:topLinePunct w:val="0"/>
        <w:autoSpaceDE/>
        <w:autoSpaceDN/>
        <w:bidi w:val="0"/>
        <w:adjustRightInd/>
        <w:snapToGrid/>
        <w:spacing w:line="560" w:lineRule="atLeast"/>
      </w:pPr>
    </w:p>
    <w:p>
      <w:pPr>
        <w:pageBreakBefore w:val="0"/>
        <w:kinsoku/>
        <w:wordWrap/>
        <w:overflowPunct/>
        <w:topLinePunct w:val="0"/>
        <w:autoSpaceDE/>
        <w:autoSpaceDN/>
        <w:bidi w:val="0"/>
        <w:adjustRightInd/>
        <w:snapToGrid/>
        <w:spacing w:line="560" w:lineRule="atLeast"/>
        <w:ind w:firstLine="640" w:firstLineChars="200"/>
        <w:contextualSpacing/>
        <w:rPr>
          <w:rFonts w:ascii="黑体" w:hAnsi="黑体" w:eastAsia="黑体" w:cs="黑体"/>
          <w:sz w:val="32"/>
          <w:szCs w:val="32"/>
        </w:rPr>
      </w:pPr>
      <w:r>
        <w:rPr>
          <w:rFonts w:hint="eastAsia" w:ascii="黑体" w:hAnsi="黑体" w:eastAsia="黑体" w:cs="黑体"/>
          <w:sz w:val="32"/>
          <w:szCs w:val="32"/>
        </w:rPr>
        <w:t>四、绩效评价指标分析</w:t>
      </w:r>
    </w:p>
    <w:p>
      <w:pPr>
        <w:pageBreakBefore w:val="0"/>
        <w:kinsoku/>
        <w:wordWrap/>
        <w:overflowPunct/>
        <w:topLinePunct w:val="0"/>
        <w:autoSpaceDE/>
        <w:autoSpaceDN/>
        <w:bidi w:val="0"/>
        <w:adjustRightInd/>
        <w:snapToGrid/>
        <w:spacing w:line="560" w:lineRule="atLeast"/>
        <w:ind w:firstLine="643" w:firstLineChars="200"/>
        <w:contextualSpacing/>
        <w:rPr>
          <w:rFonts w:ascii="仿宋_GB2312" w:hAnsi="仿宋_GB2312" w:eastAsia="仿宋_GB2312" w:cs="仿宋_GB2312"/>
          <w:sz w:val="32"/>
          <w:szCs w:val="32"/>
        </w:rPr>
      </w:pPr>
      <w:r>
        <w:rPr>
          <w:rFonts w:hint="eastAsia" w:ascii="仿宋_GB2312" w:hAnsi="仿宋_GB2312" w:eastAsia="仿宋_GB2312" w:cs="仿宋_GB2312"/>
          <w:b/>
          <w:bCs/>
          <w:sz w:val="32"/>
          <w:szCs w:val="32"/>
        </w:rPr>
        <w:t>（一）项目决策情况</w:t>
      </w:r>
      <w:r>
        <w:rPr>
          <w:rFonts w:hint="eastAsia" w:ascii="仿宋_GB2312" w:hAnsi="仿宋_GB2312" w:eastAsia="仿宋_GB2312" w:cs="仿宋_GB2312"/>
          <w:sz w:val="32"/>
          <w:szCs w:val="32"/>
        </w:rPr>
        <w:t>。</w:t>
      </w:r>
    </w:p>
    <w:p>
      <w:pPr>
        <w:pageBreakBefore w:val="0"/>
        <w:kinsoku/>
        <w:wordWrap/>
        <w:overflowPunct/>
        <w:topLinePunct w:val="0"/>
        <w:autoSpaceDE/>
        <w:autoSpaceDN/>
        <w:bidi w:val="0"/>
        <w:adjustRightInd/>
        <w:snapToGrid/>
        <w:spacing w:line="560" w:lineRule="atLeast"/>
        <w:ind w:firstLine="640" w:firstLineChars="200"/>
        <w:rPr>
          <w:rFonts w:ascii="方正仿宋_GBK" w:hAnsi="仿宋" w:eastAsia="方正仿宋_GBK" w:cs="宋体"/>
          <w:sz w:val="32"/>
          <w:szCs w:val="32"/>
        </w:rPr>
      </w:pPr>
      <w:r>
        <w:rPr>
          <w:rFonts w:hint="eastAsia" w:ascii="仿宋_GB2312" w:hAnsi="仿宋_GB2312" w:eastAsia="仿宋_GB2312" w:cs="仿宋_GB2312"/>
          <w:color w:val="333333"/>
          <w:sz w:val="32"/>
          <w:szCs w:val="32"/>
          <w:shd w:val="clear" w:color="auto" w:fill="FFFFFF"/>
        </w:rPr>
        <w:t>项目决策指标从项目立项、绩效目标、资金投入3个方面对项目的决策进行考察，项目决策类指标分值20分，实际得分20分，得分率100%。</w:t>
      </w:r>
    </w:p>
    <w:p>
      <w:pPr>
        <w:pStyle w:val="3"/>
        <w:keepNext w:val="0"/>
        <w:keepLines w:val="0"/>
        <w:pageBreakBefore w:val="0"/>
        <w:kinsoku/>
        <w:wordWrap/>
        <w:overflowPunct/>
        <w:topLinePunct w:val="0"/>
        <w:autoSpaceDE/>
        <w:autoSpaceDN/>
        <w:bidi w:val="0"/>
        <w:adjustRightInd/>
        <w:snapToGrid/>
        <w:spacing w:before="0" w:after="0" w:line="560" w:lineRule="atLeast"/>
        <w:ind w:firstLine="640" w:firstLineChars="200"/>
      </w:pPr>
      <w:r>
        <w:rPr>
          <w:rFonts w:hint="eastAsia" w:ascii="仿宋_GB2312" w:hAnsi="仿宋_GB2312" w:eastAsia="仿宋_GB2312" w:cs="仿宋_GB2312"/>
          <w:b w:val="0"/>
          <w:bCs w:val="0"/>
          <w:color w:val="333333"/>
          <w:shd w:val="clear" w:color="auto" w:fill="FFFFFF"/>
        </w:rPr>
        <w:t>对于“项目立项”、“绩效目标”、“资金投入”，塔城地区统计局针对全国第七次人口普查经费项目，依据相关文件对该项目设置了较为详细的项目支出绩效目标，项目绩效目标的设置，满足合理性和明确性的要求。按照地方财政资金拨付要求全部投入到位，总投资32万元。根据评分标准，各指标实际得分率100%。</w:t>
      </w:r>
    </w:p>
    <w:p>
      <w:pPr>
        <w:pageBreakBefore w:val="0"/>
        <w:numPr>
          <w:ilvl w:val="0"/>
          <w:numId w:val="7"/>
        </w:numPr>
        <w:kinsoku/>
        <w:wordWrap/>
        <w:overflowPunct/>
        <w:topLinePunct w:val="0"/>
        <w:autoSpaceDE/>
        <w:autoSpaceDN/>
        <w:bidi w:val="0"/>
        <w:adjustRightInd/>
        <w:snapToGrid/>
        <w:spacing w:line="560" w:lineRule="atLeast"/>
        <w:ind w:hanging="368"/>
        <w:contextualSpacing/>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项目过程情况。</w:t>
      </w:r>
    </w:p>
    <w:p>
      <w:pPr>
        <w:pageBreakBefore w:val="0"/>
        <w:kinsoku/>
        <w:wordWrap/>
        <w:overflowPunct/>
        <w:topLinePunct w:val="0"/>
        <w:autoSpaceDE/>
        <w:autoSpaceDN/>
        <w:bidi w:val="0"/>
        <w:adjustRightInd/>
        <w:snapToGrid/>
        <w:spacing w:line="560" w:lineRule="atLeast"/>
        <w:ind w:firstLine="640" w:firstLineChars="200"/>
        <w:rPr>
          <w:rFonts w:ascii="仿宋_GB2312" w:hAnsi="仿宋_GB2312" w:eastAsia="仿宋_GB2312" w:cs="仿宋_GB2312"/>
          <w:color w:val="333333"/>
          <w:sz w:val="32"/>
          <w:szCs w:val="32"/>
          <w:shd w:val="clear" w:color="auto" w:fill="FFFFFF"/>
        </w:rPr>
      </w:pPr>
      <w:r>
        <w:rPr>
          <w:rFonts w:hint="eastAsia" w:ascii="仿宋_GB2312" w:hAnsi="仿宋_GB2312" w:eastAsia="仿宋_GB2312" w:cs="仿宋_GB2312"/>
          <w:color w:val="333333"/>
          <w:sz w:val="32"/>
          <w:szCs w:val="32"/>
          <w:shd w:val="clear" w:color="auto" w:fill="FFFFFF"/>
        </w:rPr>
        <w:t>项目管理指标从资金到位率、预算执行率、资金使用合规性、管理制度健全性、制度执行有效性5个方面对项目的管理情况进行考察。项目管理类指标分值20分，实际得分19.05分，得分率为95.25%。项目管理指标得分情况如表所示。</w:t>
      </w:r>
    </w:p>
    <w:p>
      <w:pPr>
        <w:pageBreakBefore w:val="0"/>
        <w:kinsoku/>
        <w:wordWrap/>
        <w:overflowPunct/>
        <w:topLinePunct w:val="0"/>
        <w:autoSpaceDE/>
        <w:autoSpaceDN/>
        <w:bidi w:val="0"/>
        <w:adjustRightInd/>
        <w:snapToGrid/>
        <w:spacing w:line="560" w:lineRule="atLeast"/>
        <w:ind w:firstLine="640" w:firstLineChars="200"/>
        <w:rPr>
          <w:rFonts w:ascii="仿宋_GB2312" w:hAnsi="仿宋_GB2312" w:eastAsia="仿宋_GB2312" w:cs="仿宋_GB2312"/>
          <w:color w:val="333333"/>
          <w:sz w:val="32"/>
          <w:szCs w:val="32"/>
          <w:shd w:val="clear" w:color="auto" w:fill="FFFFFF"/>
        </w:rPr>
      </w:pPr>
      <w:r>
        <w:rPr>
          <w:rFonts w:hint="eastAsia" w:ascii="仿宋_GB2312" w:hAnsi="仿宋_GB2312" w:eastAsia="仿宋_GB2312" w:cs="仿宋_GB2312"/>
          <w:color w:val="333333"/>
          <w:sz w:val="32"/>
          <w:szCs w:val="32"/>
          <w:shd w:val="clear" w:color="auto" w:fill="FFFFFF"/>
        </w:rPr>
        <w:t>对于“资金到位率”，2020年全国第七次人口普查专项资金32万元。实际拨付专项资金32万元。根据评分标准，该指标实际得分率100%。</w:t>
      </w:r>
    </w:p>
    <w:p>
      <w:pPr>
        <w:pageBreakBefore w:val="0"/>
        <w:kinsoku/>
        <w:wordWrap/>
        <w:overflowPunct/>
        <w:topLinePunct w:val="0"/>
        <w:autoSpaceDE/>
        <w:autoSpaceDN/>
        <w:bidi w:val="0"/>
        <w:adjustRightInd/>
        <w:snapToGrid/>
        <w:spacing w:line="560" w:lineRule="atLeast"/>
        <w:ind w:firstLine="640" w:firstLineChars="200"/>
        <w:rPr>
          <w:rFonts w:ascii="仿宋_GB2312" w:hAnsi="仿宋_GB2312" w:eastAsia="仿宋_GB2312" w:cs="仿宋_GB2312"/>
          <w:color w:val="333333"/>
          <w:sz w:val="32"/>
          <w:szCs w:val="32"/>
          <w:shd w:val="clear" w:color="auto" w:fill="FFFFFF"/>
        </w:rPr>
      </w:pPr>
      <w:r>
        <w:rPr>
          <w:rFonts w:hint="eastAsia" w:ascii="仿宋_GB2312" w:hAnsi="仿宋_GB2312" w:eastAsia="仿宋_GB2312" w:cs="仿宋_GB2312"/>
          <w:color w:val="333333"/>
          <w:sz w:val="32"/>
          <w:szCs w:val="32"/>
          <w:shd w:val="clear" w:color="auto" w:fill="FFFFFF"/>
        </w:rPr>
        <w:t>对于“预算执行率”，2020年全国第七次人口普查专项资金32万元。项目预算资金为32万元，实际使用26.0</w:t>
      </w:r>
      <w:r>
        <w:rPr>
          <w:rFonts w:hint="eastAsia" w:ascii="仿宋_GB2312" w:hAnsi="仿宋_GB2312" w:eastAsia="仿宋_GB2312" w:cs="仿宋_GB2312"/>
          <w:color w:val="333333"/>
          <w:sz w:val="32"/>
          <w:szCs w:val="32"/>
          <w:shd w:val="clear" w:color="auto" w:fill="FFFFFF"/>
          <w:lang w:val="en-US" w:eastAsia="zh-CN"/>
        </w:rPr>
        <w:t>3</w:t>
      </w:r>
      <w:r>
        <w:rPr>
          <w:rFonts w:hint="eastAsia" w:ascii="仿宋_GB2312" w:hAnsi="仿宋_GB2312" w:eastAsia="仿宋_GB2312" w:cs="仿宋_GB2312"/>
          <w:color w:val="333333"/>
          <w:sz w:val="32"/>
          <w:szCs w:val="32"/>
          <w:shd w:val="clear" w:color="auto" w:fill="FFFFFF"/>
        </w:rPr>
        <w:t>万元。根据评分标准，该指标实际得分率81%。</w:t>
      </w:r>
    </w:p>
    <w:p>
      <w:pPr>
        <w:pageBreakBefore w:val="0"/>
        <w:kinsoku/>
        <w:wordWrap/>
        <w:overflowPunct/>
        <w:topLinePunct w:val="0"/>
        <w:autoSpaceDE/>
        <w:autoSpaceDN/>
        <w:bidi w:val="0"/>
        <w:adjustRightInd/>
        <w:snapToGrid/>
        <w:spacing w:line="560" w:lineRule="atLeast"/>
        <w:ind w:firstLine="640" w:firstLineChars="200"/>
        <w:rPr>
          <w:rFonts w:ascii="仿宋_GB2312" w:hAnsi="仿宋_GB2312" w:eastAsia="仿宋_GB2312" w:cs="仿宋_GB2312"/>
          <w:color w:val="333333"/>
          <w:sz w:val="32"/>
          <w:szCs w:val="32"/>
          <w:shd w:val="clear" w:color="auto" w:fill="FFFFFF"/>
        </w:rPr>
      </w:pPr>
      <w:r>
        <w:rPr>
          <w:rFonts w:hint="eastAsia" w:ascii="仿宋_GB2312" w:hAnsi="仿宋_GB2312" w:eastAsia="仿宋_GB2312" w:cs="仿宋_GB2312"/>
          <w:color w:val="333333"/>
          <w:sz w:val="32"/>
          <w:szCs w:val="32"/>
          <w:shd w:val="clear" w:color="auto" w:fill="FFFFFF"/>
        </w:rPr>
        <w:t>对于“资金使用合规性”，塔城地区统计局针对人口普查经费按照专项资金列支的范围使用资金，支出范围合规；资金支出能按财务制度、管理办法执行，不存在资金违纪违规使用情况。按评分标准，指标实际得分率100%。</w:t>
      </w:r>
    </w:p>
    <w:p>
      <w:pPr>
        <w:pageBreakBefore w:val="0"/>
        <w:kinsoku/>
        <w:wordWrap/>
        <w:overflowPunct/>
        <w:topLinePunct w:val="0"/>
        <w:autoSpaceDE/>
        <w:autoSpaceDN/>
        <w:bidi w:val="0"/>
        <w:adjustRightInd/>
        <w:snapToGrid/>
        <w:spacing w:line="560" w:lineRule="atLeast"/>
        <w:ind w:firstLine="640" w:firstLineChars="200"/>
        <w:rPr>
          <w:rFonts w:ascii="仿宋_GB2312" w:hAnsi="仿宋_GB2312" w:eastAsia="仿宋_GB2312" w:cs="仿宋_GB2312"/>
          <w:color w:val="333333"/>
          <w:sz w:val="32"/>
          <w:szCs w:val="32"/>
          <w:shd w:val="clear" w:color="auto" w:fill="FFFFFF"/>
        </w:rPr>
      </w:pPr>
      <w:r>
        <w:rPr>
          <w:rFonts w:hint="eastAsia" w:ascii="仿宋_GB2312" w:hAnsi="仿宋_GB2312" w:eastAsia="仿宋_GB2312" w:cs="仿宋_GB2312"/>
          <w:color w:val="333333"/>
          <w:sz w:val="32"/>
          <w:szCs w:val="32"/>
          <w:shd w:val="clear" w:color="auto" w:fill="FFFFFF"/>
        </w:rPr>
        <w:t>对于“管理制度健全性“，塔城地区统计局针对全国第七次人口普查经费管理，严格依照财务制度及工作经费管理办法执行。根据评分标准，该指标实际得分率100%。</w:t>
      </w:r>
    </w:p>
    <w:p>
      <w:pPr>
        <w:pageBreakBefore w:val="0"/>
        <w:kinsoku/>
        <w:wordWrap/>
        <w:overflowPunct/>
        <w:topLinePunct w:val="0"/>
        <w:autoSpaceDE/>
        <w:autoSpaceDN/>
        <w:bidi w:val="0"/>
        <w:adjustRightInd/>
        <w:snapToGrid/>
        <w:spacing w:line="560" w:lineRule="atLeast"/>
        <w:ind w:firstLine="640" w:firstLineChars="200"/>
      </w:pPr>
      <w:r>
        <w:rPr>
          <w:rFonts w:hint="eastAsia" w:ascii="仿宋_GB2312" w:hAnsi="仿宋_GB2312" w:eastAsia="仿宋_GB2312" w:cs="仿宋_GB2312"/>
          <w:color w:val="333333"/>
          <w:sz w:val="32"/>
          <w:szCs w:val="32"/>
          <w:shd w:val="clear" w:color="auto" w:fill="FFFFFF"/>
        </w:rPr>
        <w:t>对于“制度执行有效性”，结合经费管理办法对该项目资金提出了明确指导，塔城地区统计局严格按照财务制度相关工作经费管理办法执行。根据评分标准，该指标实际得分率100%。</w:t>
      </w:r>
    </w:p>
    <w:p>
      <w:pPr>
        <w:pageBreakBefore w:val="0"/>
        <w:numPr>
          <w:ilvl w:val="0"/>
          <w:numId w:val="7"/>
        </w:numPr>
        <w:kinsoku/>
        <w:wordWrap/>
        <w:overflowPunct/>
        <w:topLinePunct w:val="0"/>
        <w:autoSpaceDE/>
        <w:autoSpaceDN/>
        <w:bidi w:val="0"/>
        <w:adjustRightInd/>
        <w:snapToGrid/>
        <w:spacing w:line="560" w:lineRule="atLeast"/>
        <w:ind w:left="0"/>
        <w:contextualSpacing/>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项目产出情况。</w:t>
      </w:r>
    </w:p>
    <w:p>
      <w:pPr>
        <w:pageBreakBefore w:val="0"/>
        <w:kinsoku/>
        <w:wordWrap/>
        <w:overflowPunct/>
        <w:topLinePunct w:val="0"/>
        <w:autoSpaceDE/>
        <w:autoSpaceDN/>
        <w:bidi w:val="0"/>
        <w:adjustRightInd/>
        <w:snapToGrid/>
        <w:spacing w:line="560" w:lineRule="atLeast"/>
        <w:ind w:firstLine="640" w:firstLineChars="200"/>
        <w:rPr>
          <w:rFonts w:ascii="仿宋_GB2312" w:hAnsi="仿宋_GB2312" w:eastAsia="仿宋_GB2312" w:cs="仿宋_GB2312"/>
          <w:color w:val="333333"/>
          <w:sz w:val="32"/>
          <w:szCs w:val="32"/>
          <w:shd w:val="clear" w:color="auto" w:fill="FFFFFF"/>
        </w:rPr>
      </w:pPr>
      <w:r>
        <w:rPr>
          <w:rFonts w:hint="eastAsia" w:ascii="仿宋_GB2312" w:hAnsi="仿宋_GB2312" w:eastAsia="仿宋_GB2312" w:cs="仿宋_GB2312"/>
          <w:color w:val="333333"/>
          <w:sz w:val="32"/>
          <w:szCs w:val="32"/>
          <w:shd w:val="clear" w:color="auto" w:fill="FFFFFF"/>
        </w:rPr>
        <w:t>项目绩效主要从项目产出的产出数量、产出质量、产出时效、成本情况4个方面对项目的绩效情况进行评价。项目绩效类指标分值40分，实际得分38分，得分率为95%。</w:t>
      </w:r>
    </w:p>
    <w:p>
      <w:pPr>
        <w:pStyle w:val="8"/>
        <w:pageBreakBefore w:val="0"/>
        <w:widowControl/>
        <w:kinsoku/>
        <w:wordWrap/>
        <w:overflowPunct/>
        <w:topLinePunct w:val="0"/>
        <w:autoSpaceDE/>
        <w:autoSpaceDN/>
        <w:bidi w:val="0"/>
        <w:adjustRightInd/>
        <w:snapToGrid/>
        <w:spacing w:before="0" w:beforeAutospacing="0" w:after="0" w:afterAutospacing="0" w:line="560" w:lineRule="atLeast"/>
        <w:ind w:firstLine="643"/>
        <w:jc w:val="both"/>
        <w:rPr>
          <w:rFonts w:hint="eastAsia" w:ascii="仿宋_GB2312" w:hAnsi="仿宋_GB2312" w:eastAsia="仿宋_GB2312" w:cs="仿宋_GB2312"/>
          <w:color w:val="333333"/>
          <w:sz w:val="32"/>
          <w:szCs w:val="32"/>
          <w:shd w:val="clear" w:color="auto" w:fill="FFFFFF"/>
        </w:rPr>
      </w:pPr>
      <w:r>
        <w:rPr>
          <w:rFonts w:hint="eastAsia" w:ascii="仿宋_GB2312" w:hAnsi="仿宋_GB2312" w:eastAsia="仿宋_GB2312" w:cs="仿宋_GB2312"/>
          <w:color w:val="333333"/>
          <w:sz w:val="32"/>
          <w:szCs w:val="32"/>
          <w:shd w:val="clear" w:color="auto" w:fill="FFFFFF"/>
        </w:rPr>
        <w:t>对于“产出数量”，塔城地区统计局针对”全国第七次人口普查经费项目具体分为1个明细指标进行评价，</w:t>
      </w:r>
      <w:r>
        <w:rPr>
          <w:rFonts w:hint="eastAsia" w:ascii="仿宋_GB2312" w:hAnsi="仿宋_GB2312" w:eastAsia="仿宋_GB2312" w:cs="仿宋_GB2312"/>
          <w:sz w:val="32"/>
          <w:szCs w:val="32"/>
        </w:rPr>
        <w:t>数量指标：普查户籍人口，预期指标值≥90万人，指标完成值91万人，指标完成率101%；</w:t>
      </w:r>
    </w:p>
    <w:p>
      <w:pPr>
        <w:pStyle w:val="8"/>
        <w:pageBreakBefore w:val="0"/>
        <w:widowControl/>
        <w:kinsoku/>
        <w:wordWrap/>
        <w:overflowPunct/>
        <w:topLinePunct w:val="0"/>
        <w:autoSpaceDE/>
        <w:autoSpaceDN/>
        <w:bidi w:val="0"/>
        <w:adjustRightInd/>
        <w:snapToGrid/>
        <w:spacing w:before="0" w:beforeAutospacing="0" w:after="0" w:afterAutospacing="0" w:line="560" w:lineRule="atLeast"/>
        <w:ind w:firstLine="643"/>
        <w:jc w:val="both"/>
        <w:rPr>
          <w:rFonts w:ascii="仿宋_GB2312" w:hAnsi="仿宋_GB2312" w:eastAsia="仿宋_GB2312" w:cs="仿宋_GB2312"/>
          <w:color w:val="333333"/>
          <w:sz w:val="32"/>
          <w:szCs w:val="32"/>
          <w:shd w:val="clear" w:color="auto" w:fill="FFFFFF"/>
        </w:rPr>
      </w:pPr>
      <w:r>
        <w:rPr>
          <w:rFonts w:hint="eastAsia" w:ascii="仿宋_GB2312" w:hAnsi="仿宋_GB2312" w:eastAsia="仿宋_GB2312" w:cs="仿宋_GB2312"/>
          <w:color w:val="333333"/>
          <w:sz w:val="32"/>
          <w:szCs w:val="32"/>
          <w:shd w:val="clear" w:color="auto" w:fill="FFFFFF"/>
        </w:rPr>
        <w:t>对于“产出质量”，塔城地区统计局针对经费项目制定普查原数据填报综合差错率质量评定标准。</w:t>
      </w:r>
      <w:r>
        <w:rPr>
          <w:rFonts w:hint="eastAsia" w:ascii="仿宋_GB2312" w:hAnsi="仿宋_GB2312" w:eastAsia="仿宋_GB2312" w:cs="仿宋_GB2312"/>
          <w:sz w:val="32"/>
          <w:szCs w:val="32"/>
        </w:rPr>
        <w:t>质量指标：</w:t>
      </w:r>
      <w:r>
        <w:rPr>
          <w:rFonts w:hint="eastAsia" w:ascii="仿宋_GB2312" w:hAnsi="仿宋_GB2312" w:eastAsia="仿宋_GB2312" w:cs="仿宋_GB2312"/>
          <w:color w:val="333333"/>
          <w:sz w:val="32"/>
          <w:szCs w:val="32"/>
          <w:shd w:val="clear" w:color="auto" w:fill="FFFFFF"/>
        </w:rPr>
        <w:t>普查原数据填报综合差错率</w:t>
      </w:r>
      <w:r>
        <w:rPr>
          <w:rFonts w:hint="eastAsia" w:ascii="仿宋_GB2312" w:hAnsi="仿宋_GB2312" w:eastAsia="仿宋_GB2312" w:cs="仿宋_GB2312"/>
          <w:sz w:val="32"/>
          <w:szCs w:val="32"/>
        </w:rPr>
        <w:t>，</w:t>
      </w:r>
      <w:r>
        <w:rPr>
          <w:rFonts w:hint="eastAsia" w:ascii="仿宋_GB2312" w:hAnsi="仿宋_GB2312" w:eastAsia="仿宋_GB2312" w:cs="仿宋_GB2312"/>
          <w:color w:val="333333"/>
          <w:sz w:val="32"/>
          <w:szCs w:val="32"/>
          <w:shd w:val="clear" w:color="auto" w:fill="FFFFFF"/>
        </w:rPr>
        <w:t>预期指标值≤3%，指标完成值=1%，指标完成率100%；</w:t>
      </w:r>
    </w:p>
    <w:p>
      <w:pPr>
        <w:pStyle w:val="8"/>
        <w:pageBreakBefore w:val="0"/>
        <w:widowControl/>
        <w:kinsoku/>
        <w:wordWrap/>
        <w:overflowPunct/>
        <w:topLinePunct w:val="0"/>
        <w:autoSpaceDE/>
        <w:autoSpaceDN/>
        <w:bidi w:val="0"/>
        <w:adjustRightInd/>
        <w:snapToGrid/>
        <w:spacing w:before="0" w:beforeAutospacing="0" w:after="0" w:afterAutospacing="0" w:line="560" w:lineRule="atLeast"/>
        <w:ind w:firstLine="640" w:firstLineChars="200"/>
        <w:jc w:val="both"/>
        <w:rPr>
          <w:rFonts w:ascii="仿宋_GB2312" w:hAnsi="仿宋_GB2312" w:eastAsia="仿宋_GB2312" w:cs="仿宋_GB2312"/>
          <w:color w:val="333333"/>
          <w:sz w:val="32"/>
          <w:szCs w:val="32"/>
          <w:shd w:val="clear" w:color="auto" w:fill="FFFFFF"/>
        </w:rPr>
      </w:pPr>
      <w:r>
        <w:rPr>
          <w:rFonts w:hint="eastAsia" w:ascii="仿宋_GB2312" w:hAnsi="仿宋_GB2312" w:eastAsia="仿宋_GB2312" w:cs="仿宋_GB2312"/>
          <w:color w:val="333333"/>
          <w:sz w:val="32"/>
          <w:szCs w:val="32"/>
          <w:shd w:val="clear" w:color="auto" w:fill="FFFFFF"/>
        </w:rPr>
        <w:t>对于“产出时效”，塔城地区统计局针对经费项目以完成本级数据验收时间制定时效标准。</w:t>
      </w:r>
      <w:r>
        <w:rPr>
          <w:rFonts w:hint="eastAsia" w:ascii="仿宋_GB2312" w:hAnsi="仿宋_GB2312" w:eastAsia="仿宋_GB2312" w:cs="仿宋_GB2312"/>
          <w:sz w:val="32"/>
          <w:szCs w:val="32"/>
        </w:rPr>
        <w:t>时效指标：完成本级数据验收时间，预期指标值2020年12月，指标完成值2020年12月，指标完成率100%；</w:t>
      </w:r>
    </w:p>
    <w:p>
      <w:pPr>
        <w:pageBreakBefore w:val="0"/>
        <w:kinsoku/>
        <w:wordWrap/>
        <w:overflowPunct/>
        <w:topLinePunct w:val="0"/>
        <w:autoSpaceDE/>
        <w:autoSpaceDN/>
        <w:bidi w:val="0"/>
        <w:adjustRightInd/>
        <w:snapToGrid/>
        <w:spacing w:line="560" w:lineRule="atLeast"/>
        <w:ind w:firstLine="640" w:firstLineChars="200"/>
        <w:rPr>
          <w:rFonts w:ascii="仿宋_GB2312" w:hAnsi="仿宋_GB2312" w:eastAsia="仿宋_GB2312" w:cs="仿宋_GB2312"/>
          <w:color w:val="333333"/>
          <w:sz w:val="32"/>
          <w:szCs w:val="32"/>
          <w:shd w:val="clear" w:color="auto" w:fill="FFFFFF"/>
        </w:rPr>
      </w:pPr>
      <w:r>
        <w:rPr>
          <w:rFonts w:hint="eastAsia" w:ascii="仿宋_GB2312" w:hAnsi="仿宋_GB2312" w:eastAsia="仿宋_GB2312" w:cs="仿宋_GB2312"/>
          <w:color w:val="333333"/>
          <w:sz w:val="32"/>
          <w:szCs w:val="32"/>
          <w:shd w:val="clear" w:color="auto" w:fill="FFFFFF"/>
        </w:rPr>
        <w:t>对于“成本情况”，塔城地区统计局针对经费项目具体分为4个明细指标进行评价，根据评分标准及印证材料比对，该指标实际得分率100%。具体见下表：</w:t>
      </w:r>
    </w:p>
    <w:tbl>
      <w:tblPr>
        <w:tblStyle w:val="9"/>
        <w:tblW w:w="8522" w:type="dxa"/>
        <w:tblInd w:w="0" w:type="dxa"/>
        <w:tblLayout w:type="fixed"/>
        <w:tblCellMar>
          <w:top w:w="0" w:type="dxa"/>
          <w:left w:w="108" w:type="dxa"/>
          <w:bottom w:w="0" w:type="dxa"/>
          <w:right w:w="108" w:type="dxa"/>
        </w:tblCellMar>
      </w:tblPr>
      <w:tblGrid>
        <w:gridCol w:w="3794"/>
        <w:gridCol w:w="1701"/>
        <w:gridCol w:w="1416"/>
        <w:gridCol w:w="1611"/>
      </w:tblGrid>
      <w:tr>
        <w:tblPrEx>
          <w:tblCellMar>
            <w:top w:w="0" w:type="dxa"/>
            <w:left w:w="108" w:type="dxa"/>
            <w:bottom w:w="0" w:type="dxa"/>
            <w:right w:w="108" w:type="dxa"/>
          </w:tblCellMar>
        </w:tblPrEx>
        <w:trPr>
          <w:trHeight w:val="555" w:hRule="atLeast"/>
          <w:tblHeader/>
        </w:trPr>
        <w:tc>
          <w:tcPr>
            <w:tcW w:w="8522" w:type="dxa"/>
            <w:gridSpan w:val="4"/>
            <w:tcBorders>
              <w:top w:val="nil"/>
              <w:left w:val="nil"/>
              <w:bottom w:val="nil"/>
              <w:right w:val="nil"/>
            </w:tcBorders>
            <w:noWrap/>
            <w:vAlign w:val="center"/>
          </w:tcPr>
          <w:p>
            <w:pPr>
              <w:pageBreakBefore w:val="0"/>
              <w:widowControl/>
              <w:kinsoku/>
              <w:wordWrap/>
              <w:overflowPunct/>
              <w:topLinePunct w:val="0"/>
              <w:autoSpaceDE/>
              <w:autoSpaceDN/>
              <w:bidi w:val="0"/>
              <w:adjustRightInd/>
              <w:snapToGrid/>
              <w:spacing w:line="560" w:lineRule="atLeast"/>
              <w:jc w:val="center"/>
              <w:rPr>
                <w:rFonts w:ascii="方正仿宋_GBK" w:hAnsi="Tahoma" w:eastAsia="方正仿宋_GBK" w:cs="Tahoma"/>
                <w:color w:val="000000"/>
                <w:kern w:val="0"/>
                <w:sz w:val="28"/>
                <w:szCs w:val="28"/>
              </w:rPr>
            </w:pPr>
            <w:r>
              <w:rPr>
                <w:rFonts w:hint="eastAsia" w:ascii="方正仿宋_GBK" w:hAnsi="Tahoma" w:eastAsia="方正仿宋_GBK" w:cs="Tahoma"/>
                <w:color w:val="000000"/>
                <w:kern w:val="0"/>
                <w:sz w:val="28"/>
                <w:szCs w:val="28"/>
              </w:rPr>
              <w:t>项目产出成本指标得分情况</w:t>
            </w:r>
          </w:p>
        </w:tc>
      </w:tr>
      <w:tr>
        <w:tblPrEx>
          <w:tblCellMar>
            <w:top w:w="0" w:type="dxa"/>
            <w:left w:w="108" w:type="dxa"/>
            <w:bottom w:w="0" w:type="dxa"/>
            <w:right w:w="108" w:type="dxa"/>
          </w:tblCellMar>
        </w:tblPrEx>
        <w:trPr>
          <w:trHeight w:val="510" w:hRule="exact"/>
        </w:trPr>
        <w:tc>
          <w:tcPr>
            <w:tcW w:w="3794" w:type="dxa"/>
            <w:tcBorders>
              <w:top w:val="nil"/>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atLeast"/>
              <w:jc w:val="center"/>
              <w:rPr>
                <w:rFonts w:asciiTheme="minorEastAsia" w:hAnsiTheme="minorEastAsia" w:eastAsiaTheme="minorEastAsia" w:cstheme="minorEastAsia"/>
                <w:color w:val="000000"/>
                <w:kern w:val="0"/>
                <w:sz w:val="24"/>
              </w:rPr>
            </w:pPr>
          </w:p>
        </w:tc>
        <w:tc>
          <w:tcPr>
            <w:tcW w:w="1701"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atLeast"/>
              <w:jc w:val="center"/>
              <w:rPr>
                <w:rFonts w:asciiTheme="minorEastAsia" w:hAnsiTheme="minorEastAsia" w:eastAsiaTheme="minorEastAsia" w:cstheme="minorEastAsia"/>
                <w:color w:val="000000"/>
                <w:kern w:val="0"/>
                <w:sz w:val="24"/>
              </w:rPr>
            </w:pPr>
          </w:p>
        </w:tc>
        <w:tc>
          <w:tcPr>
            <w:tcW w:w="1416" w:type="dxa"/>
            <w:tcBorders>
              <w:top w:val="nil"/>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atLeast"/>
              <w:jc w:val="center"/>
              <w:rPr>
                <w:rFonts w:asciiTheme="minorEastAsia" w:hAnsiTheme="minorEastAsia" w:eastAsiaTheme="minorEastAsia" w:cstheme="minorEastAsia"/>
                <w:color w:val="000000"/>
                <w:kern w:val="0"/>
                <w:sz w:val="24"/>
              </w:rPr>
            </w:pPr>
          </w:p>
        </w:tc>
        <w:tc>
          <w:tcPr>
            <w:tcW w:w="1611"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atLeast"/>
              <w:jc w:val="center"/>
              <w:rPr>
                <w:rFonts w:asciiTheme="minorEastAsia" w:hAnsiTheme="minorEastAsia" w:eastAsiaTheme="minorEastAsia" w:cstheme="minorEastAsia"/>
                <w:color w:val="000000"/>
                <w:kern w:val="0"/>
                <w:sz w:val="24"/>
              </w:rPr>
            </w:pPr>
          </w:p>
        </w:tc>
      </w:tr>
      <w:tr>
        <w:tblPrEx>
          <w:tblCellMar>
            <w:top w:w="0" w:type="dxa"/>
            <w:left w:w="108" w:type="dxa"/>
            <w:bottom w:w="0" w:type="dxa"/>
            <w:right w:w="108" w:type="dxa"/>
          </w:tblCellMar>
        </w:tblPrEx>
        <w:trPr>
          <w:trHeight w:val="510" w:hRule="exact"/>
          <w:tblHeader/>
        </w:trPr>
        <w:tc>
          <w:tcPr>
            <w:tcW w:w="3794" w:type="dxa"/>
            <w:tcBorders>
              <w:top w:val="single" w:color="auto" w:sz="8" w:space="0"/>
              <w:left w:val="single" w:color="auto" w:sz="8" w:space="0"/>
              <w:bottom w:val="nil"/>
              <w:right w:val="single" w:color="auto" w:sz="8" w:space="0"/>
            </w:tcBorders>
            <w:shd w:val="clear" w:color="000000" w:fill="A6A6A6"/>
            <w:vAlign w:val="center"/>
          </w:tcPr>
          <w:p>
            <w:pPr>
              <w:pageBreakBefore w:val="0"/>
              <w:widowControl/>
              <w:kinsoku/>
              <w:wordWrap/>
              <w:overflowPunct/>
              <w:topLinePunct w:val="0"/>
              <w:autoSpaceDE/>
              <w:autoSpaceDN/>
              <w:bidi w:val="0"/>
              <w:adjustRightInd/>
              <w:snapToGrid/>
              <w:spacing w:line="560" w:lineRule="atLeast"/>
              <w:jc w:val="center"/>
              <w:rPr>
                <w:rFonts w:ascii="方正仿宋_GBK" w:hAnsi="Tahoma" w:eastAsia="方正仿宋_GBK" w:cs="Tahoma"/>
                <w:b/>
                <w:bCs/>
                <w:color w:val="000000"/>
                <w:kern w:val="0"/>
                <w:sz w:val="22"/>
                <w:szCs w:val="22"/>
              </w:rPr>
            </w:pPr>
            <w:r>
              <w:rPr>
                <w:rFonts w:hint="eastAsia" w:ascii="方正仿宋_GBK" w:hAnsi="Tahoma" w:eastAsia="方正仿宋_GBK" w:cs="Tahoma"/>
                <w:b/>
                <w:bCs/>
                <w:color w:val="000000"/>
                <w:kern w:val="0"/>
                <w:sz w:val="22"/>
                <w:szCs w:val="22"/>
              </w:rPr>
              <w:t>三级明细指标</w:t>
            </w:r>
          </w:p>
        </w:tc>
        <w:tc>
          <w:tcPr>
            <w:tcW w:w="1701" w:type="dxa"/>
            <w:tcBorders>
              <w:top w:val="single" w:color="auto" w:sz="8" w:space="0"/>
              <w:left w:val="nil"/>
              <w:bottom w:val="nil"/>
              <w:right w:val="single" w:color="auto" w:sz="8" w:space="0"/>
            </w:tcBorders>
            <w:shd w:val="clear" w:color="000000" w:fill="A6A6A6"/>
            <w:vAlign w:val="center"/>
          </w:tcPr>
          <w:p>
            <w:pPr>
              <w:pageBreakBefore w:val="0"/>
              <w:widowControl/>
              <w:kinsoku/>
              <w:wordWrap/>
              <w:overflowPunct/>
              <w:topLinePunct w:val="0"/>
              <w:autoSpaceDE/>
              <w:autoSpaceDN/>
              <w:bidi w:val="0"/>
              <w:adjustRightInd/>
              <w:snapToGrid/>
              <w:spacing w:line="560" w:lineRule="atLeast"/>
              <w:jc w:val="center"/>
              <w:rPr>
                <w:rFonts w:ascii="方正仿宋_GBK" w:hAnsi="Tahoma" w:eastAsia="方正仿宋_GBK" w:cs="Tahoma"/>
                <w:b/>
                <w:bCs/>
                <w:color w:val="000000"/>
                <w:kern w:val="0"/>
                <w:sz w:val="22"/>
                <w:szCs w:val="22"/>
              </w:rPr>
            </w:pPr>
            <w:r>
              <w:rPr>
                <w:rFonts w:hint="eastAsia" w:ascii="方正仿宋_GBK" w:hAnsi="Tahoma" w:eastAsia="方正仿宋_GBK" w:cs="Tahoma"/>
                <w:b/>
                <w:bCs/>
                <w:color w:val="000000"/>
                <w:kern w:val="0"/>
                <w:sz w:val="22"/>
                <w:szCs w:val="22"/>
              </w:rPr>
              <w:t>权重</w:t>
            </w:r>
          </w:p>
        </w:tc>
        <w:tc>
          <w:tcPr>
            <w:tcW w:w="1416" w:type="dxa"/>
            <w:tcBorders>
              <w:top w:val="single" w:color="auto" w:sz="8" w:space="0"/>
              <w:left w:val="nil"/>
              <w:bottom w:val="nil"/>
              <w:right w:val="single" w:color="auto" w:sz="8" w:space="0"/>
            </w:tcBorders>
            <w:shd w:val="clear" w:color="000000" w:fill="A6A6A6"/>
            <w:vAlign w:val="center"/>
          </w:tcPr>
          <w:p>
            <w:pPr>
              <w:pageBreakBefore w:val="0"/>
              <w:widowControl/>
              <w:kinsoku/>
              <w:wordWrap/>
              <w:overflowPunct/>
              <w:topLinePunct w:val="0"/>
              <w:autoSpaceDE/>
              <w:autoSpaceDN/>
              <w:bidi w:val="0"/>
              <w:adjustRightInd/>
              <w:snapToGrid/>
              <w:spacing w:line="560" w:lineRule="atLeast"/>
              <w:jc w:val="center"/>
              <w:rPr>
                <w:rFonts w:ascii="方正仿宋_GBK" w:hAnsi="Tahoma" w:eastAsia="方正仿宋_GBK" w:cs="Tahoma"/>
                <w:b/>
                <w:bCs/>
                <w:color w:val="000000"/>
                <w:kern w:val="0"/>
                <w:sz w:val="22"/>
                <w:szCs w:val="22"/>
              </w:rPr>
            </w:pPr>
            <w:r>
              <w:rPr>
                <w:rFonts w:hint="eastAsia" w:ascii="方正仿宋_GBK" w:hAnsi="Tahoma" w:eastAsia="方正仿宋_GBK" w:cs="Tahoma"/>
                <w:b/>
                <w:bCs/>
                <w:color w:val="000000"/>
                <w:kern w:val="0"/>
                <w:sz w:val="22"/>
                <w:szCs w:val="22"/>
              </w:rPr>
              <w:t>得分率</w:t>
            </w:r>
          </w:p>
        </w:tc>
        <w:tc>
          <w:tcPr>
            <w:tcW w:w="1611" w:type="dxa"/>
            <w:tcBorders>
              <w:top w:val="single" w:color="auto" w:sz="8" w:space="0"/>
              <w:left w:val="nil"/>
              <w:bottom w:val="nil"/>
              <w:right w:val="single" w:color="auto" w:sz="8" w:space="0"/>
            </w:tcBorders>
            <w:shd w:val="clear" w:color="000000" w:fill="A6A6A6"/>
            <w:vAlign w:val="center"/>
          </w:tcPr>
          <w:p>
            <w:pPr>
              <w:pageBreakBefore w:val="0"/>
              <w:widowControl/>
              <w:kinsoku/>
              <w:wordWrap/>
              <w:overflowPunct/>
              <w:topLinePunct w:val="0"/>
              <w:autoSpaceDE/>
              <w:autoSpaceDN/>
              <w:bidi w:val="0"/>
              <w:adjustRightInd/>
              <w:snapToGrid/>
              <w:spacing w:line="560" w:lineRule="atLeast"/>
              <w:jc w:val="center"/>
              <w:rPr>
                <w:rFonts w:ascii="方正仿宋_GBK" w:hAnsi="Tahoma" w:eastAsia="方正仿宋_GBK" w:cs="Tahoma"/>
                <w:b/>
                <w:bCs/>
                <w:color w:val="000000"/>
                <w:kern w:val="0"/>
                <w:sz w:val="22"/>
                <w:szCs w:val="22"/>
              </w:rPr>
            </w:pPr>
            <w:r>
              <w:rPr>
                <w:rFonts w:hint="eastAsia" w:ascii="方正仿宋_GBK" w:hAnsi="Tahoma" w:eastAsia="方正仿宋_GBK" w:cs="Tahoma"/>
                <w:b/>
                <w:bCs/>
                <w:color w:val="000000"/>
                <w:kern w:val="0"/>
                <w:sz w:val="22"/>
                <w:szCs w:val="22"/>
              </w:rPr>
              <w:t>实际得分</w:t>
            </w:r>
          </w:p>
        </w:tc>
      </w:tr>
      <w:tr>
        <w:tblPrEx>
          <w:tblCellMar>
            <w:top w:w="0" w:type="dxa"/>
            <w:left w:w="108" w:type="dxa"/>
            <w:bottom w:w="0" w:type="dxa"/>
            <w:right w:w="108" w:type="dxa"/>
          </w:tblCellMar>
        </w:tblPrEx>
        <w:trPr>
          <w:trHeight w:val="510" w:hRule="exact"/>
        </w:trPr>
        <w:tc>
          <w:tcPr>
            <w:tcW w:w="3794"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atLeast"/>
              <w:jc w:val="left"/>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用于办公经费支出</w:t>
            </w:r>
          </w:p>
        </w:tc>
        <w:tc>
          <w:tcPr>
            <w:tcW w:w="1701" w:type="dxa"/>
            <w:tcBorders>
              <w:top w:val="single" w:color="auto" w:sz="4" w:space="0"/>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atLeast"/>
              <w:jc w:val="center"/>
              <w:rPr>
                <w:rFonts w:hint="default" w:asciiTheme="minorEastAsia" w:hAnsiTheme="minorEastAsia" w:eastAsiaTheme="minorEastAsia" w:cstheme="minorEastAsia"/>
                <w:color w:val="000000"/>
                <w:kern w:val="0"/>
                <w:sz w:val="24"/>
                <w:lang w:val="en-US" w:eastAsia="zh-CN"/>
              </w:rPr>
            </w:pPr>
            <w:r>
              <w:rPr>
                <w:rFonts w:hint="eastAsia" w:asciiTheme="minorEastAsia" w:hAnsiTheme="minorEastAsia" w:eastAsiaTheme="minorEastAsia" w:cstheme="minorEastAsia"/>
                <w:color w:val="000000"/>
                <w:kern w:val="0"/>
                <w:sz w:val="24"/>
                <w:lang w:val="en-US" w:eastAsia="zh-CN"/>
              </w:rPr>
              <w:t>7.14</w:t>
            </w:r>
          </w:p>
        </w:tc>
        <w:tc>
          <w:tcPr>
            <w:tcW w:w="1416" w:type="dxa"/>
            <w:tcBorders>
              <w:top w:val="single" w:color="auto" w:sz="4" w:space="0"/>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atLeast"/>
              <w:jc w:val="center"/>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lang w:val="en-US" w:eastAsia="zh-CN"/>
              </w:rPr>
              <w:t>0</w:t>
            </w:r>
            <w:r>
              <w:rPr>
                <w:rFonts w:hint="eastAsia" w:asciiTheme="minorEastAsia" w:hAnsiTheme="minorEastAsia" w:eastAsiaTheme="minorEastAsia" w:cstheme="minorEastAsia"/>
                <w:color w:val="000000"/>
                <w:kern w:val="0"/>
                <w:sz w:val="24"/>
              </w:rPr>
              <w:t>%</w:t>
            </w:r>
          </w:p>
        </w:tc>
        <w:tc>
          <w:tcPr>
            <w:tcW w:w="1611" w:type="dxa"/>
            <w:tcBorders>
              <w:top w:val="single" w:color="auto" w:sz="4" w:space="0"/>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atLeast"/>
              <w:jc w:val="center"/>
              <w:rPr>
                <w:rFonts w:hint="eastAsia" w:asciiTheme="minorEastAsia" w:hAnsiTheme="minorEastAsia" w:eastAsiaTheme="minorEastAsia" w:cstheme="minorEastAsia"/>
                <w:color w:val="000000"/>
                <w:kern w:val="0"/>
                <w:sz w:val="24"/>
                <w:lang w:eastAsia="zh-CN"/>
              </w:rPr>
            </w:pPr>
            <w:r>
              <w:rPr>
                <w:rFonts w:hint="eastAsia" w:asciiTheme="minorEastAsia" w:hAnsiTheme="minorEastAsia" w:eastAsiaTheme="minorEastAsia" w:cstheme="minorEastAsia"/>
                <w:color w:val="000000"/>
                <w:kern w:val="0"/>
                <w:sz w:val="24"/>
                <w:lang w:val="en-US" w:eastAsia="zh-CN"/>
              </w:rPr>
              <w:t>0</w:t>
            </w:r>
          </w:p>
        </w:tc>
      </w:tr>
      <w:tr>
        <w:tblPrEx>
          <w:tblCellMar>
            <w:top w:w="0" w:type="dxa"/>
            <w:left w:w="108" w:type="dxa"/>
            <w:bottom w:w="0" w:type="dxa"/>
            <w:right w:w="108" w:type="dxa"/>
          </w:tblCellMar>
        </w:tblPrEx>
        <w:trPr>
          <w:trHeight w:val="510" w:hRule="exact"/>
        </w:trPr>
        <w:tc>
          <w:tcPr>
            <w:tcW w:w="3794"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atLeast"/>
              <w:jc w:val="left"/>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用于培训费支出</w:t>
            </w:r>
          </w:p>
        </w:tc>
        <w:tc>
          <w:tcPr>
            <w:tcW w:w="1701" w:type="dxa"/>
            <w:tcBorders>
              <w:top w:val="single" w:color="auto" w:sz="4" w:space="0"/>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atLeast"/>
              <w:jc w:val="center"/>
              <w:rPr>
                <w:rFonts w:hint="default" w:asciiTheme="minorEastAsia" w:hAnsiTheme="minorEastAsia" w:eastAsiaTheme="minorEastAsia" w:cstheme="minorEastAsia"/>
                <w:color w:val="000000"/>
                <w:kern w:val="0"/>
                <w:sz w:val="24"/>
                <w:lang w:val="en-US" w:eastAsia="zh-CN"/>
              </w:rPr>
            </w:pPr>
            <w:r>
              <w:rPr>
                <w:rFonts w:hint="eastAsia" w:asciiTheme="minorEastAsia" w:hAnsiTheme="minorEastAsia" w:eastAsiaTheme="minorEastAsia" w:cstheme="minorEastAsia"/>
                <w:color w:val="000000"/>
                <w:kern w:val="0"/>
                <w:sz w:val="24"/>
                <w:lang w:val="en-US" w:eastAsia="zh-CN"/>
              </w:rPr>
              <w:t>7.14</w:t>
            </w:r>
          </w:p>
        </w:tc>
        <w:tc>
          <w:tcPr>
            <w:tcW w:w="1416" w:type="dxa"/>
            <w:tcBorders>
              <w:top w:val="single" w:color="auto" w:sz="4" w:space="0"/>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atLeast"/>
              <w:jc w:val="center"/>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lang w:val="en-US" w:eastAsia="zh-CN"/>
              </w:rPr>
              <w:t>97.98</w:t>
            </w:r>
            <w:r>
              <w:rPr>
                <w:rFonts w:hint="eastAsia" w:asciiTheme="minorEastAsia" w:hAnsiTheme="minorEastAsia" w:eastAsiaTheme="minorEastAsia" w:cstheme="minorEastAsia"/>
                <w:color w:val="000000"/>
                <w:kern w:val="0"/>
                <w:sz w:val="24"/>
              </w:rPr>
              <w:t>%</w:t>
            </w:r>
          </w:p>
        </w:tc>
        <w:tc>
          <w:tcPr>
            <w:tcW w:w="1611" w:type="dxa"/>
            <w:tcBorders>
              <w:top w:val="single" w:color="auto" w:sz="4" w:space="0"/>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atLeast"/>
              <w:jc w:val="center"/>
              <w:rPr>
                <w:rFonts w:hint="default" w:asciiTheme="minorEastAsia" w:hAnsiTheme="minorEastAsia" w:eastAsiaTheme="minorEastAsia" w:cstheme="minorEastAsia"/>
                <w:color w:val="000000"/>
                <w:kern w:val="0"/>
                <w:sz w:val="24"/>
                <w:lang w:val="en-US" w:eastAsia="zh-CN"/>
              </w:rPr>
            </w:pPr>
            <w:r>
              <w:rPr>
                <w:rFonts w:hint="eastAsia" w:asciiTheme="minorEastAsia" w:hAnsiTheme="minorEastAsia" w:eastAsiaTheme="minorEastAsia" w:cstheme="minorEastAsia"/>
                <w:color w:val="000000"/>
                <w:kern w:val="0"/>
                <w:sz w:val="24"/>
                <w:lang w:val="en-US" w:eastAsia="zh-CN"/>
              </w:rPr>
              <w:t>6.99</w:t>
            </w:r>
          </w:p>
        </w:tc>
      </w:tr>
      <w:tr>
        <w:tblPrEx>
          <w:tblCellMar>
            <w:top w:w="0" w:type="dxa"/>
            <w:left w:w="108" w:type="dxa"/>
            <w:bottom w:w="0" w:type="dxa"/>
            <w:right w:w="108" w:type="dxa"/>
          </w:tblCellMar>
        </w:tblPrEx>
        <w:trPr>
          <w:trHeight w:val="510" w:hRule="exact"/>
        </w:trPr>
        <w:tc>
          <w:tcPr>
            <w:tcW w:w="3794" w:type="dxa"/>
            <w:tcBorders>
              <w:top w:val="nil"/>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atLeast"/>
              <w:jc w:val="left"/>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用于公务车运行维护费用</w:t>
            </w:r>
          </w:p>
        </w:tc>
        <w:tc>
          <w:tcPr>
            <w:tcW w:w="1701"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atLeast"/>
              <w:jc w:val="center"/>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lang w:val="en-US" w:eastAsia="zh-CN"/>
              </w:rPr>
              <w:t>7.14</w:t>
            </w:r>
          </w:p>
        </w:tc>
        <w:tc>
          <w:tcPr>
            <w:tcW w:w="1416" w:type="dxa"/>
            <w:tcBorders>
              <w:top w:val="nil"/>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atLeast"/>
              <w:jc w:val="center"/>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lang w:val="en-US" w:eastAsia="zh-CN"/>
              </w:rPr>
              <w:t>63.02</w:t>
            </w:r>
            <w:r>
              <w:rPr>
                <w:rFonts w:hint="eastAsia" w:asciiTheme="minorEastAsia" w:hAnsiTheme="minorEastAsia" w:eastAsiaTheme="minorEastAsia" w:cstheme="minorEastAsia"/>
                <w:color w:val="000000"/>
                <w:kern w:val="0"/>
                <w:sz w:val="24"/>
              </w:rPr>
              <w:t>%</w:t>
            </w:r>
          </w:p>
        </w:tc>
        <w:tc>
          <w:tcPr>
            <w:tcW w:w="1611"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atLeast"/>
              <w:jc w:val="center"/>
              <w:rPr>
                <w:rFonts w:hint="default" w:asciiTheme="minorEastAsia" w:hAnsiTheme="minorEastAsia" w:eastAsiaTheme="minorEastAsia" w:cstheme="minorEastAsia"/>
                <w:color w:val="000000"/>
                <w:kern w:val="0"/>
                <w:sz w:val="24"/>
                <w:lang w:val="en-US" w:eastAsia="zh-CN"/>
              </w:rPr>
            </w:pPr>
            <w:r>
              <w:rPr>
                <w:rFonts w:hint="eastAsia" w:asciiTheme="minorEastAsia" w:hAnsiTheme="minorEastAsia" w:eastAsiaTheme="minorEastAsia" w:cstheme="minorEastAsia"/>
                <w:color w:val="000000"/>
                <w:kern w:val="0"/>
                <w:sz w:val="24"/>
                <w:lang w:val="en-US" w:eastAsia="zh-CN"/>
              </w:rPr>
              <w:t>4.5</w:t>
            </w:r>
          </w:p>
        </w:tc>
      </w:tr>
      <w:tr>
        <w:tblPrEx>
          <w:tblCellMar>
            <w:top w:w="0" w:type="dxa"/>
            <w:left w:w="108" w:type="dxa"/>
            <w:bottom w:w="0" w:type="dxa"/>
            <w:right w:w="108" w:type="dxa"/>
          </w:tblCellMar>
        </w:tblPrEx>
        <w:trPr>
          <w:trHeight w:val="510" w:hRule="exact"/>
        </w:trPr>
        <w:tc>
          <w:tcPr>
            <w:tcW w:w="3794" w:type="dxa"/>
            <w:tcBorders>
              <w:top w:val="nil"/>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atLeast"/>
              <w:jc w:val="left"/>
              <w:rPr>
                <w:rFonts w:asciiTheme="minorEastAsia" w:hAnsiTheme="minorEastAsia" w:eastAsiaTheme="minorEastAsia" w:cstheme="minorEastAsia"/>
                <w:color w:val="000000"/>
                <w:kern w:val="0"/>
                <w:sz w:val="24"/>
              </w:rPr>
            </w:pPr>
            <w:r>
              <w:rPr>
                <w:rFonts w:hint="eastAsia"/>
              </w:rPr>
              <w:t>用于办公设备购置支出</w:t>
            </w:r>
          </w:p>
        </w:tc>
        <w:tc>
          <w:tcPr>
            <w:tcW w:w="1701"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atLeast"/>
              <w:jc w:val="center"/>
              <w:rPr>
                <w:rFonts w:hint="default" w:asciiTheme="minorEastAsia" w:hAnsiTheme="minorEastAsia" w:eastAsiaTheme="minorEastAsia" w:cstheme="minorEastAsia"/>
                <w:color w:val="000000"/>
                <w:kern w:val="0"/>
                <w:sz w:val="24"/>
                <w:lang w:val="en-US" w:eastAsia="zh-CN"/>
              </w:rPr>
            </w:pPr>
            <w:r>
              <w:rPr>
                <w:rFonts w:hint="eastAsia" w:asciiTheme="minorEastAsia" w:hAnsiTheme="minorEastAsia" w:eastAsiaTheme="minorEastAsia" w:cstheme="minorEastAsia"/>
                <w:color w:val="000000"/>
                <w:kern w:val="0"/>
                <w:sz w:val="24"/>
                <w:lang w:val="en-US" w:eastAsia="zh-CN"/>
              </w:rPr>
              <w:t>7.16</w:t>
            </w:r>
          </w:p>
        </w:tc>
        <w:tc>
          <w:tcPr>
            <w:tcW w:w="1416" w:type="dxa"/>
            <w:tcBorders>
              <w:top w:val="nil"/>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atLeast"/>
              <w:jc w:val="center"/>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lang w:val="en-US" w:eastAsia="zh-CN"/>
              </w:rPr>
              <w:t>0</w:t>
            </w:r>
            <w:r>
              <w:rPr>
                <w:rFonts w:hint="eastAsia" w:asciiTheme="minorEastAsia" w:hAnsiTheme="minorEastAsia" w:eastAsiaTheme="minorEastAsia" w:cstheme="minorEastAsia"/>
                <w:color w:val="000000"/>
                <w:kern w:val="0"/>
                <w:sz w:val="24"/>
              </w:rPr>
              <w:t>%</w:t>
            </w:r>
          </w:p>
        </w:tc>
        <w:tc>
          <w:tcPr>
            <w:tcW w:w="1611"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atLeast"/>
              <w:jc w:val="center"/>
              <w:rPr>
                <w:rFonts w:hint="eastAsia" w:asciiTheme="minorEastAsia" w:hAnsiTheme="minorEastAsia" w:eastAsiaTheme="minorEastAsia" w:cstheme="minorEastAsia"/>
                <w:color w:val="000000"/>
                <w:kern w:val="0"/>
                <w:sz w:val="24"/>
                <w:lang w:eastAsia="zh-CN"/>
              </w:rPr>
            </w:pPr>
            <w:r>
              <w:rPr>
                <w:rFonts w:hint="eastAsia" w:asciiTheme="minorEastAsia" w:hAnsiTheme="minorEastAsia" w:eastAsiaTheme="minorEastAsia" w:cstheme="minorEastAsia"/>
                <w:color w:val="000000"/>
                <w:kern w:val="0"/>
                <w:sz w:val="24"/>
                <w:lang w:val="en-US" w:eastAsia="zh-CN"/>
              </w:rPr>
              <w:t>0</w:t>
            </w:r>
          </w:p>
        </w:tc>
      </w:tr>
      <w:tr>
        <w:tblPrEx>
          <w:tblCellMar>
            <w:top w:w="0" w:type="dxa"/>
            <w:left w:w="108" w:type="dxa"/>
            <w:bottom w:w="0" w:type="dxa"/>
            <w:right w:w="108" w:type="dxa"/>
          </w:tblCellMar>
        </w:tblPrEx>
        <w:trPr>
          <w:trHeight w:val="510" w:hRule="exact"/>
        </w:trPr>
        <w:tc>
          <w:tcPr>
            <w:tcW w:w="3794" w:type="dxa"/>
            <w:tcBorders>
              <w:top w:val="nil"/>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atLeast"/>
              <w:jc w:val="center"/>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合  计</w:t>
            </w:r>
          </w:p>
        </w:tc>
        <w:tc>
          <w:tcPr>
            <w:tcW w:w="1701"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atLeast"/>
              <w:jc w:val="center"/>
              <w:rPr>
                <w:rFonts w:hint="default" w:asciiTheme="minorEastAsia" w:hAnsiTheme="minorEastAsia" w:eastAsiaTheme="minorEastAsia" w:cstheme="minorEastAsia"/>
                <w:color w:val="000000"/>
                <w:kern w:val="0"/>
                <w:sz w:val="24"/>
                <w:lang w:val="en-US" w:eastAsia="zh-CN"/>
              </w:rPr>
            </w:pPr>
            <w:r>
              <w:rPr>
                <w:rFonts w:hint="eastAsia" w:asciiTheme="minorEastAsia" w:hAnsiTheme="minorEastAsia" w:eastAsiaTheme="minorEastAsia" w:cstheme="minorEastAsia"/>
                <w:color w:val="000000"/>
                <w:kern w:val="0"/>
                <w:sz w:val="24"/>
                <w:lang w:val="en-US" w:eastAsia="zh-CN"/>
              </w:rPr>
              <w:t>28.58</w:t>
            </w:r>
          </w:p>
        </w:tc>
        <w:tc>
          <w:tcPr>
            <w:tcW w:w="1416" w:type="dxa"/>
            <w:tcBorders>
              <w:top w:val="nil"/>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atLeast"/>
              <w:jc w:val="center"/>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lang w:val="en-US" w:eastAsia="zh-CN"/>
              </w:rPr>
              <w:t>40.20</w:t>
            </w:r>
            <w:r>
              <w:rPr>
                <w:rFonts w:hint="eastAsia" w:asciiTheme="minorEastAsia" w:hAnsiTheme="minorEastAsia" w:eastAsiaTheme="minorEastAsia" w:cstheme="minorEastAsia"/>
                <w:color w:val="000000"/>
                <w:kern w:val="0"/>
                <w:sz w:val="24"/>
              </w:rPr>
              <w:t>%</w:t>
            </w:r>
          </w:p>
        </w:tc>
        <w:tc>
          <w:tcPr>
            <w:tcW w:w="1611"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atLeast"/>
              <w:jc w:val="center"/>
              <w:rPr>
                <w:rFonts w:hint="default" w:asciiTheme="minorEastAsia" w:hAnsiTheme="minorEastAsia" w:eastAsiaTheme="minorEastAsia" w:cstheme="minorEastAsia"/>
                <w:color w:val="000000"/>
                <w:kern w:val="0"/>
                <w:sz w:val="24"/>
                <w:lang w:val="en-US" w:eastAsia="zh-CN"/>
              </w:rPr>
            </w:pPr>
            <w:r>
              <w:rPr>
                <w:rFonts w:hint="eastAsia" w:asciiTheme="minorEastAsia" w:hAnsiTheme="minorEastAsia" w:eastAsiaTheme="minorEastAsia" w:cstheme="minorEastAsia"/>
                <w:color w:val="000000"/>
                <w:kern w:val="0"/>
                <w:sz w:val="24"/>
                <w:lang w:val="en-US" w:eastAsia="zh-CN"/>
              </w:rPr>
              <w:t>11.49</w:t>
            </w:r>
          </w:p>
        </w:tc>
      </w:tr>
    </w:tbl>
    <w:p>
      <w:pPr>
        <w:pageBreakBefore w:val="0"/>
        <w:kinsoku/>
        <w:wordWrap/>
        <w:overflowPunct/>
        <w:topLinePunct w:val="0"/>
        <w:autoSpaceDE/>
        <w:autoSpaceDN/>
        <w:bidi w:val="0"/>
        <w:adjustRightInd/>
        <w:snapToGrid/>
        <w:spacing w:line="560" w:lineRule="atLeast"/>
        <w:ind w:firstLine="643" w:firstLineChars="200"/>
        <w:contextualSpacing/>
      </w:pPr>
      <w:r>
        <w:rPr>
          <w:rFonts w:hint="eastAsia" w:ascii="仿宋_GB2312" w:hAnsi="仿宋_GB2312" w:eastAsia="仿宋_GB2312" w:cs="仿宋_GB2312"/>
          <w:b/>
          <w:bCs/>
          <w:sz w:val="32"/>
          <w:szCs w:val="32"/>
        </w:rPr>
        <w:t>（四）项目效益情况</w:t>
      </w:r>
      <w:r>
        <w:rPr>
          <w:rFonts w:hint="eastAsia" w:ascii="仿宋_GB2312" w:hAnsi="仿宋_GB2312" w:eastAsia="仿宋_GB2312" w:cs="仿宋_GB2312"/>
          <w:sz w:val="32"/>
          <w:szCs w:val="32"/>
        </w:rPr>
        <w:t>。</w:t>
      </w:r>
    </w:p>
    <w:p>
      <w:pPr>
        <w:pageBreakBefore w:val="0"/>
        <w:kinsoku/>
        <w:wordWrap/>
        <w:overflowPunct/>
        <w:topLinePunct w:val="0"/>
        <w:autoSpaceDE/>
        <w:autoSpaceDN/>
        <w:bidi w:val="0"/>
        <w:adjustRightInd/>
        <w:snapToGrid/>
        <w:spacing w:line="560" w:lineRule="atLeast"/>
        <w:ind w:firstLine="640" w:firstLineChars="200"/>
        <w:rPr>
          <w:rFonts w:ascii="仿宋_GB2312" w:hAnsi="仿宋_GB2312" w:eastAsia="仿宋_GB2312" w:cs="仿宋_GB2312"/>
          <w:color w:val="333333"/>
          <w:sz w:val="32"/>
          <w:szCs w:val="32"/>
          <w:shd w:val="clear" w:color="auto" w:fill="FFFFFF"/>
        </w:rPr>
      </w:pPr>
      <w:r>
        <w:rPr>
          <w:rFonts w:hint="eastAsia" w:ascii="仿宋_GB2312" w:hAnsi="仿宋_GB2312" w:eastAsia="仿宋_GB2312" w:cs="仿宋_GB2312"/>
          <w:color w:val="333333"/>
          <w:sz w:val="32"/>
          <w:szCs w:val="32"/>
          <w:shd w:val="clear" w:color="auto" w:fill="FFFFFF"/>
        </w:rPr>
        <w:t>项目绩效主要从项目的经济效益、社会效益、服务对象满意度3个方面对项目的绩效情况进行评价。项目绩效类指标分值</w:t>
      </w:r>
      <w:r>
        <w:rPr>
          <w:rFonts w:hint="eastAsia" w:ascii="仿宋_GB2312" w:hAnsi="仿宋_GB2312" w:eastAsia="仿宋_GB2312" w:cs="仿宋_GB2312"/>
          <w:color w:val="333333"/>
          <w:sz w:val="32"/>
          <w:szCs w:val="32"/>
          <w:shd w:val="clear" w:color="auto" w:fill="FFFFFF"/>
          <w:lang w:val="en-US" w:eastAsia="zh-CN"/>
        </w:rPr>
        <w:t>30</w:t>
      </w:r>
      <w:r>
        <w:rPr>
          <w:rFonts w:hint="eastAsia" w:ascii="仿宋_GB2312" w:hAnsi="仿宋_GB2312" w:eastAsia="仿宋_GB2312" w:cs="仿宋_GB2312"/>
          <w:color w:val="333333"/>
          <w:sz w:val="32"/>
          <w:szCs w:val="32"/>
          <w:shd w:val="clear" w:color="auto" w:fill="FFFFFF"/>
        </w:rPr>
        <w:t>分，实际得分</w:t>
      </w:r>
      <w:r>
        <w:rPr>
          <w:rFonts w:hint="eastAsia" w:ascii="仿宋_GB2312" w:hAnsi="仿宋_GB2312" w:eastAsia="仿宋_GB2312" w:cs="仿宋_GB2312"/>
          <w:color w:val="333333"/>
          <w:sz w:val="32"/>
          <w:szCs w:val="32"/>
          <w:shd w:val="clear" w:color="auto" w:fill="FFFFFF"/>
          <w:lang w:val="en-US" w:eastAsia="zh-CN"/>
        </w:rPr>
        <w:t>30</w:t>
      </w:r>
      <w:r>
        <w:rPr>
          <w:rFonts w:hint="eastAsia" w:ascii="仿宋_GB2312" w:hAnsi="仿宋_GB2312" w:eastAsia="仿宋_GB2312" w:cs="仿宋_GB2312"/>
          <w:color w:val="333333"/>
          <w:sz w:val="32"/>
          <w:szCs w:val="32"/>
          <w:shd w:val="clear" w:color="auto" w:fill="FFFFFF"/>
        </w:rPr>
        <w:t>分，得分率为</w:t>
      </w:r>
      <w:r>
        <w:rPr>
          <w:rFonts w:hint="eastAsia" w:ascii="仿宋_GB2312" w:hAnsi="仿宋_GB2312" w:eastAsia="仿宋_GB2312" w:cs="仿宋_GB2312"/>
          <w:color w:val="333333"/>
          <w:sz w:val="32"/>
          <w:szCs w:val="32"/>
          <w:shd w:val="clear" w:color="auto" w:fill="FFFFFF"/>
          <w:lang w:val="en-US" w:eastAsia="zh-CN"/>
        </w:rPr>
        <w:t>100</w:t>
      </w:r>
      <w:r>
        <w:rPr>
          <w:rFonts w:hint="eastAsia" w:ascii="仿宋_GB2312" w:hAnsi="仿宋_GB2312" w:eastAsia="仿宋_GB2312" w:cs="仿宋_GB2312"/>
          <w:color w:val="333333"/>
          <w:sz w:val="32"/>
          <w:szCs w:val="32"/>
          <w:shd w:val="clear" w:color="auto" w:fill="FFFFFF"/>
        </w:rPr>
        <w:t>%。项目绩效指标得分情况如表所示：</w:t>
      </w:r>
    </w:p>
    <w:tbl>
      <w:tblPr>
        <w:tblStyle w:val="9"/>
        <w:tblW w:w="8324" w:type="dxa"/>
        <w:tblInd w:w="0" w:type="dxa"/>
        <w:tblLayout w:type="fixed"/>
        <w:tblCellMar>
          <w:top w:w="0" w:type="dxa"/>
          <w:left w:w="0" w:type="dxa"/>
          <w:bottom w:w="0" w:type="dxa"/>
          <w:right w:w="0" w:type="dxa"/>
        </w:tblCellMar>
      </w:tblPr>
      <w:tblGrid>
        <w:gridCol w:w="1889"/>
        <w:gridCol w:w="2172"/>
        <w:gridCol w:w="1440"/>
        <w:gridCol w:w="1524"/>
        <w:gridCol w:w="1299"/>
      </w:tblGrid>
      <w:tr>
        <w:tblPrEx>
          <w:tblCellMar>
            <w:top w:w="0" w:type="dxa"/>
            <w:left w:w="0" w:type="dxa"/>
            <w:bottom w:w="0" w:type="dxa"/>
            <w:right w:w="0" w:type="dxa"/>
          </w:tblCellMar>
        </w:tblPrEx>
        <w:trPr>
          <w:trHeight w:val="520" w:hRule="atLeast"/>
        </w:trPr>
        <w:tc>
          <w:tcPr>
            <w:tcW w:w="4061" w:type="dxa"/>
            <w:gridSpan w:val="2"/>
            <w:tcBorders>
              <w:top w:val="single" w:color="000000" w:sz="4" w:space="0"/>
              <w:left w:val="single" w:color="000000" w:sz="4" w:space="0"/>
              <w:bottom w:val="single" w:color="000000" w:sz="4" w:space="0"/>
              <w:right w:val="single" w:color="000000" w:sz="4" w:space="0"/>
            </w:tcBorders>
            <w:shd w:val="clear" w:color="auto" w:fill="7E7E7E" w:themeFill="background1" w:themeFillShade="7F"/>
            <w:noWrap/>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jc w:val="center"/>
              <w:rPr>
                <w:rFonts w:ascii="方正仿宋_GBK" w:hAnsi="Tahoma" w:eastAsia="方正仿宋_GBK" w:cs="Tahoma"/>
                <w:b/>
                <w:bCs/>
                <w:color w:val="000000"/>
                <w:kern w:val="0"/>
                <w:sz w:val="22"/>
                <w:szCs w:val="22"/>
                <w:highlight w:val="darkGray"/>
              </w:rPr>
            </w:pPr>
            <w:r>
              <w:rPr>
                <w:rFonts w:hint="eastAsia" w:ascii="方正仿宋_GBK" w:hAnsi="Tahoma" w:eastAsia="方正仿宋_GBK" w:cs="Tahoma"/>
                <w:b/>
                <w:bCs/>
                <w:color w:val="000000"/>
                <w:kern w:val="0"/>
                <w:sz w:val="22"/>
                <w:szCs w:val="22"/>
                <w:highlight w:val="darkGray"/>
              </w:rPr>
              <w:t>三级明细指标</w:t>
            </w:r>
          </w:p>
        </w:tc>
        <w:tc>
          <w:tcPr>
            <w:tcW w:w="1440" w:type="dxa"/>
            <w:tcBorders>
              <w:top w:val="single" w:color="000000" w:sz="4" w:space="0"/>
              <w:left w:val="single" w:color="000000" w:sz="4" w:space="0"/>
              <w:bottom w:val="single" w:color="000000" w:sz="4" w:space="0"/>
              <w:right w:val="single" w:color="000000" w:sz="4" w:space="0"/>
            </w:tcBorders>
            <w:shd w:val="clear" w:color="auto" w:fill="7E7E7E" w:themeFill="background1" w:themeFillShade="7F"/>
            <w:noWrap/>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jc w:val="center"/>
              <w:rPr>
                <w:rFonts w:ascii="方正仿宋_GBK" w:hAnsi="Tahoma" w:eastAsia="方正仿宋_GBK" w:cs="Tahoma"/>
                <w:b/>
                <w:bCs/>
                <w:color w:val="000000"/>
                <w:kern w:val="0"/>
                <w:sz w:val="22"/>
                <w:szCs w:val="22"/>
                <w:highlight w:val="darkGray"/>
              </w:rPr>
            </w:pPr>
            <w:r>
              <w:rPr>
                <w:rFonts w:hint="eastAsia" w:ascii="方正仿宋_GBK" w:hAnsi="Tahoma" w:eastAsia="方正仿宋_GBK" w:cs="Tahoma"/>
                <w:b/>
                <w:bCs/>
                <w:color w:val="000000"/>
                <w:kern w:val="0"/>
                <w:sz w:val="22"/>
                <w:szCs w:val="22"/>
                <w:highlight w:val="darkGray"/>
              </w:rPr>
              <w:t>权重</w:t>
            </w:r>
          </w:p>
        </w:tc>
        <w:tc>
          <w:tcPr>
            <w:tcW w:w="1524" w:type="dxa"/>
            <w:tcBorders>
              <w:top w:val="single" w:color="000000" w:sz="4" w:space="0"/>
              <w:left w:val="single" w:color="000000" w:sz="4" w:space="0"/>
              <w:bottom w:val="single" w:color="000000" w:sz="4" w:space="0"/>
              <w:right w:val="single" w:color="000000" w:sz="4" w:space="0"/>
            </w:tcBorders>
            <w:shd w:val="clear" w:color="auto" w:fill="7E7E7E" w:themeFill="background1" w:themeFillShade="7F"/>
            <w:noWrap/>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jc w:val="center"/>
              <w:rPr>
                <w:rFonts w:ascii="方正仿宋_GBK" w:hAnsi="Tahoma" w:eastAsia="方正仿宋_GBK" w:cs="Tahoma"/>
                <w:b/>
                <w:bCs/>
                <w:color w:val="000000"/>
                <w:kern w:val="0"/>
                <w:sz w:val="22"/>
                <w:szCs w:val="22"/>
                <w:highlight w:val="darkGray"/>
              </w:rPr>
            </w:pPr>
            <w:r>
              <w:rPr>
                <w:rFonts w:hint="eastAsia" w:ascii="方正仿宋_GBK" w:hAnsi="Tahoma" w:eastAsia="方正仿宋_GBK" w:cs="Tahoma"/>
                <w:b/>
                <w:bCs/>
                <w:color w:val="000000"/>
                <w:kern w:val="0"/>
                <w:sz w:val="22"/>
                <w:szCs w:val="22"/>
                <w:highlight w:val="darkGray"/>
              </w:rPr>
              <w:t>得分率</w:t>
            </w:r>
          </w:p>
        </w:tc>
        <w:tc>
          <w:tcPr>
            <w:tcW w:w="1299" w:type="dxa"/>
            <w:tcBorders>
              <w:top w:val="single" w:color="000000" w:sz="4" w:space="0"/>
              <w:left w:val="single" w:color="000000" w:sz="4" w:space="0"/>
              <w:bottom w:val="single" w:color="000000" w:sz="4" w:space="0"/>
              <w:right w:val="single" w:color="000000" w:sz="4" w:space="0"/>
            </w:tcBorders>
            <w:shd w:val="clear" w:color="auto" w:fill="7E7E7E" w:themeFill="background1" w:themeFillShade="7F"/>
            <w:noWrap/>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jc w:val="center"/>
              <w:rPr>
                <w:rFonts w:ascii="方正仿宋_GBK" w:hAnsi="Tahoma" w:eastAsia="方正仿宋_GBK" w:cs="Tahoma"/>
                <w:b/>
                <w:bCs/>
                <w:color w:val="000000"/>
                <w:kern w:val="0"/>
                <w:sz w:val="22"/>
                <w:szCs w:val="22"/>
                <w:highlight w:val="darkGray"/>
              </w:rPr>
            </w:pPr>
            <w:r>
              <w:rPr>
                <w:rFonts w:hint="eastAsia" w:ascii="方正仿宋_GBK" w:hAnsi="Tahoma" w:eastAsia="方正仿宋_GBK" w:cs="Tahoma"/>
                <w:b/>
                <w:bCs/>
                <w:color w:val="000000"/>
                <w:kern w:val="0"/>
                <w:sz w:val="22"/>
                <w:szCs w:val="22"/>
                <w:highlight w:val="darkGray"/>
              </w:rPr>
              <w:t>实际得分</w:t>
            </w:r>
          </w:p>
        </w:tc>
      </w:tr>
      <w:tr>
        <w:tblPrEx>
          <w:tblCellMar>
            <w:top w:w="0" w:type="dxa"/>
            <w:left w:w="0" w:type="dxa"/>
            <w:bottom w:w="0" w:type="dxa"/>
            <w:right w:w="0" w:type="dxa"/>
          </w:tblCellMar>
        </w:tblPrEx>
        <w:trPr>
          <w:trHeight w:val="576" w:hRule="atLeast"/>
        </w:trPr>
        <w:tc>
          <w:tcPr>
            <w:tcW w:w="1889"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jc w:val="center"/>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经济效益指标、可持续影响指标</w:t>
            </w:r>
          </w:p>
        </w:tc>
        <w:tc>
          <w:tcPr>
            <w:tcW w:w="21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pageBreakBefore w:val="0"/>
              <w:widowControl/>
              <w:kinsoku/>
              <w:wordWrap/>
              <w:overflowPunct/>
              <w:topLinePunct w:val="0"/>
              <w:autoSpaceDE/>
              <w:autoSpaceDN/>
              <w:bidi w:val="0"/>
              <w:adjustRightInd/>
              <w:snapToGrid/>
              <w:spacing w:line="560" w:lineRule="atLeast"/>
              <w:jc w:val="left"/>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提升塔城地区人口科学统计意识</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pageBreakBefore w:val="0"/>
              <w:widowControl/>
              <w:kinsoku/>
              <w:wordWrap/>
              <w:overflowPunct/>
              <w:topLinePunct w:val="0"/>
              <w:autoSpaceDE/>
              <w:autoSpaceDN/>
              <w:bidi w:val="0"/>
              <w:adjustRightInd/>
              <w:snapToGrid/>
              <w:spacing w:line="560" w:lineRule="atLeast"/>
              <w:jc w:val="center"/>
              <w:rPr>
                <w:rFonts w:hint="default" w:asciiTheme="minorEastAsia" w:hAnsiTheme="minorEastAsia" w:eastAsiaTheme="minorEastAsia" w:cstheme="minorEastAsia"/>
                <w:color w:val="000000"/>
                <w:kern w:val="0"/>
                <w:sz w:val="24"/>
                <w:szCs w:val="24"/>
                <w:lang w:val="en-US" w:eastAsia="zh-CN" w:bidi="ar-SA"/>
              </w:rPr>
            </w:pPr>
            <w:r>
              <w:rPr>
                <w:rFonts w:hint="eastAsia" w:asciiTheme="minorEastAsia" w:hAnsiTheme="minorEastAsia" w:eastAsiaTheme="minorEastAsia" w:cstheme="minorEastAsia"/>
                <w:color w:val="000000"/>
                <w:kern w:val="0"/>
                <w:sz w:val="24"/>
                <w:lang w:val="en-US" w:eastAsia="zh-CN"/>
              </w:rPr>
              <w:t>15</w:t>
            </w:r>
          </w:p>
        </w:tc>
        <w:tc>
          <w:tcPr>
            <w:tcW w:w="15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pageBreakBefore w:val="0"/>
              <w:widowControl/>
              <w:kinsoku/>
              <w:wordWrap/>
              <w:overflowPunct/>
              <w:topLinePunct w:val="0"/>
              <w:autoSpaceDE/>
              <w:autoSpaceDN/>
              <w:bidi w:val="0"/>
              <w:adjustRightInd/>
              <w:snapToGrid/>
              <w:spacing w:line="560" w:lineRule="atLeast"/>
              <w:jc w:val="center"/>
              <w:rPr>
                <w:rFonts w:asciiTheme="minorEastAsia" w:hAnsiTheme="minorEastAsia" w:eastAsiaTheme="minorEastAsia" w:cstheme="minorEastAsia"/>
                <w:color w:val="000000"/>
                <w:kern w:val="0"/>
                <w:sz w:val="24"/>
                <w:szCs w:val="24"/>
                <w:lang w:val="en-US" w:eastAsia="zh-CN" w:bidi="ar-SA"/>
              </w:rPr>
            </w:pPr>
            <w:r>
              <w:rPr>
                <w:rFonts w:hint="eastAsia" w:asciiTheme="minorEastAsia" w:hAnsiTheme="minorEastAsia" w:eastAsiaTheme="minorEastAsia" w:cstheme="minorEastAsia"/>
                <w:color w:val="000000"/>
                <w:kern w:val="0"/>
                <w:sz w:val="24"/>
              </w:rPr>
              <w:t>100%</w:t>
            </w:r>
          </w:p>
        </w:tc>
        <w:tc>
          <w:tcPr>
            <w:tcW w:w="12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pageBreakBefore w:val="0"/>
              <w:widowControl/>
              <w:kinsoku/>
              <w:wordWrap/>
              <w:overflowPunct/>
              <w:topLinePunct w:val="0"/>
              <w:autoSpaceDE/>
              <w:autoSpaceDN/>
              <w:bidi w:val="0"/>
              <w:adjustRightInd/>
              <w:snapToGrid/>
              <w:spacing w:line="560" w:lineRule="atLeast"/>
              <w:jc w:val="center"/>
              <w:rPr>
                <w:rFonts w:hint="default" w:asciiTheme="minorEastAsia" w:hAnsiTheme="minorEastAsia" w:eastAsiaTheme="minorEastAsia" w:cstheme="minorEastAsia"/>
                <w:color w:val="000000"/>
                <w:kern w:val="0"/>
                <w:sz w:val="24"/>
                <w:szCs w:val="24"/>
                <w:lang w:val="en-US" w:eastAsia="zh-CN" w:bidi="ar-SA"/>
              </w:rPr>
            </w:pPr>
            <w:r>
              <w:rPr>
                <w:rFonts w:hint="eastAsia" w:asciiTheme="minorEastAsia" w:hAnsiTheme="minorEastAsia" w:eastAsiaTheme="minorEastAsia" w:cstheme="minorEastAsia"/>
                <w:color w:val="000000"/>
                <w:kern w:val="0"/>
                <w:sz w:val="24"/>
                <w:lang w:val="en-US" w:eastAsia="zh-CN"/>
              </w:rPr>
              <w:t>15</w:t>
            </w:r>
          </w:p>
        </w:tc>
      </w:tr>
      <w:tr>
        <w:tblPrEx>
          <w:tblCellMar>
            <w:top w:w="0" w:type="dxa"/>
            <w:left w:w="0" w:type="dxa"/>
            <w:bottom w:w="0" w:type="dxa"/>
            <w:right w:w="0" w:type="dxa"/>
          </w:tblCellMar>
        </w:tblPrEx>
        <w:trPr>
          <w:trHeight w:val="472" w:hRule="atLeast"/>
        </w:trPr>
        <w:tc>
          <w:tcPr>
            <w:tcW w:w="1889"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jc w:val="center"/>
              <w:rPr>
                <w:rFonts w:asciiTheme="minorEastAsia" w:hAnsiTheme="minorEastAsia" w:eastAsiaTheme="minorEastAsia" w:cstheme="minorEastAsia"/>
                <w:color w:val="000000"/>
                <w:kern w:val="0"/>
                <w:sz w:val="24"/>
              </w:rPr>
            </w:pPr>
          </w:p>
        </w:tc>
        <w:tc>
          <w:tcPr>
            <w:tcW w:w="21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pageBreakBefore w:val="0"/>
              <w:widowControl/>
              <w:kinsoku/>
              <w:wordWrap/>
              <w:overflowPunct/>
              <w:topLinePunct w:val="0"/>
              <w:autoSpaceDE/>
              <w:autoSpaceDN/>
              <w:bidi w:val="0"/>
              <w:adjustRightInd/>
              <w:snapToGrid/>
              <w:spacing w:line="560" w:lineRule="atLeast"/>
              <w:jc w:val="left"/>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形成十年一次常态化普查规律</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pageBreakBefore w:val="0"/>
              <w:widowControl/>
              <w:kinsoku/>
              <w:wordWrap/>
              <w:overflowPunct/>
              <w:topLinePunct w:val="0"/>
              <w:autoSpaceDE/>
              <w:autoSpaceDN/>
              <w:bidi w:val="0"/>
              <w:adjustRightInd/>
              <w:snapToGrid/>
              <w:spacing w:line="560" w:lineRule="atLeast"/>
              <w:jc w:val="center"/>
              <w:rPr>
                <w:rFonts w:hint="default" w:asciiTheme="minorEastAsia" w:hAnsiTheme="minorEastAsia" w:eastAsiaTheme="minorEastAsia" w:cstheme="minorEastAsia"/>
                <w:color w:val="000000"/>
                <w:kern w:val="0"/>
                <w:sz w:val="24"/>
                <w:lang w:val="en-US" w:eastAsia="zh-CN"/>
              </w:rPr>
            </w:pPr>
            <w:r>
              <w:rPr>
                <w:rFonts w:hint="eastAsia" w:asciiTheme="minorEastAsia" w:hAnsiTheme="minorEastAsia" w:eastAsiaTheme="minorEastAsia" w:cstheme="minorEastAsia"/>
                <w:color w:val="000000"/>
                <w:kern w:val="0"/>
                <w:sz w:val="24"/>
                <w:lang w:val="en-US" w:eastAsia="zh-CN"/>
              </w:rPr>
              <w:t>15</w:t>
            </w:r>
          </w:p>
        </w:tc>
        <w:tc>
          <w:tcPr>
            <w:tcW w:w="15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pageBreakBefore w:val="0"/>
              <w:widowControl/>
              <w:kinsoku/>
              <w:wordWrap/>
              <w:overflowPunct/>
              <w:topLinePunct w:val="0"/>
              <w:autoSpaceDE/>
              <w:autoSpaceDN/>
              <w:bidi w:val="0"/>
              <w:adjustRightInd/>
              <w:snapToGrid/>
              <w:spacing w:line="560" w:lineRule="atLeast"/>
              <w:jc w:val="center"/>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100%</w:t>
            </w:r>
          </w:p>
        </w:tc>
        <w:tc>
          <w:tcPr>
            <w:tcW w:w="12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pageBreakBefore w:val="0"/>
              <w:widowControl/>
              <w:kinsoku/>
              <w:wordWrap/>
              <w:overflowPunct/>
              <w:topLinePunct w:val="0"/>
              <w:autoSpaceDE/>
              <w:autoSpaceDN/>
              <w:bidi w:val="0"/>
              <w:adjustRightInd/>
              <w:snapToGrid/>
              <w:spacing w:line="560" w:lineRule="atLeast"/>
              <w:jc w:val="center"/>
              <w:rPr>
                <w:rFonts w:hint="default" w:asciiTheme="minorEastAsia" w:hAnsiTheme="minorEastAsia" w:eastAsiaTheme="minorEastAsia" w:cstheme="minorEastAsia"/>
                <w:color w:val="000000"/>
                <w:kern w:val="0"/>
                <w:sz w:val="24"/>
                <w:lang w:val="en-US" w:eastAsia="zh-CN"/>
              </w:rPr>
            </w:pPr>
            <w:r>
              <w:rPr>
                <w:rFonts w:hint="eastAsia" w:asciiTheme="minorEastAsia" w:hAnsiTheme="minorEastAsia" w:eastAsiaTheme="minorEastAsia" w:cstheme="minorEastAsia"/>
                <w:color w:val="000000"/>
                <w:kern w:val="0"/>
                <w:sz w:val="24"/>
                <w:lang w:val="en-US" w:eastAsia="zh-CN"/>
              </w:rPr>
              <w:t>15</w:t>
            </w:r>
          </w:p>
        </w:tc>
      </w:tr>
      <w:tr>
        <w:tblPrEx>
          <w:tblCellMar>
            <w:top w:w="0" w:type="dxa"/>
            <w:left w:w="0" w:type="dxa"/>
            <w:bottom w:w="0" w:type="dxa"/>
            <w:right w:w="0" w:type="dxa"/>
          </w:tblCellMar>
        </w:tblPrEx>
        <w:trPr>
          <w:trHeight w:val="508" w:hRule="atLeast"/>
        </w:trPr>
        <w:tc>
          <w:tcPr>
            <w:tcW w:w="188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jc w:val="center"/>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满意度</w:t>
            </w:r>
          </w:p>
        </w:tc>
        <w:tc>
          <w:tcPr>
            <w:tcW w:w="21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pageBreakBefore w:val="0"/>
              <w:widowControl/>
              <w:kinsoku/>
              <w:wordWrap/>
              <w:overflowPunct/>
              <w:topLinePunct w:val="0"/>
              <w:autoSpaceDE/>
              <w:autoSpaceDN/>
              <w:bidi w:val="0"/>
              <w:adjustRightInd/>
              <w:snapToGrid/>
              <w:spacing w:line="560" w:lineRule="atLeast"/>
              <w:jc w:val="left"/>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单位满意度</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pageBreakBefore w:val="0"/>
              <w:widowControl/>
              <w:kinsoku/>
              <w:wordWrap/>
              <w:overflowPunct/>
              <w:topLinePunct w:val="0"/>
              <w:autoSpaceDE/>
              <w:autoSpaceDN/>
              <w:bidi w:val="0"/>
              <w:adjustRightInd/>
              <w:snapToGrid/>
              <w:spacing w:line="560" w:lineRule="atLeast"/>
              <w:jc w:val="center"/>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10</w:t>
            </w:r>
          </w:p>
        </w:tc>
        <w:tc>
          <w:tcPr>
            <w:tcW w:w="15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pageBreakBefore w:val="0"/>
              <w:widowControl/>
              <w:kinsoku/>
              <w:wordWrap/>
              <w:overflowPunct/>
              <w:topLinePunct w:val="0"/>
              <w:autoSpaceDE/>
              <w:autoSpaceDN/>
              <w:bidi w:val="0"/>
              <w:adjustRightInd/>
              <w:snapToGrid/>
              <w:spacing w:line="560" w:lineRule="atLeast"/>
              <w:jc w:val="center"/>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100%</w:t>
            </w:r>
          </w:p>
        </w:tc>
        <w:tc>
          <w:tcPr>
            <w:tcW w:w="12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pageBreakBefore w:val="0"/>
              <w:widowControl/>
              <w:kinsoku/>
              <w:wordWrap/>
              <w:overflowPunct/>
              <w:topLinePunct w:val="0"/>
              <w:autoSpaceDE/>
              <w:autoSpaceDN/>
              <w:bidi w:val="0"/>
              <w:adjustRightInd/>
              <w:snapToGrid/>
              <w:spacing w:line="560" w:lineRule="atLeast"/>
              <w:jc w:val="center"/>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10</w:t>
            </w:r>
          </w:p>
        </w:tc>
      </w:tr>
      <w:tr>
        <w:tblPrEx>
          <w:tblCellMar>
            <w:top w:w="0" w:type="dxa"/>
            <w:left w:w="0" w:type="dxa"/>
            <w:bottom w:w="0" w:type="dxa"/>
            <w:right w:w="0" w:type="dxa"/>
          </w:tblCellMar>
        </w:tblPrEx>
        <w:trPr>
          <w:trHeight w:val="310" w:hRule="atLeast"/>
        </w:trPr>
        <w:tc>
          <w:tcPr>
            <w:tcW w:w="188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pageBreakBefore w:val="0"/>
              <w:widowControl/>
              <w:kinsoku/>
              <w:wordWrap/>
              <w:overflowPunct/>
              <w:topLinePunct w:val="0"/>
              <w:autoSpaceDE/>
              <w:autoSpaceDN/>
              <w:bidi w:val="0"/>
              <w:adjustRightInd/>
              <w:snapToGrid/>
              <w:spacing w:line="560" w:lineRule="atLeast"/>
              <w:jc w:val="left"/>
              <w:rPr>
                <w:rFonts w:asciiTheme="minorEastAsia" w:hAnsiTheme="minorEastAsia" w:eastAsiaTheme="minorEastAsia" w:cstheme="minorEastAsia"/>
                <w:color w:val="000000"/>
                <w:kern w:val="0"/>
                <w:sz w:val="24"/>
              </w:rPr>
            </w:pPr>
          </w:p>
        </w:tc>
        <w:tc>
          <w:tcPr>
            <w:tcW w:w="21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pageBreakBefore w:val="0"/>
              <w:widowControl/>
              <w:kinsoku/>
              <w:wordWrap/>
              <w:overflowPunct/>
              <w:topLinePunct w:val="0"/>
              <w:autoSpaceDE/>
              <w:autoSpaceDN/>
              <w:bidi w:val="0"/>
              <w:adjustRightInd/>
              <w:snapToGrid/>
              <w:spacing w:line="560" w:lineRule="atLeast"/>
              <w:jc w:val="left"/>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合  计</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pageBreakBefore w:val="0"/>
              <w:widowControl/>
              <w:kinsoku/>
              <w:wordWrap/>
              <w:overflowPunct/>
              <w:topLinePunct w:val="0"/>
              <w:autoSpaceDE/>
              <w:autoSpaceDN/>
              <w:bidi w:val="0"/>
              <w:adjustRightInd/>
              <w:snapToGrid/>
              <w:spacing w:line="560" w:lineRule="atLeast"/>
              <w:jc w:val="center"/>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20</w:t>
            </w:r>
          </w:p>
        </w:tc>
        <w:tc>
          <w:tcPr>
            <w:tcW w:w="15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pageBreakBefore w:val="0"/>
              <w:widowControl/>
              <w:kinsoku/>
              <w:wordWrap/>
              <w:overflowPunct/>
              <w:topLinePunct w:val="0"/>
              <w:autoSpaceDE/>
              <w:autoSpaceDN/>
              <w:bidi w:val="0"/>
              <w:adjustRightInd/>
              <w:snapToGrid/>
              <w:spacing w:line="560" w:lineRule="atLeast"/>
              <w:jc w:val="center"/>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93%</w:t>
            </w:r>
          </w:p>
        </w:tc>
        <w:tc>
          <w:tcPr>
            <w:tcW w:w="12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pageBreakBefore w:val="0"/>
              <w:widowControl/>
              <w:kinsoku/>
              <w:wordWrap/>
              <w:overflowPunct/>
              <w:topLinePunct w:val="0"/>
              <w:autoSpaceDE/>
              <w:autoSpaceDN/>
              <w:bidi w:val="0"/>
              <w:adjustRightInd/>
              <w:snapToGrid/>
              <w:spacing w:line="560" w:lineRule="atLeast"/>
              <w:jc w:val="center"/>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19</w:t>
            </w:r>
          </w:p>
        </w:tc>
      </w:tr>
    </w:tbl>
    <w:p>
      <w:pPr>
        <w:pageBreakBefore w:val="0"/>
        <w:kinsoku/>
        <w:wordWrap/>
        <w:overflowPunct/>
        <w:topLinePunct w:val="0"/>
        <w:autoSpaceDE/>
        <w:autoSpaceDN/>
        <w:bidi w:val="0"/>
        <w:adjustRightInd/>
        <w:snapToGrid/>
        <w:spacing w:line="560" w:lineRule="atLeast"/>
        <w:ind w:firstLine="640" w:firstLineChars="200"/>
        <w:rPr>
          <w:rFonts w:ascii="仿宋_GB2312" w:hAnsi="仿宋_GB2312" w:eastAsia="仿宋_GB2312" w:cs="仿宋_GB2312"/>
          <w:color w:val="333333"/>
          <w:sz w:val="32"/>
          <w:szCs w:val="32"/>
          <w:shd w:val="clear" w:color="auto" w:fill="FFFFFF"/>
        </w:rPr>
      </w:pPr>
      <w:r>
        <w:rPr>
          <w:rFonts w:hint="eastAsia" w:ascii="仿宋_GB2312" w:hAnsi="仿宋_GB2312" w:eastAsia="仿宋_GB2312" w:cs="仿宋_GB2312"/>
          <w:color w:val="333333"/>
          <w:sz w:val="32"/>
          <w:szCs w:val="32"/>
          <w:shd w:val="clear" w:color="auto" w:fill="FFFFFF"/>
        </w:rPr>
        <w:t xml:space="preserve">对于“经济效益”， </w:t>
      </w:r>
      <w:r>
        <w:rPr>
          <w:rFonts w:hint="eastAsia" w:ascii="仿宋_GB2312" w:hAnsi="仿宋_GB2312" w:eastAsia="仿宋_GB2312" w:cs="仿宋_GB2312"/>
          <w:sz w:val="32"/>
          <w:szCs w:val="32"/>
        </w:rPr>
        <w:t>经济效益指标：</w:t>
      </w:r>
      <w:r>
        <w:rPr>
          <w:rFonts w:hint="eastAsia" w:ascii="仿宋_GB2312" w:hAnsi="仿宋_GB2312" w:eastAsia="仿宋_GB2312" w:cs="仿宋_GB2312"/>
          <w:color w:val="000000"/>
          <w:kern w:val="0"/>
          <w:sz w:val="32"/>
          <w:szCs w:val="32"/>
        </w:rPr>
        <w:t>提升塔城地区人口科学统计意识</w:t>
      </w:r>
      <w:r>
        <w:rPr>
          <w:rFonts w:hint="eastAsia" w:ascii="仿宋_GB2312" w:hAnsi="仿宋_GB2312" w:eastAsia="仿宋_GB2312" w:cs="仿宋_GB2312"/>
          <w:sz w:val="32"/>
          <w:szCs w:val="32"/>
        </w:rPr>
        <w:t>，预期指标值有所提升，指标完成值微小提升，指标完成率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r>
        <w:rPr>
          <w:rFonts w:hint="eastAsia" w:ascii="仿宋_GB2312" w:hAnsi="仿宋_GB2312" w:eastAsia="仿宋_GB2312" w:cs="仿宋_GB2312"/>
          <w:color w:val="333333"/>
          <w:sz w:val="32"/>
          <w:szCs w:val="32"/>
          <w:shd w:val="clear" w:color="auto" w:fill="FFFFFF"/>
        </w:rPr>
        <w:t>。</w:t>
      </w:r>
    </w:p>
    <w:p>
      <w:pPr>
        <w:pStyle w:val="8"/>
        <w:pageBreakBefore w:val="0"/>
        <w:widowControl/>
        <w:kinsoku/>
        <w:wordWrap/>
        <w:overflowPunct/>
        <w:topLinePunct w:val="0"/>
        <w:autoSpaceDE/>
        <w:autoSpaceDN/>
        <w:bidi w:val="0"/>
        <w:adjustRightInd/>
        <w:snapToGrid/>
        <w:spacing w:before="0" w:beforeAutospacing="0" w:after="0" w:afterAutospacing="0" w:line="560" w:lineRule="atLeast"/>
        <w:ind w:firstLine="643"/>
        <w:jc w:val="both"/>
        <w:rPr>
          <w:rFonts w:ascii="仿宋_GB2312" w:hAnsi="仿宋_GB2312" w:eastAsia="仿宋_GB2312" w:cs="仿宋_GB2312"/>
          <w:sz w:val="32"/>
          <w:szCs w:val="32"/>
        </w:rPr>
      </w:pPr>
      <w:r>
        <w:rPr>
          <w:rFonts w:hint="eastAsia" w:ascii="仿宋_GB2312" w:hAnsi="仿宋_GB2312" w:eastAsia="仿宋_GB2312" w:cs="仿宋_GB2312"/>
          <w:color w:val="333333"/>
          <w:sz w:val="32"/>
          <w:szCs w:val="32"/>
          <w:shd w:val="clear" w:color="auto" w:fill="FFFFFF"/>
        </w:rPr>
        <w:t>对于“可持续影响指标”，</w:t>
      </w:r>
      <w:r>
        <w:rPr>
          <w:rFonts w:hint="eastAsia" w:ascii="仿宋_GB2312" w:hAnsi="仿宋_GB2312" w:eastAsia="仿宋_GB2312" w:cs="仿宋_GB2312"/>
          <w:sz w:val="32"/>
          <w:szCs w:val="32"/>
        </w:rPr>
        <w:t>可持续影响指标：</w:t>
      </w:r>
      <w:r>
        <w:rPr>
          <w:rFonts w:hint="eastAsia" w:ascii="仿宋_GB2312" w:hAnsi="仿宋_GB2312" w:eastAsia="仿宋_GB2312" w:cs="仿宋_GB2312"/>
          <w:color w:val="000000"/>
          <w:kern w:val="0"/>
          <w:sz w:val="32"/>
          <w:szCs w:val="32"/>
        </w:rPr>
        <w:t>形成十年一次常态化普查规律</w:t>
      </w:r>
      <w:r>
        <w:rPr>
          <w:rFonts w:hint="eastAsia" w:ascii="仿宋_GB2312" w:hAnsi="仿宋_GB2312" w:eastAsia="仿宋_GB2312" w:cs="仿宋_GB2312"/>
          <w:sz w:val="32"/>
          <w:szCs w:val="32"/>
        </w:rPr>
        <w:t>，预期指标值10年，指标完成值10年，指标完成率100%；</w:t>
      </w:r>
    </w:p>
    <w:p>
      <w:pPr>
        <w:pageBreakBefore w:val="0"/>
        <w:kinsoku/>
        <w:wordWrap/>
        <w:overflowPunct/>
        <w:topLinePunct w:val="0"/>
        <w:autoSpaceDE/>
        <w:autoSpaceDN/>
        <w:bidi w:val="0"/>
        <w:adjustRightInd/>
        <w:snapToGrid/>
        <w:spacing w:line="560" w:lineRule="atLeast"/>
        <w:ind w:firstLine="598" w:firstLineChars="187"/>
        <w:contextualSpacing/>
        <w:rPr>
          <w:rFonts w:ascii="仿宋_GB2312" w:hAnsi="仿宋_GB2312" w:eastAsia="仿宋_GB2312" w:cs="仿宋_GB2312"/>
          <w:sz w:val="32"/>
          <w:szCs w:val="32"/>
        </w:rPr>
      </w:pPr>
      <w:r>
        <w:rPr>
          <w:rFonts w:hint="eastAsia" w:ascii="仿宋_GB2312" w:hAnsi="仿宋_GB2312" w:eastAsia="仿宋_GB2312" w:cs="仿宋_GB2312"/>
          <w:sz w:val="32"/>
          <w:szCs w:val="32"/>
        </w:rPr>
        <w:t>服务对象满意度指标：</w:t>
      </w:r>
      <w:r>
        <w:rPr>
          <w:rFonts w:hint="eastAsia" w:ascii="仿宋_GB2312" w:hAnsi="仿宋_GB2312" w:eastAsia="仿宋_GB2312" w:cs="仿宋_GB2312"/>
          <w:color w:val="000000"/>
          <w:kern w:val="0"/>
          <w:sz w:val="32"/>
          <w:szCs w:val="32"/>
        </w:rPr>
        <w:t>单位满意度</w:t>
      </w:r>
      <w:r>
        <w:rPr>
          <w:rFonts w:hint="eastAsia" w:ascii="仿宋_GB2312" w:hAnsi="仿宋_GB2312" w:eastAsia="仿宋_GB2312" w:cs="仿宋_GB2312"/>
          <w:sz w:val="32"/>
          <w:szCs w:val="32"/>
        </w:rPr>
        <w:t>，预期指标值≥95%，指标完成值=</w:t>
      </w:r>
      <w:r>
        <w:rPr>
          <w:rFonts w:hint="eastAsia" w:ascii="仿宋_GB2312" w:hAnsi="仿宋_GB2312" w:eastAsia="仿宋_GB2312" w:cs="仿宋_GB2312"/>
          <w:sz w:val="32"/>
          <w:szCs w:val="32"/>
          <w:lang w:val="en-US" w:eastAsia="zh-CN"/>
        </w:rPr>
        <w:t>95</w:t>
      </w:r>
      <w:r>
        <w:rPr>
          <w:rFonts w:hint="eastAsia" w:ascii="仿宋_GB2312" w:hAnsi="仿宋_GB2312" w:eastAsia="仿宋_GB2312" w:cs="仿宋_GB2312"/>
          <w:sz w:val="32"/>
          <w:szCs w:val="32"/>
        </w:rPr>
        <w:t>%，指标完成率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p>
    <w:p>
      <w:pPr>
        <w:pageBreakBefore w:val="0"/>
        <w:kinsoku/>
        <w:wordWrap/>
        <w:overflowPunct/>
        <w:topLinePunct w:val="0"/>
        <w:autoSpaceDE/>
        <w:autoSpaceDN/>
        <w:bidi w:val="0"/>
        <w:adjustRightInd/>
        <w:snapToGrid/>
        <w:spacing w:line="560" w:lineRule="atLeast"/>
        <w:ind w:left="420" w:leftChars="200"/>
        <w:contextualSpacing/>
      </w:pPr>
      <w:r>
        <w:rPr>
          <w:rFonts w:hint="eastAsia" w:ascii="黑体" w:hAnsi="黑体" w:eastAsia="黑体" w:cs="黑体"/>
          <w:sz w:val="32"/>
          <w:szCs w:val="32"/>
        </w:rPr>
        <w:t>五、主要经验及做法、存在的问题及原因分析</w:t>
      </w:r>
    </w:p>
    <w:p>
      <w:pPr>
        <w:pageBreakBefore w:val="0"/>
        <w:kinsoku/>
        <w:wordWrap/>
        <w:overflowPunct/>
        <w:topLinePunct w:val="0"/>
        <w:autoSpaceDE/>
        <w:autoSpaceDN/>
        <w:bidi w:val="0"/>
        <w:adjustRightInd/>
        <w:snapToGrid/>
        <w:spacing w:line="560" w:lineRule="atLeast"/>
        <w:ind w:firstLine="567" w:firstLineChars="181"/>
        <w:rPr>
          <w:rFonts w:ascii="仿宋_GB2312" w:hAnsi="仿宋_GB2312" w:eastAsia="仿宋_GB2312" w:cs="仿宋_GB2312"/>
        </w:rPr>
      </w:pPr>
      <w:r>
        <w:rPr>
          <w:rFonts w:hint="eastAsia" w:ascii="楷体" w:hAnsi="楷体" w:eastAsia="楷体"/>
          <w:b/>
          <w:spacing w:val="-4"/>
          <w:sz w:val="32"/>
          <w:szCs w:val="32"/>
        </w:rPr>
        <w:t>（一）主要经验及做法</w:t>
      </w:r>
    </w:p>
    <w:p>
      <w:pPr>
        <w:pStyle w:val="2"/>
        <w:pageBreakBefore w:val="0"/>
        <w:kinsoku/>
        <w:wordWrap/>
        <w:overflowPunct/>
        <w:topLinePunct w:val="0"/>
        <w:autoSpaceDE/>
        <w:autoSpaceDN/>
        <w:bidi w:val="0"/>
        <w:adjustRightInd/>
        <w:snapToGrid/>
        <w:spacing w:before="0" w:after="0" w:line="560" w:lineRule="atLeast"/>
        <w:ind w:firstLine="640" w:firstLineChars="200"/>
        <w:jc w:val="left"/>
        <w:rPr>
          <w:rFonts w:ascii="仿宋_GB2312" w:hAnsi="仿宋_GB2312" w:eastAsia="仿宋_GB2312" w:cs="仿宋_GB2312"/>
          <w:b w:val="0"/>
          <w:bCs w:val="0"/>
          <w:kern w:val="2"/>
        </w:rPr>
      </w:pPr>
      <w:r>
        <w:rPr>
          <w:rFonts w:hint="eastAsia" w:ascii="仿宋_GB2312" w:hAnsi="仿宋_GB2312" w:eastAsia="仿宋_GB2312" w:cs="仿宋_GB2312"/>
          <w:b w:val="0"/>
          <w:bCs w:val="0"/>
          <w:kern w:val="2"/>
        </w:rPr>
        <w:t>针对该项目的实施中我们严格坚持先做事、后验收、再拨付的原则，基本杜绝了资金被挤占和挪用现象的发生，跟踪检查到位。财政、纪检等职能部门全面参与专项资金事前、事中和事后全过程的监管。</w:t>
      </w:r>
    </w:p>
    <w:p>
      <w:pPr>
        <w:pStyle w:val="2"/>
        <w:pageBreakBefore w:val="0"/>
        <w:kinsoku/>
        <w:wordWrap/>
        <w:overflowPunct/>
        <w:topLinePunct w:val="0"/>
        <w:autoSpaceDE/>
        <w:autoSpaceDN/>
        <w:bidi w:val="0"/>
        <w:adjustRightInd/>
        <w:snapToGrid/>
        <w:spacing w:before="0" w:after="0" w:line="560" w:lineRule="atLeast"/>
        <w:ind w:firstLine="640" w:firstLineChars="200"/>
        <w:jc w:val="left"/>
        <w:rPr>
          <w:rFonts w:ascii="仿宋_GB2312" w:hAnsi="仿宋_GB2312" w:eastAsia="仿宋_GB2312" w:cs="仿宋_GB2312"/>
          <w:b w:val="0"/>
          <w:bCs w:val="0"/>
          <w:kern w:val="2"/>
        </w:rPr>
      </w:pPr>
      <w:r>
        <w:rPr>
          <w:rFonts w:hint="eastAsia" w:ascii="仿宋_GB2312" w:hAnsi="仿宋_GB2312" w:eastAsia="仿宋_GB2312" w:cs="仿宋_GB2312"/>
          <w:b w:val="0"/>
          <w:bCs w:val="0"/>
          <w:kern w:val="2"/>
        </w:rPr>
        <w:t>在监督环节上，实行关口前移，从事后监督管理转向事前审核，事中监督和事后检查稽核相结合的监督制度上来，形成多环节全过程的监督管理格局，尽量早发现问题，早解决问题。</w:t>
      </w:r>
    </w:p>
    <w:p>
      <w:pPr>
        <w:keepNext/>
        <w:keepLines/>
        <w:pageBreakBefore w:val="0"/>
        <w:numPr>
          <w:ilvl w:val="0"/>
          <w:numId w:val="8"/>
        </w:numPr>
        <w:kinsoku/>
        <w:wordWrap/>
        <w:overflowPunct/>
        <w:topLinePunct w:val="0"/>
        <w:autoSpaceDE/>
        <w:autoSpaceDN/>
        <w:bidi w:val="0"/>
        <w:adjustRightInd/>
        <w:snapToGrid/>
        <w:spacing w:line="560" w:lineRule="atLeast"/>
        <w:ind w:left="-11" w:firstLine="641"/>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存在的问题及原因分析</w:t>
      </w:r>
    </w:p>
    <w:p>
      <w:pPr>
        <w:pStyle w:val="2"/>
        <w:pageBreakBefore w:val="0"/>
        <w:kinsoku/>
        <w:wordWrap/>
        <w:overflowPunct/>
        <w:topLinePunct w:val="0"/>
        <w:autoSpaceDE/>
        <w:autoSpaceDN/>
        <w:bidi w:val="0"/>
        <w:adjustRightInd/>
        <w:snapToGrid/>
        <w:spacing w:before="0" w:after="0" w:line="560" w:lineRule="atLeast"/>
        <w:ind w:firstLine="640" w:firstLineChars="200"/>
        <w:jc w:val="both"/>
        <w:rPr>
          <w:rFonts w:ascii="仿宋_GB2312" w:hAnsi="仿宋_GB2312" w:eastAsia="仿宋_GB2312" w:cs="仿宋_GB2312"/>
          <w:b w:val="0"/>
          <w:bCs w:val="0"/>
          <w:kern w:val="2"/>
        </w:rPr>
      </w:pPr>
      <w:r>
        <w:rPr>
          <w:rFonts w:hint="eastAsia" w:ascii="仿宋_GB2312" w:hAnsi="仿宋_GB2312" w:eastAsia="仿宋_GB2312" w:cs="仿宋_GB2312"/>
          <w:b w:val="0"/>
          <w:bCs w:val="0"/>
          <w:kern w:val="2"/>
        </w:rPr>
        <w:t>1、存在的问题：本年度项目实施过程中人员培训、入户调查等工作</w:t>
      </w:r>
      <w:r>
        <w:rPr>
          <w:rFonts w:hint="eastAsia" w:ascii="仿宋_GB2312" w:hAnsi="仿宋_GB2312" w:eastAsia="仿宋_GB2312" w:cs="仿宋_GB2312"/>
          <w:b w:val="0"/>
          <w:bCs w:val="0"/>
          <w:kern w:val="2"/>
          <w:lang w:eastAsia="zh-CN"/>
        </w:rPr>
        <w:t>受</w:t>
      </w:r>
      <w:r>
        <w:rPr>
          <w:rFonts w:hint="eastAsia" w:ascii="仿宋_GB2312" w:hAnsi="仿宋_GB2312" w:eastAsia="仿宋_GB2312" w:cs="仿宋_GB2312"/>
          <w:b w:val="0"/>
          <w:bCs w:val="0"/>
          <w:kern w:val="2"/>
        </w:rPr>
        <w:t>传染病防控开展较为延后，数据汇总的工作未及时处理完毕。</w:t>
      </w:r>
    </w:p>
    <w:p>
      <w:pPr>
        <w:pageBreakBefore w:val="0"/>
        <w:kinsoku/>
        <w:wordWrap/>
        <w:overflowPunct/>
        <w:topLinePunct w:val="0"/>
        <w:autoSpaceDE/>
        <w:autoSpaceDN/>
        <w:bidi w:val="0"/>
        <w:adjustRightInd/>
        <w:snapToGrid/>
        <w:spacing w:line="560" w:lineRule="atLeast"/>
        <w:ind w:firstLine="641"/>
        <w:rPr>
          <w:rFonts w:eastAsia="仿宋_GB2312"/>
          <w:sz w:val="32"/>
          <w:szCs w:val="32"/>
        </w:rPr>
      </w:pPr>
      <w:r>
        <w:rPr>
          <w:rFonts w:hint="eastAsia" w:ascii="仿宋_GB2312" w:hAnsi="仿宋_GB2312" w:eastAsia="仿宋_GB2312" w:cs="仿宋_GB2312"/>
          <w:sz w:val="32"/>
          <w:szCs w:val="32"/>
        </w:rPr>
        <w:t>2、原因分析：本年度由于受传染病防控的影响，各项工作相对延后，但本着认真、负责、尽职的原则，基本按照绩效目标完成了全年的绩效目标任务。</w:t>
      </w:r>
    </w:p>
    <w:p>
      <w:pPr>
        <w:pageBreakBefore w:val="0"/>
        <w:kinsoku/>
        <w:wordWrap/>
        <w:overflowPunct/>
        <w:topLinePunct w:val="0"/>
        <w:autoSpaceDE/>
        <w:autoSpaceDN/>
        <w:bidi w:val="0"/>
        <w:adjustRightInd/>
        <w:snapToGrid/>
        <w:spacing w:line="560" w:lineRule="atLeast"/>
        <w:ind w:left="420" w:leftChars="200"/>
        <w:contextualSpacing/>
      </w:pPr>
      <w:r>
        <w:rPr>
          <w:rFonts w:hint="eastAsia" w:ascii="黑体" w:hAnsi="黑体" w:eastAsia="黑体" w:cs="黑体"/>
          <w:sz w:val="32"/>
          <w:szCs w:val="32"/>
        </w:rPr>
        <w:t>六、有关建议</w:t>
      </w:r>
    </w:p>
    <w:p>
      <w:pPr>
        <w:pageBreakBefore w:val="0"/>
        <w:kinsoku/>
        <w:wordWrap/>
        <w:overflowPunct/>
        <w:topLinePunct w:val="0"/>
        <w:autoSpaceDE/>
        <w:autoSpaceDN/>
        <w:bidi w:val="0"/>
        <w:adjustRightInd/>
        <w:snapToGrid/>
        <w:spacing w:line="560" w:lineRule="atLeast"/>
        <w:ind w:firstLine="643" w:firstLineChars="200"/>
        <w:rPr>
          <w:rFonts w:ascii="仿宋_GB2312" w:hAnsi="仿宋_GB2312" w:eastAsia="仿宋_GB2312" w:cs="仿宋_GB2312"/>
          <w:color w:val="333333"/>
          <w:sz w:val="32"/>
          <w:szCs w:val="32"/>
          <w:shd w:val="clear" w:color="auto" w:fill="FFFFFF"/>
        </w:rPr>
      </w:pPr>
      <w:r>
        <w:rPr>
          <w:rFonts w:hint="eastAsia" w:ascii="仿宋_GB2312" w:hAnsi="仿宋_GB2312" w:eastAsia="仿宋_GB2312" w:cs="仿宋_GB2312"/>
          <w:b/>
          <w:bCs/>
          <w:color w:val="333333"/>
          <w:sz w:val="32"/>
          <w:szCs w:val="32"/>
          <w:shd w:val="clear" w:color="auto" w:fill="FFFFFF"/>
        </w:rPr>
        <w:t>(一） 建议加强项目预算编审。</w:t>
      </w:r>
      <w:r>
        <w:rPr>
          <w:rFonts w:hint="eastAsia" w:ascii="仿宋_GB2312" w:hAnsi="仿宋_GB2312" w:eastAsia="仿宋_GB2312" w:cs="仿宋_GB2312"/>
          <w:color w:val="333333"/>
          <w:sz w:val="32"/>
          <w:szCs w:val="32"/>
          <w:shd w:val="clear" w:color="auto" w:fill="FFFFFF"/>
        </w:rPr>
        <w:t>年初组织项目预算编审会，由单位财务人员与项目负责人、财政项目绩效专业人员共同制定科学、可操作性强的绩效指标，使绩效管理工作与项目实施紧密结合，更好的提高资金使用效率。</w:t>
      </w:r>
    </w:p>
    <w:p>
      <w:pPr>
        <w:pageBreakBefore w:val="0"/>
        <w:kinsoku/>
        <w:wordWrap/>
        <w:overflowPunct/>
        <w:topLinePunct w:val="0"/>
        <w:autoSpaceDE/>
        <w:autoSpaceDN/>
        <w:bidi w:val="0"/>
        <w:adjustRightInd/>
        <w:snapToGrid/>
        <w:spacing w:line="560" w:lineRule="atLeast"/>
        <w:ind w:firstLine="601" w:firstLineChars="187"/>
        <w:rPr>
          <w:rFonts w:ascii="仿宋_GB2312" w:hAnsi="仿宋_GB2312" w:eastAsia="仿宋_GB2312" w:cs="仿宋_GB2312"/>
          <w:sz w:val="32"/>
          <w:szCs w:val="32"/>
        </w:rPr>
      </w:pPr>
      <w:r>
        <w:rPr>
          <w:rFonts w:hint="eastAsia" w:ascii="仿宋_GB2312" w:hAnsi="仿宋_GB2312" w:eastAsia="仿宋_GB2312" w:cs="仿宋_GB2312"/>
          <w:b/>
          <w:bCs/>
          <w:color w:val="333333"/>
          <w:sz w:val="32"/>
          <w:szCs w:val="32"/>
          <w:shd w:val="clear" w:color="auto" w:fill="FFFFFF"/>
        </w:rPr>
        <w:t>(二）建议财政部门高位推动绩效工作，强化全员绩效意识。</w:t>
      </w:r>
      <w:r>
        <w:rPr>
          <w:rFonts w:hint="eastAsia" w:ascii="仿宋_GB2312" w:hAnsi="仿宋_GB2312" w:eastAsia="仿宋_GB2312" w:cs="仿宋_GB2312"/>
          <w:color w:val="333333"/>
          <w:sz w:val="32"/>
          <w:szCs w:val="32"/>
          <w:shd w:val="clear" w:color="auto" w:fill="FFFFFF"/>
        </w:rPr>
        <w:t>绩效是一项综合性较强的全面、系统性工作，应安排单位综合部门负责（比如办公室、综合科等），可以协调单位内部各部门。</w:t>
      </w:r>
    </w:p>
    <w:p>
      <w:pPr>
        <w:pageBreakBefore w:val="0"/>
        <w:kinsoku/>
        <w:wordWrap/>
        <w:overflowPunct/>
        <w:topLinePunct w:val="0"/>
        <w:autoSpaceDE/>
        <w:autoSpaceDN/>
        <w:bidi w:val="0"/>
        <w:adjustRightInd/>
        <w:snapToGrid/>
        <w:spacing w:line="560" w:lineRule="atLeast"/>
        <w:ind w:left="603"/>
        <w:contextualSpacing/>
        <w:rPr>
          <w:rFonts w:ascii="黑体" w:hAnsi="黑体" w:eastAsia="黑体" w:cs="黑体"/>
          <w:sz w:val="32"/>
          <w:szCs w:val="32"/>
        </w:rPr>
      </w:pPr>
      <w:r>
        <w:rPr>
          <w:rFonts w:hint="eastAsia" w:ascii="黑体" w:hAnsi="黑体" w:eastAsia="黑体" w:cs="黑体"/>
          <w:sz w:val="32"/>
          <w:szCs w:val="32"/>
        </w:rPr>
        <w:t>七、其他需要说明的问题</w:t>
      </w:r>
    </w:p>
    <w:p>
      <w:pPr>
        <w:pageBreakBefore w:val="0"/>
        <w:kinsoku/>
        <w:wordWrap/>
        <w:overflowPunct/>
        <w:topLinePunct w:val="0"/>
        <w:autoSpaceDE/>
        <w:autoSpaceDN/>
        <w:bidi w:val="0"/>
        <w:adjustRightInd/>
        <w:snapToGrid/>
        <w:spacing w:line="560" w:lineRule="atLeast"/>
        <w:ind w:firstLine="640" w:firstLineChars="200"/>
        <w:rPr>
          <w:rFonts w:ascii="仿宋_GB2312" w:hAnsi="仿宋_GB2312" w:eastAsia="仿宋_GB2312" w:cs="仿宋_GB2312"/>
          <w:color w:val="333333"/>
          <w:sz w:val="32"/>
          <w:szCs w:val="32"/>
          <w:shd w:val="clear" w:color="auto" w:fill="FFFFFF"/>
        </w:rPr>
      </w:pPr>
      <w:r>
        <w:rPr>
          <w:rFonts w:hint="eastAsia" w:ascii="仿宋_GB2312" w:hAnsi="仿宋_GB2312" w:eastAsia="仿宋_GB2312" w:cs="仿宋_GB2312"/>
          <w:color w:val="333333"/>
          <w:sz w:val="32"/>
          <w:szCs w:val="32"/>
          <w:shd w:val="clear" w:color="auto" w:fill="FFFFFF"/>
        </w:rPr>
        <w:t>本次预算绩效评价所采集的数据因为采集时间、数据来源等诸多因素的影响，可能会出现一定的偏差，进而对评价结果存在影响。</w:t>
      </w:r>
    </w:p>
    <w:p>
      <w:pPr>
        <w:pStyle w:val="2"/>
        <w:pageBreakBefore w:val="0"/>
        <w:kinsoku/>
        <w:wordWrap/>
        <w:overflowPunct/>
        <w:topLinePunct w:val="0"/>
        <w:autoSpaceDE/>
        <w:autoSpaceDN/>
        <w:bidi w:val="0"/>
        <w:adjustRightInd/>
        <w:snapToGrid/>
        <w:spacing w:before="0" w:after="0" w:line="560" w:lineRule="atLeast"/>
        <w:rPr>
          <w:rFonts w:ascii="仿宋_GB2312" w:hAnsi="仿宋_GB2312" w:eastAsia="仿宋_GB2312" w:cs="仿宋_GB2312"/>
          <w:b w:val="0"/>
          <w:bCs w:val="0"/>
          <w:color w:val="333333"/>
          <w:kern w:val="2"/>
          <w:shd w:val="clear" w:color="auto" w:fill="FFFFFF"/>
        </w:rPr>
      </w:pPr>
    </w:p>
    <w:p>
      <w:pPr>
        <w:pageBreakBefore w:val="0"/>
        <w:kinsoku/>
        <w:wordWrap/>
        <w:overflowPunct/>
        <w:topLinePunct w:val="0"/>
        <w:autoSpaceDE/>
        <w:autoSpaceDN/>
        <w:bidi w:val="0"/>
        <w:adjustRightInd/>
        <w:snapToGrid/>
        <w:spacing w:line="560" w:lineRule="atLeast"/>
        <w:rPr>
          <w:rFonts w:ascii="仿宋_GB2312" w:hAnsi="仿宋_GB2312" w:eastAsia="仿宋_GB2312" w:cs="仿宋_GB2312"/>
          <w:color w:val="333333"/>
          <w:sz w:val="32"/>
          <w:szCs w:val="32"/>
          <w:shd w:val="clear" w:color="auto" w:fill="FFFFFF"/>
        </w:rPr>
      </w:pPr>
    </w:p>
    <w:p>
      <w:pPr>
        <w:pStyle w:val="2"/>
        <w:rPr>
          <w:rFonts w:ascii="仿宋_GB2312" w:hAnsi="仿宋_GB2312" w:eastAsia="仿宋_GB2312" w:cs="仿宋_GB2312"/>
          <w:b w:val="0"/>
          <w:bCs w:val="0"/>
          <w:color w:val="333333"/>
          <w:kern w:val="2"/>
          <w:shd w:val="clear" w:color="auto" w:fill="FFFFFF"/>
        </w:rPr>
      </w:pPr>
    </w:p>
    <w:p>
      <w:pPr>
        <w:rPr>
          <w:rFonts w:ascii="仿宋_GB2312" w:hAnsi="仿宋_GB2312" w:eastAsia="仿宋_GB2312" w:cs="仿宋_GB2312"/>
          <w:color w:val="333333"/>
          <w:sz w:val="32"/>
          <w:szCs w:val="32"/>
          <w:shd w:val="clear" w:color="auto" w:fill="FFFFFF"/>
        </w:rPr>
      </w:pPr>
    </w:p>
    <w:p>
      <w:pPr>
        <w:pStyle w:val="2"/>
        <w:rPr>
          <w:rFonts w:ascii="仿宋_GB2312" w:hAnsi="仿宋_GB2312" w:eastAsia="仿宋_GB2312" w:cs="仿宋_GB2312"/>
          <w:b w:val="0"/>
          <w:bCs w:val="0"/>
          <w:color w:val="333333"/>
          <w:kern w:val="2"/>
          <w:shd w:val="clear" w:color="auto" w:fill="FFFFFF"/>
        </w:rPr>
      </w:pPr>
    </w:p>
    <w:p>
      <w:pPr>
        <w:rPr>
          <w:rFonts w:ascii="仿宋_GB2312" w:hAnsi="仿宋_GB2312" w:eastAsia="仿宋_GB2312" w:cs="仿宋_GB2312"/>
          <w:color w:val="333333"/>
          <w:sz w:val="32"/>
          <w:szCs w:val="32"/>
          <w:shd w:val="clear" w:color="auto" w:fill="FFFFFF"/>
        </w:rPr>
      </w:pPr>
    </w:p>
    <w:p>
      <w:pPr>
        <w:pStyle w:val="2"/>
        <w:rPr>
          <w:rFonts w:ascii="仿宋_GB2312" w:hAnsi="仿宋_GB2312" w:eastAsia="仿宋_GB2312" w:cs="仿宋_GB2312"/>
          <w:b w:val="0"/>
          <w:bCs w:val="0"/>
          <w:color w:val="333333"/>
          <w:kern w:val="2"/>
          <w:shd w:val="clear" w:color="auto" w:fill="FFFFFF"/>
        </w:rPr>
      </w:pPr>
    </w:p>
    <w:p>
      <w:pPr>
        <w:rPr>
          <w:rFonts w:ascii="仿宋_GB2312" w:hAnsi="仿宋_GB2312" w:eastAsia="仿宋_GB2312" w:cs="仿宋_GB2312"/>
          <w:color w:val="333333"/>
          <w:sz w:val="32"/>
          <w:szCs w:val="32"/>
          <w:shd w:val="clear" w:color="auto" w:fill="FFFFFF"/>
        </w:rPr>
      </w:pPr>
    </w:p>
    <w:p>
      <w:pPr>
        <w:pStyle w:val="2"/>
      </w:pPr>
    </w:p>
    <w:tbl>
      <w:tblPr>
        <w:tblStyle w:val="9"/>
        <w:tblW w:w="9400" w:type="dxa"/>
        <w:tblInd w:w="96" w:type="dxa"/>
        <w:tblLayout w:type="fixed"/>
        <w:tblCellMar>
          <w:top w:w="0" w:type="dxa"/>
          <w:left w:w="108" w:type="dxa"/>
          <w:bottom w:w="0" w:type="dxa"/>
          <w:right w:w="108" w:type="dxa"/>
        </w:tblCellMar>
      </w:tblPr>
      <w:tblGrid>
        <w:gridCol w:w="722"/>
        <w:gridCol w:w="991"/>
        <w:gridCol w:w="990"/>
        <w:gridCol w:w="186"/>
        <w:gridCol w:w="54"/>
        <w:gridCol w:w="1215"/>
        <w:gridCol w:w="1215"/>
        <w:gridCol w:w="1095"/>
        <w:gridCol w:w="2932"/>
      </w:tblGrid>
      <w:tr>
        <w:tblPrEx>
          <w:tblCellMar>
            <w:top w:w="0" w:type="dxa"/>
            <w:left w:w="108" w:type="dxa"/>
            <w:bottom w:w="0" w:type="dxa"/>
            <w:right w:w="108" w:type="dxa"/>
          </w:tblCellMar>
        </w:tblPrEx>
        <w:trPr>
          <w:trHeight w:val="600" w:hRule="atLeast"/>
        </w:trPr>
        <w:tc>
          <w:tcPr>
            <w:tcW w:w="9400"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宋体" w:hAnsi="宋体" w:cs="宋体"/>
                <w:b/>
                <w:bCs/>
                <w:color w:val="000000"/>
                <w:sz w:val="32"/>
                <w:szCs w:val="32"/>
              </w:rPr>
            </w:pPr>
            <w:r>
              <w:rPr>
                <w:rFonts w:hint="eastAsia" w:ascii="方正小标宋简体" w:hAnsi="方正小标宋简体" w:eastAsia="方正小标宋简体" w:cs="方正小标宋简体"/>
                <w:b/>
                <w:i w:val="0"/>
                <w:color w:val="000000"/>
                <w:kern w:val="0"/>
                <w:sz w:val="44"/>
                <w:szCs w:val="44"/>
                <w:u w:val="none"/>
                <w:lang w:val="en-US" w:eastAsia="zh-CN" w:bidi="ar"/>
              </w:rPr>
              <w:t>项目支出绩效自评表</w:t>
            </w:r>
          </w:p>
        </w:tc>
      </w:tr>
      <w:tr>
        <w:tblPrEx>
          <w:tblCellMar>
            <w:top w:w="0" w:type="dxa"/>
            <w:left w:w="108" w:type="dxa"/>
            <w:bottom w:w="0" w:type="dxa"/>
            <w:right w:w="108" w:type="dxa"/>
          </w:tblCellMar>
        </w:tblPrEx>
        <w:trPr>
          <w:trHeight w:val="600" w:hRule="atLeast"/>
        </w:trPr>
        <w:tc>
          <w:tcPr>
            <w:tcW w:w="9400"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宋体" w:hAnsi="宋体" w:cs="宋体"/>
                <w:color w:val="000000"/>
                <w:sz w:val="32"/>
                <w:szCs w:val="32"/>
              </w:rPr>
            </w:pPr>
            <w:r>
              <w:rPr>
                <w:rFonts w:hint="eastAsia" w:ascii="宋体" w:hAnsi="宋体" w:eastAsia="宋体" w:cs="宋体"/>
                <w:i w:val="0"/>
                <w:color w:val="000000"/>
                <w:kern w:val="0"/>
                <w:sz w:val="32"/>
                <w:szCs w:val="32"/>
                <w:u w:val="none"/>
                <w:lang w:val="en-US" w:eastAsia="zh-CN" w:bidi="ar"/>
              </w:rPr>
              <w:t>（   2020 年度）</w:t>
            </w:r>
          </w:p>
        </w:tc>
      </w:tr>
      <w:tr>
        <w:tblPrEx>
          <w:tblCellMar>
            <w:top w:w="0" w:type="dxa"/>
            <w:left w:w="108" w:type="dxa"/>
            <w:bottom w:w="0" w:type="dxa"/>
            <w:right w:w="108" w:type="dxa"/>
          </w:tblCellMar>
        </w:tblPrEx>
        <w:trPr>
          <w:trHeight w:val="422" w:hRule="atLeast"/>
        </w:trPr>
        <w:tc>
          <w:tcPr>
            <w:tcW w:w="940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600" w:hRule="atLeast"/>
        </w:trPr>
        <w:tc>
          <w:tcPr>
            <w:tcW w:w="17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项目名称</w:t>
            </w:r>
          </w:p>
        </w:tc>
        <w:tc>
          <w:tcPr>
            <w:tcW w:w="7687"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第七次人口普查</w:t>
            </w:r>
          </w:p>
        </w:tc>
      </w:tr>
      <w:tr>
        <w:tblPrEx>
          <w:tblCellMar>
            <w:top w:w="0" w:type="dxa"/>
            <w:left w:w="108" w:type="dxa"/>
            <w:bottom w:w="0" w:type="dxa"/>
            <w:right w:w="108" w:type="dxa"/>
          </w:tblCellMar>
        </w:tblPrEx>
        <w:trPr>
          <w:trHeight w:val="422" w:hRule="atLeast"/>
        </w:trPr>
        <w:tc>
          <w:tcPr>
            <w:tcW w:w="17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主管部门</w:t>
            </w:r>
          </w:p>
        </w:tc>
        <w:tc>
          <w:tcPr>
            <w:tcW w:w="366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实施单位</w:t>
            </w:r>
          </w:p>
        </w:tc>
        <w:tc>
          <w:tcPr>
            <w:tcW w:w="29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伊犁哈萨克自治州塔城地区统计局</w:t>
            </w:r>
          </w:p>
        </w:tc>
      </w:tr>
      <w:tr>
        <w:tblPrEx>
          <w:tblCellMar>
            <w:top w:w="0" w:type="dxa"/>
            <w:left w:w="108" w:type="dxa"/>
            <w:bottom w:w="0" w:type="dxa"/>
            <w:right w:w="108" w:type="dxa"/>
          </w:tblCellMar>
        </w:tblPrEx>
        <w:trPr>
          <w:trHeight w:val="362" w:hRule="atLeast"/>
        </w:trPr>
        <w:tc>
          <w:tcPr>
            <w:tcW w:w="17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项目资金</w:t>
            </w:r>
          </w:p>
        </w:tc>
        <w:tc>
          <w:tcPr>
            <w:tcW w:w="990" w:type="dxa"/>
            <w:tcBorders>
              <w:top w:val="single" w:color="000000" w:sz="4" w:space="0"/>
              <w:left w:val="single" w:color="000000" w:sz="4" w:space="0"/>
              <w:bottom w:val="single" w:color="000000" w:sz="4" w:space="0"/>
              <w:right w:val="nil"/>
            </w:tcBorders>
            <w:shd w:val="clear" w:color="auto" w:fill="auto"/>
            <w:vAlign w:val="bottom"/>
          </w:tcPr>
          <w:p/>
        </w:tc>
        <w:tc>
          <w:tcPr>
            <w:tcW w:w="240" w:type="dxa"/>
            <w:gridSpan w:val="2"/>
            <w:tcBorders>
              <w:top w:val="single" w:color="000000" w:sz="4" w:space="0"/>
              <w:left w:val="nil"/>
              <w:bottom w:val="single" w:color="000000" w:sz="4" w:space="0"/>
              <w:right w:val="single" w:color="000000" w:sz="4" w:space="0"/>
            </w:tcBorders>
            <w:shd w:val="clear" w:color="auto" w:fill="auto"/>
            <w:vAlign w:val="bottom"/>
          </w:tcPr>
          <w:p>
            <w:pPr>
              <w:rPr>
                <w:rFonts w:ascii="宋体" w:hAnsi="宋体" w:cs="宋体"/>
                <w:color w:val="000000"/>
                <w:sz w:val="18"/>
                <w:szCs w:val="18"/>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年初预算数</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全年预算数</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全年执行数</w:t>
            </w:r>
          </w:p>
        </w:tc>
        <w:tc>
          <w:tcPr>
            <w:tcW w:w="29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执行率</w:t>
            </w:r>
          </w:p>
        </w:tc>
      </w:tr>
      <w:tr>
        <w:tblPrEx>
          <w:tblCellMar>
            <w:top w:w="0" w:type="dxa"/>
            <w:left w:w="108" w:type="dxa"/>
            <w:bottom w:w="0" w:type="dxa"/>
            <w:right w:w="108" w:type="dxa"/>
          </w:tblCellMar>
        </w:tblPrEx>
        <w:trPr>
          <w:trHeight w:val="600" w:hRule="atLeast"/>
        </w:trPr>
        <w:tc>
          <w:tcPr>
            <w:tcW w:w="17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22"/>
                <w:szCs w:val="22"/>
              </w:rPr>
            </w:pPr>
            <w:r>
              <w:rPr>
                <w:rFonts w:hint="eastAsia" w:ascii="宋体" w:hAnsi="宋体" w:eastAsia="宋体" w:cs="宋体"/>
                <w:i w:val="0"/>
                <w:color w:val="000000"/>
                <w:kern w:val="0"/>
                <w:sz w:val="18"/>
                <w:szCs w:val="18"/>
                <w:u w:val="none"/>
                <w:lang w:val="en-US" w:eastAsia="zh-CN" w:bidi="ar"/>
              </w:rPr>
              <w:t>（万元）</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年度资金总额</w:t>
            </w:r>
          </w:p>
        </w:tc>
        <w:tc>
          <w:tcPr>
            <w:tcW w:w="12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32</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32</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26.03</w:t>
            </w:r>
          </w:p>
        </w:tc>
        <w:tc>
          <w:tcPr>
            <w:tcW w:w="29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81.33%</w:t>
            </w:r>
          </w:p>
        </w:tc>
      </w:tr>
      <w:tr>
        <w:tblPrEx>
          <w:tblCellMar>
            <w:top w:w="0" w:type="dxa"/>
            <w:left w:w="108" w:type="dxa"/>
            <w:bottom w:w="0" w:type="dxa"/>
            <w:right w:w="108" w:type="dxa"/>
          </w:tblCellMar>
        </w:tblPrEx>
        <w:trPr>
          <w:trHeight w:val="338" w:hRule="atLeast"/>
        </w:trPr>
        <w:tc>
          <w:tcPr>
            <w:tcW w:w="17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其中：当年财政拨款</w:t>
            </w:r>
          </w:p>
        </w:tc>
        <w:tc>
          <w:tcPr>
            <w:tcW w:w="12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32.00</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32.00</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26.03</w:t>
            </w:r>
          </w:p>
        </w:tc>
        <w:tc>
          <w:tcPr>
            <w:tcW w:w="29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w:t>
            </w:r>
          </w:p>
        </w:tc>
      </w:tr>
      <w:tr>
        <w:tblPrEx>
          <w:tblCellMar>
            <w:top w:w="0" w:type="dxa"/>
            <w:left w:w="108" w:type="dxa"/>
            <w:bottom w:w="0" w:type="dxa"/>
            <w:right w:w="108" w:type="dxa"/>
          </w:tblCellMar>
        </w:tblPrEx>
        <w:trPr>
          <w:trHeight w:val="338" w:hRule="atLeast"/>
        </w:trPr>
        <w:tc>
          <w:tcPr>
            <w:tcW w:w="17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 xml:space="preserve">      上年结转资金</w:t>
            </w:r>
          </w:p>
        </w:tc>
        <w:tc>
          <w:tcPr>
            <w:tcW w:w="12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w:t>
            </w:r>
          </w:p>
        </w:tc>
        <w:tc>
          <w:tcPr>
            <w:tcW w:w="29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w:t>
            </w:r>
          </w:p>
        </w:tc>
      </w:tr>
      <w:tr>
        <w:tblPrEx>
          <w:tblCellMar>
            <w:top w:w="0" w:type="dxa"/>
            <w:left w:w="108" w:type="dxa"/>
            <w:bottom w:w="0" w:type="dxa"/>
            <w:right w:w="108" w:type="dxa"/>
          </w:tblCellMar>
        </w:tblPrEx>
        <w:trPr>
          <w:trHeight w:val="446" w:hRule="atLeast"/>
        </w:trPr>
        <w:tc>
          <w:tcPr>
            <w:tcW w:w="17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lang w:bidi="ar"/>
              </w:rPr>
            </w:pPr>
            <w:r>
              <w:rPr>
                <w:rFonts w:hint="eastAsia" w:ascii="宋体" w:hAnsi="宋体" w:eastAsia="宋体" w:cs="宋体"/>
                <w:i w:val="0"/>
                <w:color w:val="000000"/>
                <w:kern w:val="0"/>
                <w:sz w:val="18"/>
                <w:szCs w:val="18"/>
                <w:u w:val="none"/>
                <w:lang w:val="en-US" w:eastAsia="zh-CN" w:bidi="ar"/>
              </w:rPr>
              <w:t xml:space="preserve">  其他资金</w:t>
            </w:r>
          </w:p>
        </w:tc>
        <w:tc>
          <w:tcPr>
            <w:tcW w:w="12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w:t>
            </w:r>
          </w:p>
        </w:tc>
        <w:tc>
          <w:tcPr>
            <w:tcW w:w="29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w:t>
            </w:r>
          </w:p>
        </w:tc>
      </w:tr>
      <w:tr>
        <w:tblPrEx>
          <w:tblCellMar>
            <w:top w:w="0" w:type="dxa"/>
            <w:left w:w="108" w:type="dxa"/>
            <w:bottom w:w="0" w:type="dxa"/>
            <w:right w:w="108" w:type="dxa"/>
          </w:tblCellMar>
        </w:tblPrEx>
        <w:trPr>
          <w:trHeight w:val="600" w:hRule="atLeast"/>
        </w:trPr>
        <w:tc>
          <w:tcPr>
            <w:tcW w:w="7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年度总体目标</w:t>
            </w:r>
          </w:p>
        </w:tc>
        <w:tc>
          <w:tcPr>
            <w:tcW w:w="465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18"/>
                <w:szCs w:val="18"/>
                <w:lang w:bidi="ar"/>
              </w:rPr>
            </w:pPr>
            <w:r>
              <w:rPr>
                <w:rFonts w:hint="eastAsia" w:ascii="宋体" w:hAnsi="宋体" w:eastAsia="宋体" w:cs="宋体"/>
                <w:i w:val="0"/>
                <w:color w:val="000000"/>
                <w:kern w:val="0"/>
                <w:sz w:val="18"/>
                <w:szCs w:val="18"/>
                <w:u w:val="none"/>
                <w:lang w:val="en-US" w:eastAsia="zh-CN" w:bidi="ar"/>
              </w:rPr>
              <w:t>预期目标</w:t>
            </w:r>
          </w:p>
        </w:tc>
        <w:tc>
          <w:tcPr>
            <w:tcW w:w="4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实际完成情况</w:t>
            </w:r>
          </w:p>
        </w:tc>
      </w:tr>
      <w:tr>
        <w:tblPrEx>
          <w:tblCellMar>
            <w:top w:w="0" w:type="dxa"/>
            <w:left w:w="108" w:type="dxa"/>
            <w:bottom w:w="0" w:type="dxa"/>
            <w:right w:w="108" w:type="dxa"/>
          </w:tblCellMar>
        </w:tblPrEx>
        <w:trPr>
          <w:trHeight w:val="600" w:hRule="atLeast"/>
        </w:trPr>
        <w:tc>
          <w:tcPr>
            <w:tcW w:w="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465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完成塔城地区第七次全国人口普查工作，形成地区普查公报。</w:t>
            </w:r>
          </w:p>
        </w:tc>
        <w:tc>
          <w:tcPr>
            <w:tcW w:w="4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完成塔城地区第七次全国人口普查工作，形成地区普查公报。</w:t>
            </w:r>
          </w:p>
        </w:tc>
      </w:tr>
      <w:tr>
        <w:tblPrEx>
          <w:tblCellMar>
            <w:top w:w="0" w:type="dxa"/>
            <w:left w:w="108" w:type="dxa"/>
            <w:bottom w:w="0" w:type="dxa"/>
            <w:right w:w="108" w:type="dxa"/>
          </w:tblCellMar>
        </w:tblPrEx>
        <w:trPr>
          <w:trHeight w:val="312" w:hRule="atLeast"/>
        </w:trPr>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一级指标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二级指标</w:t>
            </w:r>
          </w:p>
        </w:tc>
        <w:tc>
          <w:tcPr>
            <w:tcW w:w="145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三级指标</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年度指标值</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实际完成值</w:t>
            </w:r>
          </w:p>
        </w:tc>
        <w:tc>
          <w:tcPr>
            <w:tcW w:w="29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偏差原因分析及改进措施</w:t>
            </w:r>
          </w:p>
        </w:tc>
      </w:tr>
      <w:tr>
        <w:tblPrEx>
          <w:tblCellMar>
            <w:top w:w="0" w:type="dxa"/>
            <w:left w:w="108" w:type="dxa"/>
            <w:bottom w:w="0" w:type="dxa"/>
            <w:right w:w="108" w:type="dxa"/>
          </w:tblCellMar>
        </w:tblPrEx>
        <w:trPr>
          <w:trHeight w:val="600" w:hRule="atLeast"/>
        </w:trPr>
        <w:tc>
          <w:tcPr>
            <w:tcW w:w="7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年度绩效指标完成情况</w:t>
            </w:r>
          </w:p>
        </w:tc>
        <w:tc>
          <w:tcPr>
            <w:tcW w:w="9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产出指标</w:t>
            </w:r>
          </w:p>
        </w:tc>
        <w:tc>
          <w:tcPr>
            <w:tcW w:w="12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数量指标</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普查户籍人口</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≥90万人</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91万人</w:t>
            </w:r>
          </w:p>
        </w:tc>
        <w:tc>
          <w:tcPr>
            <w:tcW w:w="29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600" w:hRule="atLeast"/>
        </w:trPr>
        <w:tc>
          <w:tcPr>
            <w:tcW w:w="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9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12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质量指标</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普查原数据填报综合差错率</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≤3%</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1%</w:t>
            </w:r>
          </w:p>
        </w:tc>
        <w:tc>
          <w:tcPr>
            <w:tcW w:w="29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600" w:hRule="atLeast"/>
        </w:trPr>
        <w:tc>
          <w:tcPr>
            <w:tcW w:w="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9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12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时效指标</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完成本级数据验收时间</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2020年12月</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2020年12月</w:t>
            </w:r>
          </w:p>
        </w:tc>
        <w:tc>
          <w:tcPr>
            <w:tcW w:w="29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434" w:hRule="atLeast"/>
        </w:trPr>
        <w:tc>
          <w:tcPr>
            <w:tcW w:w="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9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1230"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成本指标</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用于办公经费支出</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≤11万元</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16.56万元</w:t>
            </w:r>
          </w:p>
        </w:tc>
        <w:tc>
          <w:tcPr>
            <w:tcW w:w="29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按照工作要求增加内容，故经费增加。</w:t>
            </w:r>
          </w:p>
        </w:tc>
      </w:tr>
      <w:tr>
        <w:tblPrEx>
          <w:tblCellMar>
            <w:top w:w="0" w:type="dxa"/>
            <w:left w:w="108" w:type="dxa"/>
            <w:bottom w:w="0" w:type="dxa"/>
            <w:right w:w="108" w:type="dxa"/>
          </w:tblCellMar>
        </w:tblPrEx>
        <w:trPr>
          <w:trHeight w:val="362" w:hRule="atLeast"/>
        </w:trPr>
        <w:tc>
          <w:tcPr>
            <w:tcW w:w="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9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123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用于培训费支出</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≤2万元</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1.96万元</w:t>
            </w:r>
          </w:p>
        </w:tc>
        <w:tc>
          <w:tcPr>
            <w:tcW w:w="29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cs="宋体"/>
                <w:color w:val="000000"/>
                <w:sz w:val="18"/>
                <w:szCs w:val="18"/>
              </w:rPr>
            </w:pPr>
            <w:bookmarkStart w:id="4" w:name="_GoBack"/>
            <w:bookmarkEnd w:id="4"/>
            <w:r>
              <w:rPr>
                <w:rFonts w:hint="eastAsia" w:ascii="宋体" w:hAnsi="宋体" w:eastAsia="宋体" w:cs="宋体"/>
                <w:i w:val="0"/>
                <w:color w:val="000000"/>
                <w:kern w:val="0"/>
                <w:sz w:val="18"/>
                <w:szCs w:val="18"/>
                <w:u w:val="none"/>
                <w:lang w:val="en-US" w:eastAsia="zh-CN" w:bidi="ar"/>
              </w:rPr>
              <w:t>受传染病防控影响，工作延迟。</w:t>
            </w:r>
          </w:p>
        </w:tc>
      </w:tr>
      <w:tr>
        <w:tblPrEx>
          <w:tblCellMar>
            <w:top w:w="0" w:type="dxa"/>
            <w:left w:w="108" w:type="dxa"/>
            <w:bottom w:w="0" w:type="dxa"/>
            <w:right w:w="108" w:type="dxa"/>
          </w:tblCellMar>
        </w:tblPrEx>
        <w:trPr>
          <w:trHeight w:val="434" w:hRule="atLeast"/>
        </w:trPr>
        <w:tc>
          <w:tcPr>
            <w:tcW w:w="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9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123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用于公务车运行维护费用</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≤4万元</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2.48万元</w:t>
            </w:r>
          </w:p>
        </w:tc>
        <w:tc>
          <w:tcPr>
            <w:tcW w:w="29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受传染病防控影响，工作延迟。</w:t>
            </w:r>
          </w:p>
        </w:tc>
      </w:tr>
      <w:tr>
        <w:tblPrEx>
          <w:tblCellMar>
            <w:top w:w="0" w:type="dxa"/>
            <w:left w:w="108" w:type="dxa"/>
            <w:bottom w:w="0" w:type="dxa"/>
            <w:right w:w="108" w:type="dxa"/>
          </w:tblCellMar>
        </w:tblPrEx>
        <w:trPr>
          <w:trHeight w:val="482" w:hRule="atLeast"/>
        </w:trPr>
        <w:tc>
          <w:tcPr>
            <w:tcW w:w="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9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123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用于办公设备购置支出</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≤5万元</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0万元</w:t>
            </w:r>
          </w:p>
        </w:tc>
        <w:tc>
          <w:tcPr>
            <w:tcW w:w="29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未发生采购业务。</w:t>
            </w:r>
          </w:p>
        </w:tc>
      </w:tr>
      <w:tr>
        <w:tblPrEx>
          <w:tblCellMar>
            <w:top w:w="0" w:type="dxa"/>
            <w:left w:w="108" w:type="dxa"/>
            <w:bottom w:w="0" w:type="dxa"/>
            <w:right w:w="108" w:type="dxa"/>
          </w:tblCellMar>
        </w:tblPrEx>
        <w:trPr>
          <w:trHeight w:val="600" w:hRule="atLeast"/>
        </w:trPr>
        <w:tc>
          <w:tcPr>
            <w:tcW w:w="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9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效益指标</w:t>
            </w:r>
          </w:p>
        </w:tc>
        <w:tc>
          <w:tcPr>
            <w:tcW w:w="12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经济效益指标</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提升塔城地区人口科学统计意识</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有所提升</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明显提升</w:t>
            </w:r>
          </w:p>
        </w:tc>
        <w:tc>
          <w:tcPr>
            <w:tcW w:w="29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cs="宋体"/>
                <w:color w:val="000000"/>
                <w:sz w:val="18"/>
                <w:szCs w:val="18"/>
              </w:rPr>
            </w:pPr>
          </w:p>
        </w:tc>
      </w:tr>
      <w:tr>
        <w:tblPrEx>
          <w:tblCellMar>
            <w:top w:w="0" w:type="dxa"/>
            <w:left w:w="108" w:type="dxa"/>
            <w:bottom w:w="0" w:type="dxa"/>
            <w:right w:w="108" w:type="dxa"/>
          </w:tblCellMar>
        </w:tblPrEx>
        <w:trPr>
          <w:trHeight w:val="600" w:hRule="atLeast"/>
        </w:trPr>
        <w:tc>
          <w:tcPr>
            <w:tcW w:w="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9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12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可持续影响指标</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形成十年一次常态化普查规律</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10年</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10年</w:t>
            </w:r>
          </w:p>
        </w:tc>
        <w:tc>
          <w:tcPr>
            <w:tcW w:w="29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600" w:hRule="atLeast"/>
        </w:trPr>
        <w:tc>
          <w:tcPr>
            <w:tcW w:w="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满意度指标</w:t>
            </w:r>
          </w:p>
        </w:tc>
        <w:tc>
          <w:tcPr>
            <w:tcW w:w="12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服务对象满意度指标</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单位满意度</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≥95%</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95%</w:t>
            </w:r>
          </w:p>
        </w:tc>
        <w:tc>
          <w:tcPr>
            <w:tcW w:w="29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r>
    </w:tbl>
    <w:p>
      <w:pPr>
        <w:pStyle w:val="2"/>
      </w:pPr>
    </w:p>
    <w:sectPr>
      <w:footerReference r:id="rId3" w:type="default"/>
      <w:footerReference r:id="rId4" w:type="even"/>
      <w:pgSz w:w="11906" w:h="16838"/>
      <w:pgMar w:top="1440" w:right="1800" w:bottom="1440" w:left="1800" w:header="851" w:footer="992" w:gutter="0"/>
      <w:pgNumType w:fmt="numberInDash"/>
      <w:cols w:space="720" w:num="1"/>
      <w:docGrid w:type="lines" w:linePitch="579"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3000509000000000000"/>
    <w:charset w:val="86"/>
    <w:family w:val="auto"/>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方正仿宋_GBK">
    <w:altName w:val="微软雅黑"/>
    <w:panose1 w:val="00000000000000000000"/>
    <w:charset w:val="86"/>
    <w:family w:val="script"/>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楷体">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left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- 9 -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- 9 -</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right="360"/>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left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- 10 -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- 10 -</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F60FE1"/>
    <w:multiLevelType w:val="singleLevel"/>
    <w:tmpl w:val="DEF60FE1"/>
    <w:lvl w:ilvl="0" w:tentative="0">
      <w:start w:val="1"/>
      <w:numFmt w:val="decimal"/>
      <w:suff w:val="nothing"/>
      <w:lvlText w:val="（%1）"/>
      <w:lvlJc w:val="left"/>
      <w:pPr>
        <w:ind w:left="-11"/>
      </w:pPr>
    </w:lvl>
  </w:abstractNum>
  <w:abstractNum w:abstractNumId="1">
    <w:nsid w:val="E969E892"/>
    <w:multiLevelType w:val="singleLevel"/>
    <w:tmpl w:val="E969E892"/>
    <w:lvl w:ilvl="0" w:tentative="0">
      <w:start w:val="3"/>
      <w:numFmt w:val="chineseCounting"/>
      <w:suff w:val="nothing"/>
      <w:lvlText w:val="%1、"/>
      <w:lvlJc w:val="left"/>
      <w:pPr>
        <w:ind w:left="-37"/>
      </w:pPr>
      <w:rPr>
        <w:rFonts w:hint="eastAsia"/>
      </w:rPr>
    </w:lvl>
  </w:abstractNum>
  <w:abstractNum w:abstractNumId="2">
    <w:nsid w:val="EE5C6BF8"/>
    <w:multiLevelType w:val="singleLevel"/>
    <w:tmpl w:val="EE5C6BF8"/>
    <w:lvl w:ilvl="0" w:tentative="0">
      <w:start w:val="2"/>
      <w:numFmt w:val="decimal"/>
      <w:suff w:val="nothing"/>
      <w:lvlText w:val="%1、"/>
      <w:lvlJc w:val="left"/>
    </w:lvl>
  </w:abstractNum>
  <w:abstractNum w:abstractNumId="3">
    <w:nsid w:val="FF9379A8"/>
    <w:multiLevelType w:val="singleLevel"/>
    <w:tmpl w:val="FF9379A8"/>
    <w:lvl w:ilvl="0" w:tentative="0">
      <w:start w:val="2"/>
      <w:numFmt w:val="chineseCounting"/>
      <w:suff w:val="nothing"/>
      <w:lvlText w:val="（%1）"/>
      <w:lvlJc w:val="left"/>
      <w:rPr>
        <w:rFonts w:hint="eastAsia"/>
      </w:rPr>
    </w:lvl>
  </w:abstractNum>
  <w:abstractNum w:abstractNumId="4">
    <w:nsid w:val="1E2CED98"/>
    <w:multiLevelType w:val="singleLevel"/>
    <w:tmpl w:val="1E2CED98"/>
    <w:lvl w:ilvl="0" w:tentative="0">
      <w:start w:val="2"/>
      <w:numFmt w:val="chineseCounting"/>
      <w:suff w:val="nothing"/>
      <w:lvlText w:val="（%1）"/>
      <w:lvlJc w:val="left"/>
      <w:pPr>
        <w:ind w:left="968"/>
      </w:pPr>
      <w:rPr>
        <w:rFonts w:hint="eastAsia"/>
      </w:rPr>
    </w:lvl>
  </w:abstractNum>
  <w:abstractNum w:abstractNumId="5">
    <w:nsid w:val="27813159"/>
    <w:multiLevelType w:val="singleLevel"/>
    <w:tmpl w:val="27813159"/>
    <w:lvl w:ilvl="0" w:tentative="0">
      <w:start w:val="3"/>
      <w:numFmt w:val="chineseCounting"/>
      <w:suff w:val="nothing"/>
      <w:lvlText w:val="（%1）"/>
      <w:lvlJc w:val="left"/>
      <w:rPr>
        <w:rFonts w:hint="eastAsia"/>
      </w:rPr>
    </w:lvl>
  </w:abstractNum>
  <w:abstractNum w:abstractNumId="6">
    <w:nsid w:val="3730CCE4"/>
    <w:multiLevelType w:val="singleLevel"/>
    <w:tmpl w:val="3730CCE4"/>
    <w:lvl w:ilvl="0" w:tentative="0">
      <w:start w:val="2"/>
      <w:numFmt w:val="decimal"/>
      <w:suff w:val="nothing"/>
      <w:lvlText w:val="（%1）"/>
      <w:lvlJc w:val="left"/>
    </w:lvl>
  </w:abstractNum>
  <w:abstractNum w:abstractNumId="7">
    <w:nsid w:val="62560D30"/>
    <w:multiLevelType w:val="singleLevel"/>
    <w:tmpl w:val="62560D30"/>
    <w:lvl w:ilvl="0" w:tentative="0">
      <w:start w:val="2"/>
      <w:numFmt w:val="decimal"/>
      <w:lvlText w:val="%1."/>
      <w:lvlJc w:val="left"/>
      <w:pPr>
        <w:tabs>
          <w:tab w:val="left" w:pos="312"/>
        </w:tabs>
      </w:pPr>
    </w:lvl>
  </w:abstractNum>
  <w:num w:numId="1">
    <w:abstractNumId w:val="6"/>
  </w:num>
  <w:num w:numId="2">
    <w:abstractNumId w:val="2"/>
  </w:num>
  <w:num w:numId="3">
    <w:abstractNumId w:val="0"/>
  </w:num>
  <w:num w:numId="4">
    <w:abstractNumId w:val="7"/>
  </w:num>
  <w:num w:numId="5">
    <w:abstractNumId w:val="5"/>
  </w:num>
  <w:num w:numId="6">
    <w:abstractNumId w:val="1"/>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mirrorMargins w:val="1"/>
  <w:bordersDoNotSurroundHeader w:val="0"/>
  <w:bordersDoNotSurroundFooter w:val="0"/>
  <w:documentProtection w:enforcement="0"/>
  <w:defaultTabStop w:val="420"/>
  <w:evenAndOddHeaders w:val="1"/>
  <w:drawingGridHorizontalSpacing w:val="158"/>
  <w:drawingGridVerticalSpacing w:val="57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0058"/>
    <w:rsid w:val="000F4112"/>
    <w:rsid w:val="002A77DA"/>
    <w:rsid w:val="003F29C1"/>
    <w:rsid w:val="00423374"/>
    <w:rsid w:val="00453E11"/>
    <w:rsid w:val="00553734"/>
    <w:rsid w:val="00627F5E"/>
    <w:rsid w:val="006C323A"/>
    <w:rsid w:val="006D0058"/>
    <w:rsid w:val="006D391A"/>
    <w:rsid w:val="00714386"/>
    <w:rsid w:val="00725034"/>
    <w:rsid w:val="008C1578"/>
    <w:rsid w:val="008F6E3C"/>
    <w:rsid w:val="00913A39"/>
    <w:rsid w:val="00B27295"/>
    <w:rsid w:val="00C8281E"/>
    <w:rsid w:val="00D93087"/>
    <w:rsid w:val="00E55B88"/>
    <w:rsid w:val="00F033F7"/>
    <w:rsid w:val="00FC407B"/>
    <w:rsid w:val="01041F3F"/>
    <w:rsid w:val="057512EB"/>
    <w:rsid w:val="06DF355D"/>
    <w:rsid w:val="0B884130"/>
    <w:rsid w:val="0BD65A44"/>
    <w:rsid w:val="11687AEB"/>
    <w:rsid w:val="160A482C"/>
    <w:rsid w:val="173E1ACF"/>
    <w:rsid w:val="19FA08F7"/>
    <w:rsid w:val="1AEC6AB4"/>
    <w:rsid w:val="1C451BA0"/>
    <w:rsid w:val="263201A0"/>
    <w:rsid w:val="26D43CAA"/>
    <w:rsid w:val="2909657F"/>
    <w:rsid w:val="2B8610F5"/>
    <w:rsid w:val="2C3833F0"/>
    <w:rsid w:val="32C632F6"/>
    <w:rsid w:val="33BC3228"/>
    <w:rsid w:val="38F908B4"/>
    <w:rsid w:val="3CFF6E66"/>
    <w:rsid w:val="3FA255B3"/>
    <w:rsid w:val="3FAE21A9"/>
    <w:rsid w:val="442D3269"/>
    <w:rsid w:val="477B2A6D"/>
    <w:rsid w:val="4B1D5F53"/>
    <w:rsid w:val="4C435EE7"/>
    <w:rsid w:val="4CBF5A58"/>
    <w:rsid w:val="4F544521"/>
    <w:rsid w:val="50CB6082"/>
    <w:rsid w:val="50E95972"/>
    <w:rsid w:val="514C6D94"/>
    <w:rsid w:val="54D04F1E"/>
    <w:rsid w:val="5559551B"/>
    <w:rsid w:val="5E595B8D"/>
    <w:rsid w:val="605116A0"/>
    <w:rsid w:val="61F3496F"/>
    <w:rsid w:val="637F14EC"/>
    <w:rsid w:val="64F06A55"/>
    <w:rsid w:val="675D6754"/>
    <w:rsid w:val="69B22350"/>
    <w:rsid w:val="6A6F2FCB"/>
    <w:rsid w:val="71285F2D"/>
    <w:rsid w:val="77B346EB"/>
    <w:rsid w:val="78880772"/>
    <w:rsid w:val="78C90229"/>
    <w:rsid w:val="7B5B2F68"/>
    <w:rsid w:val="7C766830"/>
    <w:rsid w:val="7DAF551E"/>
    <w:rsid w:val="7F74147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qFormat="1" w:uiPriority="99" w:name="annotation text"/>
    <w:lsdException w:qFormat="1"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3"/>
    <w:basedOn w:val="1"/>
    <w:next w:val="1"/>
    <w:qFormat/>
    <w:uiPriority w:val="99"/>
    <w:pPr>
      <w:keepNext/>
      <w:keepLines/>
      <w:spacing w:before="260" w:after="260" w:line="416" w:lineRule="auto"/>
      <w:outlineLvl w:val="2"/>
    </w:pPr>
    <w:rPr>
      <w:b/>
      <w:bCs/>
      <w:sz w:val="32"/>
      <w:szCs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4">
    <w:name w:val="annotation text"/>
    <w:basedOn w:val="1"/>
    <w:semiHidden/>
    <w:unhideWhenUsed/>
    <w:qFormat/>
    <w:uiPriority w:val="99"/>
    <w:pPr>
      <w:jc w:val="left"/>
    </w:pPr>
  </w:style>
  <w:style w:type="paragraph" w:styleId="5">
    <w:name w:val="footer"/>
    <w:basedOn w:val="1"/>
    <w:link w:val="12"/>
    <w:qFormat/>
    <w:uiPriority w:val="99"/>
    <w:pPr>
      <w:tabs>
        <w:tab w:val="center" w:pos="4153"/>
        <w:tab w:val="right" w:pos="8306"/>
      </w:tabs>
      <w:snapToGrid w:val="0"/>
      <w:jc w:val="left"/>
    </w:pPr>
    <w:rPr>
      <w:rFonts w:eastAsia="黑体" w:asciiTheme="minorHAnsi" w:hAnsiTheme="minorHAnsi" w:cstheme="minorBidi"/>
      <w:sz w:val="18"/>
      <w:szCs w:val="18"/>
    </w:rPr>
  </w:style>
  <w:style w:type="paragraph" w:styleId="6">
    <w:name w:val="header"/>
    <w:basedOn w:val="1"/>
    <w:link w:val="13"/>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footnote text"/>
    <w:basedOn w:val="1"/>
    <w:qFormat/>
    <w:uiPriority w:val="0"/>
    <w:pPr>
      <w:snapToGrid w:val="0"/>
      <w:jc w:val="left"/>
    </w:pPr>
    <w:rPr>
      <w:sz w:val="18"/>
      <w:szCs w:val="18"/>
    </w:rPr>
  </w:style>
  <w:style w:type="paragraph" w:styleId="8">
    <w:name w:val="Normal (Web)"/>
    <w:basedOn w:val="1"/>
    <w:qFormat/>
    <w:uiPriority w:val="99"/>
    <w:pPr>
      <w:spacing w:before="100" w:beforeAutospacing="1" w:after="100" w:afterAutospacing="1"/>
      <w:jc w:val="left"/>
    </w:pPr>
    <w:rPr>
      <w:sz w:val="24"/>
    </w:rPr>
  </w:style>
  <w:style w:type="character" w:customStyle="1" w:styleId="11">
    <w:name w:val="页脚 Char"/>
    <w:qFormat/>
    <w:uiPriority w:val="99"/>
    <w:rPr>
      <w:rFonts w:eastAsia="黑体"/>
      <w:sz w:val="18"/>
      <w:szCs w:val="18"/>
    </w:rPr>
  </w:style>
  <w:style w:type="character" w:customStyle="1" w:styleId="12">
    <w:name w:val="页脚 字符"/>
    <w:basedOn w:val="10"/>
    <w:link w:val="5"/>
    <w:semiHidden/>
    <w:qFormat/>
    <w:uiPriority w:val="99"/>
    <w:rPr>
      <w:rFonts w:ascii="Calibri" w:hAnsi="Calibri" w:eastAsia="宋体" w:cs="Times New Roman"/>
      <w:sz w:val="18"/>
      <w:szCs w:val="18"/>
    </w:rPr>
  </w:style>
  <w:style w:type="character" w:customStyle="1" w:styleId="13">
    <w:name w:val="页眉 字符"/>
    <w:basedOn w:val="10"/>
    <w:link w:val="6"/>
    <w:semiHidden/>
    <w:qFormat/>
    <w:uiPriority w:val="99"/>
    <w:rPr>
      <w:rFonts w:ascii="Calibri" w:hAnsi="Calibri" w:eastAsia="宋体" w:cs="Times New Roman"/>
      <w:kern w:val="2"/>
      <w:sz w:val="18"/>
      <w:szCs w:val="18"/>
    </w:rPr>
  </w:style>
  <w:style w:type="paragraph" w:styleId="14">
    <w:name w:val="List Paragraph"/>
    <w:basedOn w:val="1"/>
    <w:qFormat/>
    <w:uiPriority w:val="99"/>
    <w:pPr>
      <w:ind w:firstLine="420" w:firstLineChars="200"/>
    </w:pPr>
    <w:rPr>
      <w:kern w:val="0"/>
      <w:sz w:val="24"/>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Pages>
  <Words>1184</Words>
  <Characters>6749</Characters>
  <Lines>56</Lines>
  <Paragraphs>15</Paragraphs>
  <TotalTime>1</TotalTime>
  <ScaleCrop>false</ScaleCrop>
  <LinksUpToDate>false</LinksUpToDate>
  <CharactersWithSpaces>7918</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2020-03-25T11:26:00Z</dcterms:created>
  <dc:creator>颜娜</dc:creator>
  <cp:lastModifiedBy>Administrator</cp:lastModifiedBy>
  <cp:lastPrinted>2021-01-26T11:37:00Z</cp:lastPrinted>
  <dcterms:modified xsi:type="dcterms:W3CDTF">2025-09-08T08:14:48Z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01E51A95216D45F3836A5CEBF0301460</vt:lpwstr>
  </property>
</Properties>
</file>