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宋体" w:hAnsi="宋体" w:cs="宋体"/>
          <w:b/>
          <w:kern w:val="0"/>
          <w:sz w:val="52"/>
          <w:szCs w:val="52"/>
        </w:rPr>
      </w:pPr>
    </w:p>
    <w:p>
      <w:pPr>
        <w:spacing w:line="540" w:lineRule="exact"/>
        <w:rPr>
          <w:rFonts w:ascii="宋体" w:hAnsi="宋体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宋体" w:hAnsi="宋体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  <w:t>塔城地区科学技术局资金项目支出绩效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48"/>
          <w:szCs w:val="48"/>
        </w:rPr>
        <w:t>评价报告</w:t>
      </w:r>
    </w:p>
    <w:p>
      <w:pPr>
        <w:spacing w:line="540" w:lineRule="exact"/>
        <w:jc w:val="center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 20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cs="宋体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720" w:firstLineChars="200"/>
        <w:jc w:val="center"/>
        <w:textAlignment w:val="auto"/>
        <w:rPr>
          <w:rFonts w:hint="eastAsia" w:hAnsi="宋体" w:cs="宋体"/>
          <w:kern w:val="0"/>
          <w:sz w:val="36"/>
          <w:szCs w:val="36"/>
        </w:rPr>
      </w:pPr>
      <w:r>
        <w:rPr>
          <w:rFonts w:hint="eastAsia" w:hAnsi="宋体" w:cs="宋体"/>
          <w:kern w:val="0"/>
          <w:sz w:val="36"/>
          <w:szCs w:val="36"/>
          <w:lang w:val="en-US" w:eastAsia="zh-CN"/>
        </w:rPr>
        <w:t xml:space="preserve">   </w:t>
      </w: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cs="宋体"/>
          <w:kern w:val="0"/>
          <w:sz w:val="36"/>
          <w:szCs w:val="36"/>
        </w:rPr>
        <w:t>科技创新平台信息化建设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720" w:firstLineChars="200"/>
        <w:jc w:val="center"/>
        <w:textAlignment w:val="auto"/>
        <w:rPr>
          <w:rFonts w:hint="eastAsia" w:hAnsi="宋体" w:cs="宋体"/>
          <w:kern w:val="0"/>
          <w:sz w:val="36"/>
          <w:szCs w:val="36"/>
        </w:rPr>
      </w:pPr>
      <w:r>
        <w:rPr>
          <w:rFonts w:hint="eastAsia" w:hAnsi="宋体" w:cs="宋体"/>
          <w:kern w:val="0"/>
          <w:sz w:val="36"/>
          <w:szCs w:val="36"/>
          <w:lang w:val="en-US" w:eastAsia="zh-CN"/>
        </w:rPr>
        <w:t xml:space="preserve">       </w:t>
      </w: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cs="宋体"/>
          <w:kern w:val="0"/>
          <w:sz w:val="36"/>
          <w:szCs w:val="36"/>
        </w:rPr>
        <w:fldChar w:fldCharType="begin">
          <w:fldData xml:space="preserve">OAAyADEAQwAyADcAMABCADIANAAxADIANAAzADIANQA5AEYAMgA2AEUAMQBBADEAQgAwAEIAQQAx
AEQANgBBAA==
</w:fldData>
        </w:fldChar>
      </w:r>
      <w:r>
        <w:rPr>
          <w:rFonts w:hint="eastAsia" w:hAnsi="宋体" w:cs="宋体"/>
          <w:kern w:val="0"/>
          <w:sz w:val="36"/>
          <w:szCs w:val="36"/>
        </w:rPr>
        <w:instrText xml:space="preserve">Addin 单位编码</w:instrText>
      </w:r>
      <w:r>
        <w:rPr>
          <w:rFonts w:hint="eastAsia" w:hAnsi="宋体" w:cs="宋体"/>
          <w:kern w:val="0"/>
          <w:sz w:val="36"/>
          <w:szCs w:val="36"/>
        </w:rPr>
        <w:fldChar w:fldCharType="separate"/>
      </w:r>
      <w:r>
        <w:rPr>
          <w:rFonts w:hint="eastAsia" w:hAnsi="宋体" w:cs="宋体"/>
          <w:kern w:val="0"/>
          <w:sz w:val="36"/>
          <w:szCs w:val="36"/>
        </w:rPr>
        <w:t>塔城地区科学技术局</w:t>
      </w:r>
      <w:r>
        <w:rPr>
          <w:rFonts w:hint="eastAsia" w:hAnsi="宋体" w:cs="宋体"/>
          <w:kern w:val="0"/>
          <w:sz w:val="36"/>
          <w:szCs w:val="36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720" w:firstLineChars="200"/>
        <w:jc w:val="center"/>
        <w:textAlignment w:val="auto"/>
        <w:rPr>
          <w:rFonts w:hint="eastAsia" w:hAnsi="宋体" w:cs="宋体"/>
          <w:kern w:val="0"/>
          <w:sz w:val="36"/>
          <w:szCs w:val="36"/>
        </w:rPr>
      </w:pPr>
      <w:r>
        <w:rPr>
          <w:rFonts w:hint="eastAsia" w:hAnsi="宋体" w:cs="宋体"/>
          <w:kern w:val="0"/>
          <w:sz w:val="36"/>
          <w:szCs w:val="36"/>
          <w:lang w:val="en-US" w:eastAsia="zh-CN"/>
        </w:rPr>
        <w:t xml:space="preserve">       </w:t>
      </w: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cs="宋体"/>
          <w:kern w:val="0"/>
          <w:sz w:val="36"/>
          <w:szCs w:val="36"/>
        </w:rPr>
        <w:fldChar w:fldCharType="begin">
          <w:fldData xml:space="preserve">OAAyADEAQwAyADcAMABCADIANAAxADIANAAzADIANQA5AEYAMgA2AEUAMQBBADEAQgAwAEIAQQAx
AEQANgBBAA==
</w:fldData>
        </w:fldChar>
      </w:r>
      <w:r>
        <w:rPr>
          <w:rFonts w:hint="eastAsia" w:hAnsi="宋体" w:cs="宋体"/>
          <w:kern w:val="0"/>
          <w:sz w:val="36"/>
          <w:szCs w:val="36"/>
        </w:rPr>
        <w:instrText xml:space="preserve">Addin 单位编码</w:instrText>
      </w:r>
      <w:r>
        <w:rPr>
          <w:rFonts w:hint="eastAsia" w:hAnsi="宋体" w:cs="宋体"/>
          <w:kern w:val="0"/>
          <w:sz w:val="36"/>
          <w:szCs w:val="36"/>
        </w:rPr>
        <w:fldChar w:fldCharType="separate"/>
      </w:r>
      <w:r>
        <w:rPr>
          <w:rFonts w:hint="eastAsia" w:hAnsi="宋体" w:cs="宋体"/>
          <w:kern w:val="0"/>
          <w:sz w:val="36"/>
          <w:szCs w:val="36"/>
        </w:rPr>
        <w:t>塔城地区科学技术局</w:t>
      </w:r>
      <w:r>
        <w:rPr>
          <w:rFonts w:hint="eastAsia" w:hAnsi="宋体" w:cs="宋体"/>
          <w:kern w:val="0"/>
          <w:sz w:val="36"/>
          <w:szCs w:val="36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2160" w:firstLineChars="600"/>
        <w:jc w:val="both"/>
        <w:textAlignment w:val="auto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cs="宋体"/>
          <w:kern w:val="0"/>
          <w:sz w:val="36"/>
          <w:szCs w:val="36"/>
          <w:lang w:eastAsia="zh-CN"/>
        </w:rPr>
        <w:t>金卓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2160" w:firstLineChars="600"/>
        <w:jc w:val="both"/>
        <w:textAlignment w:val="auto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2021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4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7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20" w:firstLineChars="200"/>
        <w:jc w:val="center"/>
        <w:textAlignment w:val="auto"/>
        <w:rPr>
          <w:rFonts w:hAnsi="宋体" w:cs="宋体"/>
          <w:kern w:val="0"/>
          <w:sz w:val="36"/>
          <w:szCs w:val="36"/>
        </w:rPr>
      </w:pPr>
    </w:p>
    <w:p>
      <w:pPr>
        <w:jc w:val="center"/>
        <w:rPr>
          <w:rFonts w:hAnsi="宋体" w:cs="宋体"/>
          <w:kern w:val="0"/>
          <w:sz w:val="36"/>
          <w:szCs w:val="36"/>
        </w:rPr>
      </w:pPr>
    </w:p>
    <w:p>
      <w:pPr>
        <w:pStyle w:val="6"/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一、基本情况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1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1、项目背景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按照《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科技园</w:t>
      </w:r>
      <w:r>
        <w:rPr>
          <w:rFonts w:hint="eastAsia" w:ascii="仿宋_GB2312" w:hAnsi="仿宋_GB2312" w:eastAsia="仿宋_GB2312" w:cs="仿宋_GB2312"/>
          <w:sz w:val="32"/>
          <w:szCs w:val="32"/>
        </w:rPr>
        <w:t>塔规划（2011—2020年）》要求，落实“建好互动交流平台，完善秉性引智机制”，搭建辅导科技型企业发展的科技创新平台，为塔城创新创业群体提供互联网资源、开源软硬件平台、产品设计辅导、供应链管理服务和创意思想交流对接等服务，并重点围绕塔城电子商务平台发展，提供服务与咨询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该项目基地占地面积约13000平方米，区域划分为创业基地大楼、创业咖啡厅、户外沙龙等。基地大楼建筑面积2800平方米，配套服务区面积300平方米，其中一楼为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综合性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企业入驻空间；二楼为创业咖啡、基地服务中心、社交与资源共享功能区；三楼设有路演大厅、大学生创业孵化园、电子商务中心；四楼为文化创意产业园。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项目主要内容及实施情况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主要内容：该项目实施主要搭建辅导科技型企业发展的科技创新平台，为塔城创新创业群体提供互联网资源、开源软硬件平台、产品设计辅导、供应链管理服务和创意思想交流对接等服务，并重点围绕塔城电子商务平台发展，提供服务与咨询。项目计划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万元，2019年底完成第一批15.84万元LED显示屏采购及调试完毕，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2020年底完成第二批34.16万元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采购电脑、音视频设备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等，</w:t>
      </w:r>
      <w:r>
        <w:rPr>
          <w:rFonts w:hint="eastAsia" w:ascii="仿宋_GB2312" w:hAnsi="仿宋_GB2312" w:eastAsia="仿宋_GB2312" w:cs="仿宋_GB2312"/>
          <w:sz w:val="32"/>
          <w:szCs w:val="32"/>
        </w:rPr>
        <w:t>并调试安装完毕，创新企业及个人正常入驻平台。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项目实施情况：项目目前已经完成实际设立的目标，项目在实施过程中严格按照目标设立的各阶段任务进行开展工作，在前期立项过程中严格把质量关，建立安全防护机制，保证项目实施各阶段安全顺利进行。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34.16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万元，其中：财政本级资金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34.16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万元。项目实际支出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34.16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万元，支出率为100%。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3、资金投入和使用情况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（1）资金安排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项目总投资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34.16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万元，按照《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资金管理办法》及单位财务制度等相关规定，资金支出符合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费用范围，做到了专款专用。在项目资金拨付和使用过程中，为确保项目资金的安全性，提高项目资金使用效率，严格遵循资金的拨付程序，认真审核项目实施各阶段的相关材料和手续，根据项目实施进展情况拨付资金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（2）预算资金来源及使用情况</w:t>
      </w:r>
      <w:bookmarkStart w:id="0" w:name="page10"/>
      <w:bookmarkEnd w:id="0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项目预算资金来源于塔地财建〔2019〕65号《关于拨付2019年辽宁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援塔城地区“交支票”项目资金的通知》文件中批复的资金，项目资金到位34.16万元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，用于支付项目实施进程中的各项费用。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1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（二）项目绩效目标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1、总体目标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该项目投入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50万元，2</w:t>
      </w:r>
      <w:r>
        <w:rPr>
          <w:rFonts w:hint="eastAsia" w:ascii="仿宋_GB2312" w:hAnsi="仿宋_GB2312" w:eastAsia="仿宋_GB2312" w:cs="仿宋_GB2312"/>
          <w:sz w:val="32"/>
          <w:szCs w:val="32"/>
        </w:rPr>
        <w:t>019年底完成第一批15.84万元LED显示屏采购及调试完毕，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2020年底完成第二批34.16万元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采购电脑、音视频设备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等，</w:t>
      </w:r>
      <w:r>
        <w:rPr>
          <w:rFonts w:hint="eastAsia" w:ascii="仿宋_GB2312" w:hAnsi="仿宋_GB2312" w:eastAsia="仿宋_GB2312" w:cs="仿宋_GB2312"/>
          <w:sz w:val="32"/>
          <w:szCs w:val="32"/>
        </w:rPr>
        <w:t>并调试安装完毕，创新企业及个人正常入驻平台。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2、阶段性目标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（1）前期准备：根据《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科技创新平台信息化建设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方案》，通过制定项目实施方案，经项目负责人审核通过后，有序开展后续工程。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（2）组织实施：资金一到位，立即根据项目要求实施项目。项目责任人按照《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科技创新平台信息化建设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方案》要求逐一进行项目部署安排，提高项目质量及效率性。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二、绩效评价工作开展情况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（一）绩效评价目的、对象和范围。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>1、评价目的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绩效评价旨在通过评价改善预算部门的财政支出管理，优化资源配置及提高公共服务水平。本次绩效评价遵循自治区财政厅《自治区本级财政支出绩效评价管理暂行办法》（新财预〔2018〕188号）和《关于印发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〈</w:t>
      </w:r>
      <w:r>
        <w:rPr>
          <w:rFonts w:hint="eastAsia" w:ascii="仿宋_GB2312" w:hAnsi="仿宋_GB2312" w:cs="仿宋_GB2312"/>
          <w:sz w:val="32"/>
          <w:szCs w:val="32"/>
        </w:rPr>
        <w:t>自治区全面实施预算绩效管理的工作方案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〉</w:t>
      </w:r>
      <w:r>
        <w:rPr>
          <w:rFonts w:hint="eastAsia" w:ascii="仿宋_GB2312" w:hAnsi="仿宋_GB2312" w:cs="仿宋_GB2312"/>
          <w:sz w:val="32"/>
          <w:szCs w:val="32"/>
        </w:rPr>
        <w:t>的通知》（新财预〔2018〕158号）等文件精神，对科技创新平台信息化项目进行绩效评价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为全面了解20</w:t>
      </w:r>
      <w:r>
        <w:rPr>
          <w:rFonts w:hint="eastAsia" w:ascii="仿宋_GB2312"/>
          <w:sz w:val="32"/>
          <w:szCs w:val="32"/>
          <w:lang w:val="en-US" w:eastAsia="zh-CN"/>
        </w:rPr>
        <w:t>20</w:t>
      </w:r>
      <w:r>
        <w:rPr>
          <w:rFonts w:hint="eastAsia" w:ascii="仿宋_GB2312"/>
          <w:sz w:val="32"/>
          <w:szCs w:val="32"/>
        </w:rPr>
        <w:t>年度科技创新平台信息化建设项目预算编审合理性、资金使用合规性、项目管理的规范性、项目目标的 实现情况、服务对象满意度等，通过本次绩效评价来总结经验教训，促进项目成果转化和应用，为今后类似项目的长效管理，提供可行性参考建议。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2、绩效评价的对象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评价对象为塔城地区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科技局科技创新平台信息化建设项目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，评价核心为专项资金的支出完成情况和效果。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3、绩效评价的范围</w:t>
      </w:r>
    </w:p>
    <w:p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firstLine="640" w:firstLineChars="200"/>
        <w:jc w:val="both"/>
        <w:outlineLvl w:val="9"/>
        <w:rPr>
          <w:rFonts w:hint="default" w:eastAsiaTheme="majorEastAsia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</w:rPr>
        <w:t>本次评价从项目决策（包括绩效目标、决策过程）、项目管理（包括项目资金、项目实施）和项目绩效（包括项目产出、项目效果）三个维度进行评价。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00" w:left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（二）绩效评价原则、评价指标体系、评价方法、评价标准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00" w:leftChars="200"/>
        <w:rPr>
          <w:rFonts w:ascii="仿宋_GB2312"/>
          <w:sz w:val="32"/>
          <w:szCs w:val="32"/>
        </w:rPr>
      </w:pPr>
      <w:r>
        <w:rPr>
          <w:rFonts w:hint="eastAsia" w:ascii="仿宋_GB2312"/>
          <w:b/>
          <w:bCs/>
          <w:sz w:val="32"/>
          <w:szCs w:val="32"/>
        </w:rPr>
        <w:t>1、绩效评价遵循以下基本原则</w:t>
      </w:r>
      <w:r>
        <w:rPr>
          <w:rFonts w:hint="eastAsia" w:ascii="仿宋_GB2312"/>
          <w:sz w:val="32"/>
          <w:szCs w:val="32"/>
        </w:rPr>
        <w:t>：</w:t>
      </w:r>
      <w:r>
        <w:rPr>
          <w:rFonts w:hint="eastAsia" w:ascii="仿宋_GB2312"/>
          <w:sz w:val="32"/>
          <w:szCs w:val="32"/>
        </w:rPr>
        <w:br w:type="textWrapping"/>
      </w:r>
      <w:r>
        <w:rPr>
          <w:rFonts w:hint="eastAsia" w:ascii="仿宋_GB2312"/>
          <w:sz w:val="32"/>
          <w:szCs w:val="32"/>
          <w:lang w:eastAsia="zh-CN"/>
        </w:rPr>
        <w:t>（</w:t>
      </w:r>
      <w:r>
        <w:rPr>
          <w:rFonts w:hint="eastAsia" w:ascii="仿宋_GB2312"/>
          <w:sz w:val="32"/>
          <w:szCs w:val="32"/>
        </w:rPr>
        <w:t>1</w:t>
      </w:r>
      <w:r>
        <w:rPr>
          <w:rFonts w:hint="eastAsia" w:ascii="仿宋_GB2312"/>
          <w:sz w:val="32"/>
          <w:szCs w:val="32"/>
          <w:lang w:eastAsia="zh-CN"/>
        </w:rPr>
        <w:t>）</w:t>
      </w:r>
      <w:r>
        <w:rPr>
          <w:rFonts w:hint="eastAsia" w:ascii="仿宋_GB2312"/>
          <w:sz w:val="32"/>
          <w:szCs w:val="32"/>
        </w:rPr>
        <w:t>科学规范原则。绩效评价应注重财政支出的经济性、效率性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和有效性，严格执行规定的程序，采用定量和定性分析相结合的方法。</w:t>
      </w:r>
      <w:r>
        <w:rPr>
          <w:rFonts w:hint="eastAsia" w:ascii="仿宋_GB2312"/>
          <w:sz w:val="32"/>
          <w:szCs w:val="32"/>
        </w:rPr>
        <w:br w:type="textWrapping"/>
      </w:r>
      <w:r>
        <w:rPr>
          <w:rFonts w:hint="eastAsia" w:ascii="仿宋_GB2312"/>
          <w:sz w:val="32"/>
          <w:szCs w:val="32"/>
        </w:rPr>
        <w:t xml:space="preserve">    </w:t>
      </w:r>
      <w:r>
        <w:rPr>
          <w:rFonts w:hint="eastAsia" w:ascii="仿宋_GB2312"/>
          <w:sz w:val="32"/>
          <w:szCs w:val="32"/>
          <w:lang w:eastAsia="zh-CN"/>
        </w:rPr>
        <w:t>（</w:t>
      </w:r>
      <w:r>
        <w:rPr>
          <w:rFonts w:hint="eastAsia" w:ascii="仿宋_GB2312"/>
          <w:sz w:val="32"/>
          <w:szCs w:val="32"/>
        </w:rPr>
        <w:t>2</w:t>
      </w:r>
      <w:r>
        <w:rPr>
          <w:rFonts w:hint="eastAsia" w:ascii="仿宋_GB2312"/>
          <w:sz w:val="32"/>
          <w:szCs w:val="32"/>
          <w:lang w:eastAsia="zh-CN"/>
        </w:rPr>
        <w:t>）</w:t>
      </w:r>
      <w:r>
        <w:rPr>
          <w:rFonts w:hint="eastAsia" w:ascii="仿宋_GB2312"/>
          <w:sz w:val="32"/>
          <w:szCs w:val="32"/>
        </w:rPr>
        <w:t>公正公开原则。绩效评价应当客观、公正，标准统一、资料可靠，依法公开并接受监督。</w:t>
      </w:r>
      <w:r>
        <w:rPr>
          <w:rFonts w:hint="eastAsia" w:ascii="仿宋_GB2312"/>
          <w:sz w:val="32"/>
          <w:szCs w:val="32"/>
        </w:rPr>
        <w:br w:type="textWrapping"/>
      </w:r>
      <w:r>
        <w:rPr>
          <w:rFonts w:hint="eastAsia" w:ascii="仿宋_GB2312"/>
          <w:sz w:val="32"/>
          <w:szCs w:val="32"/>
        </w:rPr>
        <w:t xml:space="preserve">    </w:t>
      </w:r>
      <w:r>
        <w:rPr>
          <w:rFonts w:hint="eastAsia" w:ascii="仿宋_GB2312"/>
          <w:sz w:val="32"/>
          <w:szCs w:val="32"/>
          <w:lang w:eastAsia="zh-CN"/>
        </w:rPr>
        <w:t>（</w:t>
      </w:r>
      <w:r>
        <w:rPr>
          <w:rFonts w:hint="eastAsia" w:ascii="仿宋_GB2312"/>
          <w:sz w:val="32"/>
          <w:szCs w:val="32"/>
        </w:rPr>
        <w:t>3</w:t>
      </w:r>
      <w:r>
        <w:rPr>
          <w:rFonts w:hint="eastAsia" w:ascii="仿宋_GB2312"/>
          <w:sz w:val="32"/>
          <w:szCs w:val="32"/>
          <w:lang w:eastAsia="zh-CN"/>
        </w:rPr>
        <w:t>）</w:t>
      </w:r>
      <w:r>
        <w:rPr>
          <w:rFonts w:hint="eastAsia" w:ascii="仿宋_GB2312"/>
          <w:sz w:val="32"/>
          <w:szCs w:val="32"/>
        </w:rPr>
        <w:t>分类原则。绩效评价根据评价对象的特点分类组织实施。</w:t>
      </w:r>
      <w:r>
        <w:rPr>
          <w:rFonts w:hint="eastAsia" w:ascii="仿宋_GB2312"/>
          <w:sz w:val="32"/>
          <w:szCs w:val="32"/>
        </w:rPr>
        <w:br w:type="textWrapping"/>
      </w:r>
      <w:r>
        <w:rPr>
          <w:rFonts w:hint="eastAsia" w:ascii="仿宋_GB2312"/>
          <w:sz w:val="32"/>
          <w:szCs w:val="32"/>
        </w:rPr>
        <w:t xml:space="preserve">    </w:t>
      </w:r>
      <w:r>
        <w:rPr>
          <w:rFonts w:hint="eastAsia" w:ascii="仿宋_GB2312"/>
          <w:sz w:val="32"/>
          <w:szCs w:val="32"/>
          <w:lang w:eastAsia="zh-CN"/>
        </w:rPr>
        <w:t>（</w:t>
      </w:r>
      <w:r>
        <w:rPr>
          <w:rFonts w:hint="eastAsia" w:ascii="仿宋_GB2312"/>
          <w:sz w:val="32"/>
          <w:szCs w:val="32"/>
        </w:rPr>
        <w:t>4</w:t>
      </w:r>
      <w:r>
        <w:rPr>
          <w:rFonts w:hint="eastAsia" w:ascii="仿宋_GB2312"/>
          <w:sz w:val="32"/>
          <w:szCs w:val="32"/>
          <w:lang w:eastAsia="zh-CN"/>
        </w:rPr>
        <w:t>）</w:t>
      </w:r>
      <w:r>
        <w:rPr>
          <w:rFonts w:hint="eastAsia" w:ascii="仿宋_GB2312"/>
          <w:sz w:val="32"/>
          <w:szCs w:val="32"/>
        </w:rPr>
        <w:t>绩效相关原则。绩效评价需针对具体支出及其产出绩效进行，评价结果应当清晰反映支出和产出绩效之间的紧密对应关系。</w:t>
      </w:r>
      <w:r>
        <w:rPr>
          <w:rFonts w:hint="eastAsia" w:ascii="仿宋_GB2312"/>
          <w:sz w:val="32"/>
          <w:szCs w:val="32"/>
        </w:rPr>
        <w:br w:type="textWrapping"/>
      </w:r>
      <w:r>
        <w:rPr>
          <w:rFonts w:hint="eastAsia" w:ascii="仿宋_GB2312"/>
          <w:sz w:val="32"/>
          <w:szCs w:val="32"/>
        </w:rPr>
        <w:t>本次绩效评价方法主要采用了实地调查法、访谈和指标评价法。</w:t>
      </w:r>
    </w:p>
    <w:p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ascii="仿宋_GB2312"/>
          <w:b/>
          <w:bCs/>
          <w:sz w:val="32"/>
          <w:szCs w:val="32"/>
        </w:rPr>
      </w:pPr>
      <w:r>
        <w:rPr>
          <w:rFonts w:hint="eastAsia" w:ascii="仿宋_GB2312"/>
          <w:b/>
          <w:bCs/>
          <w:sz w:val="32"/>
          <w:szCs w:val="32"/>
        </w:rPr>
        <w:t>绩效评价体系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单位自评采用定量与定性评价相结合的比较法，总分由各项指标得分汇总形成。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0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总分</w:t>
      </w:r>
      <w:r>
        <w:rPr>
          <w:rFonts w:hint="eastAsia" w:ascii="仿宋_GB2312"/>
          <w:sz w:val="32"/>
          <w:szCs w:val="32"/>
        </w:rPr>
        <w:t>一</w:t>
      </w:r>
      <w:r>
        <w:rPr>
          <w:rFonts w:ascii="仿宋_GB2312"/>
          <w:sz w:val="32"/>
          <w:szCs w:val="32"/>
        </w:rPr>
        <w:t>般设置为 100 分，</w:t>
      </w:r>
      <w:r>
        <w:rPr>
          <w:rFonts w:hint="eastAsia" w:ascii="仿宋_GB2312"/>
          <w:sz w:val="32"/>
          <w:szCs w:val="32"/>
        </w:rPr>
        <w:t>等级一般划分</w:t>
      </w:r>
      <w:r>
        <w:rPr>
          <w:rFonts w:ascii="仿宋_GB2312"/>
          <w:sz w:val="32"/>
          <w:szCs w:val="32"/>
        </w:rPr>
        <w:t>为四档：90（含）-100 分为优、80（含）-90 分为良、60（含）-80 分为中、60 分以下为差。</w:t>
      </w:r>
      <w:r>
        <w:rPr>
          <w:rFonts w:hint="eastAsia" w:ascii="仿宋_GB2312"/>
          <w:sz w:val="32"/>
          <w:szCs w:val="32"/>
        </w:rPr>
        <w:t>具体指标体系见附表：</w:t>
      </w:r>
    </w:p>
    <w:tbl>
      <w:tblPr>
        <w:tblStyle w:val="9"/>
        <w:tblW w:w="881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0"/>
        <w:gridCol w:w="960"/>
        <w:gridCol w:w="1570"/>
        <w:gridCol w:w="960"/>
        <w:gridCol w:w="2430"/>
        <w:gridCol w:w="138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决策</w:t>
            </w: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绩效目标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绩效目标明确性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决策过程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决策过程规范性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过程</w:t>
            </w: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资金到位率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资金使用规范性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项目实施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管理制度健全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5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</w:t>
            </w: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产出数量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产出完成率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产出质量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质量达标率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产出时效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产出及时率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成本情况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成本控制率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51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效益</w:t>
            </w: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项目效益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实施效益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51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</w:tr>
    </w:tbl>
    <w:p>
      <w:pPr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cs="仿宋_GB2312"/>
          <w:b/>
          <w:bCs/>
          <w:sz w:val="32"/>
          <w:szCs w:val="32"/>
        </w:rPr>
        <w:t>评价方法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绩效评价方法主要包括成本效益分析法、比较法、因素分析法、最低成本法、公众评判法、标杆管理法等。针对本项目，在评价过程中主要采用了因素分析法法。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600" w:leftChars="200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cs="仿宋_GB2312"/>
          <w:b/>
          <w:bCs/>
          <w:sz w:val="32"/>
          <w:szCs w:val="32"/>
        </w:rPr>
        <w:t>4、评价标准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绩效评价标准通常包括计划标准、行业标准、历史标准等，用于对绩效指标完成情况进行比较。本次评价主要采用了计划标准和行业标准。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 xml:space="preserve">   （三）绩效评价工作过程。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单位负责结合实际制定本部门绩效评价办法，组织部门本级和所属单位开展自评工作，汇总自评结果，加强自评结果审核和应用；具体组织实施部门评价工作，加强评价结果反馈和应用。积极配合财政评价工作，落实评价整改意见。</w:t>
      </w:r>
    </w:p>
    <w:p>
      <w:pPr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综合评价情况及评价结论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rPr>
          <w:sz w:val="32"/>
          <w:szCs w:val="32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按照有项目评价小组设计的评价指标体系及评分标准，通过即出表、调查及满意度评分，对20</w:t>
      </w:r>
      <w:r>
        <w:rPr>
          <w:rFonts w:hint="eastAsia" w:ascii="仿宋_GB2312"/>
          <w:sz w:val="32"/>
          <w:szCs w:val="32"/>
          <w:lang w:val="en-US" w:eastAsia="zh-CN"/>
        </w:rPr>
        <w:t>20</w:t>
      </w:r>
      <w:r>
        <w:rPr>
          <w:rFonts w:hint="eastAsia" w:ascii="仿宋_GB2312"/>
          <w:sz w:val="32"/>
          <w:szCs w:val="32"/>
        </w:rPr>
        <w:t>年科技创新平台信息化建设项目进行客观评价，项目得分</w:t>
      </w:r>
      <w:r>
        <w:rPr>
          <w:rFonts w:hint="eastAsia" w:ascii="仿宋_GB2312"/>
          <w:sz w:val="32"/>
          <w:szCs w:val="32"/>
          <w:lang w:val="en-US" w:eastAsia="zh-CN"/>
        </w:rPr>
        <w:t>95</w:t>
      </w:r>
      <w:r>
        <w:rPr>
          <w:rFonts w:hint="eastAsia" w:ascii="仿宋_GB2312"/>
          <w:sz w:val="32"/>
          <w:szCs w:val="32"/>
        </w:rPr>
        <w:t>分，属于优秀。</w:t>
      </w:r>
    </w:p>
    <w:p>
      <w:pPr>
        <w:pStyle w:val="15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1347" w:firstLineChars="421"/>
        <w:rPr>
          <w:rFonts w:ascii="仿宋_GB2312"/>
          <w:sz w:val="32"/>
          <w:szCs w:val="32"/>
        </w:rPr>
      </w:pPr>
      <w:r>
        <w:rPr>
          <w:rFonts w:hint="eastAsia" w:ascii="仿宋_GB2312" w:hAnsi="仿宋_GB2312" w:cs="仿宋_GB2312"/>
          <w:color w:val="000000"/>
          <w:kern w:val="0"/>
          <w:sz w:val="32"/>
          <w:szCs w:val="32"/>
        </w:rPr>
        <w:t>科技创新平台信息化建设绩效评价项目得分情况表</w:t>
      </w:r>
    </w:p>
    <w:tbl>
      <w:tblPr>
        <w:tblStyle w:val="9"/>
        <w:tblW w:w="905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2292"/>
        <w:gridCol w:w="2140"/>
        <w:gridCol w:w="183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</w:trPr>
        <w:tc>
          <w:tcPr>
            <w:tcW w:w="27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一级指标</w:t>
            </w:r>
          </w:p>
        </w:tc>
        <w:tc>
          <w:tcPr>
            <w:tcW w:w="22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权重</w:t>
            </w:r>
          </w:p>
        </w:tc>
        <w:tc>
          <w:tcPr>
            <w:tcW w:w="21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得分率</w:t>
            </w:r>
          </w:p>
        </w:tc>
        <w:tc>
          <w:tcPr>
            <w:tcW w:w="18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实际得分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7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决策</w:t>
            </w:r>
          </w:p>
        </w:tc>
        <w:tc>
          <w:tcPr>
            <w:tcW w:w="22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8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7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过程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75%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7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7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效益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279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  计</w:t>
            </w:r>
          </w:p>
        </w:tc>
        <w:tc>
          <w:tcPr>
            <w:tcW w:w="22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8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四、绩效评价指标分析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outlineLvl w:val="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（一）项目决策情况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项目决策指标从绩效目标、决策过程2个方面对项目的决策情况进行考察，项目决策类指标分值20分，实际得分20分，得分率100%。项目决策指标得分情况如表所示。</w:t>
      </w:r>
    </w:p>
    <w:tbl>
      <w:tblPr>
        <w:tblStyle w:val="9"/>
        <w:tblW w:w="8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7"/>
        <w:gridCol w:w="2269"/>
        <w:gridCol w:w="1986"/>
        <w:gridCol w:w="17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22" w:type="dxa"/>
            <w:gridSpan w:val="4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32"/>
                <w:szCs w:val="32"/>
              </w:rPr>
              <w:t>项目决策指标得分情况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三级指标</w:t>
            </w:r>
          </w:p>
        </w:tc>
        <w:tc>
          <w:tcPr>
            <w:tcW w:w="2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权重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得分率</w:t>
            </w:r>
          </w:p>
        </w:tc>
        <w:tc>
          <w:tcPr>
            <w:tcW w:w="1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实际得分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绩效目标</w:t>
            </w:r>
          </w:p>
        </w:tc>
        <w:tc>
          <w:tcPr>
            <w:tcW w:w="2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1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决策过程</w:t>
            </w:r>
          </w:p>
        </w:tc>
        <w:tc>
          <w:tcPr>
            <w:tcW w:w="22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5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  计</w:t>
            </w:r>
          </w:p>
        </w:tc>
        <w:tc>
          <w:tcPr>
            <w:tcW w:w="226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9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7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对于“绩效目标”，科技创新平台信息化建设项目设置了较为详细的绩效目标，绩效目标满足明确性和合理性的要求，根据评分标准，实际得分率为100%。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对于“决策过程”，科技创新平台信息化建设项目是地区发改委、财政局下文保障同意我单位组织实施的一项重要采购类工程，项目年度计划方案完整，立项清晰，项目资金申请文件齐全，申报材料审批完整。根据评分标准，该指标不扣分。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outlineLvl w:val="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项目过程情况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项目过程指标从项目资金的资金到位率、预算执行率以及资金使用规范性、管理制度健全性等4个指标进行评价，分值20分，实际得分20分，得分率为100%。项目管理指标得分情况如表所示。</w:t>
      </w:r>
    </w:p>
    <w:tbl>
      <w:tblPr>
        <w:tblStyle w:val="9"/>
        <w:tblW w:w="8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4"/>
        <w:gridCol w:w="2408"/>
        <w:gridCol w:w="1986"/>
        <w:gridCol w:w="18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  <w:jc w:val="center"/>
        </w:trPr>
        <w:tc>
          <w:tcPr>
            <w:tcW w:w="8522" w:type="dxa"/>
            <w:gridSpan w:val="4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32"/>
                <w:szCs w:val="32"/>
              </w:rPr>
              <w:t>项目管理指标得分情况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  <w:jc w:val="center"/>
        </w:trPr>
        <w:tc>
          <w:tcPr>
            <w:tcW w:w="2234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三级指标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权重</w:t>
            </w: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得分率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实际得分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exact"/>
          <w:jc w:val="center"/>
        </w:trPr>
        <w:tc>
          <w:tcPr>
            <w:tcW w:w="22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资金到位率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2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资金使用规范性</w:t>
            </w:r>
          </w:p>
        </w:tc>
        <w:tc>
          <w:tcPr>
            <w:tcW w:w="2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管理制度健全性</w:t>
            </w:r>
          </w:p>
        </w:tc>
        <w:tc>
          <w:tcPr>
            <w:tcW w:w="2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0%</w:t>
            </w:r>
          </w:p>
        </w:tc>
        <w:tc>
          <w:tcPr>
            <w:tcW w:w="1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9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对于“资金到位率”，该项目20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 w:val="32"/>
          <w:szCs w:val="32"/>
        </w:rPr>
        <w:t>年列入预算，资金到位及时，到位率为100%。根据评分标准，该指标不扣分。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对于“预算执行率”，该项目20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 w:val="32"/>
          <w:szCs w:val="32"/>
        </w:rPr>
        <w:t>年度资金支付率100%。根据评分标准，该指标不扣分。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对于“资金使用规范性”，项目资金使用严格按照局机关的财务制度执行，根据评分标准，该指标不扣分。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对于“管理制度健全性”，项目实施过程中，未制定项目管理制度，根据评分标准，该指标扣5分。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outlineLvl w:val="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项目产出情况。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项目绩效主要从项目产出的产出数量、产出质量、产出时效、成本情况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等</w:t>
      </w:r>
      <w:r>
        <w:rPr>
          <w:rFonts w:hint="eastAsia" w:ascii="仿宋_GB2312" w:hAnsi="仿宋_GB2312" w:cs="仿宋_GB2312"/>
          <w:sz w:val="32"/>
          <w:szCs w:val="32"/>
        </w:rPr>
        <w:t>4个方面对项目的绩效情况进行评价。项目绩效类指标分值40分，实际得分40分，得分率为100%。项目绩效指标得分情况如表所示。</w:t>
      </w:r>
    </w:p>
    <w:tbl>
      <w:tblPr>
        <w:tblStyle w:val="9"/>
        <w:tblW w:w="903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3045"/>
        <w:gridCol w:w="930"/>
        <w:gridCol w:w="1170"/>
        <w:gridCol w:w="234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  <w:jc w:val="center"/>
        </w:trPr>
        <w:tc>
          <w:tcPr>
            <w:tcW w:w="9036" w:type="dxa"/>
            <w:gridSpan w:val="5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2240" w:firstLineChars="700"/>
              <w:rPr>
                <w:rFonts w:ascii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32"/>
                <w:szCs w:val="32"/>
              </w:rPr>
              <w:t>项目绩效指标得分情况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  <w:jc w:val="center"/>
        </w:trPr>
        <w:tc>
          <w:tcPr>
            <w:tcW w:w="1545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三级指标</w:t>
            </w: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三级明细指标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权重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得分率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实际得分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1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产出数量</w:t>
            </w:r>
          </w:p>
        </w:tc>
        <w:tc>
          <w:tcPr>
            <w:tcW w:w="30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spacing w:val="-4"/>
                <w:kern w:val="2"/>
                <w:sz w:val="18"/>
                <w:szCs w:val="18"/>
                <w:lang w:val="en-US" w:eastAsia="zh-CN" w:bidi="ar-SA"/>
              </w:rPr>
              <w:t>购置电脑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exact"/>
          <w:jc w:val="center"/>
        </w:trPr>
        <w:tc>
          <w:tcPr>
            <w:tcW w:w="1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产出数量</w:t>
            </w:r>
          </w:p>
        </w:tc>
        <w:tc>
          <w:tcPr>
            <w:tcW w:w="30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Style w:val="8"/>
                <w:rFonts w:hint="eastAsia" w:ascii="宋体" w:hAnsi="宋体" w:eastAsia="宋体" w:cs="宋体"/>
                <w:b w:val="0"/>
                <w:spacing w:val="-4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spacing w:val="-4"/>
                <w:kern w:val="2"/>
                <w:sz w:val="18"/>
                <w:szCs w:val="18"/>
                <w:lang w:val="en-US" w:eastAsia="zh-CN" w:bidi="ar-SA"/>
              </w:rPr>
              <w:t>购置电视、音频设备</w:t>
            </w:r>
          </w:p>
        </w:tc>
        <w:tc>
          <w:tcPr>
            <w:tcW w:w="9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2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产出质量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政府采购率、购置质量合格率、购置验收通过率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产出时效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该项目执行有效期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成本情况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按项目预算执行率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  计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40</w:t>
            </w:r>
          </w:p>
        </w:tc>
      </w:tr>
    </w:tbl>
    <w:p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24" w:firstLineChars="200"/>
        <w:textAlignment w:val="auto"/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  <w:t>数量指标：购置电脑，预期指标值10台以上，指标完成值11台，指标完成率100%；</w:t>
      </w:r>
    </w:p>
    <w:p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24" w:firstLineChars="200"/>
        <w:textAlignment w:val="auto"/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  <w:t>购置电视、音频设备，预期指标值1套，指标完成值2套，指标完成率100%；</w:t>
      </w:r>
    </w:p>
    <w:p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24" w:firstLineChars="200"/>
        <w:textAlignment w:val="auto"/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  <w:t>质量指标：政府采购率，预期指标值100%，指标完成值100%，指标完成率100%；</w:t>
      </w:r>
    </w:p>
    <w:p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24" w:firstLineChars="200"/>
        <w:textAlignment w:val="auto"/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  <w:t>设备使用次数，预期指标值5次以上，指标完成值5次，指标完成率100%；</w:t>
      </w:r>
    </w:p>
    <w:p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24" w:firstLineChars="200"/>
        <w:textAlignment w:val="auto"/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  <w:t>验收合格率，预期指标值100%，指标完成值100%，指标完成率100%；</w:t>
      </w:r>
    </w:p>
    <w:p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24" w:firstLineChars="200"/>
        <w:textAlignment w:val="auto"/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  <w:t>时效指标：该项目执行有效期，预期指标值1年，指标完成值1年，指标完成率100%；</w:t>
      </w:r>
    </w:p>
    <w:p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24" w:firstLineChars="200"/>
        <w:textAlignment w:val="auto"/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  <w:t>成本指标：采购成本，预期指标值小于等于34.16万元，指标完成值34.16万元，指标完成率100%；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outlineLvl w:val="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项目效益情况。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项目绩效主要从项目产出的实施效益、满意度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 w:val="32"/>
          <w:szCs w:val="32"/>
        </w:rPr>
        <w:t>个方面对项目的绩效情况进行评价。项目绩效类指标分值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 w:val="32"/>
          <w:szCs w:val="32"/>
        </w:rPr>
        <w:t>分，实际得分2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8.5</w:t>
      </w:r>
      <w:r>
        <w:rPr>
          <w:rFonts w:hint="eastAsia" w:ascii="仿宋_GB2312" w:hAnsi="仿宋_GB2312" w:cs="仿宋_GB2312"/>
          <w:sz w:val="32"/>
          <w:szCs w:val="32"/>
        </w:rPr>
        <w:t>分，得分率为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95</w:t>
      </w:r>
      <w:r>
        <w:rPr>
          <w:rFonts w:hint="eastAsia" w:ascii="仿宋_GB2312" w:hAnsi="仿宋_GB2312" w:cs="仿宋_GB2312"/>
          <w:sz w:val="32"/>
          <w:szCs w:val="32"/>
        </w:rPr>
        <w:t>%。项目绩效指标得分情况如表所示。</w:t>
      </w:r>
    </w:p>
    <w:tbl>
      <w:tblPr>
        <w:tblStyle w:val="9"/>
        <w:tblpPr w:leftFromText="180" w:rightFromText="180" w:vertAnchor="text" w:horzAnchor="page" w:tblpX="1533" w:tblpY="550"/>
        <w:tblOverlap w:val="never"/>
        <w:tblW w:w="903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0"/>
        <w:gridCol w:w="2730"/>
        <w:gridCol w:w="930"/>
        <w:gridCol w:w="1170"/>
        <w:gridCol w:w="234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9036" w:type="dxa"/>
            <w:gridSpan w:val="5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firstLine="2240" w:firstLineChars="700"/>
              <w:jc w:val="center"/>
              <w:rPr>
                <w:rFonts w:ascii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sz w:val="32"/>
                <w:szCs w:val="32"/>
              </w:rPr>
              <w:t>项目绩效指标得分情况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</w:trPr>
        <w:tc>
          <w:tcPr>
            <w:tcW w:w="186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三级指标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三级明细指标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权重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得分率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000000" w:fill="A6A6A6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000000"/>
                <w:kern w:val="0"/>
                <w:sz w:val="32"/>
                <w:szCs w:val="32"/>
              </w:rPr>
              <w:t>实际得分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exact"/>
        </w:trPr>
        <w:tc>
          <w:tcPr>
            <w:tcW w:w="18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实施效益</w:t>
            </w:r>
          </w:p>
        </w:tc>
        <w:tc>
          <w:tcPr>
            <w:tcW w:w="2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业务保障能力提升情况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</w:trPr>
        <w:tc>
          <w:tcPr>
            <w:tcW w:w="1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提升公共服务水平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服务对象满意度</w:t>
            </w:r>
          </w:p>
        </w:tc>
        <w:tc>
          <w:tcPr>
            <w:tcW w:w="2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平台使用人员满意度</w:t>
            </w: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  计</w:t>
            </w:r>
          </w:p>
        </w:tc>
        <w:tc>
          <w:tcPr>
            <w:tcW w:w="2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2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</w:tr>
    </w:tbl>
    <w:p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40" w:firstLineChars="300"/>
        <w:textAlignment w:val="auto"/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对于“社会效益”，科技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创新</w:t>
      </w:r>
      <w:r>
        <w:rPr>
          <w:rFonts w:hint="eastAsia" w:ascii="仿宋_GB2312" w:hAnsi="仿宋_GB2312" w:cs="仿宋_GB2312"/>
          <w:sz w:val="32"/>
          <w:szCs w:val="32"/>
        </w:rPr>
        <w:t>平台信息化建设是为塔城创新</w:t>
      </w:r>
      <w:r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  <w:t>业务保障能力提升情况，预期指标值有所提升，指标完成值有所提升，指标完成率100%。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创业群体提供互联网资源、开源软硬件平台、产品设计辅导、供应链管理服务和创意思想交流对接等服务，并重点围绕塔城电子商务平台发展，提供服务与咨询。根据指标评分标准，该指标不扣分。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对于“服务对象满意度”，发放的调查问卷中的满意度问题主要包括：在科技创新平台工作人员的评价；每项指标的满意度分为四档，即“非常满意”、“满意”、“一般”、“不满意”；受调查人员全部“非常满意”得满分10分。综合问卷调查结果，满意度分析结果为10分。根据指标评分标准，该指标实际得分率为100%。</w:t>
      </w:r>
    </w:p>
    <w:p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24" w:firstLineChars="200"/>
        <w:textAlignment w:val="auto"/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  <w:t>社会效益指标：业务保障能力提升情况，预期指标值有所提升，指标完成值有所提升，指标完成率100%。</w:t>
      </w:r>
    </w:p>
    <w:p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24" w:firstLineChars="200"/>
        <w:textAlignment w:val="auto"/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  <w:t>可持续影响指标：预计设备使用年限，预期指标值10年，指标完成值10年，指标完成率100%；</w:t>
      </w:r>
    </w:p>
    <w:p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24" w:firstLineChars="200"/>
        <w:textAlignment w:val="auto"/>
      </w:pPr>
      <w:r>
        <w:rPr>
          <w:rStyle w:val="8"/>
          <w:rFonts w:hint="eastAsia" w:ascii="仿宋" w:hAnsi="仿宋" w:eastAsia="仿宋" w:cs="仿宋"/>
          <w:b w:val="0"/>
          <w:spacing w:val="-4"/>
          <w:kern w:val="2"/>
          <w:sz w:val="32"/>
          <w:szCs w:val="32"/>
          <w:lang w:val="en-US" w:eastAsia="zh-CN" w:bidi="ar-SA"/>
        </w:rPr>
        <w:t>服务对象满意度指标：平台使用人员满意率，预期指标值85%以上，指标完成值90%，指标完成率100%；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/>
          <w:b/>
          <w:bCs/>
          <w:sz w:val="32"/>
          <w:szCs w:val="32"/>
        </w:rPr>
        <w:t>主要经验及做法、存在的问题及原因分析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（一）主要经验及做法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>
      <w:pPr>
        <w:keepNext/>
        <w:keepLines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1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存在的问题及原因分析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存在的问题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一是运营成本较高；二是舆论宣传不够；三是专业人才缺乏。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>2.原因分析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一是塔城丝路创新创业基地作为创新创业服务平台，按照塔城地区对众创空间建设要求，要建设线上物理空间、线下网络空间，并有创业导师、投融资基金及企业、团队入驻，需要组件专业的运营团队，在管理、维护、推广等方面，具有较高的运营成本。二是本地媒体对众创空间的宣传较少，群众对众创空间了解得不多，对众创空间这种大众创业万众创新的新型载体认识不到位。三是塔城市隶属于新疆塔城地区，位于中国西北边陲，地处塔额盆地北缘，塔尔巴哈台山南坡，额敏河北岸，西部和北部与哈萨克斯坦接壤，距离新疆首府乌鲁木齐市530千米。高端人才难留，人才流失大，返乡大学生大多都选择去国企、考公务员、事业编，基地及入孵企业招人困难。</w:t>
      </w:r>
    </w:p>
    <w:p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1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有关建议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加大项目绩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z w:val="32"/>
          <w:szCs w:val="32"/>
        </w:rPr>
        <w:t xml:space="preserve">效管理培训力度，贯彻落实相关办法及制度。采取集中学习、讲座、专题会议等方式，加大对参与绩效管理工作的人员培训力度，进一步统一认识，充实业务知识。以提高工作人员素质，以达到预算绩效管理标准化、常态化的要求，最终实现提高绩效管理工作效率及质量的目标。 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财政和项目实施单位严格实行“三专”管理，即设专户、建专帐、定专人。同时，资金拨付除坚持按项目计划、工程进度和质量分阶段验收拨款外，还坚持部门联审制，项目单位先做事、后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报账</w:t>
      </w:r>
      <w:r>
        <w:rPr>
          <w:rFonts w:hint="eastAsia" w:ascii="仿宋_GB2312" w:hAnsi="仿宋_GB2312" w:eastAsia="仿宋_GB2312" w:cs="仿宋_GB2312"/>
          <w:sz w:val="32"/>
          <w:szCs w:val="32"/>
        </w:rPr>
        <w:t>，从而确保专项资金专款专用，有效地防止了截留、挤占和挪用。</w:t>
      </w:r>
    </w:p>
    <w:p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1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其他需要说</w:t>
      </w:r>
      <w:bookmarkStart w:id="1" w:name="page8"/>
      <w:bookmarkEnd w:id="1"/>
      <w:r>
        <w:rPr>
          <w:rFonts w:hint="eastAsia" w:ascii="黑体" w:hAnsi="黑体" w:eastAsia="黑体"/>
          <w:b/>
          <w:bCs/>
          <w:sz w:val="32"/>
          <w:szCs w:val="32"/>
        </w:rPr>
        <w:t>明的问题</w:t>
      </w:r>
    </w:p>
    <w:p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sectPr>
          <w:footerReference r:id="rId3" w:type="default"/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无。</w:t>
      </w:r>
    </w:p>
    <w:p>
      <w:pPr>
        <w:numPr>
          <w:ilvl w:val="0"/>
          <w:numId w:val="6"/>
        </w:numPr>
        <w:spacing w:line="600" w:lineRule="exact"/>
        <w:ind w:firstLine="641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附表：《项目支出绩效自评表》</w:t>
      </w:r>
    </w:p>
    <w:tbl>
      <w:tblPr>
        <w:tblStyle w:val="9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696"/>
        <w:gridCol w:w="696"/>
        <w:gridCol w:w="696"/>
        <w:gridCol w:w="696"/>
        <w:gridCol w:w="696"/>
        <w:gridCol w:w="2007"/>
        <w:gridCol w:w="1392"/>
        <w:gridCol w:w="248"/>
        <w:gridCol w:w="125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908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   2020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90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68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科技创新平台信息化建设（塔地财建〔2019〕65号《关于拨付2019年辽宁援塔城地区“交支票”项目资金度通知》）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7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塔城地区科技局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/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27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34.16</w:t>
            </w:r>
          </w:p>
        </w:tc>
        <w:tc>
          <w:tcPr>
            <w:tcW w:w="27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34.16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34.16</w:t>
            </w:r>
          </w:p>
        </w:tc>
        <w:tc>
          <w:tcPr>
            <w:tcW w:w="1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34.16</w:t>
            </w:r>
          </w:p>
        </w:tc>
        <w:tc>
          <w:tcPr>
            <w:tcW w:w="27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34.16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34.16</w:t>
            </w:r>
          </w:p>
        </w:tc>
        <w:tc>
          <w:tcPr>
            <w:tcW w:w="1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3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27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5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  <w:jc w:val="center"/>
        </w:trPr>
        <w:tc>
          <w:tcPr>
            <w:tcW w:w="6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4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28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exac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8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1、完成科技创新平台信息化建设电脑等办公设备采购；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2、政府采购率达100%，且质量合格，通过验收；</w:t>
            </w:r>
          </w:p>
        </w:tc>
        <w:tc>
          <w:tcPr>
            <w:tcW w:w="2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1、完成科技创新平台信息化建设电脑等办公设备采购；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2、政府采购率达100%，且质量合格，通过验收；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仿宋_GB2312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购置电脑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≥10台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11台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购置电视、音屏设备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≥1套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2套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政府采购率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设备使用次数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≥5次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5次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验收合格率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=100%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该项目执行有效期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1年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1年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采购成本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≤34.16万元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34.16万元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业务保障能力提升情况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有所提升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exac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预计设备使用年限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10年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10年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exac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0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平台使用人员满意度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≥85%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90%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仿宋_GB2312" w:hAnsi="仿宋_GB2312" w:cs="仿宋_GB2312"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  <w:rPr>
                    <w:rFonts w:hint="eastAsia" w:eastAsia="仿宋_GB2312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3D2FA9"/>
    <w:multiLevelType w:val="singleLevel"/>
    <w:tmpl w:val="9D3D2FA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FA28C8E"/>
    <w:multiLevelType w:val="singleLevel"/>
    <w:tmpl w:val="9FA28C8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E7FBC81"/>
    <w:multiLevelType w:val="singleLevel"/>
    <w:tmpl w:val="EE7FBC8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FF9379A8"/>
    <w:multiLevelType w:val="singleLevel"/>
    <w:tmpl w:val="FF9379A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00000001"/>
    <w:multiLevelType w:val="multilevel"/>
    <w:tmpl w:val="00000001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425" w:hanging="425"/>
      </w:pPr>
    </w:lvl>
    <w:lvl w:ilvl="1" w:tentative="0">
      <w:start w:val="1"/>
      <w:numFmt w:val="none"/>
      <w:lvlRestart w:val="0"/>
      <w:suff w:val="nothing"/>
      <w:lvlText w:val=""/>
      <w:lvlJc w:val="left"/>
      <w:pPr>
        <w:tabs>
          <w:tab w:val="left" w:pos="0"/>
        </w:tabs>
        <w:ind w:left="992" w:hanging="992"/>
      </w:pPr>
    </w:lvl>
    <w:lvl w:ilvl="2" w:tentative="0">
      <w:start w:val="1"/>
      <w:numFmt w:val="none"/>
      <w:lvlRestart w:val="0"/>
      <w:pStyle w:val="2"/>
      <w:suff w:val="nothing"/>
      <w:lvlText w:val=""/>
      <w:lvlJc w:val="left"/>
      <w:pPr>
        <w:tabs>
          <w:tab w:val="left" w:pos="0"/>
        </w:tabs>
        <w:ind w:left="1418" w:hanging="1418"/>
      </w:pPr>
    </w:lvl>
    <w:lvl w:ilvl="3" w:tentative="0">
      <w:start w:val="1"/>
      <w:numFmt w:val="none"/>
      <w:lvlRestart w:val="0"/>
      <w:suff w:val="nothing"/>
      <w:lvlText w:val=""/>
      <w:lvlJc w:val="left"/>
      <w:pPr>
        <w:tabs>
          <w:tab w:val="left" w:pos="0"/>
        </w:tabs>
        <w:ind w:left="1984" w:hanging="1984"/>
      </w:pPr>
    </w:lvl>
    <w:lvl w:ilvl="4" w:tentative="0">
      <w:start w:val="1"/>
      <w:numFmt w:val="none"/>
      <w:lvlRestart w:val="0"/>
      <w:suff w:val="nothing"/>
      <w:lvlText w:val=""/>
      <w:lvlJc w:val="left"/>
      <w:pPr>
        <w:tabs>
          <w:tab w:val="left" w:pos="0"/>
        </w:tabs>
        <w:ind w:left="2551" w:hanging="2551"/>
      </w:pPr>
    </w:lvl>
    <w:lvl w:ilvl="5" w:tentative="0">
      <w:start w:val="1"/>
      <w:numFmt w:val="none"/>
      <w:lvlRestart w:val="0"/>
      <w:suff w:val="nothing"/>
      <w:lvlText w:val=""/>
      <w:lvlJc w:val="left"/>
      <w:pPr>
        <w:tabs>
          <w:tab w:val="left" w:pos="0"/>
        </w:tabs>
        <w:ind w:left="3260" w:hanging="3260"/>
      </w:pPr>
    </w:lvl>
    <w:lvl w:ilvl="6" w:tentative="0">
      <w:start w:val="1"/>
      <w:numFmt w:val="none"/>
      <w:lvlRestart w:val="0"/>
      <w:suff w:val="nothing"/>
      <w:lvlText w:val=""/>
      <w:lvlJc w:val="left"/>
      <w:pPr>
        <w:tabs>
          <w:tab w:val="left" w:pos="0"/>
        </w:tabs>
        <w:ind w:left="3827" w:hanging="3827"/>
      </w:pPr>
    </w:lvl>
    <w:lvl w:ilvl="7" w:tentative="0">
      <w:start w:val="1"/>
      <w:numFmt w:val="none"/>
      <w:lvlRestart w:val="0"/>
      <w:suff w:val="nothing"/>
      <w:lvlText w:val=""/>
      <w:lvlJc w:val="left"/>
      <w:pPr>
        <w:tabs>
          <w:tab w:val="left" w:pos="0"/>
        </w:tabs>
        <w:ind w:left="4394" w:hanging="4394"/>
      </w:pPr>
    </w:lvl>
    <w:lvl w:ilvl="8" w:tentative="0">
      <w:start w:val="1"/>
      <w:numFmt w:val="none"/>
      <w:lvlRestart w:val="0"/>
      <w:suff w:val="nothing"/>
      <w:lvlText w:val=""/>
      <w:lvlJc w:val="left"/>
      <w:pPr>
        <w:tabs>
          <w:tab w:val="left" w:pos="0"/>
        </w:tabs>
        <w:ind w:left="5102" w:hanging="5102"/>
      </w:pPr>
    </w:lvl>
  </w:abstractNum>
  <w:abstractNum w:abstractNumId="5">
    <w:nsid w:val="3FFF8831"/>
    <w:multiLevelType w:val="singleLevel"/>
    <w:tmpl w:val="3FFF883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2158D"/>
    <w:rsid w:val="00153F31"/>
    <w:rsid w:val="00156024"/>
    <w:rsid w:val="00190E33"/>
    <w:rsid w:val="001E6149"/>
    <w:rsid w:val="00214AB7"/>
    <w:rsid w:val="002D7086"/>
    <w:rsid w:val="00351CCB"/>
    <w:rsid w:val="003A083C"/>
    <w:rsid w:val="003B5167"/>
    <w:rsid w:val="003C6BED"/>
    <w:rsid w:val="0041219C"/>
    <w:rsid w:val="004F7471"/>
    <w:rsid w:val="0053180E"/>
    <w:rsid w:val="00566E40"/>
    <w:rsid w:val="00775046"/>
    <w:rsid w:val="00793284"/>
    <w:rsid w:val="007C719F"/>
    <w:rsid w:val="0082158D"/>
    <w:rsid w:val="0084205C"/>
    <w:rsid w:val="00851BBA"/>
    <w:rsid w:val="00961824"/>
    <w:rsid w:val="009B356D"/>
    <w:rsid w:val="00A22D9F"/>
    <w:rsid w:val="00A56DBE"/>
    <w:rsid w:val="00B078D0"/>
    <w:rsid w:val="00B32D8E"/>
    <w:rsid w:val="00B37854"/>
    <w:rsid w:val="00C741F2"/>
    <w:rsid w:val="00DE57BA"/>
    <w:rsid w:val="00E25680"/>
    <w:rsid w:val="023F5744"/>
    <w:rsid w:val="04CB613E"/>
    <w:rsid w:val="07890EE8"/>
    <w:rsid w:val="07A863E2"/>
    <w:rsid w:val="07BE2E36"/>
    <w:rsid w:val="0941490C"/>
    <w:rsid w:val="09AB7055"/>
    <w:rsid w:val="09E82586"/>
    <w:rsid w:val="0BD14ED4"/>
    <w:rsid w:val="0C5362AD"/>
    <w:rsid w:val="0CD34DEC"/>
    <w:rsid w:val="0F0D73DA"/>
    <w:rsid w:val="0F4C0664"/>
    <w:rsid w:val="0F887969"/>
    <w:rsid w:val="0FF2205B"/>
    <w:rsid w:val="10A36133"/>
    <w:rsid w:val="123B2156"/>
    <w:rsid w:val="13544561"/>
    <w:rsid w:val="139721C2"/>
    <w:rsid w:val="1432450C"/>
    <w:rsid w:val="14C55AA5"/>
    <w:rsid w:val="15AE2BBE"/>
    <w:rsid w:val="198C2F42"/>
    <w:rsid w:val="1BAC3335"/>
    <w:rsid w:val="1C5E6A34"/>
    <w:rsid w:val="1CA020B8"/>
    <w:rsid w:val="1CC90AA6"/>
    <w:rsid w:val="1E562387"/>
    <w:rsid w:val="1EAE00D9"/>
    <w:rsid w:val="1F4F4BDE"/>
    <w:rsid w:val="200617A4"/>
    <w:rsid w:val="20355558"/>
    <w:rsid w:val="223C06B0"/>
    <w:rsid w:val="231455F3"/>
    <w:rsid w:val="24DE3D27"/>
    <w:rsid w:val="26046FC4"/>
    <w:rsid w:val="263B63E6"/>
    <w:rsid w:val="266745BC"/>
    <w:rsid w:val="273D0AE1"/>
    <w:rsid w:val="292A7EEE"/>
    <w:rsid w:val="2A3723FE"/>
    <w:rsid w:val="2A376F68"/>
    <w:rsid w:val="2A624C3C"/>
    <w:rsid w:val="2B2A6CB8"/>
    <w:rsid w:val="2C5B002F"/>
    <w:rsid w:val="2D8B0E10"/>
    <w:rsid w:val="2F385C55"/>
    <w:rsid w:val="31196E89"/>
    <w:rsid w:val="323E1CC1"/>
    <w:rsid w:val="328A15A6"/>
    <w:rsid w:val="334572AB"/>
    <w:rsid w:val="33A01207"/>
    <w:rsid w:val="35F87C4F"/>
    <w:rsid w:val="36855500"/>
    <w:rsid w:val="36950FE0"/>
    <w:rsid w:val="38080CBF"/>
    <w:rsid w:val="383F7103"/>
    <w:rsid w:val="389A7EAB"/>
    <w:rsid w:val="38CC5E30"/>
    <w:rsid w:val="398C1F13"/>
    <w:rsid w:val="3A022FD4"/>
    <w:rsid w:val="3B15030A"/>
    <w:rsid w:val="3B3516C1"/>
    <w:rsid w:val="3C071478"/>
    <w:rsid w:val="3DFE096E"/>
    <w:rsid w:val="40940604"/>
    <w:rsid w:val="40FE7813"/>
    <w:rsid w:val="42EC4DEC"/>
    <w:rsid w:val="43FD7830"/>
    <w:rsid w:val="45D111C0"/>
    <w:rsid w:val="469328B9"/>
    <w:rsid w:val="48E050C9"/>
    <w:rsid w:val="49785475"/>
    <w:rsid w:val="4A1266BB"/>
    <w:rsid w:val="4C78070F"/>
    <w:rsid w:val="4E4C2DF2"/>
    <w:rsid w:val="4E530119"/>
    <w:rsid w:val="4E7C48B0"/>
    <w:rsid w:val="4E9D670B"/>
    <w:rsid w:val="4FD40508"/>
    <w:rsid w:val="528478C5"/>
    <w:rsid w:val="53CD05EA"/>
    <w:rsid w:val="54637082"/>
    <w:rsid w:val="550168FD"/>
    <w:rsid w:val="55AC0FB7"/>
    <w:rsid w:val="57072842"/>
    <w:rsid w:val="58120167"/>
    <w:rsid w:val="591B1AAE"/>
    <w:rsid w:val="5B0E09F7"/>
    <w:rsid w:val="5BB20F5B"/>
    <w:rsid w:val="5F8E526A"/>
    <w:rsid w:val="60472241"/>
    <w:rsid w:val="605F5EC6"/>
    <w:rsid w:val="60DB634B"/>
    <w:rsid w:val="60EE0592"/>
    <w:rsid w:val="60F25D54"/>
    <w:rsid w:val="643318F1"/>
    <w:rsid w:val="67084450"/>
    <w:rsid w:val="686F718E"/>
    <w:rsid w:val="68F31BAE"/>
    <w:rsid w:val="6A4A5C48"/>
    <w:rsid w:val="6C6E1C61"/>
    <w:rsid w:val="6D3F726E"/>
    <w:rsid w:val="6E821724"/>
    <w:rsid w:val="710E3927"/>
    <w:rsid w:val="720D76FA"/>
    <w:rsid w:val="74EE4F68"/>
    <w:rsid w:val="7534665B"/>
    <w:rsid w:val="77CB2E98"/>
    <w:rsid w:val="796D2F0E"/>
    <w:rsid w:val="7ADB05ED"/>
    <w:rsid w:val="7B0369E1"/>
    <w:rsid w:val="7BB314EF"/>
    <w:rsid w:val="7CA35544"/>
    <w:rsid w:val="7D5D40C0"/>
    <w:rsid w:val="7DED674E"/>
    <w:rsid w:val="7E54773C"/>
    <w:rsid w:val="7F286DBF"/>
    <w:rsid w:val="7F9B5D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2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2">
    <w:name w:val="heading 3"/>
    <w:basedOn w:val="1"/>
    <w:next w:val="1"/>
    <w:qFormat/>
    <w:uiPriority w:val="2"/>
    <w:pPr>
      <w:keepLines/>
      <w:numPr>
        <w:ilvl w:val="2"/>
        <w:numId w:val="1"/>
      </w:numPr>
      <w:spacing w:before="260" w:after="260" w:line="408" w:lineRule="auto"/>
      <w:outlineLvl w:val="2"/>
    </w:pPr>
    <w:rPr>
      <w:rFonts w:ascii="Times New Roman" w:hAnsi="Times New Roman" w:eastAsia="宋体" w:cs="Tahoma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 w:asciiTheme="minorHAnsi" w:hAnsiTheme="minorHAnsi" w:cstheme="minorBidi"/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8">
    <w:name w:val="Strong"/>
    <w:basedOn w:val="7"/>
    <w:qFormat/>
    <w:uiPriority w:val="0"/>
    <w:rPr>
      <w:b/>
      <w:bCs/>
    </w:rPr>
  </w:style>
  <w:style w:type="paragraph" w:customStyle="1" w:styleId="10">
    <w:name w:val="Heading2"/>
    <w:basedOn w:val="1"/>
    <w:next w:val="1"/>
    <w:qFormat/>
    <w:uiPriority w:val="0"/>
    <w:pPr>
      <w:keepNext/>
      <w:keepLines/>
      <w:spacing w:before="260" w:after="260" w:line="416" w:lineRule="auto"/>
    </w:pPr>
    <w:rPr>
      <w:rFonts w:ascii="Calibri Light" w:hAnsi="Calibri Light"/>
      <w:b/>
      <w:bCs/>
      <w:sz w:val="32"/>
      <w:szCs w:val="32"/>
    </w:rPr>
  </w:style>
  <w:style w:type="character" w:customStyle="1" w:styleId="11">
    <w:name w:val="标题 2 Char"/>
    <w:basedOn w:val="7"/>
    <w:link w:val="3"/>
    <w:qFormat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12">
    <w:name w:val="页脚 Char"/>
    <w:link w:val="4"/>
    <w:qFormat/>
    <w:locked/>
    <w:uiPriority w:val="99"/>
    <w:rPr>
      <w:rFonts w:eastAsia="宋体"/>
      <w:sz w:val="18"/>
      <w:szCs w:val="18"/>
    </w:rPr>
  </w:style>
  <w:style w:type="character" w:customStyle="1" w:styleId="13">
    <w:name w:val="页脚 Char1"/>
    <w:basedOn w:val="7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4">
    <w:name w:val="页眉 Char"/>
    <w:basedOn w:val="7"/>
    <w:link w:val="5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3073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585</Words>
  <Characters>3335</Characters>
  <Lines>27</Lines>
  <Paragraphs>7</Paragraphs>
  <TotalTime>8</TotalTime>
  <ScaleCrop>false</ScaleCrop>
  <LinksUpToDate>false</LinksUpToDate>
  <CharactersWithSpaces>3913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2020-03-24T08:34:00Z</dcterms:created>
  <dc:creator>刘湘华</dc:creator>
  <cp:lastModifiedBy>DELL</cp:lastModifiedBy>
  <cp:lastPrinted>2021-06-24T04:54:54Z</cp:lastPrinted>
  <dcterms:modified xsi:type="dcterms:W3CDTF">2021-06-24T04:57:22Z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307F364AB0F34704BB3795FB2ECFEF16</vt:lpwstr>
  </property>
  <property fmtid="{D5CDD505-2E9C-101B-9397-08002B2CF9AE}" pid="4" name="KSOSaveFontToCloudKey">
    <vt:lpwstr>229835342_cloud</vt:lpwstr>
  </property>
</Properties>
</file>