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asci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退休待遇经办资金项目支出绩效评价</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lef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项目名称：退休待遇经办资金项目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伊犁哈萨克自治州</w:t>
      </w:r>
      <w:r>
        <w:rPr>
          <w:rFonts w:hint="eastAsia" w:hAnsi="宋体" w:eastAsia="仿宋_GB2312" w:cs="宋体"/>
          <w:kern w:val="0"/>
          <w:sz w:val="36"/>
          <w:szCs w:val="36"/>
        </w:rPr>
        <w:t>塔城地区社会保险中心</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伊犁哈萨克自治州</w:t>
      </w:r>
      <w:r>
        <w:rPr>
          <w:rFonts w:hint="eastAsia" w:hAnsi="宋体" w:eastAsia="仿宋_GB2312" w:cs="宋体"/>
          <w:kern w:val="0"/>
          <w:sz w:val="36"/>
          <w:szCs w:val="36"/>
        </w:rPr>
        <w:t>塔城地区社会保险中心</w:t>
      </w:r>
    </w:p>
    <w:p>
      <w:pPr>
        <w:spacing w:line="700" w:lineRule="exact"/>
        <w:jc w:val="left"/>
        <w:rPr>
          <w:rFonts w:hAnsi="宋体" w:eastAsia="仿宋_GB2312" w:cs="宋体"/>
          <w:kern w:val="0"/>
          <w:sz w:val="36"/>
          <w:szCs w:val="36"/>
        </w:rPr>
      </w:pPr>
      <w:bookmarkStart w:id="2" w:name="_GoBack"/>
      <w:bookmarkEnd w:id="2"/>
      <w:r>
        <w:rPr>
          <w:rFonts w:hint="eastAsia" w:hAnsi="宋体" w:eastAsia="仿宋_GB2312" w:cs="宋体"/>
          <w:kern w:val="0"/>
          <w:sz w:val="36"/>
          <w:szCs w:val="36"/>
        </w:rPr>
        <w:t>项目负责人（签章）：马须君</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填报时间：2021年3月30日</w:t>
      </w:r>
    </w:p>
    <w:p>
      <w:pPr>
        <w:spacing w:line="540" w:lineRule="exact"/>
        <w:jc w:val="center"/>
        <w:rPr>
          <w:rFonts w:hAnsi="宋体" w:eastAsia="仿宋_GB2312" w:cs="宋体"/>
          <w:kern w:val="0"/>
          <w:sz w:val="30"/>
          <w:szCs w:val="30"/>
        </w:rPr>
      </w:pPr>
    </w:p>
    <w:p>
      <w:pPr>
        <w:spacing w:line="540" w:lineRule="exact"/>
        <w:rPr>
          <w:rStyle w:val="23"/>
          <w:rFonts w:ascii="黑体" w:hAnsi="黑体" w:eastAsia="黑体"/>
          <w:b w:val="0"/>
          <w:spacing w:val="-4"/>
          <w:sz w:val="32"/>
          <w:szCs w:val="32"/>
        </w:rPr>
      </w:pPr>
    </w:p>
    <w:p>
      <w:pPr>
        <w:spacing w:line="540" w:lineRule="exact"/>
        <w:ind w:firstLine="640"/>
        <w:rPr>
          <w:rStyle w:val="23"/>
          <w:rFonts w:ascii="黑体" w:hAnsi="黑体" w:eastAsia="黑体"/>
          <w:b w:val="0"/>
          <w:spacing w:val="-4"/>
          <w:sz w:val="32"/>
          <w:szCs w:val="32"/>
        </w:rPr>
      </w:pPr>
    </w:p>
    <w:p>
      <w:pPr>
        <w:spacing w:line="540" w:lineRule="exact"/>
        <w:rPr>
          <w:rStyle w:val="23"/>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（1）项目实施的政策背景</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依据《关于对参加自治区城镇企业职工基本养老保险社会统筹的有关退休人员实施生活补贴的通知》文件要求，为了切实解决参加城镇企业职工基本养老保险社会统筹的退休较早人员基本养老金偏低问题，提高其生活保障水平，现就对1995年12月31日前办理退休（退职）手续的企业退休人员实施生活补贴。</w:t>
      </w:r>
    </w:p>
    <w:p>
      <w:pPr>
        <w:pStyle w:val="2"/>
        <w:pageBreakBefore w:val="0"/>
        <w:numPr>
          <w:ilvl w:val="0"/>
          <w:numId w:val="1"/>
        </w:numPr>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为了切实解决参加城镇企业职工基本养老保险社会统筹的退休较早人员基本养老金偏低问题，提高其生活保障水平，现就对1995年12月31日前办理退休（退职）手续的企业退休人员实施生活补贴。</w:t>
      </w:r>
    </w:p>
    <w:p>
      <w:pPr>
        <w:pageBreakBefore w:val="0"/>
        <w:numPr>
          <w:ilvl w:val="0"/>
          <w:numId w:val="2"/>
        </w:numPr>
        <w:tabs>
          <w:tab w:val="clear" w:pos="0"/>
        </w:tabs>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0"/>
        </w:rPr>
      </w:pPr>
      <w:r>
        <w:rPr>
          <w:rFonts w:hint="eastAsia" w:ascii="仿宋_GB2312" w:hAnsi="仿宋_GB2312" w:eastAsia="仿宋_GB2312" w:cs="仿宋_GB2312"/>
          <w:b w:val="0"/>
          <w:bCs w:val="0"/>
          <w:kern w:val="2"/>
          <w:highlight w:val="none"/>
        </w:rPr>
        <w:t>项目主要内容：开展对</w:t>
      </w:r>
      <w:r>
        <w:rPr>
          <w:rFonts w:hint="eastAsia" w:ascii="仿宋_GB2312" w:hAnsi="仿宋_GB2312" w:eastAsia="仿宋_GB2312" w:cs="仿宋_GB2312"/>
          <w:b w:val="0"/>
          <w:bCs w:val="0"/>
          <w:kern w:val="0"/>
        </w:rPr>
        <w:t>1995年12月31日前办理退休（退职）手续的企业退休人员发放生活补贴，补助标准：120元/月。</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本项目总投资71.68万元，其中：财政本级资金71.68万元。项目实际支出68.47万元， 支出率为95.52%。</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20"/>
          <w:szCs w:val="20"/>
        </w:rPr>
      </w:pPr>
      <w:r>
        <w:rPr>
          <w:rFonts w:hint="eastAsia" w:asci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项目总投资71.68万元，按照《</w:t>
      </w:r>
      <w:r>
        <w:rPr>
          <w:rFonts w:ascii="仿宋_GB2312" w:eastAsia="仿宋_GB2312" w:cs="仿宋_GB2312"/>
          <w:sz w:val="32"/>
          <w:szCs w:val="32"/>
        </w:rPr>
        <w:t>专项</w:t>
      </w:r>
      <w:r>
        <w:rPr>
          <w:rFonts w:hint="eastAsia" w:ascii="仿宋_GB2312" w:eastAsia="仿宋_GB2312" w:cs="仿宋_GB2312"/>
          <w:sz w:val="32"/>
          <w:szCs w:val="32"/>
        </w:rPr>
        <w:t>资金管理办法》及单位财务制度等相关规定，资金支出符合专项</w:t>
      </w:r>
      <w:r>
        <w:rPr>
          <w:rFonts w:ascii="仿宋_GB2312" w:eastAsia="仿宋_GB2312" w:cs="仿宋_GB2312"/>
          <w:sz w:val="32"/>
          <w:szCs w:val="32"/>
        </w:rPr>
        <w:t>业务</w:t>
      </w:r>
      <w:r>
        <w:rPr>
          <w:rFonts w:hint="eastAsia" w:ascii="仿宋_GB2312" w:eastAsia="仿宋_GB2312" w:cs="仿宋_GB2312"/>
          <w:sz w:val="32"/>
          <w:szCs w:val="32"/>
        </w:rPr>
        <w:t>资金费用范围，做到了专款专用。在项目资金拨付和使用过程中，为确保项目资金的安全性，提高项目资金使用效率，严格遵循</w:t>
      </w:r>
      <w:r>
        <w:rPr>
          <w:rFonts w:ascii="仿宋_GB2312" w:eastAsia="仿宋_GB2312" w:cs="仿宋_GB2312"/>
          <w:sz w:val="32"/>
          <w:szCs w:val="32"/>
        </w:rPr>
        <w:t>专项业务费</w:t>
      </w:r>
      <w:r>
        <w:rPr>
          <w:rFonts w:hint="eastAsia" w:asci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eastAsia="仿宋_GB2312" w:cs="仿宋_GB2312"/>
          <w:b w:val="0"/>
          <w:bCs w:val="0"/>
          <w:kern w:val="2"/>
        </w:rPr>
      </w:pPr>
      <w:r>
        <w:rPr>
          <w:rFonts w:hint="eastAsia" w:ascii="仿宋_GB2312" w:eastAsia="仿宋_GB2312" w:cs="仿宋_GB2312"/>
          <w:b w:val="0"/>
          <w:bCs w:val="0"/>
          <w:kern w:val="2"/>
        </w:rPr>
        <w:t>项目预算资金来源于</w:t>
      </w:r>
      <w:r>
        <w:rPr>
          <w:rFonts w:hint="eastAsia" w:ascii="仿宋_GB2312" w:eastAsia="仿宋_GB2312" w:cs="仿宋_GB2312"/>
          <w:b w:val="0"/>
          <w:bCs w:val="0"/>
          <w:kern w:val="2"/>
          <w:lang w:eastAsia="zh-CN"/>
        </w:rPr>
        <w:t>相关文件</w:t>
      </w:r>
      <w:r>
        <w:rPr>
          <w:rFonts w:hint="eastAsia" w:ascii="仿宋_GB2312" w:eastAsia="仿宋_GB2312" w:cs="仿宋_GB2312"/>
          <w:b w:val="0"/>
          <w:bCs w:val="0"/>
          <w:kern w:val="2"/>
        </w:rPr>
        <w:t>中批复的资金，项目资金到位71.68万元，用于支付</w:t>
      </w:r>
      <w:r>
        <w:rPr>
          <w:rFonts w:hint="eastAsia" w:ascii="仿宋_GB2312" w:hAnsi="仿宋_GB2312" w:eastAsia="仿宋_GB2312" w:cs="仿宋_GB2312"/>
          <w:b w:val="0"/>
          <w:bCs w:val="0"/>
          <w:kern w:val="0"/>
        </w:rPr>
        <w:t>1995年12月31日前办理退休（退职）手续的企业退休人员实施生活补贴。</w:t>
      </w:r>
    </w:p>
    <w:p>
      <w:pPr>
        <w:pageBreakBefore w:val="0"/>
        <w:kinsoku/>
        <w:wordWrap/>
        <w:overflowPunct/>
        <w:topLinePunct w:val="0"/>
        <w:autoSpaceDE/>
        <w:autoSpaceDN/>
        <w:bidi w:val="0"/>
        <w:adjustRightInd/>
        <w:snapToGrid/>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（二）项目绩效目标</w:t>
      </w:r>
    </w:p>
    <w:p>
      <w:pPr>
        <w:pageBreakBefore w:val="0"/>
        <w:numPr>
          <w:ilvl w:val="0"/>
          <w:numId w:val="3"/>
        </w:numPr>
        <w:kinsoku/>
        <w:wordWrap/>
        <w:overflowPunct/>
        <w:topLinePunct w:val="0"/>
        <w:autoSpaceDE/>
        <w:autoSpaceDN/>
        <w:bidi w:val="0"/>
        <w:adjustRightInd/>
        <w:snapToGrid/>
        <w:spacing w:line="560" w:lineRule="atLeast"/>
        <w:textAlignment w:val="auto"/>
        <w:rPr>
          <w:rFonts w:ascii="仿宋_GB2312" w:eastAsia="仿宋_GB2312" w:cs="仿宋_GB2312"/>
          <w:b/>
          <w:bCs/>
          <w:sz w:val="32"/>
          <w:szCs w:val="32"/>
        </w:rPr>
      </w:pPr>
      <w:r>
        <w:rPr>
          <w:rFonts w:hint="eastAsia" w:ascii="仿宋_GB2312" w:eastAsia="仿宋_GB2312" w:cs="仿宋_GB2312"/>
          <w:b/>
          <w:bCs/>
          <w:sz w:val="32"/>
          <w:szCs w:val="32"/>
        </w:rPr>
        <w:t>总体目标</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ascii="仿宋_GB2312" w:eastAsia="仿宋_GB2312" w:cs="仿宋_GB2312"/>
          <w:b w:val="0"/>
          <w:bCs w:val="0"/>
          <w:kern w:val="2"/>
        </w:rPr>
      </w:pPr>
      <w:r>
        <w:rPr>
          <w:rFonts w:hint="eastAsia" w:ascii="仿宋_GB2312" w:eastAsia="仿宋_GB2312" w:cs="仿宋_GB2312"/>
          <w:b w:val="0"/>
          <w:bCs w:val="0"/>
          <w:kern w:val="2"/>
        </w:rPr>
        <w:t>2020年待遇支付项目预算71.68万元，严格按时财务管理制度规定，主要用于</w:t>
      </w:r>
      <w:r>
        <w:rPr>
          <w:rFonts w:hint="eastAsia" w:ascii="仿宋_GB2312" w:hAnsi="仿宋_GB2312" w:eastAsia="仿宋_GB2312" w:cs="仿宋_GB2312"/>
          <w:b w:val="0"/>
          <w:bCs w:val="0"/>
          <w:kern w:val="0"/>
        </w:rPr>
        <w:t>1995年12月31日前办理退休（退职）手续的企业退休人员实施生活补贴</w:t>
      </w:r>
      <w:r>
        <w:rPr>
          <w:rFonts w:hint="eastAsia" w:ascii="仿宋_GB2312" w:eastAsia="仿宋_GB2312" w:cs="仿宋_GB2312"/>
          <w:b w:val="0"/>
          <w:bCs w:val="0"/>
          <w:kern w:val="2"/>
        </w:rPr>
        <w:t>。</w:t>
      </w:r>
    </w:p>
    <w:p>
      <w:pPr>
        <w:pStyle w:val="2"/>
        <w:pageBreakBefore w:val="0"/>
        <w:kinsoku/>
        <w:wordWrap/>
        <w:overflowPunct/>
        <w:topLinePunct w:val="0"/>
        <w:autoSpaceDE/>
        <w:autoSpaceDN/>
        <w:bidi w:val="0"/>
        <w:adjustRightInd/>
        <w:snapToGrid/>
        <w:spacing w:before="0" w:after="0" w:line="560" w:lineRule="atLeast"/>
        <w:jc w:val="left"/>
        <w:textAlignment w:val="auto"/>
      </w:pPr>
      <w:r>
        <w:rPr>
          <w:rFonts w:hint="eastAsia" w:ascii="仿宋_GB2312" w:eastAsia="仿宋_GB2312" w:cs="仿宋_GB231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（1）前期准备：根据</w:t>
      </w:r>
      <w:r>
        <w:rPr>
          <w:rFonts w:ascii="仿宋_GB2312" w:eastAsia="仿宋_GB2312" w:cs="仿宋_GB2312"/>
          <w:sz w:val="32"/>
          <w:szCs w:val="32"/>
        </w:rPr>
        <w:t>各相关部门的工作要求、项目负责</w:t>
      </w:r>
      <w:r>
        <w:rPr>
          <w:rFonts w:hint="eastAsia" w:ascii="仿宋_GB2312" w:eastAsia="仿宋_GB2312" w:cs="仿宋_GB2312"/>
          <w:sz w:val="32"/>
          <w:szCs w:val="32"/>
        </w:rPr>
        <w:t>科室</w:t>
      </w:r>
      <w:r>
        <w:rPr>
          <w:rFonts w:ascii="仿宋_GB2312" w:eastAsia="仿宋_GB2312" w:cs="仿宋_GB2312"/>
          <w:sz w:val="32"/>
          <w:szCs w:val="32"/>
        </w:rPr>
        <w:t>向</w:t>
      </w:r>
      <w:r>
        <w:rPr>
          <w:rFonts w:hint="eastAsia" w:ascii="仿宋_GB2312" w:eastAsia="仿宋_GB2312" w:cs="仿宋_GB2312"/>
          <w:sz w:val="32"/>
          <w:szCs w:val="32"/>
        </w:rPr>
        <w:t>中心办公主任会议提</w:t>
      </w:r>
      <w:r>
        <w:rPr>
          <w:rFonts w:ascii="仿宋_GB2312" w:eastAsia="仿宋_GB2312" w:cs="仿宋_GB2312"/>
          <w:sz w:val="32"/>
          <w:szCs w:val="32"/>
        </w:rPr>
        <w:t>交项目审议事项</w:t>
      </w:r>
      <w:r>
        <w:rPr>
          <w:rFonts w:hint="eastAsia" w:ascii="仿宋_GB2312" w:eastAsia="仿宋_GB2312" w:cs="仿宋_GB2312"/>
          <w:sz w:val="32"/>
          <w:szCs w:val="32"/>
        </w:rPr>
        <w:t>，</w:t>
      </w:r>
      <w:r>
        <w:rPr>
          <w:rFonts w:ascii="仿宋_GB2312" w:eastAsia="仿宋_GB2312" w:cs="仿宋_GB2312"/>
          <w:sz w:val="32"/>
          <w:szCs w:val="32"/>
        </w:rPr>
        <w:t>按照三重一大制度，经党组会研究决定</w:t>
      </w:r>
      <w:r>
        <w:rPr>
          <w:rFonts w:hint="eastAsia" w:ascii="仿宋_GB2312" w:eastAsia="仿宋_GB2312" w:cs="仿宋_GB2312"/>
          <w:sz w:val="32"/>
          <w:szCs w:val="32"/>
        </w:rPr>
        <w:t>通过</w:t>
      </w:r>
      <w:r>
        <w:rPr>
          <w:rFonts w:ascii="仿宋_GB2312" w:eastAsia="仿宋_GB2312" w:cs="仿宋_GB2312"/>
          <w:sz w:val="32"/>
          <w:szCs w:val="32"/>
        </w:rPr>
        <w:t>后</w:t>
      </w:r>
      <w:r>
        <w:rPr>
          <w:rFonts w:hint="eastAsia" w:ascii="仿宋_GB2312" w:eastAsia="仿宋_GB2312" w:cs="仿宋_GB2312"/>
          <w:sz w:val="32"/>
          <w:szCs w:val="32"/>
        </w:rPr>
        <w:t>，有序开展后续</w:t>
      </w:r>
      <w:r>
        <w:rPr>
          <w:rFonts w:ascii="仿宋_GB2312" w:eastAsia="仿宋_GB2312" w:cs="仿宋_GB2312"/>
          <w:sz w:val="32"/>
          <w:szCs w:val="32"/>
        </w:rPr>
        <w:t>工作</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（2）组织实施：由企业养老待遇审核科根据当月1995年12月31日前办理退休（退职）手续的企业退休人员情况核算待遇。提交相关科室和分管领导审核后，财务人员根据具体金额申请计划，进行支付。</w:t>
      </w:r>
    </w:p>
    <w:p>
      <w:pPr>
        <w:pageBreakBefore w:val="0"/>
        <w:kinsoku/>
        <w:wordWrap/>
        <w:overflowPunct/>
        <w:topLinePunct w:val="0"/>
        <w:autoSpaceDE/>
        <w:autoSpaceDN/>
        <w:bidi w:val="0"/>
        <w:adjustRightInd/>
        <w:snapToGrid/>
        <w:spacing w:line="560" w:lineRule="atLeast"/>
        <w:ind w:firstLine="641"/>
        <w:textAlignment w:val="auto"/>
        <w:rPr>
          <w:rFonts w:ascii="黑体" w:eastAsia="黑体"/>
          <w:sz w:val="32"/>
          <w:szCs w:val="32"/>
        </w:rPr>
      </w:pPr>
      <w:r>
        <w:rPr>
          <w:rFonts w:hint="eastAsia" w:asci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eastAsia="仿宋_GB2312" w:cs="仿宋_GB2312"/>
          <w:sz w:val="32"/>
          <w:szCs w:val="32"/>
        </w:rPr>
      </w:pPr>
      <w:r>
        <w:rPr>
          <w:rFonts w:hint="eastAsia" w:asci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综合来看</w:t>
      </w:r>
      <w:r>
        <w:rPr>
          <w:rFonts w:ascii="仿宋_GB2312" w:eastAsia="仿宋_GB2312" w:cs="仿宋_GB2312"/>
          <w:sz w:val="32"/>
          <w:szCs w:val="32"/>
        </w:rPr>
        <w:t>，</w:t>
      </w:r>
      <w:r>
        <w:rPr>
          <w:rFonts w:hint="eastAsia" w:ascii="仿宋_GB2312" w:eastAsia="仿宋_GB2312" w:cs="仿宋_GB2312"/>
          <w:sz w:val="32"/>
          <w:szCs w:val="32"/>
        </w:rPr>
        <w:t>通过开展有效的财政支出绩效评价管理，达到改进预算管理、控制节约成本，提高预算资金使用效益的目的。</w:t>
      </w:r>
      <w:r>
        <w:rPr>
          <w:rFonts w:ascii="仿宋_GB2312" w:eastAsia="仿宋_GB2312" w:cs="仿宋_GB2312"/>
          <w:sz w:val="32"/>
          <w:szCs w:val="32"/>
        </w:rPr>
        <w:t>地区</w:t>
      </w:r>
      <w:r>
        <w:rPr>
          <w:rFonts w:hint="eastAsia" w:ascii="仿宋_GB2312" w:eastAsia="仿宋_GB2312" w:cs="仿宋_GB2312"/>
          <w:sz w:val="32"/>
          <w:szCs w:val="32"/>
        </w:rPr>
        <w:t>社保中心</w:t>
      </w:r>
      <w:r>
        <w:rPr>
          <w:rFonts w:ascii="仿宋_GB2312" w:eastAsia="仿宋_GB2312" w:cs="仿宋_GB2312"/>
          <w:sz w:val="32"/>
          <w:szCs w:val="32"/>
        </w:rPr>
        <w:t>按照</w:t>
      </w:r>
      <w:r>
        <w:rPr>
          <w:rFonts w:hint="eastAsia" w:ascii="仿宋_GB2312" w:eastAsia="仿宋_GB2312" w:cs="仿宋_GB2312"/>
          <w:sz w:val="32"/>
          <w:szCs w:val="32"/>
          <w:lang w:eastAsia="zh-CN"/>
        </w:rPr>
        <w:t>相关</w:t>
      </w:r>
      <w:r>
        <w:rPr>
          <w:rFonts w:hint="eastAsia" w:ascii="仿宋_GB2312" w:eastAsia="仿宋_GB2312" w:cs="仿宋_GB2312"/>
          <w:sz w:val="32"/>
          <w:szCs w:val="32"/>
        </w:rPr>
        <w:t>文件精神</w:t>
      </w:r>
      <w:r>
        <w:rPr>
          <w:rFonts w:ascii="仿宋_GB2312" w:eastAsia="仿宋_GB2312" w:cs="仿宋_GB2312"/>
          <w:sz w:val="32"/>
          <w:szCs w:val="32"/>
        </w:rPr>
        <w:t>要求，对2020年度</w:t>
      </w:r>
      <w:r>
        <w:rPr>
          <w:rFonts w:hint="eastAsia" w:ascii="仿宋_GB2312" w:eastAsia="仿宋_GB2312" w:cs="仿宋_GB2312"/>
          <w:sz w:val="32"/>
          <w:szCs w:val="32"/>
        </w:rPr>
        <w:t>待遇支付</w:t>
      </w:r>
      <w:r>
        <w:rPr>
          <w:rFonts w:ascii="仿宋_GB2312" w:eastAsia="仿宋_GB2312" w:cs="仿宋_GB2312"/>
          <w:sz w:val="32"/>
          <w:szCs w:val="32"/>
        </w:rPr>
        <w:t>项目进行绩效评价，参照相关政策文件与规定，</w:t>
      </w:r>
      <w:r>
        <w:rPr>
          <w:rFonts w:hint="eastAsia" w:ascii="仿宋_GB2312" w:eastAsia="仿宋_GB2312" w:cs="仿宋_GB2312"/>
          <w:sz w:val="32"/>
          <w:szCs w:val="32"/>
        </w:rPr>
        <w:t>及时掌握1995年12月31日前办理退休（退职）手续的企业退休人员状况</w:t>
      </w:r>
      <w:r>
        <w:rPr>
          <w:rFonts w:ascii="仿宋_GB2312" w:eastAsia="仿宋_GB2312" w:cs="仿宋_GB2312"/>
          <w:sz w:val="32"/>
          <w:szCs w:val="32"/>
        </w:rPr>
        <w:t>，</w:t>
      </w:r>
      <w:r>
        <w:rPr>
          <w:rFonts w:hint="eastAsia" w:ascii="仿宋_GB2312" w:eastAsia="仿宋_GB2312" w:cs="仿宋_GB2312"/>
          <w:sz w:val="32"/>
          <w:szCs w:val="32"/>
        </w:rPr>
        <w:t>提高服务水平，</w:t>
      </w:r>
      <w:r>
        <w:rPr>
          <w:rFonts w:ascii="仿宋_GB2312" w:eastAsia="仿宋_GB2312" w:cs="仿宋_GB2312"/>
          <w:sz w:val="32"/>
          <w:szCs w:val="32"/>
        </w:rPr>
        <w:t>进一步提高资金的</w:t>
      </w:r>
      <w:r>
        <w:rPr>
          <w:rFonts w:hint="eastAsia" w:ascii="仿宋_GB2312" w:eastAsia="仿宋_GB2312" w:cs="仿宋_GB2312"/>
          <w:sz w:val="32"/>
          <w:szCs w:val="32"/>
        </w:rPr>
        <w:t>效益</w:t>
      </w:r>
      <w:r>
        <w:rPr>
          <w:rFonts w:ascii="仿宋_GB2312" w:eastAsia="仿宋_GB2312" w:cs="仿宋_GB2312"/>
          <w:sz w:val="32"/>
          <w:szCs w:val="32"/>
        </w:rPr>
        <w:t>。</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0" w:firstLineChars="200"/>
        <w:contextualSpacing/>
        <w:textAlignment w:val="auto"/>
        <w:rPr>
          <w:rFonts w:ascii="仿宋_GB2312" w:eastAsia="仿宋_GB2312" w:cs="仿宋_GB2312"/>
          <w:sz w:val="32"/>
          <w:szCs w:val="32"/>
        </w:rPr>
      </w:pPr>
      <w:r>
        <w:rPr>
          <w:rFonts w:hint="eastAsia" w:ascii="仿宋_GB2312" w:eastAsia="仿宋_GB2312" w:cs="仿宋_GB2312"/>
          <w:sz w:val="32"/>
          <w:szCs w:val="32"/>
        </w:rPr>
        <w:t>评价对象为“待遇支付”</w:t>
      </w:r>
      <w:r>
        <w:rPr>
          <w:rFonts w:ascii="仿宋_GB2312" w:eastAsia="仿宋_GB2312" w:cs="仿宋_GB2312"/>
          <w:sz w:val="32"/>
          <w:szCs w:val="32"/>
        </w:rPr>
        <w:t>项目</w:t>
      </w:r>
      <w:r>
        <w:rPr>
          <w:rFonts w:hint="eastAsia" w:ascii="仿宋_GB2312" w:eastAsia="仿宋_GB2312" w:cs="仿宋_GB2312"/>
          <w:sz w:val="32"/>
          <w:szCs w:val="32"/>
        </w:rPr>
        <w:t>，评价核心为专项资金的支出完成情况和效果。</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3、绩效评价的范围</w:t>
      </w:r>
    </w:p>
    <w:p>
      <w:pPr>
        <w:pageBreakBefore w:val="0"/>
        <w:kinsoku/>
        <w:wordWrap/>
        <w:overflowPunct/>
        <w:topLinePunct w:val="0"/>
        <w:autoSpaceDE/>
        <w:autoSpaceDN/>
        <w:bidi w:val="0"/>
        <w:adjustRightInd/>
        <w:snapToGrid/>
        <w:spacing w:line="560" w:lineRule="atLeast"/>
        <w:ind w:firstLine="640" w:firstLineChars="200"/>
        <w:contextualSpacing/>
        <w:textAlignment w:val="auto"/>
        <w:rPr>
          <w:rFonts w:ascii="仿宋_GB2312" w:eastAsia="仿宋_GB2312" w:cs="仿宋_GB2312"/>
          <w:sz w:val="32"/>
          <w:szCs w:val="32"/>
        </w:rPr>
      </w:pPr>
      <w:r>
        <w:rPr>
          <w:rFonts w:hint="eastAsia" w:ascii="仿宋_GB2312" w:eastAsia="仿宋_GB2312" w:cs="仿宋_GB2312"/>
          <w:sz w:val="32"/>
          <w:szCs w:val="32"/>
        </w:rPr>
        <w:t>本次评价从项目决策（包括</w:t>
      </w:r>
      <w:r>
        <w:rPr>
          <w:rFonts w:ascii="仿宋_GB2312" w:eastAsia="仿宋_GB2312" w:cs="仿宋_GB2312"/>
          <w:sz w:val="32"/>
          <w:szCs w:val="32"/>
        </w:rPr>
        <w:t>项目立项、</w:t>
      </w:r>
      <w:r>
        <w:rPr>
          <w:rFonts w:hint="eastAsia" w:ascii="仿宋_GB2312" w:eastAsia="仿宋_GB2312" w:cs="仿宋_GB2312"/>
          <w:sz w:val="32"/>
          <w:szCs w:val="32"/>
        </w:rPr>
        <w:t>决策过程</w:t>
      </w:r>
      <w:r>
        <w:rPr>
          <w:rFonts w:ascii="仿宋_GB2312" w:eastAsia="仿宋_GB2312" w:cs="仿宋_GB2312"/>
          <w:sz w:val="32"/>
          <w:szCs w:val="32"/>
        </w:rPr>
        <w:t>、</w:t>
      </w:r>
      <w:r>
        <w:rPr>
          <w:rFonts w:hint="eastAsia" w:ascii="仿宋_GB2312" w:eastAsia="仿宋_GB2312" w:cs="仿宋_GB2312"/>
          <w:sz w:val="32"/>
          <w:szCs w:val="32"/>
        </w:rPr>
        <w:t>绩效目标</w:t>
      </w:r>
      <w:r>
        <w:rPr>
          <w:rFonts w:ascii="仿宋_GB2312" w:eastAsia="仿宋_GB2312" w:cs="仿宋_GB2312"/>
          <w:sz w:val="32"/>
          <w:szCs w:val="32"/>
        </w:rPr>
        <w:t>）</w:t>
      </w:r>
      <w:r>
        <w:rPr>
          <w:rFonts w:hint="eastAsia" w:ascii="仿宋_GB2312" w:eastAsia="仿宋_GB2312" w:cs="仿宋_GB2312"/>
          <w:sz w:val="32"/>
          <w:szCs w:val="32"/>
        </w:rPr>
        <w:t>、项目管理（包括项目资金、项目实施）、项目产出（包括项目产出数量、产出质量、产出时效和产出成本）项目效益</w:t>
      </w:r>
      <w:r>
        <w:rPr>
          <w:rFonts w:ascii="仿宋_GB2312" w:eastAsia="仿宋_GB2312" w:cs="仿宋_GB2312"/>
          <w:sz w:val="32"/>
          <w:szCs w:val="32"/>
        </w:rPr>
        <w:t>（包括实施效益及满意度）</w:t>
      </w:r>
      <w:r>
        <w:rPr>
          <w:rFonts w:hint="eastAsia" w:ascii="仿宋_GB2312" w:eastAsia="仿宋_GB2312" w:cs="仿宋_GB2312"/>
          <w:sz w:val="32"/>
          <w:szCs w:val="32"/>
        </w:rPr>
        <w:t>四个维度进行评价。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rPr>
      </w:pPr>
      <w:r>
        <w:rPr>
          <w:rFonts w:hint="eastAsia" w:asci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z w:val="32"/>
          <w:szCs w:val="32"/>
        </w:rPr>
      </w:pPr>
      <w:r>
        <w:rPr>
          <w:rFonts w:hint="eastAsia" w:asci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r>
        <w:rPr>
          <w:rFonts w:ascii="仿宋_GB2312" w:eastAsia="仿宋_GB2312" w:cs="仿宋_GB2312"/>
          <w:b w:val="0"/>
          <w:bCs w:val="0"/>
        </w:rPr>
        <w:t>，必要时可委托第三方机构实施</w:t>
      </w:r>
      <w:r>
        <w:rPr>
          <w:rFonts w:hint="eastAsia" w:ascii="仿宋_GB2312" w:eastAsia="仿宋_GB2312" w:cs="仿宋_GB2312"/>
          <w:b w:val="0"/>
          <w:bCs w:val="0"/>
        </w:rPr>
        <w:t>。</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cs="宋体"/>
          <w:color w:val="000000"/>
          <w:spacing w:val="17"/>
          <w:sz w:val="32"/>
          <w:szCs w:val="32"/>
        </w:rPr>
      </w:pPr>
      <w:r>
        <w:rPr>
          <w:rFonts w:hint="eastAsia" w:asci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确定各个指标相对于项目总体绩效的权重分值。在绩效评价指标体系中，项目决策权重为5</w:t>
      </w:r>
      <w:r>
        <w:rPr>
          <w:rFonts w:ascii="仿宋_GB2312" w:eastAsia="仿宋_GB2312" w:cs="仿宋_GB2312"/>
          <w:color w:val="000000"/>
          <w:spacing w:val="17"/>
          <w:sz w:val="32"/>
          <w:szCs w:val="32"/>
        </w:rPr>
        <w:t>%</w:t>
      </w:r>
      <w:r>
        <w:rPr>
          <w:rFonts w:hint="eastAsia" w:ascii="仿宋_GB2312" w:eastAsia="仿宋_GB2312" w:cs="仿宋_GB2312"/>
          <w:color w:val="000000"/>
          <w:spacing w:val="17"/>
          <w:sz w:val="32"/>
          <w:szCs w:val="32"/>
        </w:rPr>
        <w:t>，项目过程权重值占</w:t>
      </w:r>
      <w:r>
        <w:rPr>
          <w:rFonts w:ascii="仿宋_GB2312" w:eastAsia="仿宋_GB2312" w:cs="仿宋_GB2312"/>
          <w:color w:val="000000"/>
          <w:spacing w:val="17"/>
          <w:sz w:val="32"/>
          <w:szCs w:val="32"/>
        </w:rPr>
        <w:t>5%</w:t>
      </w:r>
      <w:r>
        <w:rPr>
          <w:rFonts w:hint="eastAsia" w:ascii="仿宋_GB2312" w:eastAsia="仿宋_GB2312" w:cs="仿宋_GB2312"/>
          <w:color w:val="000000"/>
          <w:spacing w:val="17"/>
          <w:sz w:val="32"/>
          <w:szCs w:val="32"/>
        </w:rPr>
        <w:t>，项目产出权重值占50</w:t>
      </w:r>
      <w:r>
        <w:rPr>
          <w:rFonts w:ascii="仿宋_GB2312" w:eastAsia="仿宋_GB2312" w:cs="仿宋_GB2312"/>
          <w:color w:val="000000"/>
          <w:spacing w:val="17"/>
          <w:sz w:val="32"/>
          <w:szCs w:val="32"/>
        </w:rPr>
        <w:t>%</w:t>
      </w:r>
      <w:r>
        <w:rPr>
          <w:rFonts w:hint="eastAsia" w:ascii="仿宋_GB2312" w:eastAsia="仿宋_GB2312" w:cs="仿宋_GB2312"/>
          <w:color w:val="000000"/>
          <w:spacing w:val="17"/>
          <w:sz w:val="32"/>
          <w:szCs w:val="32"/>
        </w:rPr>
        <w:t>，项目效益权重占40</w:t>
      </w:r>
      <w:r>
        <w:rPr>
          <w:rFonts w:ascii="仿宋_GB2312" w:eastAsia="仿宋_GB2312" w:cs="仿宋_GB2312"/>
          <w:color w:val="000000"/>
          <w:spacing w:val="17"/>
          <w:sz w:val="32"/>
          <w:szCs w:val="32"/>
        </w:rPr>
        <w:t>%</w:t>
      </w:r>
      <w:r>
        <w:rPr>
          <w:rFonts w:hint="eastAsia" w:asci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eastAsia="仿宋_GB2312" w:cs="仿宋_GB2312"/>
          <w:b w:val="0"/>
          <w:bCs w:val="0"/>
          <w:color w:val="000000"/>
          <w:spacing w:val="17"/>
          <w:kern w:val="2"/>
        </w:rPr>
      </w:pPr>
      <w:r>
        <w:rPr>
          <w:rFonts w:hint="eastAsia" w:asci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ascii="仿宋_GB2312" w:eastAsia="仿宋_GB2312" w:cs="仿宋_GB2312"/>
          <w:b w:val="0"/>
          <w:bCs w:val="0"/>
          <w:color w:val="000000"/>
          <w:spacing w:val="17"/>
        </w:rPr>
      </w:pPr>
      <w:r>
        <w:rPr>
          <w:rFonts w:hint="eastAsia" w:asci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bCs/>
        </w:rPr>
      </w:pPr>
      <w:r>
        <w:rPr>
          <w:rFonts w:hint="eastAsia" w:asci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通过对绩效目标与实施效果、历史与当期情况，综合分析绩效目标实现程度。对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eastAsia="仿宋_GB2312" w:cs="仿宋_GB2312"/>
          <w:sz w:val="32"/>
          <w:szCs w:val="32"/>
        </w:rPr>
        <w:t>项目</w:t>
      </w:r>
      <w:r>
        <w:rPr>
          <w:rFonts w:hint="eastAsia" w:asci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4、评价标准</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5"/>
        </w:numPr>
        <w:kinsoku/>
        <w:wordWrap/>
        <w:overflowPunct/>
        <w:topLinePunct w:val="0"/>
        <w:autoSpaceDE/>
        <w:autoSpaceDN/>
        <w:bidi w:val="0"/>
        <w:adjustRightInd/>
        <w:snapToGrid/>
        <w:spacing w:before="0" w:after="0" w:line="560" w:lineRule="atLeast"/>
        <w:jc w:val="both"/>
        <w:textAlignment w:val="auto"/>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黑体" w:eastAsia="黑体" w:cs="黑体"/>
          <w:sz w:val="32"/>
          <w:szCs w:val="32"/>
        </w:rPr>
      </w:pPr>
      <w:r>
        <w:rPr>
          <w:rFonts w:hint="eastAsia" w:asci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 xml:space="preserve">对待遇支付项目进行客观评价，最终评分结果：总得分为 97.7分，属于“优”。其中，项目决策类指标权重为5分，得分为 </w:t>
      </w:r>
      <w:r>
        <w:rPr>
          <w:rFonts w:ascii="仿宋_GB2312" w:eastAsia="仿宋_GB2312" w:cs="仿宋_GB2312"/>
          <w:b w:val="0"/>
          <w:bCs w:val="0"/>
        </w:rPr>
        <w:t>5</w:t>
      </w:r>
      <w:r>
        <w:rPr>
          <w:rFonts w:hint="eastAsia" w:ascii="仿宋_GB2312" w:eastAsia="仿宋_GB2312" w:cs="仿宋_GB2312"/>
          <w:b w:val="0"/>
          <w:bCs w:val="0"/>
        </w:rPr>
        <w:t>分，得分率为</w:t>
      </w:r>
      <w:r>
        <w:rPr>
          <w:rFonts w:ascii="仿宋_GB2312" w:eastAsia="仿宋_GB2312" w:cs="仿宋_GB2312"/>
          <w:b w:val="0"/>
          <w:bCs w:val="0"/>
        </w:rPr>
        <w:t>100</w:t>
      </w:r>
      <w:r>
        <w:rPr>
          <w:rFonts w:hint="eastAsia" w:ascii="仿宋_GB2312" w:eastAsia="仿宋_GB2312" w:cs="仿宋_GB2312"/>
          <w:b w:val="0"/>
          <w:bCs w:val="0"/>
        </w:rPr>
        <w:t>%。项目过程类指标权重为5分，得分为4.7分，得分率为94%。项目产出类指标权重为50分，得分为</w:t>
      </w:r>
      <w:r>
        <w:rPr>
          <w:rFonts w:ascii="仿宋_GB2312" w:eastAsia="仿宋_GB2312" w:cs="仿宋_GB2312"/>
          <w:b w:val="0"/>
          <w:bCs w:val="0"/>
        </w:rPr>
        <w:t>4</w:t>
      </w:r>
      <w:r>
        <w:rPr>
          <w:rFonts w:hint="eastAsia" w:ascii="仿宋_GB2312" w:eastAsia="仿宋_GB2312" w:cs="仿宋_GB2312"/>
          <w:b w:val="0"/>
          <w:bCs w:val="0"/>
        </w:rPr>
        <w:t>9分，得分率为98%。项目效益类指标权重为40分，得分为39分，得分率为97.5%。</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eastAsia="仿宋_GB2312" w:cs="仿宋_GB2312"/>
          <w:sz w:val="30"/>
          <w:szCs w:val="30"/>
        </w:rPr>
      </w:pP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eastAsia="仿宋_GB2312" w:cs="仿宋_GB2312"/>
          <w:sz w:val="30"/>
          <w:szCs w:val="30"/>
        </w:rPr>
      </w:pPr>
      <w:r>
        <w:rPr>
          <w:rFonts w:hint="eastAsia" w:ascii="仿宋_GB2312" w:eastAsia="仿宋_GB2312" w:cs="仿宋_GB2312"/>
          <w:sz w:val="30"/>
          <w:szCs w:val="30"/>
        </w:rPr>
        <w:t>表1综合评分表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atLeast"/>
              <w:textAlignment w:val="auto"/>
              <w:rPr>
                <w:rFonts w:ascii="宋体" w:cs="宋体"/>
                <w:b/>
                <w:bCs/>
                <w:color w:val="000000"/>
                <w:kern w:val="0"/>
                <w:sz w:val="22"/>
                <w:szCs w:val="22"/>
              </w:rPr>
            </w:pPr>
            <w:r>
              <w:rPr>
                <w:rFonts w:hint="eastAsia" w:ascii="宋体" w:cs="宋体"/>
                <w:b/>
                <w:bCs/>
                <w:color w:val="000000"/>
                <w:kern w:val="0"/>
                <w:sz w:val="22"/>
                <w:szCs w:val="22"/>
              </w:rPr>
              <w:t>一级指标</w:t>
            </w:r>
          </w:p>
        </w:tc>
        <w:tc>
          <w:tcPr>
            <w:tcW w:w="99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cs="宋体"/>
                <w:b/>
                <w:bCs/>
                <w:color w:val="000000"/>
                <w:kern w:val="0"/>
                <w:sz w:val="22"/>
                <w:szCs w:val="22"/>
              </w:rPr>
            </w:pPr>
            <w:r>
              <w:rPr>
                <w:rFonts w:hint="eastAsia" w:asci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kern w:val="0"/>
                <w:sz w:val="22"/>
                <w:szCs w:val="22"/>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w:t>
            </w:r>
            <w:r>
              <w:rPr>
                <w:rFonts w:hint="eastAsia" w:ascii="宋体" w:cs="宋体"/>
                <w:color w:val="000000"/>
                <w:kern w:val="0"/>
                <w:sz w:val="22"/>
                <w:szCs w:val="22"/>
              </w:rPr>
              <w:t>0</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kern w:val="0"/>
                <w:sz w:val="22"/>
                <w:szCs w:val="22"/>
              </w:rPr>
              <w:t>50分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14</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93</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100</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100</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效益　</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40分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30</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30</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30</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100</w:t>
            </w:r>
            <w:r>
              <w:rPr>
                <w:rFonts w:ascii="宋体" w:cs="宋体"/>
                <w:color w:val="000000"/>
                <w:kern w:val="0"/>
                <w:sz w:val="22"/>
                <w:szCs w:val="22"/>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kinsoku/>
              <w:wordWrap/>
              <w:overflowPunct/>
              <w:topLinePunct w:val="0"/>
              <w:autoSpaceDE/>
              <w:autoSpaceDN/>
              <w:bidi w:val="0"/>
              <w:adjustRightInd/>
              <w:snapToGrid/>
              <w:spacing w:line="560" w:lineRule="atLeast"/>
              <w:textAlignment w:val="auto"/>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hint="eastAsia" w:ascii="宋体" w:cs="宋体"/>
                <w:color w:val="000000"/>
                <w:kern w:val="0"/>
                <w:sz w:val="22"/>
                <w:szCs w:val="22"/>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cs="宋体"/>
                <w:color w:val="000000"/>
                <w:kern w:val="0"/>
                <w:sz w:val="22"/>
                <w:szCs w:val="22"/>
              </w:rPr>
            </w:pPr>
            <w:r>
              <w:rPr>
                <w:rFonts w:ascii="宋体" w:cs="宋体"/>
                <w:color w:val="000000"/>
                <w:kern w:val="0"/>
                <w:sz w:val="22"/>
                <w:szCs w:val="22"/>
              </w:rPr>
              <w:t>9</w:t>
            </w:r>
          </w:p>
        </w:tc>
      </w:tr>
    </w:tbl>
    <w:p>
      <w:pPr>
        <w:pageBreakBefore w:val="0"/>
        <w:kinsoku/>
        <w:wordWrap/>
        <w:overflowPunct/>
        <w:topLinePunct w:val="0"/>
        <w:autoSpaceDE/>
        <w:autoSpaceDN/>
        <w:bidi w:val="0"/>
        <w:adjustRightInd/>
        <w:snapToGrid/>
        <w:spacing w:line="560" w:lineRule="atLeast"/>
        <w:ind w:firstLine="640" w:firstLineChars="200"/>
        <w:textAlignment w:val="auto"/>
        <w:rPr>
          <w:rFonts w:ascii="黑体" w:eastAsia="黑体"/>
          <w:sz w:val="32"/>
          <w:szCs w:val="32"/>
        </w:rPr>
      </w:pPr>
      <w:r>
        <w:rPr>
          <w:rFonts w:hint="eastAsia" w:ascii="黑体" w:eastAsia="黑体"/>
          <w:sz w:val="32"/>
          <w:szCs w:val="32"/>
        </w:rPr>
        <w:t>四、绩效评价指标分析</w:t>
      </w:r>
    </w:p>
    <w:p>
      <w:pPr>
        <w:pageBreakBefore w:val="0"/>
        <w:widowControl/>
        <w:kinsoku/>
        <w:wordWrap/>
        <w:overflowPunct/>
        <w:topLinePunct w:val="0"/>
        <w:autoSpaceDE/>
        <w:autoSpaceDN/>
        <w:bidi w:val="0"/>
        <w:adjustRightInd/>
        <w:snapToGrid/>
        <w:spacing w:line="560" w:lineRule="atLeast"/>
        <w:ind w:firstLine="643" w:firstLineChars="200"/>
        <w:textAlignment w:val="auto"/>
        <w:rPr>
          <w:rFonts w:ascii="仿宋_GB2312" w:eastAsia="仿宋_GB2312" w:cs="仿宋_GB2312"/>
          <w:b/>
          <w:sz w:val="32"/>
          <w:szCs w:val="32"/>
        </w:rPr>
      </w:pPr>
      <w:r>
        <w:rPr>
          <w:rFonts w:hint="eastAsia" w:ascii="仿宋_GB2312" w:eastAsia="仿宋_GB2312" w:cs="仿宋_GB2312"/>
          <w:b/>
          <w:sz w:val="32"/>
          <w:szCs w:val="3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项目决策指标从项目</w:t>
      </w:r>
      <w:r>
        <w:rPr>
          <w:rFonts w:ascii="仿宋_GB2312" w:eastAsia="仿宋_GB2312" w:cs="仿宋_GB2312"/>
          <w:sz w:val="32"/>
          <w:szCs w:val="32"/>
        </w:rPr>
        <w:t>立项、</w:t>
      </w:r>
      <w:r>
        <w:rPr>
          <w:rFonts w:hint="eastAsia" w:ascii="仿宋_GB2312" w:eastAsia="仿宋_GB2312" w:cs="仿宋_GB2312"/>
          <w:sz w:val="32"/>
          <w:szCs w:val="32"/>
        </w:rPr>
        <w:t>绩效目标、资金投入</w:t>
      </w:r>
      <w:r>
        <w:rPr>
          <w:rFonts w:ascii="仿宋_GB2312" w:eastAsia="仿宋_GB2312" w:cs="仿宋_GB2312"/>
          <w:sz w:val="32"/>
          <w:szCs w:val="32"/>
        </w:rPr>
        <w:t>3</w:t>
      </w:r>
      <w:r>
        <w:rPr>
          <w:rFonts w:hint="eastAsia" w:ascii="仿宋_GB2312" w:eastAsia="仿宋_GB2312" w:cs="仿宋_GB2312"/>
          <w:sz w:val="32"/>
          <w:szCs w:val="32"/>
        </w:rPr>
        <w:t>个方面对项目</w:t>
      </w:r>
      <w:r>
        <w:rPr>
          <w:rFonts w:ascii="仿宋_GB2312" w:eastAsia="仿宋_GB2312" w:cs="仿宋_GB2312"/>
          <w:sz w:val="32"/>
          <w:szCs w:val="32"/>
        </w:rPr>
        <w:t>立项是否符合法律法规、相关政策、发展规划以及部门职责</w:t>
      </w:r>
      <w:r>
        <w:rPr>
          <w:rFonts w:hint="eastAsia" w:ascii="仿宋_GB2312" w:eastAsia="仿宋_GB2312" w:cs="仿宋_GB2312"/>
          <w:sz w:val="32"/>
          <w:szCs w:val="32"/>
        </w:rPr>
        <w:t>，</w:t>
      </w:r>
      <w:r>
        <w:rPr>
          <w:rFonts w:ascii="仿宋_GB2312" w:eastAsia="仿宋_GB2312" w:cs="仿宋_GB2312"/>
          <w:sz w:val="32"/>
          <w:szCs w:val="32"/>
        </w:rPr>
        <w:t>用以反映和考核</w:t>
      </w:r>
      <w:r>
        <w:rPr>
          <w:rFonts w:hint="eastAsia" w:ascii="仿宋_GB2312" w:eastAsia="仿宋_GB2312" w:cs="仿宋_GB2312"/>
          <w:sz w:val="32"/>
          <w:szCs w:val="32"/>
        </w:rPr>
        <w:t>项目</w:t>
      </w:r>
      <w:r>
        <w:rPr>
          <w:rFonts w:ascii="仿宋_GB2312" w:eastAsia="仿宋_GB2312" w:cs="仿宋_GB2312"/>
          <w:sz w:val="32"/>
          <w:szCs w:val="32"/>
        </w:rPr>
        <w:t>立项依据情况进行考察，</w:t>
      </w:r>
      <w:r>
        <w:rPr>
          <w:rFonts w:hint="eastAsia" w:ascii="仿宋_GB2312" w:eastAsia="仿宋_GB2312" w:cs="仿宋_GB2312"/>
          <w:sz w:val="32"/>
          <w:szCs w:val="32"/>
        </w:rPr>
        <w:t>项目</w:t>
      </w:r>
      <w:r>
        <w:rPr>
          <w:rFonts w:ascii="仿宋_GB2312" w:eastAsia="仿宋_GB2312" w:cs="仿宋_GB2312"/>
          <w:sz w:val="32"/>
          <w:szCs w:val="32"/>
        </w:rPr>
        <w:t>决策</w:t>
      </w:r>
      <w:r>
        <w:rPr>
          <w:rFonts w:hint="eastAsia" w:ascii="仿宋_GB2312" w:eastAsia="仿宋_GB2312" w:cs="仿宋_GB2312"/>
          <w:sz w:val="32"/>
          <w:szCs w:val="32"/>
        </w:rPr>
        <w:t>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5</w:t>
      </w:r>
      <w:r>
        <w:rPr>
          <w:rFonts w:hint="eastAsia" w:ascii="仿宋_GB2312" w:eastAsia="仿宋_GB2312" w:cs="仿宋_GB2312"/>
          <w:sz w:val="32"/>
          <w:szCs w:val="32"/>
        </w:rPr>
        <w:t>分，得分率</w:t>
      </w:r>
      <w:r>
        <w:rPr>
          <w:rFonts w:ascii="仿宋_GB2312" w:eastAsia="仿宋_GB2312" w:cs="仿宋_GB2312"/>
          <w:sz w:val="32"/>
          <w:szCs w:val="32"/>
        </w:rPr>
        <w:t>100%</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w:t>
      </w:r>
      <w:r>
        <w:rPr>
          <w:rFonts w:ascii="仿宋_GB2312" w:eastAsia="仿宋_GB2312" w:cs="仿宋_GB2312"/>
          <w:sz w:val="32"/>
          <w:szCs w:val="32"/>
        </w:rPr>
        <w:t>项目立项</w:t>
      </w:r>
      <w:r>
        <w:rPr>
          <w:rFonts w:hint="eastAsia" w:ascii="仿宋_GB2312" w:eastAsia="仿宋_GB2312" w:cs="仿宋_GB2312"/>
          <w:sz w:val="32"/>
          <w:szCs w:val="32"/>
        </w:rPr>
        <w:t>”，</w:t>
      </w:r>
      <w:r>
        <w:rPr>
          <w:rFonts w:ascii="仿宋_GB2312" w:eastAsia="仿宋_GB2312" w:cs="仿宋_GB2312"/>
          <w:sz w:val="32"/>
          <w:szCs w:val="32"/>
        </w:rPr>
        <w:t>立项</w:t>
      </w:r>
      <w:r>
        <w:rPr>
          <w:rFonts w:hint="eastAsia" w:ascii="仿宋_GB2312" w:eastAsia="仿宋_GB2312" w:cs="仿宋_GB2312"/>
          <w:sz w:val="32"/>
          <w:szCs w:val="32"/>
        </w:rPr>
        <w:t>有文件依据，根据评分标准，该指标不扣分，实际得分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对于“绩效目标”，项目设置了较为详细的项目支出绩效目标，根据评分标准，指标不扣分，实际得分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对于“资金投入”，</w:t>
      </w:r>
      <w:r>
        <w:rPr>
          <w:rFonts w:ascii="仿宋_GB2312" w:eastAsia="仿宋_GB2312" w:cs="仿宋_GB2312"/>
          <w:sz w:val="32"/>
          <w:szCs w:val="32"/>
        </w:rPr>
        <w:t>该项目</w:t>
      </w:r>
      <w:r>
        <w:rPr>
          <w:rFonts w:hint="eastAsia" w:ascii="仿宋_GB2312" w:eastAsia="仿宋_GB2312" w:cs="仿宋_GB2312"/>
          <w:sz w:val="32"/>
          <w:szCs w:val="32"/>
        </w:rPr>
        <w:t>本级资金71.68万元，本级财政预算资金71.68万元，均按时</w:t>
      </w:r>
      <w:r>
        <w:rPr>
          <w:rFonts w:ascii="仿宋_GB2312" w:eastAsia="仿宋_GB2312" w:cs="仿宋_GB2312"/>
          <w:sz w:val="32"/>
          <w:szCs w:val="32"/>
        </w:rPr>
        <w:t>到位。</w:t>
      </w:r>
      <w:r>
        <w:rPr>
          <w:rFonts w:hint="eastAsia" w:ascii="仿宋_GB2312" w:eastAsia="仿宋_GB2312" w:cs="仿宋_GB2312"/>
          <w:sz w:val="32"/>
          <w:szCs w:val="32"/>
        </w:rPr>
        <w:t>资金有效保证了</w:t>
      </w:r>
      <w:r>
        <w:rPr>
          <w:rFonts w:ascii="仿宋_GB2312" w:eastAsia="仿宋_GB2312" w:cs="仿宋_GB2312"/>
          <w:sz w:val="32"/>
          <w:szCs w:val="32"/>
        </w:rPr>
        <w:t>项目</w:t>
      </w:r>
      <w:r>
        <w:rPr>
          <w:rFonts w:hint="eastAsia" w:ascii="仿宋_GB2312" w:eastAsia="仿宋_GB2312" w:cs="仿宋_GB2312"/>
          <w:sz w:val="32"/>
          <w:szCs w:val="32"/>
        </w:rPr>
        <w:t>的实施。根据评分标准，该指标不扣分，实际得分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pPr>
        <w:pageBreakBefore w:val="0"/>
        <w:widowControl/>
        <w:kinsoku/>
        <w:wordWrap/>
        <w:overflowPunct/>
        <w:topLinePunct w:val="0"/>
        <w:autoSpaceDE/>
        <w:autoSpaceDN/>
        <w:bidi w:val="0"/>
        <w:adjustRightInd/>
        <w:snapToGrid/>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（二）项目过程情况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方正仿宋_GBK" w:eastAsia="方正仿宋_GBK" w:cs="宋体"/>
          <w:sz w:val="32"/>
          <w:szCs w:val="32"/>
        </w:rPr>
      </w:pPr>
      <w:r>
        <w:rPr>
          <w:rFonts w:hint="eastAsia" w:ascii="仿宋_GB2312" w:eastAsia="仿宋_GB2312" w:cs="仿宋_GB2312"/>
          <w:sz w:val="32"/>
          <w:szCs w:val="32"/>
        </w:rPr>
        <w:t>项目过程指标从资金到位率、预算执行率、资金使用合规性、管理制度健全性、制度执行有效性</w:t>
      </w:r>
      <w:r>
        <w:rPr>
          <w:rFonts w:ascii="仿宋_GB2312" w:eastAsia="仿宋_GB2312" w:cs="仿宋_GB2312"/>
          <w:sz w:val="32"/>
          <w:szCs w:val="32"/>
        </w:rPr>
        <w:t>5</w:t>
      </w:r>
      <w:r>
        <w:rPr>
          <w:rFonts w:hint="eastAsia" w:ascii="仿宋_GB2312" w:eastAsia="仿宋_GB2312" w:cs="仿宋_GB2312"/>
          <w:sz w:val="32"/>
          <w:szCs w:val="32"/>
        </w:rPr>
        <w:t>个方面对项目的管理情况进行考察。项目过程类指标分值</w:t>
      </w:r>
      <w:r>
        <w:rPr>
          <w:rFonts w:ascii="仿宋_GB2312" w:eastAsia="仿宋_GB2312" w:cs="仿宋_GB2312"/>
          <w:sz w:val="32"/>
          <w:szCs w:val="32"/>
        </w:rPr>
        <w:t>5</w:t>
      </w:r>
      <w:r>
        <w:rPr>
          <w:rFonts w:hint="eastAsia" w:ascii="仿宋_GB2312" w:eastAsia="仿宋_GB2312" w:cs="仿宋_GB2312"/>
          <w:sz w:val="32"/>
          <w:szCs w:val="32"/>
        </w:rPr>
        <w:t>分，实际得分4.7分，得分率为94</w:t>
      </w:r>
      <w:r>
        <w:rPr>
          <w:rFonts w:ascii="仿宋_GB2312" w:eastAsia="仿宋_GB2312" w:cs="仿宋_GB2312"/>
          <w:sz w:val="32"/>
          <w:szCs w:val="32"/>
        </w:rPr>
        <w:t>%</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对于“资金到位率”，项目资金到位及时，到位率为</w:t>
      </w:r>
      <w:r>
        <w:rPr>
          <w:rFonts w:ascii="仿宋_GB2312" w:eastAsia="仿宋_GB2312" w:cs="仿宋_GB2312"/>
          <w:sz w:val="32"/>
          <w:szCs w:val="32"/>
        </w:rPr>
        <w:t>100%</w:t>
      </w:r>
      <w:r>
        <w:rPr>
          <w:rFonts w:hint="eastAsia" w:ascii="仿宋_GB2312" w:eastAsia="仿宋_GB2312" w:cs="仿宋_GB2312"/>
          <w:sz w:val="32"/>
          <w:szCs w:val="32"/>
        </w:rPr>
        <w:t>。根据评分标准，该指标不扣分，实际得分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pPr>
        <w:pStyle w:val="2"/>
        <w:pageBreakBefore w:val="0"/>
        <w:kinsoku/>
        <w:wordWrap/>
        <w:overflowPunct/>
        <w:topLinePunct w:val="0"/>
        <w:autoSpaceDE/>
        <w:autoSpaceDN/>
        <w:bidi w:val="0"/>
        <w:adjustRightInd/>
        <w:snapToGrid/>
        <w:spacing w:before="0" w:after="0" w:line="560" w:lineRule="atLeast"/>
        <w:jc w:val="both"/>
        <w:textAlignment w:val="auto"/>
        <w:rPr>
          <w:rFonts w:ascii="仿宋_GB2312" w:eastAsia="仿宋_GB2312" w:cs="仿宋_GB2312"/>
          <w:b w:val="0"/>
          <w:kern w:val="2"/>
        </w:rPr>
      </w:pPr>
      <w:r>
        <w:rPr>
          <w:rFonts w:ascii="仿宋_GB2312" w:eastAsia="仿宋_GB2312" w:cs="仿宋_GB2312"/>
        </w:rPr>
        <w:t xml:space="preserve"> </w:t>
      </w:r>
      <w:r>
        <w:rPr>
          <w:rFonts w:hint="eastAsia" w:ascii="仿宋_GB2312" w:eastAsia="仿宋_GB2312" w:cs="仿宋_GB2312"/>
          <w:b w:val="0"/>
          <w:kern w:val="2"/>
        </w:rPr>
        <w:t xml:space="preserve"> </w:t>
      </w:r>
      <w:r>
        <w:rPr>
          <w:rFonts w:ascii="仿宋_GB2312" w:eastAsia="仿宋_GB2312" w:cs="仿宋_GB2312"/>
          <w:b w:val="0"/>
          <w:kern w:val="2"/>
        </w:rPr>
        <w:t xml:space="preserve">  </w:t>
      </w:r>
      <w:r>
        <w:rPr>
          <w:rFonts w:hint="eastAsia" w:ascii="仿宋_GB2312" w:eastAsia="仿宋_GB2312" w:cs="仿宋_GB2312"/>
          <w:b w:val="0"/>
          <w:kern w:val="2"/>
        </w:rPr>
        <w:t>对于“预算执行率”，项目资金</w:t>
      </w:r>
      <w:r>
        <w:rPr>
          <w:rFonts w:ascii="仿宋_GB2312" w:eastAsia="仿宋_GB2312" w:cs="仿宋_GB2312"/>
          <w:b w:val="0"/>
          <w:kern w:val="2"/>
        </w:rPr>
        <w:t>执行按照</w:t>
      </w:r>
      <w:r>
        <w:rPr>
          <w:rFonts w:hint="eastAsia" w:ascii="仿宋_GB2312" w:eastAsia="仿宋_GB2312" w:cs="仿宋_GB2312"/>
          <w:b w:val="0"/>
          <w:kern w:val="2"/>
        </w:rPr>
        <w:t>实际人数和规定标准列支，当月死亡人员下月不再发放。实际</w:t>
      </w:r>
      <w:r>
        <w:rPr>
          <w:rFonts w:ascii="仿宋_GB2312" w:eastAsia="仿宋_GB2312" w:cs="仿宋_GB2312"/>
          <w:b w:val="0"/>
          <w:kern w:val="2"/>
        </w:rPr>
        <w:t>执行</w:t>
      </w:r>
      <w:r>
        <w:rPr>
          <w:rFonts w:hint="eastAsia" w:ascii="仿宋_GB2312" w:eastAsia="仿宋_GB2312" w:cs="仿宋_GB2312"/>
          <w:b w:val="0"/>
          <w:kern w:val="2"/>
        </w:rPr>
        <w:t>率为95.52%。根据评分标准，该指标扣分</w:t>
      </w:r>
      <w:r>
        <w:rPr>
          <w:rFonts w:ascii="仿宋_GB2312" w:eastAsia="仿宋_GB2312" w:cs="仿宋_GB2312"/>
          <w:b w:val="0"/>
          <w:kern w:val="2"/>
        </w:rPr>
        <w:t>0.</w:t>
      </w:r>
      <w:r>
        <w:rPr>
          <w:rFonts w:hint="eastAsia" w:ascii="仿宋_GB2312" w:eastAsia="仿宋_GB2312" w:cs="仿宋_GB2312"/>
          <w:b w:val="0"/>
          <w:kern w:val="2"/>
        </w:rPr>
        <w:t>1</w:t>
      </w:r>
      <w:r>
        <w:rPr>
          <w:rFonts w:ascii="仿宋_GB2312" w:eastAsia="仿宋_GB2312" w:cs="仿宋_GB2312"/>
          <w:b w:val="0"/>
          <w:kern w:val="2"/>
        </w:rPr>
        <w:t>分</w:t>
      </w:r>
      <w:r>
        <w:rPr>
          <w:rFonts w:hint="eastAsia" w:ascii="仿宋_GB2312" w:eastAsia="仿宋_GB2312" w:cs="仿宋_GB2312"/>
          <w:b w:val="0"/>
          <w:kern w:val="2"/>
        </w:rPr>
        <w:t>，</w:t>
      </w:r>
      <w:r>
        <w:rPr>
          <w:rFonts w:hint="eastAsia" w:ascii="仿宋_GB2312" w:eastAsia="仿宋_GB2312" w:cs="仿宋_GB2312"/>
          <w:b w:val="0"/>
          <w:bCs w:val="0"/>
          <w:kern w:val="2"/>
        </w:rPr>
        <w:t>实际得分</w:t>
      </w:r>
      <w:r>
        <w:rPr>
          <w:rFonts w:ascii="仿宋_GB2312" w:eastAsia="仿宋_GB2312" w:cs="仿宋_GB2312"/>
          <w:b w:val="0"/>
          <w:bCs w:val="0"/>
          <w:kern w:val="2"/>
        </w:rPr>
        <w:t>0.</w:t>
      </w:r>
      <w:r>
        <w:rPr>
          <w:rFonts w:hint="eastAsia" w:ascii="仿宋_GB2312" w:eastAsia="仿宋_GB2312" w:cs="仿宋_GB2312"/>
          <w:b w:val="0"/>
          <w:bCs w:val="0"/>
          <w:kern w:val="2"/>
        </w:rPr>
        <w:t>9分</w:t>
      </w:r>
      <w:r>
        <w:rPr>
          <w:rFonts w:hint="eastAsia" w:ascii="仿宋_GB2312" w:eastAsia="仿宋_GB2312" w:cs="仿宋_GB2312"/>
          <w:b w:val="0"/>
          <w:kern w:val="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bCs/>
          <w:sz w:val="32"/>
          <w:szCs w:val="32"/>
        </w:rPr>
        <w:t>对于“资金使用合规性”项目按照专项资金</w:t>
      </w:r>
      <w:r>
        <w:rPr>
          <w:rFonts w:hint="eastAsia" w:ascii="仿宋_GB2312" w:eastAsia="仿宋_GB2312" w:cs="仿宋_GB2312"/>
          <w:sz w:val="32"/>
          <w:szCs w:val="32"/>
        </w:rPr>
        <w:t>列支的范围使用资金，支出范围合规；资金支出能按财务制度执行，并能按国库集中支付制度规定执行，不存在资金违纪违规使用情况。根据评分标准，该指标不扣分，实际得分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100%</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对于“管理制度健全性”，项目机构健全，分工明确，不存在不相容岗位兼任情况。但未制定项目管理实施细则，根据评分标准，该指标扣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对于“制度执行有效性”，组建了项目建设领导小组，认真组织项目实施，但在项目执行过程中，由于对制度执行的效率了解还不够深入，根据评分标准，该指标扣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pPr>
        <w:pageBreakBefore w:val="0"/>
        <w:widowControl/>
        <w:kinsoku/>
        <w:wordWrap/>
        <w:overflowPunct/>
        <w:topLinePunct w:val="0"/>
        <w:autoSpaceDE/>
        <w:autoSpaceDN/>
        <w:bidi w:val="0"/>
        <w:adjustRightInd/>
        <w:snapToGrid/>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（三）项目产出情况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项目绩效主要从项目产出的产出数量、产出质量、产出时效、成本情况4个方面对项目的绩效情况进行评价。项目产出类指标分值</w:t>
      </w:r>
      <w:r>
        <w:rPr>
          <w:rFonts w:ascii="仿宋_GB2312" w:eastAsia="仿宋_GB2312" w:cs="仿宋_GB2312"/>
          <w:sz w:val="32"/>
          <w:szCs w:val="32"/>
        </w:rPr>
        <w:t>50</w:t>
      </w:r>
      <w:r>
        <w:rPr>
          <w:rFonts w:hint="eastAsia" w:ascii="仿宋_GB2312" w:eastAsia="仿宋_GB2312" w:cs="仿宋_GB2312"/>
          <w:sz w:val="32"/>
          <w:szCs w:val="32"/>
        </w:rPr>
        <w:t>分，实际得分</w:t>
      </w:r>
      <w:r>
        <w:rPr>
          <w:rFonts w:hint="eastAsia" w:ascii="仿宋_GB2312" w:eastAsia="仿宋_GB2312" w:cs="仿宋_GB2312"/>
          <w:sz w:val="32"/>
          <w:szCs w:val="32"/>
          <w:lang w:val="en-US" w:eastAsia="zh-CN"/>
        </w:rPr>
        <w:t>49.4</w:t>
      </w:r>
      <w:r>
        <w:rPr>
          <w:rFonts w:hint="eastAsia" w:ascii="仿宋_GB2312" w:eastAsia="仿宋_GB2312" w:cs="仿宋_GB2312"/>
          <w:sz w:val="32"/>
          <w:szCs w:val="32"/>
        </w:rPr>
        <w:t>分，得分率为</w:t>
      </w:r>
      <w:r>
        <w:rPr>
          <w:rFonts w:hint="eastAsia" w:ascii="仿宋_GB2312" w:eastAsia="仿宋_GB2312" w:cs="仿宋_GB2312"/>
          <w:sz w:val="32"/>
          <w:szCs w:val="32"/>
          <w:lang w:val="en-US" w:eastAsia="zh-CN"/>
        </w:rPr>
        <w:t>98.80</w:t>
      </w:r>
      <w:r>
        <w:rPr>
          <w:rFonts w:hint="eastAsia" w:ascii="仿宋_GB2312" w:eastAsia="仿宋_GB2312" w:cs="仿宋_GB2312"/>
          <w:sz w:val="32"/>
          <w:szCs w:val="32"/>
        </w:rPr>
        <w:t>%。</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数量指标：</w:t>
      </w:r>
      <w:r>
        <w:rPr>
          <w:rFonts w:hint="eastAsia" w:ascii="仿宋_GB2312" w:hAnsi="仿宋_GB2312" w:eastAsia="仿宋_GB2312" w:cs="仿宋_GB2312"/>
          <w:b/>
          <w:bCs/>
          <w:sz w:val="32"/>
        </w:rPr>
        <w:t>享受补贴人数</w:t>
      </w:r>
      <w:r>
        <w:rPr>
          <w:rFonts w:hint="eastAsia" w:ascii="仿宋_GB2312" w:hAnsi="仿宋_GB2312" w:eastAsia="仿宋_GB2312" w:cs="仿宋_GB2312"/>
          <w:color w:val="auto"/>
          <w:sz w:val="32"/>
          <w:szCs w:val="32"/>
        </w:rPr>
        <w:t>，预期指标值496人，指标完成值496人，指标完成率100%；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质量指标：</w:t>
      </w:r>
      <w:r>
        <w:rPr>
          <w:rFonts w:hint="eastAsia" w:ascii="仿宋_GB2312" w:hAnsi="仿宋_GB2312" w:eastAsia="仿宋_GB2312" w:cs="仿宋_GB2312"/>
          <w:b/>
          <w:bCs/>
          <w:sz w:val="32"/>
        </w:rPr>
        <w:t>补贴发放覆盖率</w:t>
      </w:r>
      <w:r>
        <w:rPr>
          <w:rFonts w:hint="eastAsia" w:ascii="仿宋_GB2312" w:hAnsi="仿宋_GB2312" w:eastAsia="仿宋_GB2312" w:cs="仿宋_GB2312"/>
          <w:color w:val="auto"/>
          <w:sz w:val="32"/>
          <w:szCs w:val="32"/>
        </w:rPr>
        <w:t>，预期指标值100%，指标完成值100%，指标完成率100%；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时效指标：</w:t>
      </w:r>
      <w:r>
        <w:rPr>
          <w:rFonts w:hint="eastAsia" w:ascii="仿宋_GB2312" w:hAnsi="仿宋_GB2312" w:eastAsia="仿宋_GB2312" w:cs="仿宋_GB2312"/>
          <w:b/>
          <w:bCs/>
          <w:sz w:val="32"/>
        </w:rPr>
        <w:t>发放及时率</w:t>
      </w:r>
      <w:r>
        <w:rPr>
          <w:rFonts w:hint="eastAsia" w:ascii="仿宋_GB2312" w:hAnsi="仿宋_GB2312" w:eastAsia="仿宋_GB2312" w:cs="仿宋_GB2312"/>
          <w:color w:val="auto"/>
          <w:sz w:val="32"/>
          <w:szCs w:val="32"/>
        </w:rPr>
        <w:t>，预期指标值</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rPr>
        <w:t>，指标完成值</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sz w:val="32"/>
          <w:szCs w:val="32"/>
        </w:rPr>
        <w:t>，指标完成率100%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成本指标：</w:t>
      </w:r>
      <w:r>
        <w:rPr>
          <w:rFonts w:hint="eastAsia" w:ascii="仿宋_GB2312" w:hAnsi="仿宋_GB2312" w:eastAsia="仿宋_GB2312" w:cs="仿宋_GB2312"/>
          <w:b/>
          <w:bCs/>
          <w:color w:val="auto"/>
          <w:sz w:val="32"/>
        </w:rPr>
        <w:t>项目实施费用</w:t>
      </w:r>
      <w:r>
        <w:rPr>
          <w:rFonts w:hint="eastAsia" w:ascii="仿宋_GB2312" w:hAnsi="仿宋_GB2312" w:eastAsia="仿宋_GB2312" w:cs="仿宋_GB2312"/>
          <w:sz w:val="32"/>
          <w:szCs w:val="32"/>
        </w:rPr>
        <w:t>，预期指标值71.68万元，指标完成值68.47万元，指标完成率95.52%。</w:t>
      </w:r>
    </w:p>
    <w:p>
      <w:pPr>
        <w:pageBreakBefore w:val="0"/>
        <w:widowControl/>
        <w:kinsoku/>
        <w:wordWrap/>
        <w:overflowPunct/>
        <w:topLinePunct w:val="0"/>
        <w:autoSpaceDE/>
        <w:autoSpaceDN/>
        <w:bidi w:val="0"/>
        <w:adjustRightInd/>
        <w:snapToGrid/>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（四）项目效益情况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项目绩效主要从项目产出的效果的经济效益、社会效益、可持续影响、满意度</w:t>
      </w:r>
      <w:r>
        <w:rPr>
          <w:rFonts w:ascii="仿宋_GB2312" w:eastAsia="仿宋_GB2312" w:cs="仿宋_GB2312"/>
          <w:sz w:val="32"/>
          <w:szCs w:val="32"/>
        </w:rPr>
        <w:t>4</w:t>
      </w:r>
      <w:r>
        <w:rPr>
          <w:rFonts w:hint="eastAsia" w:ascii="仿宋_GB2312" w:eastAsia="仿宋_GB2312" w:cs="仿宋_GB2312"/>
          <w:sz w:val="32"/>
          <w:szCs w:val="32"/>
        </w:rPr>
        <w:t>个方面对项目的绩效情况进行评价。项目</w:t>
      </w:r>
      <w:r>
        <w:rPr>
          <w:rFonts w:ascii="仿宋_GB2312" w:eastAsia="仿宋_GB2312" w:cs="仿宋_GB2312"/>
          <w:sz w:val="32"/>
          <w:szCs w:val="32"/>
        </w:rPr>
        <w:t>效益</w:t>
      </w:r>
      <w:r>
        <w:rPr>
          <w:rFonts w:hint="eastAsia" w:ascii="仿宋_GB2312" w:eastAsia="仿宋_GB2312" w:cs="仿宋_GB2312"/>
          <w:sz w:val="32"/>
          <w:szCs w:val="32"/>
        </w:rPr>
        <w:t>类指标分值</w:t>
      </w:r>
      <w:r>
        <w:rPr>
          <w:rFonts w:ascii="仿宋_GB2312" w:eastAsia="仿宋_GB2312" w:cs="仿宋_GB2312"/>
          <w:sz w:val="32"/>
          <w:szCs w:val="32"/>
        </w:rPr>
        <w:t>40</w:t>
      </w:r>
      <w:r>
        <w:rPr>
          <w:rFonts w:hint="eastAsia" w:ascii="仿宋_GB2312" w:eastAsia="仿宋_GB2312" w:cs="仿宋_GB2312"/>
          <w:sz w:val="32"/>
          <w:szCs w:val="32"/>
        </w:rPr>
        <w:t>分，实际得分</w:t>
      </w:r>
      <w:r>
        <w:rPr>
          <w:rFonts w:hint="eastAsia" w:ascii="仿宋_GB2312" w:eastAsia="仿宋_GB2312" w:cs="仿宋_GB2312"/>
          <w:sz w:val="32"/>
          <w:szCs w:val="32"/>
          <w:lang w:val="en-US" w:eastAsia="zh-CN"/>
        </w:rPr>
        <w:t>40</w:t>
      </w:r>
      <w:r>
        <w:rPr>
          <w:rFonts w:hint="eastAsia" w:ascii="仿宋_GB2312" w:eastAsia="仿宋_GB2312" w:cs="仿宋_GB2312"/>
          <w:sz w:val="32"/>
          <w:szCs w:val="32"/>
        </w:rPr>
        <w:t>分，得分率为</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经济效益指标方面：发放退休人员生活补助，增加经济收入，提高生活水平。根据评分标准，该指标分值10分，实际得分10分，得分率为100%。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社会效益指标方面：对于“社会效益”，2020年在传染病防控情况下，及时发放退休人员待遇，使退休人员待遇没有受到任务影响。根据评分标准，该指标分值10分，实际得分10分，得分率为100%。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可持续影响指标方面：社保中心属于社保经办部门，落实各项社保优惠政策，提升退休人员幸福指数。根据评分标准，该指标分值10分，实际得分10分，得分率为100%。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满意度指标方面：对于“满意度”发放了调查问卷50份，每项指标的满意度分为四档，即“非常满意”、“满意”、“一般”、“不满意”；受调查群众主要是退休人员，“非常满意”49份，1份比较满意，根据评分标准，问卷调查结果分析实际得分为</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分，得分率为</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0%。</w:t>
      </w:r>
    </w:p>
    <w:p>
      <w:pPr>
        <w:pageBreakBefore w:val="0"/>
        <w:kinsoku/>
        <w:wordWrap/>
        <w:overflowPunct/>
        <w:topLinePunct w:val="0"/>
        <w:autoSpaceDE/>
        <w:autoSpaceDN/>
        <w:bidi w:val="0"/>
        <w:adjustRightInd/>
        <w:snapToGrid/>
        <w:spacing w:line="560" w:lineRule="atLeast"/>
        <w:ind w:firstLine="640" w:firstLineChars="200"/>
        <w:textAlignment w:val="auto"/>
        <w:rPr>
          <w:rStyle w:val="36"/>
          <w:color w:val="auto"/>
        </w:rPr>
      </w:pPr>
      <w:r>
        <w:rPr>
          <w:rFonts w:hint="eastAsia" w:asci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eastAsia="楷体"/>
          <w:b/>
          <w:spacing w:val="-4"/>
          <w:sz w:val="32"/>
          <w:szCs w:val="32"/>
        </w:rPr>
      </w:pPr>
      <w:r>
        <w:rPr>
          <w:rFonts w:hint="eastAsia" w:asci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存在的问题及原因分析</w:t>
      </w:r>
    </w:p>
    <w:p>
      <w:pPr>
        <w:pStyle w:val="2"/>
        <w:pageBreakBefore w:val="0"/>
        <w:numPr>
          <w:ilvl w:val="0"/>
          <w:numId w:val="8"/>
        </w:numPr>
        <w:kinsoku/>
        <w:wordWrap/>
        <w:overflowPunct/>
        <w:topLinePunct w:val="0"/>
        <w:autoSpaceDE/>
        <w:autoSpaceDN/>
        <w:bidi w:val="0"/>
        <w:adjustRightInd/>
        <w:snapToGrid/>
        <w:spacing w:before="0" w:after="0" w:line="560" w:lineRule="atLeast"/>
        <w:jc w:val="both"/>
        <w:textAlignment w:val="auto"/>
        <w:rPr>
          <w:rFonts w:ascii="仿宋_GB2312" w:eastAsia="仿宋_GB2312" w:cs="仿宋_GB2312"/>
          <w:b w:val="0"/>
          <w:bCs w:val="0"/>
          <w:kern w:val="2"/>
        </w:rPr>
      </w:pPr>
      <w:r>
        <w:rPr>
          <w:rFonts w:hint="eastAsia" w:ascii="仿宋_GB2312" w:eastAsia="仿宋_GB2312" w:cs="仿宋_GB2312"/>
          <w:b w:val="0"/>
          <w:bCs w:val="0"/>
          <w:kern w:val="2"/>
        </w:rPr>
        <w:t>存在的问题</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存在问题：项目绩效管理缺乏经验，有待强化。在项目具体执行过程往往只重视预算执行情况，忽视产出和效果，项目实施过程中需提供行之有效的绩效管理办法和评价机制。</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cs="仿宋_GB2312"/>
          <w:sz w:val="32"/>
          <w:szCs w:val="32"/>
        </w:rPr>
      </w:pPr>
      <w:r>
        <w:rPr>
          <w:rFonts w:hint="eastAsia" w:ascii="仿宋_GB2312" w:eastAsia="仿宋_GB2312" w:cs="仿宋_GB2312"/>
          <w:sz w:val="32"/>
          <w:szCs w:val="32"/>
        </w:rPr>
        <w:t>2、原因分析：单位存在分工不明确，具体项目执行部门不够重视项目绩效工作，相关财务制度不完善。</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黑体" w:eastAsia="黑体"/>
          <w:sz w:val="32"/>
          <w:szCs w:val="32"/>
        </w:rPr>
      </w:pPr>
      <w:r>
        <w:rPr>
          <w:rFonts w:hint="eastAsia" w:ascii="黑体" w:eastAsia="黑体"/>
          <w:sz w:val="32"/>
          <w:szCs w:val="32"/>
        </w:rPr>
        <w:t>有关建议</w:t>
      </w:r>
    </w:p>
    <w:p>
      <w:pPr>
        <w:pageBreakBefore w:val="0"/>
        <w:numPr>
          <w:ilvl w:val="0"/>
          <w:numId w:val="10"/>
        </w:numPr>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10"/>
        </w:numPr>
        <w:kinsoku/>
        <w:wordWrap/>
        <w:overflowPunct/>
        <w:topLinePunct w:val="0"/>
        <w:autoSpaceDE/>
        <w:autoSpaceDN/>
        <w:bidi w:val="0"/>
        <w:adjustRightInd/>
        <w:snapToGrid/>
        <w:spacing w:line="560" w:lineRule="atLeast"/>
        <w:ind w:firstLine="641"/>
        <w:textAlignment w:val="auto"/>
        <w:rPr>
          <w:rFonts w:ascii="仿宋_GB2312" w:eastAsia="仿宋_GB2312" w:cs="仿宋_GB2312"/>
          <w:sz w:val="32"/>
          <w:szCs w:val="32"/>
        </w:rPr>
      </w:pPr>
      <w:r>
        <w:rPr>
          <w:rFonts w:hint="eastAsia" w:ascii="仿宋_GB2312" w:eastAsia="仿宋_GB2312" w:cs="仿宋_GB2312"/>
          <w:sz w:val="32"/>
          <w:szCs w:val="32"/>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eastAsia="仿宋_GB2312" w:cs="仿宋_GB2312"/>
          <w:sz w:val="32"/>
          <w:szCs w:val="32"/>
        </w:rPr>
        <w:t>，从而确保专项资金专款专用，有效地防止了截留、挤占和挪用。</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黑体" w:eastAsia="黑体"/>
          <w:sz w:val="32"/>
          <w:szCs w:val="32"/>
        </w:rPr>
      </w:pPr>
      <w:r>
        <w:rPr>
          <w:rFonts w:hint="eastAsia" w:ascii="黑体" w:eastAsia="黑体"/>
          <w:sz w:val="32"/>
          <w:szCs w:val="32"/>
        </w:rPr>
        <w:t>其他需要说</w:t>
      </w:r>
      <w:bookmarkStart w:id="1" w:name="page8"/>
      <w:bookmarkEnd w:id="1"/>
      <w:r>
        <w:rPr>
          <w:rFonts w:hint="eastAsia" w:ascii="黑体" w:eastAsia="黑体"/>
          <w:sz w:val="32"/>
          <w:szCs w:val="32"/>
        </w:rPr>
        <w:t>明的问题</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无</w:t>
      </w:r>
    </w:p>
    <w:tbl>
      <w:tblPr>
        <w:tblStyle w:val="21"/>
        <w:tblW w:w="11760" w:type="dxa"/>
        <w:jc w:val="center"/>
        <w:tblLayout w:type="fixed"/>
        <w:tblCellMar>
          <w:top w:w="0" w:type="dxa"/>
          <w:left w:w="108" w:type="dxa"/>
          <w:bottom w:w="0" w:type="dxa"/>
          <w:right w:w="108" w:type="dxa"/>
        </w:tblCellMar>
      </w:tblPr>
      <w:tblGrid>
        <w:gridCol w:w="904"/>
        <w:gridCol w:w="1143"/>
        <w:gridCol w:w="1005"/>
        <w:gridCol w:w="564"/>
        <w:gridCol w:w="771"/>
        <w:gridCol w:w="389"/>
        <w:gridCol w:w="1336"/>
        <w:gridCol w:w="1410"/>
        <w:gridCol w:w="930"/>
        <w:gridCol w:w="3308"/>
      </w:tblGrid>
      <w:tr>
        <w:tblPrEx>
          <w:tblCellMar>
            <w:top w:w="0" w:type="dxa"/>
            <w:left w:w="108" w:type="dxa"/>
            <w:bottom w:w="0" w:type="dxa"/>
            <w:right w:w="108" w:type="dxa"/>
          </w:tblCellMar>
        </w:tblPrEx>
        <w:trPr>
          <w:trHeight w:val="409" w:hRule="atLeast"/>
          <w:jc w:val="center"/>
        </w:trPr>
        <w:tc>
          <w:tcPr>
            <w:tcW w:w="1176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Arial"/>
                <w:b/>
                <w:bCs/>
                <w:color w:val="000000"/>
                <w:kern w:val="0"/>
                <w:sz w:val="32"/>
                <w:szCs w:val="32"/>
              </w:rPr>
            </w:pPr>
            <w:r>
              <w:rPr>
                <w:rFonts w:hint="eastAsia" w:ascii="宋体" w:hAnsi="宋体" w:eastAsia="宋体" w:cs="宋体"/>
                <w:b/>
                <w:i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409" w:hRule="atLeast"/>
          <w:jc w:val="center"/>
        </w:trPr>
        <w:tc>
          <w:tcPr>
            <w:tcW w:w="1176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270" w:hRule="atLeast"/>
          <w:jc w:val="center"/>
        </w:trPr>
        <w:tc>
          <w:tcPr>
            <w:tcW w:w="11760" w:type="dxa"/>
            <w:gridSpan w:val="10"/>
            <w:tcBorders>
              <w:top w:val="nil"/>
              <w:left w:val="nil"/>
              <w:bottom w:val="nil"/>
              <w:right w:val="nil"/>
            </w:tcBorders>
            <w:shd w:val="clear" w:color="auto" w:fill="auto"/>
            <w:vAlign w:val="center"/>
          </w:tcPr>
          <w:p>
            <w:pPr>
              <w:jc w:val="center"/>
              <w:rPr>
                <w:rFonts w:ascii="宋体" w:hAnsi="宋体" w:cs="Arial"/>
                <w:color w:val="000000"/>
                <w:kern w:val="0"/>
                <w:sz w:val="22"/>
                <w:szCs w:val="22"/>
              </w:rPr>
            </w:pPr>
          </w:p>
        </w:tc>
      </w:tr>
      <w:tr>
        <w:tblPrEx>
          <w:tblCellMar>
            <w:top w:w="0" w:type="dxa"/>
            <w:left w:w="108" w:type="dxa"/>
            <w:bottom w:w="0" w:type="dxa"/>
            <w:right w:w="108" w:type="dxa"/>
          </w:tblCellMar>
        </w:tblPrEx>
        <w:trPr>
          <w:trHeight w:val="270"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项目名称</w:t>
            </w:r>
          </w:p>
        </w:tc>
        <w:tc>
          <w:tcPr>
            <w:tcW w:w="9713"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退休待遇经办项目</w:t>
            </w:r>
          </w:p>
        </w:tc>
      </w:tr>
      <w:tr>
        <w:tblPrEx>
          <w:tblCellMar>
            <w:top w:w="0" w:type="dxa"/>
            <w:left w:w="108" w:type="dxa"/>
            <w:bottom w:w="0" w:type="dxa"/>
            <w:right w:w="108" w:type="dxa"/>
          </w:tblCellMar>
        </w:tblPrEx>
        <w:trPr>
          <w:trHeight w:val="270"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065" w:type="dxa"/>
            <w:gridSpan w:val="5"/>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实施单位</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塔城地区社会保险中心</w:t>
            </w:r>
          </w:p>
        </w:tc>
      </w:tr>
      <w:tr>
        <w:tblPrEx>
          <w:tblCellMar>
            <w:top w:w="0" w:type="dxa"/>
            <w:left w:w="108" w:type="dxa"/>
            <w:bottom w:w="0" w:type="dxa"/>
            <w:right w:w="108" w:type="dxa"/>
          </w:tblCellMar>
        </w:tblPrEx>
        <w:trPr>
          <w:trHeight w:val="394"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项目资金</w:t>
            </w:r>
          </w:p>
        </w:tc>
        <w:tc>
          <w:tcPr>
            <w:tcW w:w="1005" w:type="dxa"/>
            <w:tcBorders>
              <w:top w:val="nil"/>
              <w:left w:val="nil"/>
              <w:bottom w:val="nil"/>
              <w:right w:val="nil"/>
            </w:tcBorders>
            <w:shd w:val="clear" w:color="auto" w:fill="auto"/>
            <w:noWrap/>
            <w:vAlign w:val="bottom"/>
          </w:tcPr>
          <w:p>
            <w:pPr>
              <w:rPr>
                <w:rFonts w:ascii="Arial" w:hAnsi="Arial" w:cs="Arial"/>
                <w:kern w:val="0"/>
                <w:sz w:val="20"/>
                <w:szCs w:val="20"/>
              </w:rPr>
            </w:pPr>
          </w:p>
        </w:tc>
        <w:tc>
          <w:tcPr>
            <w:tcW w:w="564" w:type="dxa"/>
            <w:tcBorders>
              <w:top w:val="nil"/>
              <w:left w:val="nil"/>
              <w:bottom w:val="single" w:color="000000" w:sz="4" w:space="0"/>
              <w:right w:val="single" w:color="000000" w:sz="4" w:space="0"/>
            </w:tcBorders>
            <w:shd w:val="clear" w:color="auto" w:fill="auto"/>
            <w:vAlign w:val="bottom"/>
          </w:tcPr>
          <w:p>
            <w:pPr>
              <w:rPr>
                <w:rFonts w:ascii="宋体" w:hAnsi="宋体" w:cs="Arial"/>
                <w:color w:val="000000"/>
                <w:kern w:val="0"/>
                <w:sz w:val="18"/>
                <w:szCs w:val="18"/>
              </w:rPr>
            </w:pPr>
          </w:p>
        </w:tc>
        <w:tc>
          <w:tcPr>
            <w:tcW w:w="11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394"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（万元）</w:t>
            </w:r>
          </w:p>
        </w:tc>
        <w:tc>
          <w:tcPr>
            <w:tcW w:w="156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11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71.68</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71.68</w:t>
            </w: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6</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.47</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cs="宋体"/>
                <w:i w:val="0"/>
                <w:color w:val="000000"/>
                <w:kern w:val="0"/>
                <w:sz w:val="18"/>
                <w:szCs w:val="18"/>
                <w:u w:val="none"/>
                <w:lang w:val="en-US" w:eastAsia="zh-CN" w:bidi="ar"/>
              </w:rPr>
              <w:t>95.52</w:t>
            </w: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524"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22"/>
                <w:szCs w:val="22"/>
              </w:rPr>
            </w:pPr>
          </w:p>
        </w:tc>
        <w:tc>
          <w:tcPr>
            <w:tcW w:w="156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11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71.68</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71.68</w:t>
            </w: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6</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.47</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2"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22"/>
                <w:szCs w:val="22"/>
              </w:rPr>
            </w:pPr>
          </w:p>
        </w:tc>
        <w:tc>
          <w:tcPr>
            <w:tcW w:w="156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1160"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70" w:hRule="atLeast"/>
          <w:jc w:val="center"/>
        </w:trPr>
        <w:tc>
          <w:tcPr>
            <w:tcW w:w="2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22"/>
                <w:szCs w:val="22"/>
              </w:rPr>
            </w:pPr>
          </w:p>
        </w:tc>
        <w:tc>
          <w:tcPr>
            <w:tcW w:w="1569"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116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2340"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0</w:t>
            </w:r>
          </w:p>
        </w:tc>
        <w:tc>
          <w:tcPr>
            <w:tcW w:w="330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432" w:hRule="atLeast"/>
          <w:jc w:val="center"/>
        </w:trPr>
        <w:tc>
          <w:tcPr>
            <w:tcW w:w="90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208"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预期目标</w:t>
            </w:r>
          </w:p>
        </w:tc>
        <w:tc>
          <w:tcPr>
            <w:tcW w:w="5648"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1695"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5208" w:type="dxa"/>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每个项目绩效监控从组织、管理、实施方式等都需要进一步改进和完善。</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１、完成95年前退休人员生活补助费的发放。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２、健全和完善项目绩效监控管理制度，主要是项目实施过程监控和项目资金使用监控，特别是项目资金使用监控。严格遵守“六严禁”制度，严格专款专用，确保项目资金安全运行，发挥最大效益。</w:t>
            </w:r>
          </w:p>
        </w:tc>
        <w:tc>
          <w:tcPr>
            <w:tcW w:w="5648"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每个项目绩效监控从组织、管理、实施方式等都需要进一步改进和完善。</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１、完成95年前退休人员生活补助费的发放。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２、健全和完善项目绩效监控管理制度，主要是项目实施过程监控和项目资金使用监控，特别是项目资金使用监控。严格遵守“六严禁”制度，严格专款专用，确保项目资金安全运行，发挥最大效益。</w:t>
            </w:r>
          </w:p>
        </w:tc>
      </w:tr>
      <w:tr>
        <w:tblPrEx>
          <w:tblCellMar>
            <w:top w:w="0" w:type="dxa"/>
            <w:left w:w="108" w:type="dxa"/>
            <w:bottom w:w="0" w:type="dxa"/>
            <w:right w:w="108" w:type="dxa"/>
          </w:tblCellMar>
        </w:tblPrEx>
        <w:trPr>
          <w:trHeight w:val="789" w:hRule="atLeast"/>
          <w:jc w:val="center"/>
        </w:trPr>
        <w:tc>
          <w:tcPr>
            <w:tcW w:w="904"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c>
          <w:tcPr>
            <w:tcW w:w="114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一级指标</w:t>
            </w:r>
          </w:p>
        </w:tc>
        <w:tc>
          <w:tcPr>
            <w:tcW w:w="100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二级指标</w:t>
            </w:r>
          </w:p>
        </w:tc>
        <w:tc>
          <w:tcPr>
            <w:tcW w:w="13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725"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41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42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522" w:hRule="atLeast"/>
          <w:jc w:val="center"/>
        </w:trPr>
        <w:tc>
          <w:tcPr>
            <w:tcW w:w="90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114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产出指标</w:t>
            </w:r>
          </w:p>
        </w:tc>
        <w:tc>
          <w:tcPr>
            <w:tcW w:w="100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数量指标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享受补贴人数</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=496人</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496人</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r>
        <w:tblPrEx>
          <w:tblCellMar>
            <w:top w:w="0" w:type="dxa"/>
            <w:left w:w="108" w:type="dxa"/>
            <w:bottom w:w="0" w:type="dxa"/>
            <w:right w:w="108" w:type="dxa"/>
          </w:tblCellMar>
        </w:tblPrEx>
        <w:trPr>
          <w:trHeight w:val="724"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00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质量指标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补贴发放覆盖率</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00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时效指标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发放及时率</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r>
        <w:tblPrEx>
          <w:tblCellMar>
            <w:top w:w="0" w:type="dxa"/>
            <w:left w:w="108" w:type="dxa"/>
            <w:bottom w:w="0" w:type="dxa"/>
            <w:right w:w="108" w:type="dxa"/>
          </w:tblCellMar>
        </w:tblPrEx>
        <w:trPr>
          <w:trHeight w:val="1084"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00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成本指标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项目实施费用</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≤71.68万元</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68.47万元</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1995年前退休人员生活补助的发放属于定期按月发放，每月120元/人，当年存在死亡，造成人员减少，资金结余。</w:t>
            </w:r>
          </w:p>
        </w:tc>
      </w:tr>
      <w:tr>
        <w:tblPrEx>
          <w:tblCellMar>
            <w:top w:w="0" w:type="dxa"/>
            <w:left w:w="108" w:type="dxa"/>
            <w:bottom w:w="0" w:type="dxa"/>
            <w:right w:w="108" w:type="dxa"/>
          </w:tblCellMar>
        </w:tblPrEx>
        <w:trPr>
          <w:trHeight w:val="717"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c>
          <w:tcPr>
            <w:tcW w:w="10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退休人员健康水平</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有所提高</w:t>
            </w:r>
          </w:p>
        </w:tc>
        <w:tc>
          <w:tcPr>
            <w:tcW w:w="141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有所提高</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r>
        <w:tblPrEx>
          <w:tblCellMar>
            <w:top w:w="0" w:type="dxa"/>
            <w:left w:w="108" w:type="dxa"/>
            <w:bottom w:w="0" w:type="dxa"/>
            <w:right w:w="108" w:type="dxa"/>
          </w:tblCellMar>
        </w:tblPrEx>
        <w:trPr>
          <w:trHeight w:val="522"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00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补贴改善生活质量人数</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=496人</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496人</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r>
        <w:tblPrEx>
          <w:tblCellMar>
            <w:top w:w="0" w:type="dxa"/>
            <w:left w:w="108" w:type="dxa"/>
            <w:bottom w:w="0" w:type="dxa"/>
            <w:right w:w="108" w:type="dxa"/>
          </w:tblCellMar>
        </w:tblPrEx>
        <w:trPr>
          <w:trHeight w:val="964" w:hRule="atLeast"/>
          <w:jc w:val="center"/>
        </w:trPr>
        <w:tc>
          <w:tcPr>
            <w:tcW w:w="904" w:type="dxa"/>
            <w:vMerge w:val="continue"/>
            <w:tcBorders>
              <w:top w:val="nil"/>
              <w:left w:val="single" w:color="000000" w:sz="4" w:space="0"/>
              <w:bottom w:val="single" w:color="000000" w:sz="4" w:space="0"/>
              <w:right w:val="single" w:color="000000" w:sz="4" w:space="0"/>
            </w:tcBorders>
            <w:vAlign w:val="center"/>
          </w:tcPr>
          <w:p>
            <w:pPr>
              <w:jc w:val="center"/>
              <w:rPr>
                <w:rFonts w:ascii="宋体" w:hAnsi="宋体" w:cs="Arial"/>
                <w:color w:val="000000"/>
                <w:kern w:val="0"/>
                <w:sz w:val="18"/>
                <w:szCs w:val="18"/>
              </w:rPr>
            </w:pPr>
          </w:p>
        </w:tc>
        <w:tc>
          <w:tcPr>
            <w:tcW w:w="1143"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1005"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1335"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群众满意度</w:t>
            </w:r>
          </w:p>
        </w:tc>
        <w:tc>
          <w:tcPr>
            <w:tcW w:w="1725" w:type="dxa"/>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≥90%</w:t>
            </w:r>
          </w:p>
        </w:tc>
        <w:tc>
          <w:tcPr>
            <w:tcW w:w="14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Arial"/>
                <w:color w:val="000000"/>
                <w:kern w:val="0"/>
                <w:sz w:val="18"/>
                <w:szCs w:val="18"/>
              </w:rPr>
            </w:pPr>
            <w:r>
              <w:rPr>
                <w:rFonts w:hint="eastAsia" w:ascii="宋体" w:hAnsi="宋体" w:eastAsia="宋体" w:cs="宋体"/>
                <w:i w:val="0"/>
                <w:color w:val="000000"/>
                <w:kern w:val="0"/>
                <w:sz w:val="18"/>
                <w:szCs w:val="18"/>
                <w:u w:val="none"/>
                <w:lang w:val="en-US" w:eastAsia="zh-CN" w:bidi="ar"/>
              </w:rPr>
              <w:t>90%</w:t>
            </w:r>
          </w:p>
        </w:tc>
        <w:tc>
          <w:tcPr>
            <w:tcW w:w="4238"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Arial"/>
                <w:color w:val="000000"/>
                <w:kern w:val="0"/>
                <w:sz w:val="18"/>
                <w:szCs w:val="18"/>
              </w:rPr>
            </w:pPr>
          </w:p>
        </w:tc>
      </w:tr>
    </w:tbl>
    <w:p>
      <w:pPr>
        <w:rPr>
          <w:rFonts w:ascii="黑体" w:eastAsia="黑体"/>
          <w:sz w:val="32"/>
          <w:szCs w:val="32"/>
        </w:rPr>
      </w:pPr>
    </w:p>
    <w:p>
      <w:pPr>
        <w:pStyle w:val="2"/>
        <w:rPr>
          <w:rFonts w:ascii="黑体" w:eastAsia="黑体"/>
        </w:rPr>
      </w:pPr>
    </w:p>
    <w:p/>
    <w:p>
      <w:pPr>
        <w:pStyle w:val="2"/>
        <w:rPr>
          <w:rFonts w:ascii="黑体" w:eastAsia="黑体"/>
        </w:rPr>
      </w:pPr>
    </w:p>
    <w:p>
      <w:pPr>
        <w:rPr>
          <w:rFonts w:ascii="黑体" w:eastAsia="黑体"/>
          <w:sz w:val="32"/>
          <w:szCs w:val="32"/>
        </w:rPr>
      </w:pPr>
    </w:p>
    <w:p>
      <w:pPr>
        <w:pStyle w:val="2"/>
        <w:jc w:val="both"/>
        <w:sectPr>
          <w:footerReference r:id="rId3" w:type="default"/>
          <w:pgSz w:w="11906" w:h="16838"/>
          <w:pgMar w:top="1440" w:right="1558" w:bottom="1440" w:left="1800" w:header="851" w:footer="992" w:gutter="0"/>
          <w:cols w:space="720" w:num="1"/>
          <w:docGrid w:type="lines" w:linePitch="312" w:charSpace="0"/>
        </w:sectPr>
      </w:pPr>
    </w:p>
    <w:p>
      <w:pPr>
        <w:spacing w:line="600" w:lineRule="exact"/>
        <w:rPr>
          <w:rFonts w:ascii="仿宋_GB2312" w:hAnsi="仿宋_GB2312"/>
          <w:bCs/>
          <w:sz w:val="32"/>
          <w:szCs w:val="32"/>
        </w:rPr>
      </w:pPr>
      <w:r>
        <w:rPr>
          <w:rFonts w:hint="eastAsia" w:ascii="仿宋_GB2312" w:hAnsi="仿宋_GB2312"/>
          <w:bCs/>
          <w:sz w:val="32"/>
          <w:szCs w:val="32"/>
        </w:rPr>
        <w:t>附件1</w:t>
      </w:r>
    </w:p>
    <w:tbl>
      <w:tblPr>
        <w:tblStyle w:val="21"/>
        <w:tblW w:w="1247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20"/>
        <w:gridCol w:w="389"/>
        <w:gridCol w:w="389"/>
        <w:gridCol w:w="3965"/>
        <w:gridCol w:w="6111"/>
        <w:gridCol w:w="649"/>
        <w:gridCol w:w="64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一级指标</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二级指标</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三级指标</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指标解释</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指标说明</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权重</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b/>
                <w:bCs/>
                <w:color w:val="000000"/>
                <w:kern w:val="0"/>
                <w:sz w:val="22"/>
                <w:szCs w:val="22"/>
              </w:rPr>
            </w:pPr>
            <w:r>
              <w:rPr>
                <w:rFonts w:hint="eastAsia" w:asci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决策　</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　</w:t>
            </w:r>
          </w:p>
          <w:p>
            <w:pPr>
              <w:spacing w:line="0" w:lineRule="atLeast"/>
              <w:jc w:val="center"/>
              <w:rPr>
                <w:rFonts w:ascii="宋体" w:cs="宋体"/>
                <w:color w:val="000000"/>
                <w:kern w:val="0"/>
                <w:sz w:val="22"/>
                <w:szCs w:val="22"/>
              </w:rPr>
            </w:pPr>
            <w:r>
              <w:rPr>
                <w:rFonts w:hint="eastAsia" w:ascii="宋体" w:cs="宋体"/>
                <w:color w:val="000000"/>
                <w:kern w:val="0"/>
                <w:sz w:val="22"/>
                <w:szCs w:val="22"/>
              </w:rPr>
              <w:t>　</w:t>
            </w:r>
          </w:p>
        </w:tc>
        <w:tc>
          <w:tcPr>
            <w:tcW w:w="389"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项目立项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立项依据</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充分性</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项目立项是否符合法律法规、相关政策、发展规划以及部门职责，用以反映和考核项目立项依据情况。</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①项目立项是否符合国家法律法规、国民经济发展规划和相关政策；</w:t>
            </w:r>
            <w:r>
              <w:rPr>
                <w:rFonts w:hint="eastAsia" w:ascii="宋体" w:cs="宋体"/>
                <w:color w:val="000000"/>
                <w:kern w:val="0"/>
                <w:sz w:val="22"/>
                <w:szCs w:val="22"/>
              </w:rPr>
              <w:br w:type="textWrapping"/>
            </w:r>
            <w:r>
              <w:rPr>
                <w:rFonts w:hint="eastAsia" w:ascii="宋体" w:cs="宋体"/>
                <w:color w:val="000000"/>
                <w:kern w:val="0"/>
                <w:sz w:val="22"/>
                <w:szCs w:val="22"/>
              </w:rPr>
              <w:t>②项目立项是否符合行业发展规划和政策要求；</w:t>
            </w:r>
            <w:r>
              <w:rPr>
                <w:rFonts w:hint="eastAsia" w:ascii="宋体" w:cs="宋体"/>
                <w:color w:val="000000"/>
                <w:kern w:val="0"/>
                <w:sz w:val="22"/>
                <w:szCs w:val="22"/>
              </w:rPr>
              <w:br w:type="textWrapping"/>
            </w:r>
            <w:r>
              <w:rPr>
                <w:rFonts w:hint="eastAsia" w:ascii="宋体" w:cs="宋体"/>
                <w:color w:val="000000"/>
                <w:kern w:val="0"/>
                <w:sz w:val="22"/>
                <w:szCs w:val="22"/>
              </w:rPr>
              <w:t>③项目立项是否与部门职责范围相符，属于部门履职所需；</w:t>
            </w:r>
            <w:r>
              <w:rPr>
                <w:rFonts w:hint="eastAsia" w:ascii="宋体" w:cs="宋体"/>
                <w:color w:val="000000"/>
                <w:kern w:val="0"/>
                <w:sz w:val="22"/>
                <w:szCs w:val="22"/>
              </w:rPr>
              <w:br w:type="textWrapping"/>
            </w:r>
            <w:r>
              <w:rPr>
                <w:rFonts w:hint="eastAsia" w:ascii="宋体" w:cs="宋体"/>
                <w:color w:val="000000"/>
                <w:kern w:val="0"/>
                <w:sz w:val="22"/>
                <w:szCs w:val="22"/>
              </w:rPr>
              <w:t>④项目是否属于公共财政支持范围，是否符合中央、地方事权支出责任划分原则；</w:t>
            </w:r>
            <w:r>
              <w:rPr>
                <w:rFonts w:hint="eastAsia" w:ascii="宋体" w:cs="宋体"/>
                <w:color w:val="000000"/>
                <w:kern w:val="0"/>
                <w:sz w:val="22"/>
                <w:szCs w:val="22"/>
              </w:rPr>
              <w:br w:type="textWrapping"/>
            </w:r>
            <w:r>
              <w:rPr>
                <w:rFonts w:hint="eastAsia" w:ascii="宋体" w:cs="宋体"/>
                <w:color w:val="000000"/>
                <w:kern w:val="0"/>
                <w:sz w:val="22"/>
                <w:szCs w:val="22"/>
              </w:rPr>
              <w:t>⑤项目是否与相关部门同类项目或部门内部相关项目重复。</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0.5</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立项程序</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规范性</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项目申请、设立过程是否符合相关要求，用以反映和考核项目立项的规范情况。</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①项目是否按照规定的程序申请设立；</w:t>
            </w:r>
            <w:r>
              <w:rPr>
                <w:rFonts w:hint="eastAsia" w:ascii="宋体" w:cs="宋体"/>
                <w:color w:val="000000"/>
                <w:kern w:val="0"/>
                <w:sz w:val="22"/>
                <w:szCs w:val="22"/>
              </w:rPr>
              <w:br w:type="textWrapping"/>
            </w:r>
            <w:r>
              <w:rPr>
                <w:rFonts w:hint="eastAsia" w:ascii="宋体" w:cs="宋体"/>
                <w:color w:val="000000"/>
                <w:kern w:val="0"/>
                <w:sz w:val="22"/>
                <w:szCs w:val="22"/>
              </w:rPr>
              <w:t>②审批文件、材料是否符合相关要求；</w:t>
            </w:r>
            <w:r>
              <w:rPr>
                <w:rFonts w:hint="eastAsia" w:ascii="宋体" w:cs="宋体"/>
                <w:color w:val="000000"/>
                <w:kern w:val="0"/>
                <w:sz w:val="22"/>
                <w:szCs w:val="22"/>
              </w:rPr>
              <w:br w:type="textWrapping"/>
            </w:r>
            <w:r>
              <w:rPr>
                <w:rFonts w:hint="eastAsia" w:ascii="宋体" w:cs="宋体"/>
                <w:color w:val="000000"/>
                <w:kern w:val="0"/>
                <w:sz w:val="22"/>
                <w:szCs w:val="22"/>
              </w:rPr>
              <w:t>③事前是否已经过必要的可行性研究、专家论证、风险评估、绩效评估、集体决策。</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0.5</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绩效目标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绩效目标</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合理性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项目所设定的绩效目标是否依据充分，是否符合客观实际，用以反映和考核项目绩效目标与项目实施的相符情况。</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（如未设定预算绩效目标，也可考核其他工作任务目标）</w:t>
            </w:r>
            <w:r>
              <w:rPr>
                <w:rFonts w:hint="eastAsia" w:ascii="宋体" w:cs="宋体"/>
                <w:color w:val="000000"/>
                <w:kern w:val="0"/>
                <w:sz w:val="22"/>
                <w:szCs w:val="22"/>
              </w:rPr>
              <w:br w:type="textWrapping"/>
            </w:r>
            <w:r>
              <w:rPr>
                <w:rFonts w:hint="eastAsia" w:ascii="宋体" w:cs="宋体"/>
                <w:color w:val="000000"/>
                <w:kern w:val="0"/>
                <w:sz w:val="22"/>
                <w:szCs w:val="22"/>
              </w:rPr>
              <w:t>①项目是否有绩效目标；</w:t>
            </w:r>
            <w:r>
              <w:rPr>
                <w:rFonts w:hint="eastAsia" w:ascii="宋体" w:cs="宋体"/>
                <w:color w:val="000000"/>
                <w:kern w:val="0"/>
                <w:sz w:val="22"/>
                <w:szCs w:val="22"/>
              </w:rPr>
              <w:br w:type="textWrapping"/>
            </w:r>
            <w:r>
              <w:rPr>
                <w:rFonts w:hint="eastAsia" w:ascii="宋体" w:cs="宋体"/>
                <w:color w:val="000000"/>
                <w:kern w:val="0"/>
                <w:sz w:val="22"/>
                <w:szCs w:val="22"/>
              </w:rPr>
              <w:t>②项目绩效目标与实际工作内容是否具有相关性；</w:t>
            </w:r>
            <w:r>
              <w:rPr>
                <w:rFonts w:hint="eastAsia" w:ascii="宋体" w:cs="宋体"/>
                <w:color w:val="000000"/>
                <w:kern w:val="0"/>
                <w:sz w:val="22"/>
                <w:szCs w:val="22"/>
              </w:rPr>
              <w:br w:type="textWrapping"/>
            </w:r>
            <w:r>
              <w:rPr>
                <w:rFonts w:hint="eastAsia" w:ascii="宋体" w:cs="宋体"/>
                <w:color w:val="000000"/>
                <w:kern w:val="0"/>
                <w:sz w:val="22"/>
                <w:szCs w:val="22"/>
              </w:rPr>
              <w:t>③项目预期产出效益和效果是否符合正常的业绩水平；</w:t>
            </w:r>
          </w:p>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④是否与预算确定的项目投资额或资金量相匹配。</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决策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绩效目标</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绩效指标</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明确性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依据绩效目标设定的绩效指标是否清晰、细化、可衡量等，用以反映和考核项目绩效目标的明细化情况。</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①是否将项目绩效目标细化分解为具体的绩效指标；</w:t>
            </w:r>
            <w:r>
              <w:rPr>
                <w:rFonts w:hint="eastAsia" w:ascii="宋体" w:cs="宋体"/>
                <w:color w:val="000000"/>
                <w:kern w:val="0"/>
                <w:sz w:val="22"/>
                <w:szCs w:val="22"/>
              </w:rPr>
              <w:br w:type="textWrapping"/>
            </w:r>
            <w:r>
              <w:rPr>
                <w:rFonts w:hint="eastAsia" w:ascii="宋体" w:cs="宋体"/>
                <w:color w:val="000000"/>
                <w:kern w:val="0"/>
                <w:sz w:val="22"/>
                <w:szCs w:val="22"/>
              </w:rPr>
              <w:t>②是否通过清晰、可衡量的指标值予以体现；</w:t>
            </w:r>
            <w:r>
              <w:rPr>
                <w:rFonts w:hint="eastAsia" w:ascii="宋体" w:cs="宋体"/>
                <w:color w:val="000000"/>
                <w:kern w:val="0"/>
                <w:sz w:val="22"/>
                <w:szCs w:val="22"/>
              </w:rPr>
              <w:br w:type="textWrapping"/>
            </w:r>
            <w:r>
              <w:rPr>
                <w:rFonts w:hint="eastAsia" w:ascii="宋体" w:cs="宋体"/>
                <w:color w:val="000000"/>
                <w:kern w:val="0"/>
                <w:sz w:val="22"/>
                <w:szCs w:val="22"/>
              </w:rPr>
              <w:t>③是否与项目目标任务数或计划数相对应。</w:t>
            </w:r>
            <w:r>
              <w:rPr>
                <w:rFonts w:hint="eastAsia" w:ascii="宋体" w:cs="宋体"/>
                <w:color w:val="000000"/>
                <w:kern w:val="0"/>
                <w:sz w:val="22"/>
                <w:szCs w:val="22"/>
              </w:rPr>
              <w:br w:type="textWrapping"/>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资金投入</w:t>
            </w:r>
          </w:p>
          <w:p>
            <w:pPr>
              <w:spacing w:line="0" w:lineRule="atLeast"/>
              <w:jc w:val="center"/>
              <w:rPr>
                <w:rFonts w:ascii="宋体" w:cs="宋体"/>
                <w:color w:val="000000"/>
                <w:kern w:val="0"/>
                <w:sz w:val="22"/>
                <w:szCs w:val="22"/>
              </w:rPr>
            </w:pPr>
            <w:r>
              <w:rPr>
                <w:rFonts w:hint="eastAsia" w:ascii="宋体" w:cs="宋体"/>
                <w:color w:val="000000"/>
                <w:kern w:val="0"/>
                <w:sz w:val="22"/>
                <w:szCs w:val="22"/>
              </w:rPr>
              <w:t>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预算编制</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科学性</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项目预算编制是否经过科学论证、有明确标准，资金额度与年度目标是否相适应，用以反映和考核项目预算编制的科学性、合理性情况。</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①预算编制是否经过科学论证；</w:t>
            </w:r>
            <w:r>
              <w:rPr>
                <w:rFonts w:hint="eastAsia" w:ascii="宋体" w:cs="宋体"/>
                <w:color w:val="000000"/>
                <w:kern w:val="0"/>
                <w:sz w:val="22"/>
                <w:szCs w:val="22"/>
              </w:rPr>
              <w:br w:type="textWrapping"/>
            </w:r>
            <w:r>
              <w:rPr>
                <w:rFonts w:hint="eastAsia" w:ascii="宋体" w:cs="宋体"/>
                <w:color w:val="000000"/>
                <w:kern w:val="0"/>
                <w:sz w:val="22"/>
                <w:szCs w:val="22"/>
              </w:rPr>
              <w:t>②预算内容与项目内容是否匹配；</w:t>
            </w:r>
            <w:r>
              <w:rPr>
                <w:rFonts w:hint="eastAsia" w:ascii="宋体" w:cs="宋体"/>
                <w:color w:val="000000"/>
                <w:kern w:val="0"/>
                <w:sz w:val="22"/>
                <w:szCs w:val="22"/>
              </w:rPr>
              <w:br w:type="textWrapping"/>
            </w:r>
            <w:r>
              <w:rPr>
                <w:rFonts w:hint="eastAsia" w:ascii="宋体" w:cs="宋体"/>
                <w:color w:val="000000"/>
                <w:kern w:val="0"/>
                <w:sz w:val="22"/>
                <w:szCs w:val="22"/>
              </w:rPr>
              <w:t>③预算额度测算依据是否充分，是否按照标准编制；</w:t>
            </w:r>
            <w:r>
              <w:rPr>
                <w:rFonts w:hint="eastAsia" w:ascii="宋体" w:cs="宋体"/>
                <w:color w:val="000000"/>
                <w:kern w:val="0"/>
                <w:sz w:val="22"/>
                <w:szCs w:val="22"/>
              </w:rPr>
              <w:br w:type="textWrapping"/>
            </w:r>
            <w:r>
              <w:rPr>
                <w:rFonts w:hint="eastAsia" w:ascii="宋体" w:cs="宋体"/>
                <w:color w:val="000000"/>
                <w:kern w:val="0"/>
                <w:sz w:val="22"/>
                <w:szCs w:val="22"/>
              </w:rPr>
              <w:t>④预算确定的项目投资额或资金量是否与工作任务相匹配。</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资金分配</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合理性</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项目预算资金分配是否有测算依据，与补助单位或地方实际是否相适应，用以反映和考核项目预算资金分配的科学性、合理性情况。</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①预算资金分配依据是否充分；</w:t>
            </w:r>
            <w:r>
              <w:rPr>
                <w:rFonts w:hint="eastAsia" w:ascii="宋体" w:cs="宋体"/>
                <w:color w:val="000000"/>
                <w:kern w:val="0"/>
                <w:sz w:val="22"/>
                <w:szCs w:val="22"/>
              </w:rPr>
              <w:br w:type="textWrapping"/>
            </w:r>
            <w:r>
              <w:rPr>
                <w:rFonts w:hint="eastAsia" w:ascii="宋体" w:cs="宋体"/>
                <w:color w:val="000000"/>
                <w:kern w:val="0"/>
                <w:sz w:val="22"/>
                <w:szCs w:val="22"/>
              </w:rPr>
              <w:t>②资金分配额度是否合理，与项目单位或地方实际是否相适应。</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line="0" w:lineRule="atLeast"/>
              <w:jc w:val="center"/>
              <w:rPr>
                <w:rFonts w:ascii="宋体" w:cs="宋体"/>
                <w:color w:val="000000"/>
                <w:kern w:val="0"/>
                <w:sz w:val="22"/>
                <w:szCs w:val="22"/>
              </w:rPr>
            </w:pPr>
            <w:r>
              <w:rPr>
                <w:rFonts w:hint="eastAsia" w:ascii="宋体" w:cs="宋体"/>
                <w:color w:val="000000"/>
                <w:kern w:val="0"/>
                <w:sz w:val="22"/>
                <w:szCs w:val="22"/>
              </w:rPr>
              <w:t>过程</w:t>
            </w:r>
          </w:p>
        </w:tc>
        <w:tc>
          <w:tcPr>
            <w:tcW w:w="389"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资金管理</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资金到位率</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实际到位资金与预算资金的比率，用以反映和考核资金落实情况对项目实施的总体保障程度。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资金到位率=（实际到位资金/预算资金）×100%。</w:t>
            </w:r>
          </w:p>
          <w:p>
            <w:pPr>
              <w:widowControl/>
              <w:spacing w:line="0" w:lineRule="atLeast"/>
              <w:rPr>
                <w:rFonts w:ascii="宋体" w:cs="宋体"/>
                <w:color w:val="000000"/>
                <w:kern w:val="0"/>
                <w:sz w:val="22"/>
                <w:szCs w:val="22"/>
              </w:rPr>
            </w:pPr>
            <w:r>
              <w:rPr>
                <w:rFonts w:hint="eastAsia" w:ascii="宋体" w:cs="宋体"/>
                <w:color w:val="000000"/>
                <w:kern w:val="0"/>
                <w:sz w:val="22"/>
                <w:szCs w:val="22"/>
              </w:rPr>
              <w:t>实际到位资金：一定时期（本年度或项目期）内落实到具体项目的资金。</w:t>
            </w:r>
          </w:p>
          <w:p>
            <w:pPr>
              <w:widowControl/>
              <w:spacing w:line="0" w:lineRule="atLeast"/>
              <w:rPr>
                <w:rFonts w:ascii="宋体" w:cs="宋体"/>
                <w:color w:val="000000"/>
                <w:kern w:val="0"/>
                <w:sz w:val="22"/>
                <w:szCs w:val="22"/>
              </w:rPr>
            </w:pPr>
            <w:r>
              <w:rPr>
                <w:rFonts w:hint="eastAsia" w:ascii="宋体" w:cs="宋体"/>
                <w:color w:val="000000"/>
                <w:kern w:val="0"/>
                <w:sz w:val="22"/>
                <w:szCs w:val="22"/>
              </w:rPr>
              <w:t>预算资金：一定时期（本年度或项目期）内预算安排到具体项目的资金。</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预算执行率</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项目预算资金是否按照计划执行，用以反映或考核项目预算执行情况。</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预算执行率=（实际支出资金/实际到位资金）×100%。</w:t>
            </w:r>
            <w:r>
              <w:rPr>
                <w:rFonts w:hint="eastAsia" w:ascii="宋体" w:cs="宋体"/>
                <w:color w:val="000000"/>
                <w:kern w:val="0"/>
                <w:sz w:val="22"/>
                <w:szCs w:val="22"/>
              </w:rPr>
              <w:br w:type="textWrapping"/>
            </w:r>
            <w:r>
              <w:rPr>
                <w:rFonts w:hint="eastAsia" w:ascii="宋体" w:cs="宋体"/>
                <w:color w:val="000000"/>
                <w:kern w:val="0"/>
                <w:sz w:val="22"/>
                <w:szCs w:val="22"/>
              </w:rPr>
              <w:t>实际支出资金：一定时期（本年度或项目期）内项目实际拨付的资金。</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　</w:t>
            </w:r>
          </w:p>
          <w:p>
            <w:pPr>
              <w:spacing w:line="0" w:lineRule="atLeast"/>
              <w:jc w:val="center"/>
              <w:rPr>
                <w:rFonts w:ascii="宋体" w:cs="宋体"/>
                <w:color w:val="000000"/>
                <w:kern w:val="0"/>
                <w:sz w:val="22"/>
                <w:szCs w:val="22"/>
              </w:rPr>
            </w:pPr>
            <w:r>
              <w:rPr>
                <w:rFonts w:hint="eastAsia" w:ascii="宋体" w:cs="宋体"/>
                <w:color w:val="000000"/>
                <w:kern w:val="0"/>
                <w:sz w:val="22"/>
                <w:szCs w:val="22"/>
              </w:rPr>
              <w:t>过程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资金管理</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资金使用</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合规性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项目资金使用是否符合相关的财务管理制度规定，用以反映和考核项目资金的规范运行情况。</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①是否符合国家财经法规和财务管理制度以及有关专项资金管理办法的规定；</w:t>
            </w:r>
            <w:r>
              <w:rPr>
                <w:rFonts w:hint="eastAsia" w:ascii="宋体" w:cs="宋体"/>
                <w:color w:val="000000"/>
                <w:kern w:val="0"/>
                <w:sz w:val="22"/>
                <w:szCs w:val="22"/>
              </w:rPr>
              <w:br w:type="textWrapping"/>
            </w:r>
            <w:r>
              <w:rPr>
                <w:rFonts w:hint="eastAsia" w:ascii="宋体" w:cs="宋体"/>
                <w:color w:val="000000"/>
                <w:kern w:val="0"/>
                <w:sz w:val="22"/>
                <w:szCs w:val="22"/>
              </w:rPr>
              <w:t>②资金的拨付是否有完整的审批程序和手续；</w:t>
            </w:r>
            <w:r>
              <w:rPr>
                <w:rFonts w:hint="eastAsia" w:ascii="宋体" w:cs="宋体"/>
                <w:color w:val="000000"/>
                <w:kern w:val="0"/>
                <w:sz w:val="22"/>
                <w:szCs w:val="22"/>
              </w:rPr>
              <w:br w:type="textWrapping"/>
            </w:r>
            <w:r>
              <w:rPr>
                <w:rFonts w:hint="eastAsia" w:ascii="宋体" w:cs="宋体"/>
                <w:color w:val="000000"/>
                <w:kern w:val="0"/>
                <w:sz w:val="22"/>
                <w:szCs w:val="22"/>
              </w:rPr>
              <w:t>③是否符合项目预算批复或合同规定的用途；</w:t>
            </w:r>
            <w:r>
              <w:rPr>
                <w:rFonts w:hint="eastAsia" w:ascii="宋体" w:cs="宋体"/>
                <w:color w:val="000000"/>
                <w:kern w:val="0"/>
                <w:sz w:val="22"/>
                <w:szCs w:val="22"/>
              </w:rPr>
              <w:br w:type="textWrapping"/>
            </w:r>
            <w:r>
              <w:rPr>
                <w:rFonts w:hint="eastAsia" w:ascii="宋体" w:cs="宋体"/>
                <w:color w:val="000000"/>
                <w:kern w:val="0"/>
                <w:sz w:val="22"/>
                <w:szCs w:val="22"/>
              </w:rPr>
              <w:t>④是否存在截留、挤占、挪用、虚列支出等情况。</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组织实施</w:t>
            </w:r>
          </w:p>
          <w:p>
            <w:pPr>
              <w:spacing w:line="0" w:lineRule="atLeast"/>
              <w:jc w:val="center"/>
              <w:rPr>
                <w:rFonts w:ascii="宋体" w:cs="宋体"/>
                <w:color w:val="000000"/>
                <w:kern w:val="0"/>
                <w:sz w:val="22"/>
                <w:szCs w:val="22"/>
              </w:rPr>
            </w:pPr>
            <w:r>
              <w:rPr>
                <w:rFonts w:hint="eastAsia" w:ascii="宋体" w:cs="宋体"/>
                <w:color w:val="000000"/>
                <w:kern w:val="0"/>
                <w:sz w:val="22"/>
                <w:szCs w:val="22"/>
              </w:rPr>
              <w:t>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管理制度</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健全性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项目实施单位的财务和业务管理制度是否健全，用以反映和考核财务和业务管理制度对项目顺利实施的保障情况。</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①是否已制定或具有相应的财务和业务管理制度；</w:t>
            </w:r>
            <w:r>
              <w:rPr>
                <w:rFonts w:hint="eastAsia" w:ascii="宋体" w:cs="宋体"/>
                <w:color w:val="000000"/>
                <w:kern w:val="0"/>
                <w:sz w:val="22"/>
                <w:szCs w:val="22"/>
              </w:rPr>
              <w:br w:type="textWrapping"/>
            </w:r>
            <w:r>
              <w:rPr>
                <w:rFonts w:hint="eastAsia" w:ascii="宋体" w:cs="宋体"/>
                <w:color w:val="000000"/>
                <w:kern w:val="0"/>
                <w:sz w:val="22"/>
                <w:szCs w:val="22"/>
              </w:rPr>
              <w:t>②财务和业务管理制度是否合法、合规、完整。</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制度执行</w:t>
            </w:r>
          </w:p>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有效性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项目实施是否符合相关管理规定，用以反映和考核相关管理制度的有效执行情况。</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评价要点：</w:t>
            </w:r>
            <w:r>
              <w:rPr>
                <w:rFonts w:hint="eastAsia" w:ascii="宋体" w:cs="宋体"/>
                <w:color w:val="000000"/>
                <w:kern w:val="0"/>
                <w:sz w:val="22"/>
                <w:szCs w:val="22"/>
              </w:rPr>
              <w:br w:type="textWrapping"/>
            </w:r>
            <w:r>
              <w:rPr>
                <w:rFonts w:hint="eastAsia" w:ascii="宋体" w:cs="宋体"/>
                <w:color w:val="000000"/>
                <w:kern w:val="0"/>
                <w:sz w:val="22"/>
                <w:szCs w:val="22"/>
              </w:rPr>
              <w:t>①是否遵守相关法律法规和相关管理规定；</w:t>
            </w:r>
            <w:r>
              <w:rPr>
                <w:rFonts w:hint="eastAsia" w:ascii="宋体" w:cs="宋体"/>
                <w:color w:val="000000"/>
                <w:kern w:val="0"/>
                <w:sz w:val="22"/>
                <w:szCs w:val="22"/>
              </w:rPr>
              <w:br w:type="textWrapping"/>
            </w:r>
            <w:r>
              <w:rPr>
                <w:rFonts w:hint="eastAsia" w:ascii="宋体" w:cs="宋体"/>
                <w:color w:val="000000"/>
                <w:kern w:val="0"/>
                <w:sz w:val="22"/>
                <w:szCs w:val="22"/>
              </w:rPr>
              <w:t>②项目调整及支出调整手续是否完备；</w:t>
            </w:r>
            <w:r>
              <w:rPr>
                <w:rFonts w:hint="eastAsia" w:ascii="宋体" w:cs="宋体"/>
                <w:color w:val="000000"/>
                <w:kern w:val="0"/>
                <w:sz w:val="22"/>
                <w:szCs w:val="22"/>
              </w:rPr>
              <w:br w:type="textWrapping"/>
            </w:r>
            <w:r>
              <w:rPr>
                <w:rFonts w:hint="eastAsia" w:ascii="宋体" w:cs="宋体"/>
                <w:color w:val="000000"/>
                <w:kern w:val="0"/>
                <w:sz w:val="22"/>
                <w:szCs w:val="22"/>
              </w:rPr>
              <w:t>③项目合同书、验收报告、技术鉴定等资料是否齐全并及时归档；</w:t>
            </w:r>
            <w:r>
              <w:rPr>
                <w:rFonts w:hint="eastAsia" w:ascii="宋体" w:cs="宋体"/>
                <w:color w:val="000000"/>
                <w:kern w:val="0"/>
                <w:sz w:val="22"/>
                <w:szCs w:val="22"/>
              </w:rPr>
              <w:br w:type="textWrapping"/>
            </w:r>
            <w:r>
              <w:rPr>
                <w:rFonts w:hint="eastAsia" w:ascii="宋体" w:cs="宋体"/>
                <w:color w:val="000000"/>
                <w:kern w:val="0"/>
                <w:sz w:val="22"/>
                <w:szCs w:val="22"/>
              </w:rPr>
              <w:t>④项目实施的人员条件、场地设备、信息支撑等是否落实到位。</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产出</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产出数量</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实际完成率</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项目实施的实际产出数与计划产出数的比率，用以反映和考核项目产出数量目标的实现程度。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实际完成率=（实际产出数/计划产出数）×100%。</w:t>
            </w:r>
            <w:r>
              <w:rPr>
                <w:rFonts w:hint="eastAsia" w:ascii="宋体" w:cs="宋体"/>
                <w:color w:val="000000"/>
                <w:kern w:val="0"/>
                <w:sz w:val="22"/>
                <w:szCs w:val="22"/>
              </w:rPr>
              <w:br w:type="textWrapping"/>
            </w:r>
            <w:r>
              <w:rPr>
                <w:rFonts w:hint="eastAsia" w:ascii="宋体" w:cs="宋体"/>
                <w:color w:val="000000"/>
                <w:kern w:val="0"/>
                <w:sz w:val="22"/>
                <w:szCs w:val="22"/>
              </w:rPr>
              <w:t>实际产出数：一定时期（本年度或项目期）内项目实际产出的产品或提供的服务数量。</w:t>
            </w:r>
            <w:r>
              <w:rPr>
                <w:rFonts w:hint="eastAsia" w:ascii="宋体" w:cs="宋体"/>
                <w:color w:val="000000"/>
                <w:kern w:val="0"/>
                <w:sz w:val="22"/>
                <w:szCs w:val="22"/>
              </w:rPr>
              <w:br w:type="textWrapping"/>
            </w:r>
            <w:r>
              <w:rPr>
                <w:rFonts w:hint="eastAsia" w:ascii="宋体" w:cs="宋体"/>
                <w:color w:val="000000"/>
                <w:kern w:val="0"/>
                <w:sz w:val="22"/>
                <w:szCs w:val="22"/>
              </w:rPr>
              <w:t>计划产出数：项目绩效目标确定的在一定时期（本年度或项目期）内计划产出的产品或提供的服务数量。</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15</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产出</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产出质量</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质量达标率</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项目完成的质量达标产出数与实际产出数的比率，用以反映和考核项目产出质量目标的实现程度。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质量达标率=（质量达标产出数/实际产出数）×100%。</w:t>
            </w:r>
          </w:p>
          <w:p>
            <w:pPr>
              <w:widowControl/>
              <w:spacing w:line="0" w:lineRule="atLeast"/>
              <w:rPr>
                <w:rFonts w:ascii="宋体" w:cs="宋体"/>
                <w:color w:val="000000"/>
                <w:kern w:val="0"/>
                <w:sz w:val="22"/>
                <w:szCs w:val="22"/>
              </w:rPr>
            </w:pPr>
            <w:r>
              <w:rPr>
                <w:rFonts w:hint="eastAsia" w:asci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10</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spacing w:line="0" w:lineRule="atLeast"/>
              <w:jc w:val="center"/>
              <w:rPr>
                <w:rFonts w:ascii="宋体" w:cs="宋体"/>
                <w:color w:val="000000"/>
                <w:kern w:val="0"/>
                <w:sz w:val="22"/>
                <w:szCs w:val="22"/>
              </w:rPr>
            </w:pPr>
            <w:r>
              <w:rPr>
                <w:rFonts w:hint="eastAsia" w:ascii="宋体" w:cs="宋体"/>
                <w:color w:val="000000"/>
                <w:kern w:val="0"/>
                <w:sz w:val="22"/>
                <w:szCs w:val="22"/>
              </w:rPr>
              <w:t>产出时效</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完成及时性</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项目实际完成时间与计划完成时间的比较，用以反映和考核项目产出时效目标的实现程度。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实际完成时间：项目实施单位完成该项目实际所耗用的时间。</w:t>
            </w:r>
            <w:r>
              <w:rPr>
                <w:rFonts w:hint="eastAsia" w:ascii="宋体" w:cs="宋体"/>
                <w:color w:val="000000"/>
                <w:kern w:val="0"/>
                <w:sz w:val="22"/>
                <w:szCs w:val="22"/>
              </w:rPr>
              <w:br w:type="textWrapping"/>
            </w:r>
            <w:r>
              <w:rPr>
                <w:rFonts w:hint="eastAsia" w:ascii="宋体" w:cs="宋体"/>
                <w:color w:val="000000"/>
                <w:kern w:val="0"/>
                <w:sz w:val="22"/>
                <w:szCs w:val="22"/>
              </w:rPr>
              <w:t>计划完成时间：按照项目实施计划或相关规定完成该项目所需的时间。</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15</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产出成本</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成本节约率</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完成项目计划工作目标的实际节约成本与计划成本的比率，用以反映和考核项目的成本节约程度。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br w:type="textWrapping"/>
            </w:r>
            <w:r>
              <w:rPr>
                <w:rFonts w:hint="eastAsia" w:ascii="宋体" w:cs="宋体"/>
                <w:color w:val="000000"/>
                <w:kern w:val="0"/>
                <w:sz w:val="22"/>
                <w:szCs w:val="22"/>
              </w:rPr>
              <w:t>成本节约率=[（计划成本-实际成本）/计划成本]×100%。</w:t>
            </w:r>
            <w:r>
              <w:rPr>
                <w:rFonts w:hint="eastAsia" w:ascii="宋体" w:cs="宋体"/>
                <w:color w:val="000000"/>
                <w:kern w:val="0"/>
                <w:sz w:val="22"/>
                <w:szCs w:val="22"/>
              </w:rPr>
              <w:br w:type="textWrapping"/>
            </w:r>
            <w:r>
              <w:rPr>
                <w:rFonts w:hint="eastAsia" w:ascii="宋体" w:cs="宋体"/>
                <w:color w:val="000000"/>
                <w:kern w:val="0"/>
                <w:sz w:val="22"/>
                <w:szCs w:val="22"/>
              </w:rPr>
              <w:t>实际成本：项目实施单位如期、保质、保量完成既定工作目标实际所耗费的支出。</w:t>
            </w:r>
            <w:r>
              <w:rPr>
                <w:rFonts w:hint="eastAsia" w:ascii="宋体" w:cs="宋体"/>
                <w:color w:val="000000"/>
                <w:kern w:val="0"/>
                <w:sz w:val="22"/>
                <w:szCs w:val="22"/>
              </w:rPr>
              <w:br w:type="textWrapping"/>
            </w:r>
            <w:r>
              <w:rPr>
                <w:rFonts w:hint="eastAsia" w:ascii="宋体" w:cs="宋体"/>
                <w:color w:val="000000"/>
                <w:kern w:val="0"/>
                <w:sz w:val="22"/>
                <w:szCs w:val="22"/>
              </w:rPr>
              <w:t>计划成本：项目实施单位为完成工作目标计划安排的支出，一般以项目预算为参考。</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10</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效益　</w:t>
            </w:r>
          </w:p>
        </w:tc>
        <w:tc>
          <w:tcPr>
            <w:tcW w:w="389"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项目效益　</w:t>
            </w: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实施效益</w:t>
            </w:r>
          </w:p>
        </w:tc>
        <w:tc>
          <w:tcPr>
            <w:tcW w:w="396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left"/>
              <w:rPr>
                <w:rFonts w:ascii="宋体" w:cs="宋体"/>
                <w:color w:val="000000"/>
                <w:kern w:val="0"/>
                <w:sz w:val="22"/>
                <w:szCs w:val="22"/>
              </w:rPr>
            </w:pPr>
            <w:r>
              <w:rPr>
                <w:rFonts w:hint="eastAsia" w:ascii="宋体" w:cs="宋体"/>
                <w:color w:val="000000"/>
                <w:kern w:val="0"/>
                <w:sz w:val="22"/>
                <w:szCs w:val="22"/>
              </w:rPr>
              <w:t>项目实施所产生的效益。</w:t>
            </w:r>
          </w:p>
        </w:tc>
        <w:tc>
          <w:tcPr>
            <w:tcW w:w="611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项目实施所产生的社会效益、经济效益、生态效益、可持续影响等。可根据项目实际情况有选择地设置和细化。</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30</w:t>
            </w:r>
          </w:p>
        </w:tc>
        <w:tc>
          <w:tcPr>
            <w:tcW w:w="64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tc>
        <w:tc>
          <w:tcPr>
            <w:tcW w:w="389"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pPr>
              <w:widowControl/>
              <w:spacing w:line="0" w:lineRule="atLeast"/>
              <w:jc w:val="center"/>
              <w:rPr>
                <w:rFonts w:ascii="宋体" w:cs="宋体"/>
                <w:color w:val="000000"/>
                <w:kern w:val="0"/>
                <w:sz w:val="22"/>
                <w:szCs w:val="22"/>
              </w:rPr>
            </w:pPr>
            <w:r>
              <w:rPr>
                <w:rFonts w:hint="eastAsia" w:ascii="宋体" w:cs="宋体"/>
                <w:color w:val="000000"/>
                <w:kern w:val="0"/>
                <w:sz w:val="22"/>
                <w:szCs w:val="22"/>
              </w:rPr>
              <w:t>满意度</w:t>
            </w:r>
          </w:p>
        </w:tc>
        <w:tc>
          <w:tcPr>
            <w:tcW w:w="396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社会公众或服务对象对项目实施效果的满意程度。</w:t>
            </w:r>
          </w:p>
        </w:tc>
        <w:tc>
          <w:tcPr>
            <w:tcW w:w="611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社会公众或服务对象是指因该项目实施而受到影响的部门（单位）、群体或个人。一般采取社会调查的方式。</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10</w:t>
            </w:r>
          </w:p>
        </w:tc>
        <w:tc>
          <w:tcPr>
            <w:tcW w:w="649"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pPr>
              <w:widowControl/>
              <w:spacing w:line="0" w:lineRule="atLeast"/>
              <w:rPr>
                <w:rFonts w:ascii="宋体" w:cs="宋体"/>
                <w:color w:val="000000"/>
                <w:kern w:val="0"/>
                <w:sz w:val="22"/>
                <w:szCs w:val="22"/>
              </w:rPr>
            </w:pPr>
            <w:r>
              <w:rPr>
                <w:rFonts w:hint="eastAsia" w:ascii="宋体" w:cs="宋体"/>
                <w:color w:val="000000"/>
                <w:kern w:val="0"/>
                <w:sz w:val="22"/>
                <w:szCs w:val="22"/>
              </w:rPr>
              <w:t>9</w:t>
            </w:r>
          </w:p>
        </w:tc>
      </w:tr>
    </w:tbl>
    <w:p>
      <w:pPr>
        <w:pStyle w:val="2"/>
      </w:pPr>
    </w:p>
    <w:p/>
    <w:p>
      <w:pPr>
        <w:spacing w:line="540" w:lineRule="exact"/>
        <w:ind w:firstLine="640"/>
        <w:rPr>
          <w:rStyle w:val="23"/>
          <w:rFonts w:ascii="黑体" w:eastAsia="黑体"/>
          <w:bCs w:val="0"/>
          <w:spacing w:val="-4"/>
          <w:sz w:val="32"/>
          <w:szCs w:val="32"/>
        </w:rPr>
      </w:pPr>
    </w:p>
    <w:p>
      <w:pPr>
        <w:spacing w:line="540" w:lineRule="exact"/>
        <w:ind w:firstLine="640"/>
        <w:rPr>
          <w:rStyle w:val="23"/>
          <w:rFonts w:ascii="黑体" w:eastAsia="黑体"/>
          <w:bCs w:val="0"/>
          <w:spacing w:val="-4"/>
          <w:sz w:val="32"/>
          <w:szCs w:val="32"/>
        </w:rPr>
      </w:pPr>
    </w:p>
    <w:p>
      <w:pPr>
        <w:spacing w:line="540" w:lineRule="exact"/>
        <w:rPr>
          <w:rStyle w:val="23"/>
          <w:rFonts w:ascii="黑体" w:eastAsia="黑体"/>
          <w:b w:val="0"/>
          <w:bCs w:val="0"/>
          <w:spacing w:val="-4"/>
          <w:sz w:val="32"/>
          <w:szCs w:val="32"/>
        </w:rPr>
      </w:pPr>
    </w:p>
    <w:sectPr>
      <w:pgSz w:w="16838" w:h="11906" w:orient="landscape"/>
      <w:pgMar w:top="1800" w:right="1440" w:bottom="1558"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8129125"/>
    </w:sdtPr>
    <w:sdtContent>
      <w:p>
        <w:pPr>
          <w:pStyle w:val="14"/>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tabs>
          <w:tab w:val="left" w:pos="0"/>
        </w:tabs>
        <w:ind w:left="0" w:firstLine="0"/>
      </w:pPr>
      <w:rPr>
        <w:rFonts w:hint="eastAsia"/>
      </w:rPr>
    </w:lvl>
  </w:abstractNum>
  <w:abstractNum w:abstractNumId="1">
    <w:nsid w:val="B2661FE9"/>
    <w:multiLevelType w:val="multilevel"/>
    <w:tmpl w:val="B2661FE9"/>
    <w:lvl w:ilvl="0" w:tentative="0">
      <w:start w:val="1"/>
      <w:numFmt w:val="decimal"/>
      <w:lvlText w:val="%1、"/>
      <w:legacy w:legacy="1" w:legacySpace="0" w:legacyIndent="480"/>
      <w:lvlJc w:val="left"/>
      <w:pPr>
        <w:ind w:left="1120" w:hanging="480"/>
      </w:pPr>
      <w:rPr>
        <w:rFonts w:hint="default" w:ascii="仿宋_GB2312" w:hAnsi="仿宋_GB2312" w:eastAsia="仿宋_GB2312" w:cs="仿宋_GB2312"/>
      </w:rPr>
    </w:lvl>
    <w:lvl w:ilvl="1" w:tentative="0">
      <w:start w:val="1"/>
      <w:numFmt w:val="lowerLetter"/>
      <w:lvlText w:val="%2)"/>
      <w:legacy w:legacy="1" w:legacySpace="0" w:legacyIndent="420"/>
      <w:lvlJc w:val="left"/>
      <w:pPr>
        <w:ind w:left="1480" w:hanging="420"/>
      </w:pPr>
    </w:lvl>
    <w:lvl w:ilvl="2" w:tentative="0">
      <w:start w:val="1"/>
      <w:numFmt w:val="lowerRoman"/>
      <w:lvlText w:val="%3."/>
      <w:legacy w:legacy="1" w:legacySpace="0" w:legacyIndent="420"/>
      <w:lvlJc w:val="right"/>
      <w:pPr>
        <w:ind w:left="1900" w:hanging="420"/>
      </w:pPr>
    </w:lvl>
    <w:lvl w:ilvl="3" w:tentative="0">
      <w:start w:val="1"/>
      <w:numFmt w:val="decimal"/>
      <w:lvlText w:val="%4."/>
      <w:legacy w:legacy="1" w:legacySpace="0" w:legacyIndent="420"/>
      <w:lvlJc w:val="left"/>
      <w:pPr>
        <w:ind w:left="2320" w:hanging="420"/>
      </w:pPr>
    </w:lvl>
    <w:lvl w:ilvl="4" w:tentative="0">
      <w:start w:val="1"/>
      <w:numFmt w:val="lowerLetter"/>
      <w:lvlText w:val="%5)"/>
      <w:legacy w:legacy="1" w:legacySpace="0" w:legacyIndent="420"/>
      <w:lvlJc w:val="left"/>
      <w:pPr>
        <w:ind w:left="2740" w:hanging="420"/>
      </w:pPr>
    </w:lvl>
    <w:lvl w:ilvl="5" w:tentative="0">
      <w:start w:val="1"/>
      <w:numFmt w:val="lowerRoman"/>
      <w:lvlText w:val="%6."/>
      <w:legacy w:legacy="1" w:legacySpace="0" w:legacyIndent="420"/>
      <w:lvlJc w:val="right"/>
      <w:pPr>
        <w:ind w:left="3160" w:hanging="420"/>
      </w:pPr>
    </w:lvl>
    <w:lvl w:ilvl="6" w:tentative="0">
      <w:start w:val="1"/>
      <w:numFmt w:val="decimal"/>
      <w:lvlText w:val="%7."/>
      <w:legacy w:legacy="1" w:legacySpace="0" w:legacyIndent="420"/>
      <w:lvlJc w:val="left"/>
      <w:pPr>
        <w:ind w:left="3580" w:hanging="420"/>
      </w:pPr>
    </w:lvl>
    <w:lvl w:ilvl="7" w:tentative="0">
      <w:start w:val="1"/>
      <w:numFmt w:val="lowerLetter"/>
      <w:lvlText w:val="%8)"/>
      <w:legacy w:legacy="1" w:legacySpace="0" w:legacyIndent="420"/>
      <w:lvlJc w:val="left"/>
      <w:pPr>
        <w:ind w:left="4000" w:hanging="420"/>
      </w:pPr>
    </w:lvl>
    <w:lvl w:ilvl="8" w:tentative="0">
      <w:start w:val="1"/>
      <w:numFmt w:val="lowerRoman"/>
      <w:lvlText w:val="%9."/>
      <w:legacy w:legacy="1" w:legacySpace="0" w:legacyIndent="420"/>
      <w:lvlJc w:val="right"/>
      <w:pPr>
        <w:ind w:left="4420" w:hanging="420"/>
      </w:pPr>
    </w:lvl>
  </w:abstractNum>
  <w:abstractNum w:abstractNumId="2">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3">
    <w:nsid w:val="EE5C6BF8"/>
    <w:multiLevelType w:val="singleLevel"/>
    <w:tmpl w:val="EE5C6BF8"/>
    <w:lvl w:ilvl="0" w:tentative="0">
      <w:start w:val="2"/>
      <w:numFmt w:val="decimal"/>
      <w:suff w:val="nothing"/>
      <w:lvlText w:val="%1、"/>
      <w:lvlJc w:val="left"/>
      <w:pPr>
        <w:tabs>
          <w:tab w:val="left" w:pos="0"/>
        </w:tabs>
        <w:ind w:left="0" w:firstLine="0"/>
      </w:pPr>
    </w:lvl>
  </w:abstractNum>
  <w:abstractNum w:abstractNumId="4">
    <w:nsid w:val="FF4BB6DE"/>
    <w:multiLevelType w:val="singleLevel"/>
    <w:tmpl w:val="FF4BB6DE"/>
    <w:lvl w:ilvl="0" w:tentative="0">
      <w:start w:val="1"/>
      <w:numFmt w:val="decimal"/>
      <w:suff w:val="nothing"/>
      <w:lvlText w:val="%1、"/>
      <w:lvlJc w:val="left"/>
      <w:pPr>
        <w:tabs>
          <w:tab w:val="left" w:pos="0"/>
        </w:tabs>
        <w:ind w:left="0" w:firstLine="0"/>
      </w:pPr>
    </w:lvl>
  </w:abstractNum>
  <w:abstractNum w:abstractNumId="5">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6">
    <w:nsid w:val="08B96FC6"/>
    <w:multiLevelType w:val="multilevel"/>
    <w:tmpl w:val="08B96FC6"/>
    <w:lvl w:ilvl="0" w:tentative="0">
      <w:start w:val="1"/>
      <w:numFmt w:val="decimal"/>
      <w:lvlText w:val="%1、"/>
      <w:legacy w:legacy="1" w:legacySpace="0" w:legacyIndent="480"/>
      <w:lvlJc w:val="left"/>
      <w:pPr>
        <w:ind w:left="1121" w:hanging="480"/>
      </w:pPr>
      <w:rPr>
        <w:rFonts w:hint="default" w:ascii="仿宋_GB2312" w:hAnsi="仿宋_GB2312" w:eastAsia="仿宋_GB2312" w:cs="仿宋_GB2312"/>
        <w:sz w:val="32"/>
        <w:szCs w:val="32"/>
      </w:rPr>
    </w:lvl>
    <w:lvl w:ilvl="1" w:tentative="0">
      <w:start w:val="1"/>
      <w:numFmt w:val="lowerLetter"/>
      <w:lvlText w:val="%2)"/>
      <w:legacy w:legacy="1" w:legacySpace="0" w:legacyIndent="420"/>
      <w:lvlJc w:val="left"/>
      <w:pPr>
        <w:ind w:left="1481" w:hanging="420"/>
      </w:pPr>
    </w:lvl>
    <w:lvl w:ilvl="2" w:tentative="0">
      <w:start w:val="1"/>
      <w:numFmt w:val="lowerRoman"/>
      <w:lvlText w:val="%3."/>
      <w:legacy w:legacy="1" w:legacySpace="0" w:legacyIndent="420"/>
      <w:lvlJc w:val="right"/>
      <w:pPr>
        <w:ind w:left="1901" w:hanging="420"/>
      </w:pPr>
    </w:lvl>
    <w:lvl w:ilvl="3" w:tentative="0">
      <w:start w:val="1"/>
      <w:numFmt w:val="decimal"/>
      <w:lvlText w:val="%4."/>
      <w:legacy w:legacy="1" w:legacySpace="0" w:legacyIndent="420"/>
      <w:lvlJc w:val="left"/>
      <w:pPr>
        <w:ind w:left="2321" w:hanging="420"/>
      </w:pPr>
    </w:lvl>
    <w:lvl w:ilvl="4" w:tentative="0">
      <w:start w:val="1"/>
      <w:numFmt w:val="lowerLetter"/>
      <w:lvlText w:val="%5)"/>
      <w:legacy w:legacy="1" w:legacySpace="0" w:legacyIndent="420"/>
      <w:lvlJc w:val="left"/>
      <w:pPr>
        <w:ind w:left="2741" w:hanging="420"/>
      </w:pPr>
    </w:lvl>
    <w:lvl w:ilvl="5" w:tentative="0">
      <w:start w:val="1"/>
      <w:numFmt w:val="lowerRoman"/>
      <w:lvlText w:val="%6."/>
      <w:legacy w:legacy="1" w:legacySpace="0" w:legacyIndent="420"/>
      <w:lvlJc w:val="right"/>
      <w:pPr>
        <w:ind w:left="3161" w:hanging="420"/>
      </w:pPr>
    </w:lvl>
    <w:lvl w:ilvl="6" w:tentative="0">
      <w:start w:val="1"/>
      <w:numFmt w:val="decimal"/>
      <w:lvlText w:val="%7."/>
      <w:legacy w:legacy="1" w:legacySpace="0" w:legacyIndent="420"/>
      <w:lvlJc w:val="left"/>
      <w:pPr>
        <w:ind w:left="3581" w:hanging="420"/>
      </w:pPr>
    </w:lvl>
    <w:lvl w:ilvl="7" w:tentative="0">
      <w:start w:val="1"/>
      <w:numFmt w:val="lowerLetter"/>
      <w:lvlText w:val="%8)"/>
      <w:legacy w:legacy="1" w:legacySpace="0" w:legacyIndent="420"/>
      <w:lvlJc w:val="left"/>
      <w:pPr>
        <w:ind w:left="4001" w:hanging="420"/>
      </w:pPr>
    </w:lvl>
    <w:lvl w:ilvl="8" w:tentative="0">
      <w:start w:val="1"/>
      <w:numFmt w:val="lowerRoman"/>
      <w:lvlText w:val="%9."/>
      <w:legacy w:legacy="1" w:legacySpace="0" w:legacyIndent="420"/>
      <w:lvlJc w:val="right"/>
      <w:pPr>
        <w:ind w:left="4421" w:hanging="420"/>
      </w:pPr>
    </w:lvl>
  </w:abstractNum>
  <w:abstractNum w:abstractNumId="7">
    <w:nsid w:val="116B29BF"/>
    <w:multiLevelType w:val="singleLevel"/>
    <w:tmpl w:val="116B29BF"/>
    <w:lvl w:ilvl="0" w:tentative="0">
      <w:start w:val="3"/>
      <w:numFmt w:val="chineseCounting"/>
      <w:suff w:val="nothing"/>
      <w:lvlText w:val="%1、"/>
      <w:lvlJc w:val="left"/>
      <w:pPr>
        <w:tabs>
          <w:tab w:val="left" w:pos="0"/>
        </w:tabs>
        <w:ind w:left="0" w:firstLine="0"/>
      </w:pPr>
      <w:rPr>
        <w:rFonts w:hint="eastAsia"/>
      </w:rPr>
    </w:lvl>
  </w:abstractNum>
  <w:abstractNum w:abstractNumId="8">
    <w:nsid w:val="27813159"/>
    <w:multiLevelType w:val="singleLevel"/>
    <w:tmpl w:val="27813159"/>
    <w:lvl w:ilvl="0" w:tentative="0">
      <w:start w:val="3"/>
      <w:numFmt w:val="chineseCounting"/>
      <w:suff w:val="nothing"/>
      <w:lvlText w:val="（%1）"/>
      <w:lvlJc w:val="left"/>
      <w:rPr>
        <w:rFonts w:hint="eastAsia"/>
      </w:rPr>
    </w:lvl>
  </w:abstractNum>
  <w:abstractNum w:abstractNumId="9">
    <w:nsid w:val="3730CCE4"/>
    <w:multiLevelType w:val="singleLevel"/>
    <w:tmpl w:val="3730CCE4"/>
    <w:lvl w:ilvl="0" w:tentative="0">
      <w:start w:val="2"/>
      <w:numFmt w:val="decimal"/>
      <w:suff w:val="nothing"/>
      <w:lvlText w:val="（%1）"/>
      <w:lvlJc w:val="left"/>
    </w:lvl>
  </w:abstractNum>
  <w:num w:numId="1">
    <w:abstractNumId w:val="9"/>
  </w:num>
  <w:num w:numId="2">
    <w:abstractNumId w:val="3"/>
  </w:num>
  <w:num w:numId="3">
    <w:abstractNumId w:val="6"/>
  </w:num>
  <w:num w:numId="4">
    <w:abstractNumId w:val="2"/>
  </w:num>
  <w:num w:numId="5">
    <w:abstractNumId w:val="8"/>
  </w:num>
  <w:num w:numId="6">
    <w:abstractNumId w:val="7"/>
  </w:num>
  <w:num w:numId="7">
    <w:abstractNumId w:val="5"/>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3538"/>
    <w:rsid w:val="000C0A8A"/>
    <w:rsid w:val="00116700"/>
    <w:rsid w:val="001C1648"/>
    <w:rsid w:val="00260DE5"/>
    <w:rsid w:val="003727D0"/>
    <w:rsid w:val="004A29FB"/>
    <w:rsid w:val="005B7583"/>
    <w:rsid w:val="00653538"/>
    <w:rsid w:val="006B7B09"/>
    <w:rsid w:val="00765D44"/>
    <w:rsid w:val="008647DE"/>
    <w:rsid w:val="00A144F5"/>
    <w:rsid w:val="00C27197"/>
    <w:rsid w:val="00C9273F"/>
    <w:rsid w:val="00E37125"/>
    <w:rsid w:val="00E61E5C"/>
    <w:rsid w:val="00E8607C"/>
    <w:rsid w:val="00ED2F84"/>
    <w:rsid w:val="02D9629A"/>
    <w:rsid w:val="14985FCF"/>
    <w:rsid w:val="24EB01CB"/>
    <w:rsid w:val="269E4076"/>
    <w:rsid w:val="299D77F4"/>
    <w:rsid w:val="2EA7153F"/>
    <w:rsid w:val="2F0707FB"/>
    <w:rsid w:val="373D7CE6"/>
    <w:rsid w:val="3E7C1DB7"/>
    <w:rsid w:val="4EF93A77"/>
    <w:rsid w:val="51FE1FAB"/>
    <w:rsid w:val="5C6A64E6"/>
    <w:rsid w:val="6A1A0A5E"/>
    <w:rsid w:val="742D07ED"/>
    <w:rsid w:val="77AD4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qFormat/>
    <w:uiPriority w:val="0"/>
    <w:pPr>
      <w:keepNext/>
      <w:widowControl/>
      <w:spacing w:before="240" w:after="60"/>
      <w:jc w:val="left"/>
      <w:outlineLvl w:val="1"/>
    </w:pPr>
    <w:rPr>
      <w:rFonts w:ascii="Cambria" w:hAnsi="Cambria"/>
      <w:b/>
      <w:bCs/>
      <w:i/>
      <w:iCs/>
      <w:kern w:val="0"/>
      <w:sz w:val="28"/>
      <w:szCs w:val="28"/>
    </w:rPr>
  </w:style>
  <w:style w:type="paragraph" w:styleId="5">
    <w:name w:val="heading 3"/>
    <w:next w:val="1"/>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21"/>
      <w:szCs w:val="24"/>
      <w:lang w:val="en-US" w:eastAsia="zh-CN" w:bidi="ar-SA"/>
    </w:rPr>
  </w:style>
  <w:style w:type="paragraph" w:styleId="6">
    <w:name w:val="heading 4"/>
    <w:basedOn w:val="1"/>
    <w:next w:val="1"/>
    <w:qFormat/>
    <w:uiPriority w:val="0"/>
    <w:pPr>
      <w:keepNext/>
      <w:widowControl/>
      <w:spacing w:before="240" w:after="60"/>
      <w:jc w:val="left"/>
      <w:outlineLvl w:val="3"/>
    </w:pPr>
    <w:rPr>
      <w:rFonts w:ascii="Calibri" w:hAnsi="Calibri"/>
      <w:b/>
      <w:bCs/>
      <w:kern w:val="0"/>
      <w:sz w:val="28"/>
      <w:szCs w:val="28"/>
    </w:rPr>
  </w:style>
  <w:style w:type="paragraph" w:styleId="7">
    <w:name w:val="heading 5"/>
    <w:basedOn w:val="1"/>
    <w:next w:val="1"/>
    <w:qFormat/>
    <w:uiPriority w:val="0"/>
    <w:pPr>
      <w:widowControl/>
      <w:spacing w:before="240" w:after="60"/>
      <w:jc w:val="left"/>
      <w:outlineLvl w:val="4"/>
    </w:pPr>
    <w:rPr>
      <w:rFonts w:ascii="Calibri" w:hAnsi="Calibri"/>
      <w:b/>
      <w:bCs/>
      <w:i/>
      <w:iCs/>
      <w:kern w:val="0"/>
      <w:sz w:val="26"/>
      <w:szCs w:val="26"/>
    </w:rPr>
  </w:style>
  <w:style w:type="paragraph" w:styleId="8">
    <w:name w:val="heading 6"/>
    <w:basedOn w:val="1"/>
    <w:next w:val="1"/>
    <w:qFormat/>
    <w:uiPriority w:val="0"/>
    <w:pPr>
      <w:widowControl/>
      <w:spacing w:before="240" w:after="60"/>
      <w:jc w:val="left"/>
      <w:outlineLvl w:val="5"/>
    </w:pPr>
    <w:rPr>
      <w:rFonts w:ascii="Calibri" w:hAnsi="Calibri"/>
      <w:b/>
      <w:bCs/>
      <w:kern w:val="0"/>
      <w:sz w:val="22"/>
      <w:szCs w:val="22"/>
    </w:rPr>
  </w:style>
  <w:style w:type="paragraph" w:styleId="9">
    <w:name w:val="heading 7"/>
    <w:basedOn w:val="1"/>
    <w:next w:val="1"/>
    <w:qFormat/>
    <w:uiPriority w:val="0"/>
    <w:pPr>
      <w:widowControl/>
      <w:spacing w:before="240" w:after="60"/>
      <w:jc w:val="left"/>
      <w:outlineLvl w:val="6"/>
    </w:pPr>
    <w:rPr>
      <w:rFonts w:ascii="Calibri" w:hAnsi="Calibri"/>
      <w:kern w:val="0"/>
      <w:sz w:val="24"/>
    </w:rPr>
  </w:style>
  <w:style w:type="paragraph" w:styleId="10">
    <w:name w:val="heading 8"/>
    <w:basedOn w:val="1"/>
    <w:next w:val="1"/>
    <w:qFormat/>
    <w:uiPriority w:val="0"/>
    <w:pPr>
      <w:widowControl/>
      <w:spacing w:before="240" w:after="60"/>
      <w:jc w:val="left"/>
      <w:outlineLvl w:val="7"/>
    </w:pPr>
    <w:rPr>
      <w:rFonts w:ascii="Calibri" w:hAnsi="Calibri"/>
      <w:i/>
      <w:iCs/>
      <w:kern w:val="0"/>
      <w:sz w:val="24"/>
    </w:rPr>
  </w:style>
  <w:style w:type="paragraph" w:styleId="11">
    <w:name w:val="heading 9"/>
    <w:basedOn w:val="1"/>
    <w:next w:val="1"/>
    <w:qFormat/>
    <w:uiPriority w:val="0"/>
    <w:pPr>
      <w:widowControl/>
      <w:spacing w:before="240" w:after="60"/>
      <w:jc w:val="left"/>
      <w:outlineLvl w:val="8"/>
    </w:pPr>
    <w:rPr>
      <w:rFonts w:ascii="Cambria" w:hAnsi="Cambr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7"/>
    <w:qFormat/>
    <w:uiPriority w:val="0"/>
    <w:pPr>
      <w:widowControl/>
      <w:spacing w:before="240" w:after="60"/>
      <w:jc w:val="center"/>
      <w:outlineLvl w:val="0"/>
    </w:pPr>
    <w:rPr>
      <w:rFonts w:ascii="Cambria" w:hAnsi="Cambria"/>
      <w:b/>
      <w:bCs/>
      <w:kern w:val="28"/>
      <w:sz w:val="32"/>
      <w:szCs w:val="32"/>
    </w:rPr>
  </w:style>
  <w:style w:type="paragraph" w:styleId="12">
    <w:name w:val="Body Text"/>
    <w:basedOn w:val="1"/>
    <w:qFormat/>
    <w:uiPriority w:val="0"/>
    <w:pPr>
      <w:spacing w:after="120"/>
    </w:p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rFonts w:ascii="Calibri" w:hAnsi="Calibri"/>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nhideWhenUsed/>
    <w:qFormat/>
    <w:uiPriority w:val="39"/>
    <w:pPr>
      <w:spacing w:before="120" w:after="120"/>
      <w:ind w:firstLine="600" w:firstLineChars="200"/>
      <w:jc w:val="left"/>
    </w:pPr>
    <w:rPr>
      <w:rFonts w:ascii="Calibri" w:hAnsi="Calibri" w:eastAsia="仿宋_GB2312" w:cs="Calibri"/>
      <w:b/>
      <w:bCs/>
      <w:caps/>
      <w:sz w:val="20"/>
      <w:szCs w:val="20"/>
    </w:rPr>
  </w:style>
  <w:style w:type="paragraph" w:styleId="17">
    <w:name w:val="Subtitle"/>
    <w:basedOn w:val="1"/>
    <w:next w:val="1"/>
    <w:qFormat/>
    <w:uiPriority w:val="0"/>
    <w:pPr>
      <w:widowControl/>
      <w:spacing w:after="60"/>
      <w:jc w:val="center"/>
      <w:outlineLvl w:val="1"/>
    </w:pPr>
    <w:rPr>
      <w:rFonts w:ascii="Cambria" w:hAnsi="Cambria"/>
      <w:kern w:val="0"/>
      <w:sz w:val="24"/>
    </w:rPr>
  </w:style>
  <w:style w:type="paragraph" w:styleId="18">
    <w:name w:val="toc 2"/>
    <w:basedOn w:val="1"/>
    <w:next w:val="1"/>
    <w:unhideWhenUsed/>
    <w:qFormat/>
    <w:uiPriority w:val="39"/>
    <w:pPr>
      <w:ind w:left="280" w:firstLine="600" w:firstLineChars="200"/>
      <w:jc w:val="left"/>
    </w:pPr>
    <w:rPr>
      <w:rFonts w:ascii="Calibri" w:hAnsi="Calibri" w:eastAsia="仿宋_GB2312" w:cs="Calibri"/>
      <w:smallCaps/>
      <w:sz w:val="20"/>
      <w:szCs w:val="20"/>
    </w:rPr>
  </w:style>
  <w:style w:type="paragraph" w:styleId="19">
    <w:name w:val="Normal (Web)"/>
    <w:basedOn w:val="1"/>
    <w:qFormat/>
    <w:uiPriority w:val="99"/>
    <w:pPr>
      <w:spacing w:before="100" w:beforeAutospacing="1" w:after="100" w:afterAutospacing="1"/>
      <w:jc w:val="left"/>
    </w:pPr>
    <w:rPr>
      <w:rFonts w:ascii="Calibri" w:hAnsi="Calibri"/>
      <w:color w:val="000000"/>
      <w:kern w:val="0"/>
      <w:sz w:val="24"/>
    </w:rPr>
  </w:style>
  <w:style w:type="paragraph" w:styleId="20">
    <w:name w:val="Body Text First Indent"/>
    <w:basedOn w:val="12"/>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0"/>
    <w:rPr>
      <w:rFonts w:ascii="Calibri" w:hAnsi="Calibri"/>
      <w:b/>
      <w:i/>
      <w:iCs/>
    </w:rPr>
  </w:style>
  <w:style w:type="paragraph" w:styleId="25">
    <w:name w:val="No Spacing"/>
    <w:basedOn w:val="1"/>
    <w:qFormat/>
    <w:uiPriority w:val="0"/>
    <w:pPr>
      <w:widowControl/>
      <w:jc w:val="left"/>
    </w:pPr>
    <w:rPr>
      <w:rFonts w:ascii="Calibri" w:hAnsi="Calibri"/>
      <w:kern w:val="0"/>
      <w:sz w:val="24"/>
      <w:szCs w:val="32"/>
      <w:lang w:bidi="en-US"/>
    </w:rPr>
  </w:style>
  <w:style w:type="paragraph" w:styleId="26">
    <w:name w:val="List Paragraph"/>
    <w:basedOn w:val="1"/>
    <w:qFormat/>
    <w:uiPriority w:val="0"/>
    <w:pPr>
      <w:widowControl/>
      <w:ind w:left="720"/>
      <w:contextualSpacing/>
      <w:jc w:val="left"/>
    </w:pPr>
    <w:rPr>
      <w:rFonts w:ascii="Calibri" w:hAnsi="Calibri"/>
      <w:kern w:val="0"/>
      <w:sz w:val="24"/>
      <w:lang w:bidi="en-US"/>
    </w:rPr>
  </w:style>
  <w:style w:type="paragraph" w:styleId="27">
    <w:name w:val="Quote"/>
    <w:basedOn w:val="1"/>
    <w:next w:val="1"/>
    <w:qFormat/>
    <w:uiPriority w:val="0"/>
    <w:pPr>
      <w:widowControl/>
      <w:jc w:val="left"/>
    </w:pPr>
    <w:rPr>
      <w:rFonts w:ascii="Calibri" w:hAnsi="Calibri"/>
      <w:i/>
      <w:kern w:val="0"/>
      <w:sz w:val="24"/>
    </w:rPr>
  </w:style>
  <w:style w:type="paragraph" w:styleId="28">
    <w:name w:val="Intense Quote"/>
    <w:basedOn w:val="1"/>
    <w:next w:val="1"/>
    <w:qFormat/>
    <w:uiPriority w:val="0"/>
    <w:pPr>
      <w:widowControl/>
      <w:ind w:left="720" w:right="720"/>
      <w:jc w:val="left"/>
    </w:pPr>
    <w:rPr>
      <w:rFonts w:ascii="Calibri" w:hAnsi="Calibri"/>
      <w:b/>
      <w:i/>
      <w:kern w:val="0"/>
      <w:sz w:val="24"/>
      <w:szCs w:val="22"/>
    </w:rPr>
  </w:style>
  <w:style w:type="character" w:customStyle="1" w:styleId="29">
    <w:name w:val="不明显强调1"/>
    <w:qFormat/>
    <w:uiPriority w:val="0"/>
    <w:rPr>
      <w:i/>
      <w:color w:val="595959"/>
    </w:rPr>
  </w:style>
  <w:style w:type="character" w:customStyle="1" w:styleId="30">
    <w:name w:val="明显强调1"/>
    <w:basedOn w:val="22"/>
    <w:qFormat/>
    <w:uiPriority w:val="0"/>
    <w:rPr>
      <w:b/>
      <w:i/>
      <w:sz w:val="24"/>
      <w:szCs w:val="24"/>
      <w:u w:val="single"/>
    </w:rPr>
  </w:style>
  <w:style w:type="character" w:customStyle="1" w:styleId="31">
    <w:name w:val="不明显参考1"/>
    <w:basedOn w:val="22"/>
    <w:qFormat/>
    <w:uiPriority w:val="0"/>
    <w:rPr>
      <w:sz w:val="24"/>
      <w:szCs w:val="24"/>
      <w:u w:val="single"/>
    </w:rPr>
  </w:style>
  <w:style w:type="character" w:customStyle="1" w:styleId="32">
    <w:name w:val="明显参考1"/>
    <w:basedOn w:val="22"/>
    <w:qFormat/>
    <w:uiPriority w:val="0"/>
    <w:rPr>
      <w:b/>
      <w:sz w:val="24"/>
      <w:u w:val="single"/>
    </w:rPr>
  </w:style>
  <w:style w:type="character" w:customStyle="1" w:styleId="33">
    <w:name w:val="书籍标题1"/>
    <w:basedOn w:val="22"/>
    <w:qFormat/>
    <w:uiPriority w:val="0"/>
    <w:rPr>
      <w:rFonts w:ascii="Cambria" w:hAnsi="Cambria" w:eastAsia="宋体"/>
      <w:b/>
      <w:i/>
      <w:sz w:val="24"/>
      <w:szCs w:val="24"/>
    </w:rPr>
  </w:style>
  <w:style w:type="paragraph" w:customStyle="1" w:styleId="34">
    <w:name w:val="TOC 标题1"/>
    <w:basedOn w:val="3"/>
    <w:next w:val="1"/>
    <w:qFormat/>
    <w:uiPriority w:val="0"/>
    <w:pPr>
      <w:outlineLvl w:val="9"/>
    </w:pPr>
    <w:rPr>
      <w:lang w:bidi="en-US"/>
    </w:rPr>
  </w:style>
  <w:style w:type="paragraph" w:customStyle="1" w:styleId="35">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6">
    <w:name w:val="fontstyle01"/>
    <w:qFormat/>
    <w:uiPriority w:val="0"/>
    <w:rPr>
      <w:rFonts w:ascii="仿宋_GB2312" w:eastAsia="仿宋_GB2312" w:cs="仿宋_GB2312"/>
      <w:color w:val="000000"/>
      <w:sz w:val="32"/>
      <w:szCs w:val="32"/>
    </w:rPr>
  </w:style>
  <w:style w:type="character" w:customStyle="1" w:styleId="37">
    <w:name w:val="标题 Char"/>
    <w:basedOn w:val="22"/>
    <w:link w:val="2"/>
    <w:qFormat/>
    <w:uiPriority w:val="0"/>
    <w:rPr>
      <w:rFonts w:ascii="Cambria" w:hAnsi="Cambria"/>
      <w:b/>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rfwefew</Company>
  <Pages>22</Pages>
  <Words>8923</Words>
  <Characters>1838</Characters>
  <Lines>15</Lines>
  <Paragraphs>21</Paragraphs>
  <TotalTime>0</TotalTime>
  <ScaleCrop>false</ScaleCrop>
  <LinksUpToDate>false</LinksUpToDate>
  <CharactersWithSpaces>10740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2021-04-08T11:27:00Z</dcterms:created>
  <dc:creator>赵 恺（预算处）</dc:creator>
  <cp:lastModifiedBy>Administrator</cp:lastModifiedBy>
  <cp:lastPrinted>2021-04-08T12:34:00Z</cp:lastPrinted>
  <dcterms:modified xsi:type="dcterms:W3CDTF">2025-09-05T04:58:38Z</dcterms:modified>
  <dc:title>印刷费资金项目支出绩效评价</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230CD40E8BE04B3BB545F95CC7997E31</vt:lpwstr>
  </property>
  <property fmtid="{D5CDD505-2E9C-101B-9397-08002B2CF9AE}" pid="4" name="KSOSaveFontToCloudKey">
    <vt:lpwstr>728097718_cloud</vt:lpwstr>
  </property>
</Properties>
</file>