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C70CD7">
      <w:pPr>
        <w:spacing w:line="540" w:lineRule="exact"/>
        <w:rPr>
          <w:rFonts w:ascii="华文中宋" w:hAnsi="华文中宋" w:eastAsia="华文中宋" w:cs="宋体"/>
          <w:b/>
          <w:kern w:val="0"/>
          <w:sz w:val="52"/>
          <w:szCs w:val="52"/>
        </w:rPr>
      </w:pPr>
      <w:bookmarkStart w:id="8" w:name="_GoBack"/>
      <w:bookmarkEnd w:id="8"/>
    </w:p>
    <w:p w14:paraId="49152802">
      <w:pPr>
        <w:spacing w:line="540" w:lineRule="exact"/>
        <w:jc w:val="center"/>
        <w:rPr>
          <w:rFonts w:ascii="华文中宋" w:hAnsi="华文中宋" w:eastAsia="华文中宋" w:cs="宋体"/>
          <w:b/>
          <w:kern w:val="0"/>
          <w:sz w:val="52"/>
          <w:szCs w:val="52"/>
        </w:rPr>
      </w:pPr>
    </w:p>
    <w:p w14:paraId="0D564DAE">
      <w:pPr>
        <w:pStyle w:val="2"/>
        <w:rPr>
          <w:rFonts w:hint="eastAsia" w:ascii="方正小标宋简体" w:hAnsi="方正小标宋简体" w:eastAsia="方正小标宋简体" w:cs="方正小标宋简体"/>
        </w:rPr>
      </w:pPr>
    </w:p>
    <w:p w14:paraId="2F787FBF">
      <w:pPr>
        <w:spacing w:line="540" w:lineRule="exact"/>
        <w:jc w:val="center"/>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rPr>
        <w:t>塔城地区疾病预防控制中心新冠疫情补助项目支出绩效评价报告</w:t>
      </w:r>
    </w:p>
    <w:p w14:paraId="69196687">
      <w:pPr>
        <w:spacing w:line="540" w:lineRule="exact"/>
        <w:jc w:val="center"/>
        <w:rPr>
          <w:rFonts w:ascii="华文中宋" w:hAnsi="华文中宋" w:eastAsia="华文中宋" w:cs="宋体"/>
          <w:b/>
          <w:kern w:val="0"/>
          <w:sz w:val="52"/>
          <w:szCs w:val="52"/>
        </w:rPr>
      </w:pPr>
    </w:p>
    <w:p w14:paraId="0BE1940B">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（2020年度）</w:t>
      </w:r>
    </w:p>
    <w:p w14:paraId="3F6A8E90">
      <w:pPr>
        <w:spacing w:line="700" w:lineRule="exact"/>
        <w:jc w:val="left"/>
        <w:rPr>
          <w:rFonts w:hAnsi="宋体" w:eastAsia="仿宋_GB2312" w:cs="宋体"/>
          <w:kern w:val="0"/>
          <w:sz w:val="36"/>
          <w:szCs w:val="36"/>
        </w:rPr>
      </w:pPr>
    </w:p>
    <w:p w14:paraId="3AA968C0"/>
    <w:p w14:paraId="3D3AF73D"/>
    <w:p w14:paraId="4FAA0C76">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项目名称：新冠疫情补助项目</w:t>
      </w:r>
    </w:p>
    <w:p w14:paraId="21DE0704">
      <w:pPr>
        <w:spacing w:line="700" w:lineRule="exact"/>
        <w:ind w:firstLine="720" w:firstLineChars="200"/>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实施单位（公章）：塔城地区疾病预防控制中心</w:t>
      </w:r>
    </w:p>
    <w:p w14:paraId="0771FB05">
      <w:pPr>
        <w:spacing w:line="700" w:lineRule="exact"/>
        <w:ind w:firstLine="720" w:firstLineChars="200"/>
        <w:jc w:val="center"/>
        <w:rPr>
          <w:rFonts w:hint="eastAsia" w:ascii="仿宋_GB2312" w:hAnsi="仿宋_GB2312" w:eastAsia="仿宋_GB2312" w:cs="仿宋_GB2312"/>
          <w:kern w:val="0"/>
          <w:sz w:val="36"/>
          <w:szCs w:val="36"/>
          <w:lang w:eastAsia="zh-CN"/>
        </w:rPr>
      </w:pPr>
      <w:r>
        <w:rPr>
          <w:rFonts w:hint="eastAsia" w:ascii="仿宋_GB2312" w:hAnsi="仿宋_GB2312" w:eastAsia="仿宋_GB2312" w:cs="仿宋_GB2312"/>
          <w:kern w:val="0"/>
          <w:sz w:val="36"/>
          <w:szCs w:val="36"/>
          <w:lang w:val="en-US" w:eastAsia="zh-CN"/>
        </w:rPr>
        <w:t xml:space="preserve">    </w:t>
      </w:r>
      <w:r>
        <w:rPr>
          <w:rFonts w:hint="eastAsia" w:ascii="仿宋_GB2312" w:hAnsi="仿宋_GB2312" w:eastAsia="仿宋_GB2312" w:cs="仿宋_GB2312"/>
          <w:kern w:val="0"/>
          <w:sz w:val="36"/>
          <w:szCs w:val="36"/>
        </w:rPr>
        <w:t>主管部门（公章）：塔城地</w:t>
      </w:r>
      <w:r>
        <w:rPr>
          <w:rFonts w:hint="eastAsia" w:ascii="仿宋_GB2312" w:hAnsi="仿宋_GB2312" w:eastAsia="仿宋_GB2312" w:cs="仿宋_GB2312"/>
          <w:kern w:val="0"/>
          <w:sz w:val="36"/>
          <w:szCs w:val="36"/>
          <w:lang w:eastAsia="zh-CN"/>
        </w:rPr>
        <w:t>区卫生健康委员会</w:t>
      </w:r>
    </w:p>
    <w:p w14:paraId="790E7FD2">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项目负责人（签章）：石德福</w:t>
      </w:r>
    </w:p>
    <w:p w14:paraId="59E04999">
      <w:pPr>
        <w:spacing w:line="700" w:lineRule="exact"/>
        <w:ind w:firstLine="1440" w:firstLineChars="400"/>
        <w:jc w:val="both"/>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填报时间：2021年4月12日</w:t>
      </w:r>
    </w:p>
    <w:p w14:paraId="19748C68">
      <w:pPr>
        <w:spacing w:line="20" w:lineRule="atLeast"/>
        <w:contextualSpacing/>
        <w:rPr>
          <w:rFonts w:ascii="仿宋_GB2312"/>
          <w:szCs w:val="30"/>
        </w:rPr>
      </w:pPr>
    </w:p>
    <w:p w14:paraId="1EBEEE4F">
      <w:pPr>
        <w:spacing w:line="600" w:lineRule="exact"/>
        <w:jc w:val="center"/>
        <w:rPr>
          <w:rFonts w:ascii="黑体" w:hAnsi="黑体" w:eastAsia="黑体" w:cs="黑体"/>
          <w:bCs/>
          <w:sz w:val="32"/>
          <w:szCs w:val="32"/>
        </w:rPr>
        <w:sectPr>
          <w:footerReference r:id="rId3" w:type="default"/>
          <w:footerReference r:id="rId4" w:type="even"/>
          <w:pgSz w:w="11906" w:h="16838"/>
          <w:pgMar w:top="2098" w:right="1531" w:bottom="1985" w:left="1531" w:header="851" w:footer="992" w:gutter="0"/>
          <w:pgNumType w:fmt="numberInDash" w:start="0"/>
          <w:cols w:space="720" w:num="1"/>
          <w:docGrid w:type="lines" w:linePitch="579" w:charSpace="-1675"/>
        </w:sectPr>
      </w:pPr>
    </w:p>
    <w:p w14:paraId="42669BC7">
      <w:pPr>
        <w:spacing w:line="560" w:lineRule="exact"/>
        <w:rPr>
          <w:rFonts w:ascii="黑体" w:hAnsi="黑体" w:eastAsia="黑体" w:cs="黑体"/>
          <w:sz w:val="32"/>
          <w:szCs w:val="32"/>
        </w:rPr>
      </w:pPr>
    </w:p>
    <w:p w14:paraId="405CE380">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sz w:val="32"/>
          <w:szCs w:val="32"/>
        </w:rPr>
      </w:pPr>
      <w:bookmarkStart w:id="0" w:name="_Toc32068_WPSOffice_Level1"/>
      <w:r>
        <w:rPr>
          <w:rFonts w:hint="eastAsia" w:ascii="黑体" w:hAnsi="黑体" w:eastAsia="黑体" w:cs="黑体"/>
          <w:b/>
          <w:bCs/>
          <w:sz w:val="32"/>
          <w:szCs w:val="32"/>
        </w:rPr>
        <w:t>一、基本情况</w:t>
      </w:r>
      <w:bookmarkEnd w:id="0"/>
    </w:p>
    <w:p w14:paraId="2E461F98">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14:paraId="121A716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14:paraId="56C9A83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14:paraId="380A50D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2020年初，新冠疫情突如其来，为开展新冠疫情预防与控制工作，根据国家卫生健康委员会《新型冠状病毒感染的肺炎疫情防控方案》、《新疆新型冠状病毒感染的肺炎防控工作预案》及《新疆突发公共卫生事件应急预案》等规定，塔城地区疾病预防控制中心结合本单位实际情况，开展新冠疫情防控相关工作。</w:t>
      </w:r>
    </w:p>
    <w:p w14:paraId="3B29EFD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项目实施的历史概况</w:t>
      </w:r>
    </w:p>
    <w:p w14:paraId="65FEB9E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中心承担着疫情防控疑似病例及密接人员流行病学调查、样品核酸检测、可疑食品筛查、院前转运、健康宣传和疫情监督检查等工作职能。按照国家、省、市疫情防控方案要求，塔城地区疾控中心需要购置新型冠状新病毒实验室核酸检测设备、检测试剂及耗材、采样运输车、疫情处置及防控用物资等，保证疫情防控工作有序</w:t>
      </w:r>
      <w:r>
        <w:rPr>
          <w:rFonts w:hint="eastAsia" w:ascii="仿宋_GB2312" w:hAnsi="仿宋_GB2312" w:eastAsia="仿宋_GB2312" w:cs="仿宋_GB2312"/>
          <w:sz w:val="32"/>
          <w:szCs w:val="32"/>
          <w:lang w:eastAsia="zh-CN"/>
        </w:rPr>
        <w:t>顺利地开展</w:t>
      </w:r>
      <w:r>
        <w:rPr>
          <w:rFonts w:hint="eastAsia" w:ascii="仿宋_GB2312" w:hAnsi="仿宋_GB2312" w:eastAsia="仿宋_GB2312" w:cs="仿宋_GB2312"/>
          <w:sz w:val="32"/>
          <w:szCs w:val="32"/>
        </w:rPr>
        <w:t>，全面做好疫情防控物资采购和使用工作，有效保障人民群众身体健康和生命安全，维护社会经济稳定，提供良好的环境和支持。</w:t>
      </w:r>
    </w:p>
    <w:p w14:paraId="4DCCC7B3">
      <w:pPr>
        <w:keepNext w:val="0"/>
        <w:keepLines w:val="0"/>
        <w:pageBreakBefore w:val="0"/>
        <w:numPr>
          <w:ilvl w:val="0"/>
          <w:numId w:val="1"/>
        </w:numPr>
        <w:kinsoku/>
        <w:wordWrap/>
        <w:overflowPunct/>
        <w:topLinePunct w:val="0"/>
        <w:autoSpaceDE/>
        <w:autoSpaceDN/>
        <w:bidi w:val="0"/>
        <w:adjustRightInd/>
        <w:snapToGrid/>
        <w:spacing w:line="560" w:lineRule="exact"/>
        <w:ind w:firstLine="602" w:firstLineChars="200"/>
        <w:textAlignment w:val="auto"/>
        <w:rPr>
          <w:rFonts w:ascii="仿宋_GB2312" w:hAnsi="仿宋_GB2312" w:eastAsia="仿宋_GB2312" w:cs="仿宋_GB2312"/>
          <w:b/>
          <w:bCs/>
          <w:sz w:val="30"/>
          <w:szCs w:val="30"/>
        </w:rPr>
      </w:pPr>
      <w:r>
        <w:rPr>
          <w:rFonts w:ascii="仿宋_GB2312" w:hAnsi="仿宋_GB2312" w:eastAsia="仿宋_GB2312" w:cs="仿宋_GB2312"/>
          <w:b/>
          <w:bCs/>
          <w:sz w:val="30"/>
          <w:szCs w:val="30"/>
        </w:rPr>
        <w:t>项目主要内容及实施情况</w:t>
      </w:r>
    </w:p>
    <w:p w14:paraId="2A9C897F">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_GB2312" w:hAnsi="仿宋_GB2312" w:eastAsia="仿宋_GB2312" w:cs="仿宋_GB2312"/>
          <w:sz w:val="32"/>
          <w:szCs w:val="32"/>
          <w:highlight w:val="yellow"/>
        </w:rPr>
      </w:pPr>
      <w:r>
        <w:rPr>
          <w:rFonts w:ascii="仿宋_GB2312" w:hAnsi="仿宋_GB2312" w:eastAsia="仿宋_GB2312" w:cs="仿宋_GB2312"/>
          <w:sz w:val="32"/>
          <w:szCs w:val="32"/>
        </w:rPr>
        <w:t>项目主要内容：</w:t>
      </w:r>
      <w:r>
        <w:rPr>
          <w:rFonts w:hint="eastAsia" w:ascii="仿宋_GB2312" w:hAnsi="仿宋_GB2312" w:eastAsia="仿宋_GB2312" w:cs="仿宋_GB2312"/>
          <w:sz w:val="32"/>
          <w:szCs w:val="32"/>
        </w:rPr>
        <w:t>项目资金主要用于购买疫情物资，确保物资及时到位；购买检验检测仪器设备，提升核酸检测能力；工作人员督导检查、消杀、采样经费。</w:t>
      </w:r>
    </w:p>
    <w:p w14:paraId="3A756934">
      <w:pPr>
        <w:keepNext w:val="0"/>
        <w:keepLines w:val="0"/>
        <w:pageBreakBefore w:val="0"/>
        <w:kinsoku/>
        <w:wordWrap/>
        <w:overflowPunct/>
        <w:topLinePunct w:val="0"/>
        <w:autoSpaceDE/>
        <w:autoSpaceDN/>
        <w:bidi w:val="0"/>
        <w:adjustRightInd/>
        <w:snapToGrid/>
        <w:spacing w:line="560" w:lineRule="exact"/>
        <w:ind w:firstLine="64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项目实施情况：项目目前已经完成实际设立的目标，项目在实施过程中严格按照目标设立的各阶段任务进行开展工作，在前期立项过程中严格把质量关，建立安全防护机制，保证项目实施各段安全顺利进行。</w:t>
      </w:r>
    </w:p>
    <w:p w14:paraId="026FD77C">
      <w:pPr>
        <w:keepNext w:val="0"/>
        <w:keepLines w:val="0"/>
        <w:pageBreakBefore w:val="0"/>
        <w:kinsoku/>
        <w:wordWrap/>
        <w:overflowPunct/>
        <w:topLinePunct w:val="0"/>
        <w:autoSpaceDE/>
        <w:autoSpaceDN/>
        <w:bidi w:val="0"/>
        <w:adjustRightInd/>
        <w:snapToGrid/>
        <w:spacing w:line="560" w:lineRule="exact"/>
        <w:ind w:firstLine="640"/>
        <w:textAlignment w:val="auto"/>
      </w:pPr>
      <w:r>
        <w:rPr>
          <w:rFonts w:ascii="仿宋_GB2312" w:hAnsi="仿宋_GB2312" w:eastAsia="仿宋_GB2312" w:cs="仿宋_GB2312"/>
          <w:sz w:val="32"/>
          <w:szCs w:val="32"/>
        </w:rPr>
        <w:t>本项目总投资</w:t>
      </w:r>
      <w:r>
        <w:rPr>
          <w:rFonts w:hint="eastAsia" w:ascii="仿宋_GB2312" w:hAnsi="仿宋_GB2312" w:eastAsia="仿宋_GB2312" w:cs="仿宋_GB2312"/>
          <w:sz w:val="32"/>
          <w:szCs w:val="32"/>
        </w:rPr>
        <w:t>734.71</w:t>
      </w:r>
      <w:r>
        <w:rPr>
          <w:rFonts w:ascii="仿宋_GB2312" w:hAnsi="仿宋_GB2312" w:eastAsia="仿宋_GB2312" w:cs="仿宋_GB2312"/>
          <w:sz w:val="32"/>
          <w:szCs w:val="32"/>
        </w:rPr>
        <w:t>万元，其中：财政资金</w:t>
      </w:r>
      <w:r>
        <w:rPr>
          <w:rFonts w:hint="eastAsia" w:ascii="仿宋_GB2312" w:hAnsi="仿宋_GB2312" w:eastAsia="仿宋_GB2312" w:cs="仿宋_GB2312"/>
          <w:sz w:val="32"/>
          <w:szCs w:val="32"/>
        </w:rPr>
        <w:t>734.71</w:t>
      </w:r>
      <w:r>
        <w:rPr>
          <w:rFonts w:ascii="仿宋_GB2312" w:hAnsi="仿宋_GB2312" w:eastAsia="仿宋_GB2312" w:cs="仿宋_GB2312"/>
          <w:sz w:val="32"/>
          <w:szCs w:val="32"/>
        </w:rPr>
        <w:t>万元。项目实际支出</w:t>
      </w:r>
      <w:r>
        <w:rPr>
          <w:rFonts w:hint="eastAsia" w:ascii="仿宋_GB2312" w:hAnsi="仿宋_GB2312" w:eastAsia="仿宋_GB2312" w:cs="仿宋_GB2312"/>
          <w:sz w:val="32"/>
          <w:szCs w:val="32"/>
        </w:rPr>
        <w:t>734.71</w:t>
      </w:r>
      <w:r>
        <w:rPr>
          <w:rFonts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支出率为</w:t>
      </w:r>
      <w:r>
        <w:rPr>
          <w:rFonts w:hint="eastAsia" w:ascii="仿宋_GB2312" w:hAnsi="仿宋_GB2312" w:eastAsia="仿宋_GB2312" w:cs="仿宋_GB2312"/>
          <w:sz w:val="32"/>
          <w:szCs w:val="32"/>
        </w:rPr>
        <w:t>100</w:t>
      </w:r>
      <w:r>
        <w:rPr>
          <w:rFonts w:ascii="仿宋_GB2312" w:hAnsi="仿宋_GB2312" w:eastAsia="仿宋_GB2312" w:cs="仿宋_GB2312"/>
          <w:sz w:val="32"/>
          <w:szCs w:val="32"/>
        </w:rPr>
        <w:t>%。</w:t>
      </w:r>
    </w:p>
    <w:p w14:paraId="14A88516">
      <w:pPr>
        <w:keepNext w:val="0"/>
        <w:keepLines w:val="0"/>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资金投入和使用情况</w:t>
      </w:r>
    </w:p>
    <w:p w14:paraId="20A707D2">
      <w:pPr>
        <w:keepNext w:val="0"/>
        <w:keepLines w:val="0"/>
        <w:pageBreakBefore w:val="0"/>
        <w:numPr>
          <w:ilvl w:val="0"/>
          <w:numId w:val="2"/>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资金安排</w:t>
      </w:r>
    </w:p>
    <w:p w14:paraId="394CC04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734.71万元，按照《专项资金管理办法》及单位财务制度等相关规定，资金支出符合新冠疫情防控专项补助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14:paraId="53FA1D6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1" w:name="page10"/>
      <w:bookmarkEnd w:id="1"/>
    </w:p>
    <w:p w14:paraId="4F5F0ED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项目预算资金来源于塔地财社（2020）82文件中批复的资金，项目资金到位734.71万元，用于支付项目实施进程中的各项费用。</w:t>
      </w:r>
    </w:p>
    <w:p w14:paraId="0CBA8F1A">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14:paraId="4B9A7F22">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14:paraId="44946AD0">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项目资金按新冠疫情防控专项补助资金费用范围，项目支出保障了我单位2020年正常开展新冠疫情工作以及业务工作运转。</w:t>
      </w:r>
    </w:p>
    <w:p w14:paraId="5BCAEDF2">
      <w:pPr>
        <w:keepNext w:val="0"/>
        <w:keepLines w:val="0"/>
        <w:pageBreakBefore w:val="0"/>
        <w:kinsoku/>
        <w:wordWrap/>
        <w:overflowPunct/>
        <w:topLinePunct w:val="0"/>
        <w:autoSpaceDE/>
        <w:autoSpaceDN/>
        <w:bidi w:val="0"/>
        <w:adjustRightInd/>
        <w:snapToGrid/>
        <w:spacing w:line="560" w:lineRule="exact"/>
        <w:ind w:firstLine="643" w:firstLineChars="200"/>
        <w:contextualSpacing/>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14:paraId="0D5964F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（1）前期准备：根据《项目实施方案》，通过制定项目实施方案，经项目负责人审核通过后，有序开展后续工程。</w:t>
      </w:r>
    </w:p>
    <w:p w14:paraId="5A890004">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项目实施方案》要求逐一进行项目部署安排，提高项目质量及效率性。根据工作日常需求安排，项目分月度、季度进行相关费用支出结算。单位的日常公用经费做到开源节流、手续齐全、合理支出、日清月结。</w:t>
      </w:r>
    </w:p>
    <w:p w14:paraId="7C40367E">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b/>
          <w:bCs/>
          <w:sz w:val="32"/>
          <w:szCs w:val="32"/>
        </w:rPr>
      </w:pPr>
      <w:bookmarkStart w:id="2" w:name="_Toc8059_WPSOffice_Level1"/>
      <w:r>
        <w:rPr>
          <w:rFonts w:hint="eastAsia" w:ascii="黑体" w:hAnsi="黑体" w:eastAsia="黑体"/>
          <w:b/>
          <w:bCs/>
          <w:sz w:val="32"/>
          <w:szCs w:val="32"/>
        </w:rPr>
        <w:t>二、绩效评价工作开展情况</w:t>
      </w:r>
      <w:bookmarkEnd w:id="2"/>
    </w:p>
    <w:p w14:paraId="7135E227">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14:paraId="0A38AB61">
      <w:pPr>
        <w:keepNext w:val="0"/>
        <w:keepLines w:val="0"/>
        <w:pageBreakBefore w:val="0"/>
        <w:kinsoku/>
        <w:wordWrap/>
        <w:overflowPunct/>
        <w:topLinePunct w:val="0"/>
        <w:autoSpaceDE/>
        <w:autoSpaceDN/>
        <w:bidi w:val="0"/>
        <w:adjustRightInd/>
        <w:snapToGrid/>
        <w:spacing w:line="560" w:lineRule="exact"/>
        <w:ind w:firstLine="643" w:firstLineChars="200"/>
        <w:contextualSpacing/>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14:paraId="5BEBEC64">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1053471">
      <w:pPr>
        <w:keepNext w:val="0"/>
        <w:keepLines w:val="0"/>
        <w:pageBreakBefore w:val="0"/>
        <w:numPr>
          <w:ilvl w:val="0"/>
          <w:numId w:val="3"/>
        </w:numPr>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268CAD39">
      <w:pPr>
        <w:keepNext w:val="0"/>
        <w:keepLines w:val="0"/>
        <w:pageBreakBefore w:val="0"/>
        <w:kinsoku/>
        <w:wordWrap/>
        <w:overflowPunct/>
        <w:topLinePunct w:val="0"/>
        <w:autoSpaceDE/>
        <w:autoSpaceDN/>
        <w:bidi w:val="0"/>
        <w:adjustRightInd/>
        <w:snapToGrid/>
        <w:spacing w:line="560" w:lineRule="exac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4E8BBBC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14:paraId="7BC0052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14:paraId="3870AA7D">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新冠疫情防控补助项目</w:t>
      </w:r>
    </w:p>
    <w:p w14:paraId="4C3235D0">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3、绩效评价的范围</w:t>
      </w:r>
    </w:p>
    <w:p w14:paraId="7E445212">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从新冠疫情防控补助项目的决策、过程、产出、效益等方面进行评价。</w:t>
      </w:r>
    </w:p>
    <w:p w14:paraId="440481B4">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（二）绩效评价原则、评价指标体系（详情见表1）、评价方法、评价标准。</w:t>
      </w:r>
    </w:p>
    <w:p w14:paraId="33CDC75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1、绩效评价原则</w:t>
      </w:r>
    </w:p>
    <w:p w14:paraId="13E4F64F">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14:paraId="60CD9143">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（1）科学公正。绩效评价应当运用科学合理的方法，按照规范的程序，对项目绩效进行客观、公正的反映。</w:t>
      </w:r>
    </w:p>
    <w:p w14:paraId="5E27B1C9">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（2）统筹兼顾。单位自评、部门评价和财政评价应职责明确，各有侧重，相互衔接。单位自评应由项目单位自主实施，即“谁支出、谁自评”。部门评价和财政评价应在单位自评的基础上开展。</w:t>
      </w:r>
    </w:p>
    <w:p w14:paraId="7A12050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（3）激励约束。绩效评价结果应与预算安排、政策调整、改进管理实质性挂钩，体现奖优罚劣和激励相容导向，有效要安排、低效要压减、无效要问责。</w:t>
      </w:r>
    </w:p>
    <w:p w14:paraId="1CC9BE64">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（4）公开透明。绩效评价结果应依法依规公开，并自觉接受社会监督。</w:t>
      </w:r>
    </w:p>
    <w:p w14:paraId="00F94A7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2、评价指标体系</w:t>
      </w:r>
    </w:p>
    <w:p w14:paraId="3EEC4FE4">
      <w:pPr>
        <w:keepNext w:val="0"/>
        <w:keepLines w:val="0"/>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0DC61A21">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19F1EF13">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2AAD297">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15224586">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确定各个指标相对于项目总体绩效的权重分值。在绩效评价指标体系中，项目决策权重为5，项目过程权重占5，项目产出权重值占50，项目效益权重值占40。</w:t>
      </w:r>
    </w:p>
    <w:p w14:paraId="33B9841E">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424149A1">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5D181991">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绩效评价总分值100分，根据综合评分结果，评价计分90分</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100分（含90分）对应的评分结果级别为优，80-90分（含80分）对应的评分结果级别为良，60-80分（含60分）对应的评分结果级别为中，60分以下对应的评分结果级别为差。</w:t>
      </w:r>
    </w:p>
    <w:p w14:paraId="2B8C1F71">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具体评价指标体系详情见附件1</w:t>
      </w:r>
    </w:p>
    <w:p w14:paraId="0AF4F9D0">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3、绩效评价方法</w:t>
      </w:r>
    </w:p>
    <w:p w14:paraId="62C8A978">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37CC01D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F4F417E">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419E6AF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2AABF56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4D74BD00">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14:paraId="5120BDE5">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4、绩效评价标准</w:t>
      </w:r>
    </w:p>
    <w:p w14:paraId="541E97C8">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w:t>
      </w:r>
    </w:p>
    <w:p w14:paraId="2CE58C22">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（三）绩效评价工作过程。</w:t>
      </w:r>
    </w:p>
    <w:p w14:paraId="2FB23ED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14:paraId="34C34E3A">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14:paraId="7695095C">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14:paraId="4B803766">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2"/>
          <w:szCs w:val="32"/>
        </w:rPr>
      </w:pPr>
      <w:bookmarkStart w:id="3" w:name="_Toc18439_WPSOffice_Level1"/>
      <w:r>
        <w:rPr>
          <w:rFonts w:hint="eastAsia" w:ascii="黑体" w:hAnsi="黑体" w:eastAsia="黑体" w:cs="黑体"/>
          <w:b/>
          <w:bCs/>
          <w:sz w:val="32"/>
          <w:szCs w:val="32"/>
        </w:rPr>
        <w:t>三、综合评价情况及评价结论（附相关评分表）</w:t>
      </w:r>
      <w:bookmarkEnd w:id="3"/>
    </w:p>
    <w:p w14:paraId="20031A07">
      <w:pPr>
        <w:keepNext w:val="0"/>
        <w:keepLines w:val="0"/>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对新冠疫情补助项目进行客观评价，最终评分结果：总得分为 96.49分，属于“优”。其中，项目决策类指标权重为5分，得分为 4.5分，得分率为90%。项目过程类指标权重为5分，得分为5 分，得分率为100%。项目产出类指标权重为50分，得分为50分，得分率为 100%。项目效益类指标权重为40分，得分为37分，得分率为92.50%。</w:t>
      </w:r>
    </w:p>
    <w:p w14:paraId="182AC4C1">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tbl>
      <w:tblPr>
        <w:tblStyle w:val="10"/>
        <w:tblpPr w:leftFromText="180" w:rightFromText="180" w:vertAnchor="text" w:horzAnchor="page" w:tblpX="1016" w:tblpY="-67"/>
        <w:tblOverlap w:val="never"/>
        <w:tblW w:w="944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47"/>
        <w:gridCol w:w="939"/>
        <w:gridCol w:w="1217"/>
        <w:gridCol w:w="1618"/>
        <w:gridCol w:w="690"/>
        <w:gridCol w:w="990"/>
        <w:gridCol w:w="876"/>
        <w:gridCol w:w="1153"/>
        <w:gridCol w:w="910"/>
      </w:tblGrid>
      <w:tr w14:paraId="4006B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5" w:hRule="atLeast"/>
          <w:tblHeader/>
        </w:trPr>
        <w:tc>
          <w:tcPr>
            <w:tcW w:w="1047" w:type="dxa"/>
            <w:shd w:val="clear" w:color="auto" w:fill="BFBFBF"/>
            <w:vAlign w:val="center"/>
          </w:tcPr>
          <w:p w14:paraId="3A4AF878">
            <w:pPr>
              <w:keepNext w:val="0"/>
              <w:keepLines w:val="0"/>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39" w:type="dxa"/>
            <w:shd w:val="clear" w:color="auto" w:fill="BFBFBF"/>
            <w:vAlign w:val="center"/>
          </w:tcPr>
          <w:p w14:paraId="19A16B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17" w:type="dxa"/>
            <w:shd w:val="clear" w:color="auto" w:fill="BFBFBF"/>
            <w:vAlign w:val="center"/>
          </w:tcPr>
          <w:p w14:paraId="028A103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618" w:type="dxa"/>
            <w:shd w:val="clear" w:color="auto" w:fill="BFBFBF"/>
            <w:vAlign w:val="center"/>
          </w:tcPr>
          <w:p w14:paraId="16D5FD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690" w:type="dxa"/>
            <w:shd w:val="clear" w:color="auto" w:fill="BFBFBF"/>
            <w:vAlign w:val="center"/>
          </w:tcPr>
          <w:p w14:paraId="5E98D13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990" w:type="dxa"/>
            <w:shd w:val="clear" w:color="auto" w:fill="BFBFBF"/>
            <w:vAlign w:val="center"/>
          </w:tcPr>
          <w:p w14:paraId="778EDB21">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876" w:type="dxa"/>
            <w:shd w:val="clear" w:color="auto" w:fill="BFBFBF"/>
            <w:vAlign w:val="center"/>
          </w:tcPr>
          <w:p w14:paraId="292FBCC0">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153" w:type="dxa"/>
            <w:shd w:val="clear" w:color="auto" w:fill="BFBFBF"/>
            <w:vAlign w:val="center"/>
          </w:tcPr>
          <w:p w14:paraId="20BF2D59">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10" w:type="dxa"/>
            <w:shd w:val="clear" w:color="auto" w:fill="BFBFBF"/>
            <w:vAlign w:val="center"/>
          </w:tcPr>
          <w:p w14:paraId="7CCBC719">
            <w:pPr>
              <w:keepNext w:val="0"/>
              <w:keepLines w:val="0"/>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659CF3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14:paraId="6554BCE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决策　</w:t>
            </w:r>
          </w:p>
          <w:p w14:paraId="342DE77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2F95C828">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p w14:paraId="2DC47C0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39" w:type="dxa"/>
            <w:vMerge w:val="restart"/>
            <w:shd w:val="clear" w:color="auto" w:fill="FFFFFF"/>
            <w:vAlign w:val="center"/>
          </w:tcPr>
          <w:p w14:paraId="5C2BB22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17" w:type="dxa"/>
            <w:vMerge w:val="restart"/>
            <w:shd w:val="clear" w:color="auto" w:fill="FFFFFF"/>
            <w:vAlign w:val="center"/>
          </w:tcPr>
          <w:p w14:paraId="06AC0AC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项目立项　</w:t>
            </w:r>
          </w:p>
        </w:tc>
        <w:tc>
          <w:tcPr>
            <w:tcW w:w="1618" w:type="dxa"/>
            <w:shd w:val="clear" w:color="auto" w:fill="FFFFFF"/>
            <w:vAlign w:val="center"/>
          </w:tcPr>
          <w:p w14:paraId="3C85081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立项依据</w:t>
            </w:r>
          </w:p>
          <w:p w14:paraId="418DE4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充分性</w:t>
            </w:r>
          </w:p>
        </w:tc>
        <w:tc>
          <w:tcPr>
            <w:tcW w:w="690" w:type="dxa"/>
            <w:shd w:val="clear" w:color="auto" w:fill="FFFFFF"/>
            <w:vAlign w:val="center"/>
          </w:tcPr>
          <w:p w14:paraId="60512FD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90" w:type="dxa"/>
            <w:shd w:val="clear" w:color="auto" w:fill="FFFFFF"/>
            <w:vAlign w:val="center"/>
          </w:tcPr>
          <w:p w14:paraId="189CD6C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876" w:type="dxa"/>
            <w:shd w:val="clear" w:color="auto" w:fill="FFFFFF"/>
            <w:vAlign w:val="center"/>
          </w:tcPr>
          <w:p w14:paraId="246FBF3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153" w:type="dxa"/>
            <w:shd w:val="clear" w:color="auto" w:fill="FFFFFF"/>
            <w:vAlign w:val="center"/>
          </w:tcPr>
          <w:p w14:paraId="66CE1C4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15F42AA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14:paraId="3CD3F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6F575B9F">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3B9A7BB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continue"/>
            <w:shd w:val="clear" w:color="auto" w:fill="FFFFFF"/>
            <w:vAlign w:val="center"/>
          </w:tcPr>
          <w:p w14:paraId="0D783A5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18" w:type="dxa"/>
            <w:shd w:val="clear" w:color="auto" w:fill="FFFFFF"/>
            <w:vAlign w:val="center"/>
          </w:tcPr>
          <w:p w14:paraId="1CF1EC4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立项程序</w:t>
            </w:r>
          </w:p>
          <w:p w14:paraId="736FA34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规范性</w:t>
            </w:r>
          </w:p>
        </w:tc>
        <w:tc>
          <w:tcPr>
            <w:tcW w:w="690" w:type="dxa"/>
            <w:shd w:val="clear" w:color="auto" w:fill="FFFFFF"/>
            <w:vAlign w:val="center"/>
          </w:tcPr>
          <w:p w14:paraId="1B20170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990" w:type="dxa"/>
            <w:shd w:val="clear" w:color="auto" w:fill="FFFFFF"/>
            <w:vAlign w:val="center"/>
          </w:tcPr>
          <w:p w14:paraId="6BEF00D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876" w:type="dxa"/>
            <w:shd w:val="clear" w:color="auto" w:fill="FFFFFF"/>
            <w:vAlign w:val="center"/>
          </w:tcPr>
          <w:p w14:paraId="28F7C16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153" w:type="dxa"/>
            <w:shd w:val="clear" w:color="auto" w:fill="FFFFFF"/>
            <w:vAlign w:val="center"/>
          </w:tcPr>
          <w:p w14:paraId="00FD6D0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4BAFC29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14:paraId="066905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75EF19D9">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5803879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restart"/>
            <w:shd w:val="clear" w:color="auto" w:fill="FFFFFF"/>
            <w:vAlign w:val="center"/>
          </w:tcPr>
          <w:p w14:paraId="00DAE5A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　</w:t>
            </w:r>
          </w:p>
        </w:tc>
        <w:tc>
          <w:tcPr>
            <w:tcW w:w="1618" w:type="dxa"/>
            <w:shd w:val="clear" w:color="auto" w:fill="FFFFFF"/>
            <w:vAlign w:val="center"/>
          </w:tcPr>
          <w:p w14:paraId="2DB517C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绩效目标</w:t>
            </w:r>
          </w:p>
          <w:p w14:paraId="61B327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690" w:type="dxa"/>
            <w:shd w:val="clear" w:color="000000" w:fill="FFFFFF"/>
            <w:vAlign w:val="center"/>
          </w:tcPr>
          <w:p w14:paraId="09829FE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4178EE4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137CF26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c>
          <w:tcPr>
            <w:tcW w:w="1153" w:type="dxa"/>
            <w:shd w:val="clear" w:color="000000" w:fill="FFFFFF"/>
            <w:vAlign w:val="center"/>
          </w:tcPr>
          <w:p w14:paraId="6129BE3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50%</w:t>
            </w:r>
          </w:p>
        </w:tc>
        <w:tc>
          <w:tcPr>
            <w:tcW w:w="910" w:type="dxa"/>
            <w:shd w:val="clear" w:color="000000" w:fill="FFFFFF"/>
            <w:vAlign w:val="center"/>
          </w:tcPr>
          <w:p w14:paraId="22331BD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0.5</w:t>
            </w:r>
          </w:p>
        </w:tc>
      </w:tr>
      <w:tr w14:paraId="0713E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43B0100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14FC262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continue"/>
            <w:shd w:val="clear" w:color="auto" w:fill="FFFFFF"/>
            <w:vAlign w:val="center"/>
          </w:tcPr>
          <w:p w14:paraId="4D0AD69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18" w:type="dxa"/>
            <w:shd w:val="clear" w:color="auto" w:fill="FFFFFF"/>
            <w:vAlign w:val="center"/>
          </w:tcPr>
          <w:p w14:paraId="605FD7D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绩效指标</w:t>
            </w:r>
          </w:p>
          <w:p w14:paraId="3C92CDC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明确性</w:t>
            </w:r>
          </w:p>
        </w:tc>
        <w:tc>
          <w:tcPr>
            <w:tcW w:w="690" w:type="dxa"/>
            <w:shd w:val="clear" w:color="000000" w:fill="FFFFFF"/>
            <w:vAlign w:val="center"/>
          </w:tcPr>
          <w:p w14:paraId="406B2DA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5572E23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3FD1BE3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000000" w:fill="FFFFFF"/>
            <w:vAlign w:val="center"/>
          </w:tcPr>
          <w:p w14:paraId="201F8F5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22EE51A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1F7B47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64946E9B">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2BDA164">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restart"/>
            <w:shd w:val="clear" w:color="auto" w:fill="FFFFFF"/>
            <w:vAlign w:val="center"/>
          </w:tcPr>
          <w:p w14:paraId="5286FF0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资金投入</w:t>
            </w:r>
          </w:p>
        </w:tc>
        <w:tc>
          <w:tcPr>
            <w:tcW w:w="1618" w:type="dxa"/>
            <w:shd w:val="clear" w:color="auto" w:fill="FFFFFF"/>
            <w:vAlign w:val="center"/>
          </w:tcPr>
          <w:p w14:paraId="565E679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预算编制</w:t>
            </w:r>
          </w:p>
          <w:p w14:paraId="1C4A43B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科学性</w:t>
            </w:r>
          </w:p>
        </w:tc>
        <w:tc>
          <w:tcPr>
            <w:tcW w:w="690" w:type="dxa"/>
            <w:shd w:val="clear" w:color="auto" w:fill="FFFFFF"/>
            <w:vAlign w:val="center"/>
          </w:tcPr>
          <w:p w14:paraId="0E6A4D9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auto" w:fill="FFFFFF"/>
            <w:vAlign w:val="center"/>
          </w:tcPr>
          <w:p w14:paraId="5C92751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auto" w:fill="FFFFFF"/>
            <w:vAlign w:val="center"/>
          </w:tcPr>
          <w:p w14:paraId="296F8DB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auto" w:fill="FFFFFF"/>
            <w:vAlign w:val="center"/>
          </w:tcPr>
          <w:p w14:paraId="4ABFF5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78AFE3A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11A02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4ED2A5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69A2D9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continue"/>
            <w:shd w:val="clear" w:color="auto" w:fill="FFFFFF"/>
            <w:vAlign w:val="center"/>
          </w:tcPr>
          <w:p w14:paraId="188F66E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18" w:type="dxa"/>
            <w:shd w:val="clear" w:color="auto" w:fill="FFFFFF"/>
            <w:vAlign w:val="center"/>
          </w:tcPr>
          <w:p w14:paraId="065A597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资金分配</w:t>
            </w:r>
          </w:p>
          <w:p w14:paraId="6BEAA0C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合理性</w:t>
            </w:r>
          </w:p>
        </w:tc>
        <w:tc>
          <w:tcPr>
            <w:tcW w:w="690" w:type="dxa"/>
            <w:shd w:val="clear" w:color="auto" w:fill="FFFFFF"/>
            <w:vAlign w:val="center"/>
          </w:tcPr>
          <w:p w14:paraId="5387DDA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auto" w:fill="FFFFFF"/>
            <w:vAlign w:val="center"/>
          </w:tcPr>
          <w:p w14:paraId="54BD594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auto" w:fill="FFFFFF"/>
            <w:vAlign w:val="center"/>
          </w:tcPr>
          <w:p w14:paraId="12BC26F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auto" w:fill="FFFFFF"/>
            <w:vAlign w:val="center"/>
          </w:tcPr>
          <w:p w14:paraId="5ECF01B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3361C12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1BF6E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14:paraId="0F34E463">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过程</w:t>
            </w:r>
          </w:p>
          <w:p w14:paraId="3CC09DC5">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　</w:t>
            </w:r>
          </w:p>
        </w:tc>
        <w:tc>
          <w:tcPr>
            <w:tcW w:w="939" w:type="dxa"/>
            <w:vMerge w:val="restart"/>
            <w:shd w:val="clear" w:color="auto" w:fill="FFFFFF"/>
            <w:vAlign w:val="center"/>
          </w:tcPr>
          <w:p w14:paraId="5869960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5分</w:t>
            </w:r>
          </w:p>
        </w:tc>
        <w:tc>
          <w:tcPr>
            <w:tcW w:w="1217" w:type="dxa"/>
            <w:vMerge w:val="restart"/>
            <w:shd w:val="clear" w:color="auto" w:fill="FFFFFF"/>
            <w:vAlign w:val="center"/>
          </w:tcPr>
          <w:p w14:paraId="42237A6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18" w:type="dxa"/>
            <w:shd w:val="clear" w:color="auto" w:fill="FFFFFF"/>
            <w:vAlign w:val="center"/>
          </w:tcPr>
          <w:p w14:paraId="423DF55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资金到位率</w:t>
            </w:r>
          </w:p>
        </w:tc>
        <w:tc>
          <w:tcPr>
            <w:tcW w:w="690" w:type="dxa"/>
            <w:shd w:val="clear" w:color="000000" w:fill="FFFFFF"/>
            <w:vAlign w:val="center"/>
          </w:tcPr>
          <w:p w14:paraId="1F1F0D5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02FBFFB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62941F3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000000" w:fill="FFFFFF"/>
            <w:vAlign w:val="center"/>
          </w:tcPr>
          <w:p w14:paraId="024019F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5DC3FD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652F1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14:paraId="045A4660">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CD95CF6">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continue"/>
            <w:shd w:val="clear" w:color="auto" w:fill="FFFFFF"/>
            <w:vAlign w:val="center"/>
          </w:tcPr>
          <w:p w14:paraId="6445C5B1">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18" w:type="dxa"/>
            <w:shd w:val="clear" w:color="auto" w:fill="FFFFFF"/>
            <w:vAlign w:val="center"/>
          </w:tcPr>
          <w:p w14:paraId="2FD5C95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预算执行率</w:t>
            </w:r>
          </w:p>
        </w:tc>
        <w:tc>
          <w:tcPr>
            <w:tcW w:w="690" w:type="dxa"/>
            <w:shd w:val="clear" w:color="auto" w:fill="FFFFFF"/>
            <w:vAlign w:val="center"/>
          </w:tcPr>
          <w:p w14:paraId="0EA30EA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auto" w:fill="FFFFFF"/>
            <w:vAlign w:val="center"/>
          </w:tcPr>
          <w:p w14:paraId="478A5E1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auto" w:fill="FFFFFF"/>
            <w:vAlign w:val="center"/>
          </w:tcPr>
          <w:p w14:paraId="37F3458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auto" w:fill="FFFFFF"/>
            <w:vAlign w:val="center"/>
          </w:tcPr>
          <w:p w14:paraId="679DF38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390C168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A9C7A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1309D1EB">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D1BA08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shd w:val="clear" w:color="auto" w:fill="FFFFFF"/>
            <w:vAlign w:val="center"/>
          </w:tcPr>
          <w:p w14:paraId="1C846FC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资金管理</w:t>
            </w:r>
          </w:p>
        </w:tc>
        <w:tc>
          <w:tcPr>
            <w:tcW w:w="1618" w:type="dxa"/>
            <w:shd w:val="clear" w:color="auto" w:fill="FFFFFF"/>
            <w:vAlign w:val="center"/>
          </w:tcPr>
          <w:p w14:paraId="55F0689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资金使用</w:t>
            </w:r>
          </w:p>
          <w:p w14:paraId="726F310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合规性</w:t>
            </w:r>
          </w:p>
        </w:tc>
        <w:tc>
          <w:tcPr>
            <w:tcW w:w="690" w:type="dxa"/>
            <w:shd w:val="clear" w:color="000000" w:fill="FFFFFF"/>
            <w:vAlign w:val="center"/>
          </w:tcPr>
          <w:p w14:paraId="6C10200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0AEF326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61BA30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000000" w:fill="FFFFFF"/>
            <w:vAlign w:val="center"/>
          </w:tcPr>
          <w:p w14:paraId="13CB9BF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29470A2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7E2039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4D4E245B">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57D6E845">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restart"/>
            <w:shd w:val="clear" w:color="auto" w:fill="FFFFFF"/>
            <w:vAlign w:val="center"/>
          </w:tcPr>
          <w:p w14:paraId="6A39E00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组织实施</w:t>
            </w:r>
          </w:p>
        </w:tc>
        <w:tc>
          <w:tcPr>
            <w:tcW w:w="1618" w:type="dxa"/>
            <w:shd w:val="clear" w:color="auto" w:fill="FFFFFF"/>
            <w:vAlign w:val="center"/>
          </w:tcPr>
          <w:p w14:paraId="6A2870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管理制度</w:t>
            </w:r>
          </w:p>
          <w:p w14:paraId="10997DE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健全性</w:t>
            </w:r>
          </w:p>
        </w:tc>
        <w:tc>
          <w:tcPr>
            <w:tcW w:w="690" w:type="dxa"/>
            <w:shd w:val="clear" w:color="000000" w:fill="FFFFFF"/>
            <w:vAlign w:val="center"/>
          </w:tcPr>
          <w:p w14:paraId="623F6C0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7451013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2D37427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000000" w:fill="FFFFFF"/>
            <w:vAlign w:val="center"/>
          </w:tcPr>
          <w:p w14:paraId="1049D3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080CAD5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49AA3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1613A98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057E489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vMerge w:val="continue"/>
            <w:shd w:val="clear" w:color="auto" w:fill="FFFFFF"/>
            <w:vAlign w:val="center"/>
          </w:tcPr>
          <w:p w14:paraId="220534A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618" w:type="dxa"/>
            <w:shd w:val="clear" w:color="auto" w:fill="FFFFFF"/>
            <w:vAlign w:val="center"/>
          </w:tcPr>
          <w:p w14:paraId="247A751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制度执行</w:t>
            </w:r>
          </w:p>
          <w:p w14:paraId="5CFAF58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有效性</w:t>
            </w:r>
          </w:p>
        </w:tc>
        <w:tc>
          <w:tcPr>
            <w:tcW w:w="690" w:type="dxa"/>
            <w:shd w:val="clear" w:color="000000" w:fill="FFFFFF"/>
            <w:vAlign w:val="center"/>
          </w:tcPr>
          <w:p w14:paraId="19FFAB1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990" w:type="dxa"/>
            <w:shd w:val="clear" w:color="000000" w:fill="FFFFFF"/>
            <w:vAlign w:val="center"/>
          </w:tcPr>
          <w:p w14:paraId="110872A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876" w:type="dxa"/>
            <w:shd w:val="clear" w:color="000000" w:fill="FFFFFF"/>
            <w:vAlign w:val="center"/>
          </w:tcPr>
          <w:p w14:paraId="319BA10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c>
          <w:tcPr>
            <w:tcW w:w="1153" w:type="dxa"/>
            <w:shd w:val="clear" w:color="000000" w:fill="FFFFFF"/>
            <w:vAlign w:val="center"/>
          </w:tcPr>
          <w:p w14:paraId="2031297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75EA26E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w:t>
            </w:r>
          </w:p>
        </w:tc>
      </w:tr>
      <w:tr w14:paraId="4A2BA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restart"/>
            <w:shd w:val="clear" w:color="auto" w:fill="FFFFFF"/>
            <w:vAlign w:val="center"/>
          </w:tcPr>
          <w:p w14:paraId="474DF33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w:t>
            </w:r>
          </w:p>
        </w:tc>
        <w:tc>
          <w:tcPr>
            <w:tcW w:w="939" w:type="dxa"/>
            <w:vMerge w:val="restart"/>
            <w:shd w:val="clear" w:color="auto" w:fill="FFFFFF"/>
            <w:vAlign w:val="center"/>
          </w:tcPr>
          <w:p w14:paraId="1E6AFFB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kern w:val="0"/>
                <w:sz w:val="18"/>
                <w:szCs w:val="18"/>
              </w:rPr>
              <w:t>50分</w:t>
            </w:r>
          </w:p>
        </w:tc>
        <w:tc>
          <w:tcPr>
            <w:tcW w:w="1217" w:type="dxa"/>
            <w:shd w:val="clear" w:color="auto" w:fill="FFFFFF"/>
            <w:vAlign w:val="center"/>
          </w:tcPr>
          <w:p w14:paraId="2AB2011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产出数量</w:t>
            </w:r>
          </w:p>
        </w:tc>
        <w:tc>
          <w:tcPr>
            <w:tcW w:w="1618" w:type="dxa"/>
            <w:shd w:val="clear" w:color="auto" w:fill="FFFFFF"/>
            <w:vAlign w:val="center"/>
          </w:tcPr>
          <w:p w14:paraId="5851535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经费保障地区</w:t>
            </w:r>
          </w:p>
        </w:tc>
        <w:tc>
          <w:tcPr>
            <w:tcW w:w="690" w:type="dxa"/>
            <w:shd w:val="clear" w:color="000000" w:fill="FFFFFF"/>
            <w:vAlign w:val="center"/>
          </w:tcPr>
          <w:p w14:paraId="557F044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90" w:type="dxa"/>
            <w:shd w:val="clear" w:color="000000" w:fill="FFFFFF"/>
            <w:vAlign w:val="center"/>
          </w:tcPr>
          <w:p w14:paraId="0FF849C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876" w:type="dxa"/>
            <w:shd w:val="clear" w:color="000000" w:fill="FFFFFF"/>
            <w:vAlign w:val="center"/>
          </w:tcPr>
          <w:p w14:paraId="289DBD9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153" w:type="dxa"/>
            <w:shd w:val="clear" w:color="000000" w:fill="FFFFFF"/>
            <w:vAlign w:val="center"/>
          </w:tcPr>
          <w:p w14:paraId="3E151AF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269F34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14:paraId="3744DA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5D4F9D2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780EBCC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shd w:val="clear" w:color="auto" w:fill="FFFFFF"/>
            <w:vAlign w:val="center"/>
          </w:tcPr>
          <w:p w14:paraId="29843CD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产出质量</w:t>
            </w:r>
          </w:p>
        </w:tc>
        <w:tc>
          <w:tcPr>
            <w:tcW w:w="1618" w:type="dxa"/>
            <w:shd w:val="clear" w:color="auto" w:fill="FFFFFF"/>
            <w:vAlign w:val="center"/>
          </w:tcPr>
          <w:p w14:paraId="328069B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经费保障覆盖率</w:t>
            </w:r>
          </w:p>
        </w:tc>
        <w:tc>
          <w:tcPr>
            <w:tcW w:w="690" w:type="dxa"/>
            <w:shd w:val="clear" w:color="000000" w:fill="FFFFFF"/>
            <w:vAlign w:val="center"/>
          </w:tcPr>
          <w:p w14:paraId="17ADE0B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90" w:type="dxa"/>
            <w:shd w:val="clear" w:color="000000" w:fill="FFFFFF"/>
            <w:vAlign w:val="center"/>
          </w:tcPr>
          <w:p w14:paraId="4A8D815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876" w:type="dxa"/>
            <w:shd w:val="clear" w:color="000000" w:fill="FFFFFF"/>
            <w:vAlign w:val="center"/>
          </w:tcPr>
          <w:p w14:paraId="6F49400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53" w:type="dxa"/>
            <w:shd w:val="clear" w:color="000000" w:fill="FFFFFF"/>
            <w:vAlign w:val="center"/>
          </w:tcPr>
          <w:p w14:paraId="1472417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4074C2B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14:paraId="4008DA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36D04463">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9631E43">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shd w:val="clear" w:color="auto" w:fill="FFFFFF"/>
            <w:vAlign w:val="center"/>
          </w:tcPr>
          <w:p w14:paraId="1E01FA62">
            <w:pPr>
              <w:keepNext w:val="0"/>
              <w:keepLines w:val="0"/>
              <w:pageBreakBefore w:val="0"/>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产出时效</w:t>
            </w:r>
          </w:p>
        </w:tc>
        <w:tc>
          <w:tcPr>
            <w:tcW w:w="1618" w:type="dxa"/>
            <w:shd w:val="clear" w:color="auto" w:fill="FFFFFF"/>
            <w:vAlign w:val="center"/>
          </w:tcPr>
          <w:p w14:paraId="7EE84EB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资金拨付及时率</w:t>
            </w:r>
          </w:p>
        </w:tc>
        <w:tc>
          <w:tcPr>
            <w:tcW w:w="690" w:type="dxa"/>
            <w:shd w:val="clear" w:color="000000" w:fill="FFFFFF"/>
            <w:vAlign w:val="center"/>
          </w:tcPr>
          <w:p w14:paraId="376D701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90" w:type="dxa"/>
            <w:shd w:val="clear" w:color="000000" w:fill="FFFFFF"/>
            <w:vAlign w:val="center"/>
          </w:tcPr>
          <w:p w14:paraId="3844E7F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876" w:type="dxa"/>
            <w:shd w:val="clear" w:color="000000" w:fill="FFFFFF"/>
            <w:vAlign w:val="center"/>
          </w:tcPr>
          <w:p w14:paraId="25E12A1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153" w:type="dxa"/>
            <w:shd w:val="clear" w:color="000000" w:fill="FFFFFF"/>
            <w:vAlign w:val="center"/>
          </w:tcPr>
          <w:p w14:paraId="63AFFE1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1D488F9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14:paraId="235C17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1" w:hRule="atLeast"/>
        </w:trPr>
        <w:tc>
          <w:tcPr>
            <w:tcW w:w="1047" w:type="dxa"/>
            <w:vMerge w:val="continue"/>
            <w:shd w:val="clear" w:color="auto" w:fill="FFFFFF"/>
            <w:vAlign w:val="center"/>
          </w:tcPr>
          <w:p w14:paraId="513FB63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247C97C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shd w:val="clear" w:color="auto" w:fill="FFFFFF"/>
            <w:vAlign w:val="center"/>
          </w:tcPr>
          <w:p w14:paraId="388540C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产出成本</w:t>
            </w:r>
          </w:p>
        </w:tc>
        <w:tc>
          <w:tcPr>
            <w:tcW w:w="1618" w:type="dxa"/>
            <w:shd w:val="clear" w:color="auto" w:fill="FFFFFF"/>
            <w:vAlign w:val="center"/>
          </w:tcPr>
          <w:p w14:paraId="4DD154D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项目支出成本</w:t>
            </w:r>
          </w:p>
        </w:tc>
        <w:tc>
          <w:tcPr>
            <w:tcW w:w="690" w:type="dxa"/>
            <w:shd w:val="clear" w:color="000000" w:fill="FFFFFF"/>
            <w:vAlign w:val="center"/>
          </w:tcPr>
          <w:p w14:paraId="7AFEB35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90" w:type="dxa"/>
            <w:shd w:val="clear" w:color="000000" w:fill="FFFFFF"/>
            <w:vAlign w:val="center"/>
          </w:tcPr>
          <w:p w14:paraId="73C99B6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876" w:type="dxa"/>
            <w:shd w:val="clear" w:color="000000" w:fill="FFFFFF"/>
            <w:vAlign w:val="center"/>
          </w:tcPr>
          <w:p w14:paraId="4AFB06C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53" w:type="dxa"/>
            <w:shd w:val="clear" w:color="000000" w:fill="FFFFFF"/>
            <w:vAlign w:val="center"/>
          </w:tcPr>
          <w:p w14:paraId="4C14B6B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0D7A9D6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r w14:paraId="428DC3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restart"/>
            <w:shd w:val="clear" w:color="auto" w:fill="FFFFFF"/>
            <w:vAlign w:val="center"/>
          </w:tcPr>
          <w:p w14:paraId="37AD79E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效益　</w:t>
            </w:r>
          </w:p>
        </w:tc>
        <w:tc>
          <w:tcPr>
            <w:tcW w:w="939" w:type="dxa"/>
            <w:vMerge w:val="restart"/>
            <w:shd w:val="clear" w:color="auto" w:fill="FFFFFF"/>
            <w:vAlign w:val="center"/>
          </w:tcPr>
          <w:p w14:paraId="4E5411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40分</w:t>
            </w:r>
          </w:p>
        </w:tc>
        <w:tc>
          <w:tcPr>
            <w:tcW w:w="1217" w:type="dxa"/>
            <w:vMerge w:val="restart"/>
            <w:shd w:val="clear" w:color="auto" w:fill="FFFFFF"/>
            <w:vAlign w:val="center"/>
          </w:tcPr>
          <w:p w14:paraId="4E1BB80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社会效益　</w:t>
            </w:r>
          </w:p>
        </w:tc>
        <w:tc>
          <w:tcPr>
            <w:tcW w:w="1618" w:type="dxa"/>
            <w:shd w:val="clear" w:color="auto" w:fill="FFFFFF"/>
            <w:vAlign w:val="center"/>
          </w:tcPr>
          <w:p w14:paraId="3BB21EA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提升疫情防控能力</w:t>
            </w:r>
          </w:p>
        </w:tc>
        <w:tc>
          <w:tcPr>
            <w:tcW w:w="690" w:type="dxa"/>
            <w:shd w:val="clear" w:color="auto" w:fill="FFFFFF"/>
            <w:vAlign w:val="center"/>
          </w:tcPr>
          <w:p w14:paraId="56876D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90" w:type="dxa"/>
            <w:shd w:val="clear" w:color="auto" w:fill="FFFFFF"/>
            <w:vAlign w:val="center"/>
          </w:tcPr>
          <w:p w14:paraId="6559E93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876" w:type="dxa"/>
            <w:shd w:val="clear" w:color="auto" w:fill="FFFFFF"/>
            <w:vAlign w:val="center"/>
          </w:tcPr>
          <w:p w14:paraId="2E325DA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12</w:t>
            </w:r>
          </w:p>
        </w:tc>
        <w:tc>
          <w:tcPr>
            <w:tcW w:w="1153" w:type="dxa"/>
            <w:shd w:val="clear" w:color="auto" w:fill="FFFFFF"/>
            <w:vAlign w:val="center"/>
          </w:tcPr>
          <w:p w14:paraId="4104FE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80%</w:t>
            </w:r>
          </w:p>
        </w:tc>
        <w:tc>
          <w:tcPr>
            <w:tcW w:w="910" w:type="dxa"/>
            <w:shd w:val="clear" w:color="auto" w:fill="FFFFFF"/>
            <w:vAlign w:val="center"/>
          </w:tcPr>
          <w:p w14:paraId="3869E03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12</w:t>
            </w:r>
          </w:p>
        </w:tc>
      </w:tr>
      <w:tr w14:paraId="2097D4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72" w:hRule="atLeast"/>
        </w:trPr>
        <w:tc>
          <w:tcPr>
            <w:tcW w:w="1047" w:type="dxa"/>
            <w:vMerge w:val="continue"/>
            <w:shd w:val="clear" w:color="auto" w:fill="FFFFFF"/>
            <w:vAlign w:val="center"/>
          </w:tcPr>
          <w:p w14:paraId="70C4F685">
            <w:pPr>
              <w:keepNext w:val="0"/>
              <w:keepLines w:val="0"/>
              <w:pageBreakBefore w:val="0"/>
              <w:widowControl/>
              <w:kinsoku/>
              <w:wordWrap/>
              <w:overflowPunct/>
              <w:topLinePunct w:val="0"/>
              <w:autoSpaceDE/>
              <w:autoSpaceDN/>
              <w:bidi w:val="0"/>
              <w:adjustRightInd/>
              <w:snapToGrid/>
              <w:spacing w:line="560" w:lineRule="exact"/>
              <w:jc w:val="center"/>
              <w:textAlignment w:val="auto"/>
              <w:rPr>
                <w:sz w:val="18"/>
                <w:szCs w:val="18"/>
              </w:rPr>
            </w:pPr>
          </w:p>
        </w:tc>
        <w:tc>
          <w:tcPr>
            <w:tcW w:w="939" w:type="dxa"/>
            <w:vMerge w:val="continue"/>
            <w:shd w:val="clear" w:color="auto" w:fill="FFFFFF"/>
            <w:vAlign w:val="center"/>
          </w:tcPr>
          <w:p w14:paraId="675F9294">
            <w:pPr>
              <w:keepNext w:val="0"/>
              <w:keepLines w:val="0"/>
              <w:pageBreakBefore w:val="0"/>
              <w:widowControl/>
              <w:kinsoku/>
              <w:wordWrap/>
              <w:overflowPunct/>
              <w:topLinePunct w:val="0"/>
              <w:autoSpaceDE/>
              <w:autoSpaceDN/>
              <w:bidi w:val="0"/>
              <w:adjustRightInd/>
              <w:snapToGrid/>
              <w:spacing w:line="560" w:lineRule="exact"/>
              <w:jc w:val="center"/>
              <w:textAlignment w:val="auto"/>
              <w:rPr>
                <w:sz w:val="18"/>
                <w:szCs w:val="18"/>
              </w:rPr>
            </w:pPr>
          </w:p>
        </w:tc>
        <w:tc>
          <w:tcPr>
            <w:tcW w:w="1217" w:type="dxa"/>
            <w:vMerge w:val="continue"/>
            <w:shd w:val="clear" w:color="auto" w:fill="FFFFFF"/>
            <w:vAlign w:val="center"/>
          </w:tcPr>
          <w:p w14:paraId="3EA47697">
            <w:pPr>
              <w:keepNext w:val="0"/>
              <w:keepLines w:val="0"/>
              <w:pageBreakBefore w:val="0"/>
              <w:widowControl/>
              <w:kinsoku/>
              <w:wordWrap/>
              <w:overflowPunct/>
              <w:topLinePunct w:val="0"/>
              <w:autoSpaceDE/>
              <w:autoSpaceDN/>
              <w:bidi w:val="0"/>
              <w:adjustRightInd/>
              <w:snapToGrid/>
              <w:spacing w:line="560" w:lineRule="exact"/>
              <w:jc w:val="center"/>
              <w:textAlignment w:val="auto"/>
              <w:rPr>
                <w:sz w:val="18"/>
                <w:szCs w:val="18"/>
              </w:rPr>
            </w:pPr>
          </w:p>
        </w:tc>
        <w:tc>
          <w:tcPr>
            <w:tcW w:w="1618" w:type="dxa"/>
            <w:shd w:val="clear" w:color="auto" w:fill="FFFFFF"/>
            <w:vAlign w:val="center"/>
          </w:tcPr>
          <w:p w14:paraId="0E7A5A0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保障疫情防控工作的正常开展</w:t>
            </w:r>
          </w:p>
        </w:tc>
        <w:tc>
          <w:tcPr>
            <w:tcW w:w="690" w:type="dxa"/>
            <w:shd w:val="clear" w:color="auto" w:fill="FFFFFF"/>
            <w:vAlign w:val="center"/>
          </w:tcPr>
          <w:p w14:paraId="143BF5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990" w:type="dxa"/>
            <w:shd w:val="clear" w:color="auto" w:fill="FFFFFF"/>
            <w:vAlign w:val="center"/>
          </w:tcPr>
          <w:p w14:paraId="68F127A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876" w:type="dxa"/>
            <w:shd w:val="clear" w:color="auto" w:fill="FFFFFF"/>
            <w:vAlign w:val="center"/>
          </w:tcPr>
          <w:p w14:paraId="7DFE14D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c>
          <w:tcPr>
            <w:tcW w:w="1153" w:type="dxa"/>
            <w:shd w:val="clear" w:color="auto" w:fill="FFFFFF"/>
            <w:vAlign w:val="center"/>
          </w:tcPr>
          <w:p w14:paraId="42D654C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auto" w:fill="FFFFFF"/>
            <w:vAlign w:val="center"/>
          </w:tcPr>
          <w:p w14:paraId="46DFE09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15</w:t>
            </w:r>
          </w:p>
        </w:tc>
      </w:tr>
      <w:tr w14:paraId="784467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89" w:hRule="atLeast"/>
        </w:trPr>
        <w:tc>
          <w:tcPr>
            <w:tcW w:w="1047" w:type="dxa"/>
            <w:vMerge w:val="continue"/>
            <w:shd w:val="clear" w:color="auto" w:fill="FFFFFF"/>
            <w:vAlign w:val="center"/>
          </w:tcPr>
          <w:p w14:paraId="31578A7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939" w:type="dxa"/>
            <w:vMerge w:val="continue"/>
            <w:shd w:val="clear" w:color="auto" w:fill="FFFFFF"/>
            <w:vAlign w:val="center"/>
          </w:tcPr>
          <w:p w14:paraId="6CC2704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p>
        </w:tc>
        <w:tc>
          <w:tcPr>
            <w:tcW w:w="1217" w:type="dxa"/>
            <w:shd w:val="clear" w:color="auto" w:fill="FFFFFF"/>
            <w:vAlign w:val="center"/>
          </w:tcPr>
          <w:p w14:paraId="37A6BDA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满意度</w:t>
            </w:r>
          </w:p>
        </w:tc>
        <w:tc>
          <w:tcPr>
            <w:tcW w:w="1618" w:type="dxa"/>
            <w:shd w:val="clear" w:color="auto" w:fill="FFFFFF"/>
            <w:vAlign w:val="center"/>
          </w:tcPr>
          <w:p w14:paraId="1C069D5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群众满意度</w:t>
            </w:r>
          </w:p>
        </w:tc>
        <w:tc>
          <w:tcPr>
            <w:tcW w:w="690" w:type="dxa"/>
            <w:shd w:val="clear" w:color="000000" w:fill="FFFFFF"/>
            <w:vAlign w:val="center"/>
          </w:tcPr>
          <w:p w14:paraId="59DCD1C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990" w:type="dxa"/>
            <w:shd w:val="clear" w:color="000000" w:fill="FFFFFF"/>
            <w:vAlign w:val="center"/>
          </w:tcPr>
          <w:p w14:paraId="4F001E5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876" w:type="dxa"/>
            <w:shd w:val="clear" w:color="000000" w:fill="FFFFFF"/>
            <w:vAlign w:val="center"/>
          </w:tcPr>
          <w:p w14:paraId="22BCFC1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c>
          <w:tcPr>
            <w:tcW w:w="1153" w:type="dxa"/>
            <w:shd w:val="clear" w:color="000000" w:fill="FFFFFF"/>
            <w:vAlign w:val="center"/>
          </w:tcPr>
          <w:p w14:paraId="16699D0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100%</w:t>
            </w:r>
          </w:p>
        </w:tc>
        <w:tc>
          <w:tcPr>
            <w:tcW w:w="910" w:type="dxa"/>
            <w:shd w:val="clear" w:color="000000" w:fill="FFFFFF"/>
            <w:vAlign w:val="center"/>
          </w:tcPr>
          <w:p w14:paraId="2B4225E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000000"/>
                <w:kern w:val="0"/>
                <w:sz w:val="18"/>
                <w:szCs w:val="18"/>
              </w:rPr>
            </w:pPr>
            <w:r>
              <w:rPr>
                <w:rFonts w:hint="eastAsia" w:ascii="宋体" w:hAnsi="宋体" w:cs="宋体"/>
                <w:color w:val="000000"/>
                <w:kern w:val="0"/>
                <w:sz w:val="18"/>
                <w:szCs w:val="18"/>
              </w:rPr>
              <w:t>10</w:t>
            </w:r>
          </w:p>
        </w:tc>
      </w:tr>
    </w:tbl>
    <w:p w14:paraId="4A1237E2">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sz w:val="32"/>
          <w:szCs w:val="32"/>
        </w:rPr>
      </w:pPr>
      <w:bookmarkStart w:id="4" w:name="_Toc29844_WPSOffice_Level1"/>
      <w:r>
        <w:rPr>
          <w:rFonts w:hint="eastAsia" w:ascii="黑体" w:hAnsi="黑体" w:eastAsia="黑体" w:cs="黑体"/>
          <w:b/>
          <w:bCs/>
          <w:sz w:val="32"/>
          <w:szCs w:val="32"/>
        </w:rPr>
        <w:t>四、绩效评价指标分析</w:t>
      </w:r>
      <w:bookmarkEnd w:id="4"/>
    </w:p>
    <w:p w14:paraId="75EE548A">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14:paraId="3AD13A1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项目决策指标从项目立项、绩效目标、资金投入</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个方面对项目的决策进行考察，项目决策类指标分值5分，实际得分4.5分，得分率91.67</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。项目决策指标得分情况如表所示。</w:t>
      </w:r>
    </w:p>
    <w:tbl>
      <w:tblPr>
        <w:tblStyle w:val="10"/>
        <w:tblW w:w="9060" w:type="dxa"/>
        <w:tblInd w:w="0" w:type="dxa"/>
        <w:tblLayout w:type="fixed"/>
        <w:tblCellMar>
          <w:top w:w="0" w:type="dxa"/>
          <w:left w:w="108" w:type="dxa"/>
          <w:bottom w:w="0" w:type="dxa"/>
          <w:right w:w="108" w:type="dxa"/>
        </w:tblCellMar>
      </w:tblPr>
      <w:tblGrid>
        <w:gridCol w:w="2674"/>
        <w:gridCol w:w="2412"/>
        <w:gridCol w:w="2111"/>
        <w:gridCol w:w="1863"/>
      </w:tblGrid>
      <w:tr w14:paraId="6C243C44">
        <w:tblPrEx>
          <w:tblCellMar>
            <w:top w:w="0" w:type="dxa"/>
            <w:left w:w="108" w:type="dxa"/>
            <w:bottom w:w="0" w:type="dxa"/>
            <w:right w:w="108" w:type="dxa"/>
          </w:tblCellMar>
        </w:tblPrEx>
        <w:trPr>
          <w:trHeight w:val="353" w:hRule="atLeast"/>
        </w:trPr>
        <w:tc>
          <w:tcPr>
            <w:tcW w:w="9060" w:type="dxa"/>
            <w:gridSpan w:val="4"/>
            <w:tcBorders>
              <w:top w:val="nil"/>
              <w:left w:val="nil"/>
              <w:bottom w:val="single" w:color="auto" w:sz="8" w:space="0"/>
              <w:right w:val="nil"/>
            </w:tcBorders>
            <w:noWrap/>
            <w:vAlign w:val="center"/>
          </w:tcPr>
          <w:p w14:paraId="6337D4F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2"/>
                <w:szCs w:val="32"/>
              </w:rPr>
            </w:pPr>
            <w:r>
              <w:rPr>
                <w:rFonts w:hint="eastAsia" w:ascii="仿宋_GB2312" w:hAnsi="仿宋_GB2312" w:eastAsia="仿宋_GB2312" w:cs="仿宋_GB2312"/>
                <w:b/>
                <w:sz w:val="32"/>
                <w:szCs w:val="32"/>
              </w:rPr>
              <w:t>项目决策指标得分情况</w:t>
            </w:r>
          </w:p>
        </w:tc>
      </w:tr>
      <w:tr w14:paraId="10E74BD0">
        <w:tblPrEx>
          <w:tblCellMar>
            <w:top w:w="0" w:type="dxa"/>
            <w:left w:w="108" w:type="dxa"/>
            <w:bottom w:w="0" w:type="dxa"/>
            <w:right w:w="108" w:type="dxa"/>
          </w:tblCellMar>
        </w:tblPrEx>
        <w:trPr>
          <w:trHeight w:val="611" w:hRule="exact"/>
        </w:trPr>
        <w:tc>
          <w:tcPr>
            <w:tcW w:w="2674" w:type="dxa"/>
            <w:tcBorders>
              <w:top w:val="nil"/>
              <w:left w:val="single" w:color="auto" w:sz="8" w:space="0"/>
              <w:bottom w:val="single" w:color="auto" w:sz="8" w:space="0"/>
              <w:right w:val="single" w:color="auto" w:sz="8" w:space="0"/>
            </w:tcBorders>
            <w:shd w:val="clear" w:color="000000" w:fill="A6A6A6"/>
            <w:vAlign w:val="center"/>
          </w:tcPr>
          <w:p w14:paraId="0DD62FA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二级指标</w:t>
            </w:r>
          </w:p>
        </w:tc>
        <w:tc>
          <w:tcPr>
            <w:tcW w:w="2412" w:type="dxa"/>
            <w:tcBorders>
              <w:top w:val="nil"/>
              <w:left w:val="nil"/>
              <w:bottom w:val="single" w:color="auto" w:sz="8" w:space="0"/>
              <w:right w:val="single" w:color="auto" w:sz="8" w:space="0"/>
            </w:tcBorders>
            <w:shd w:val="clear" w:color="000000" w:fill="A6A6A6"/>
            <w:vAlign w:val="center"/>
          </w:tcPr>
          <w:p w14:paraId="77E9D03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权重</w:t>
            </w:r>
          </w:p>
        </w:tc>
        <w:tc>
          <w:tcPr>
            <w:tcW w:w="2111" w:type="dxa"/>
            <w:tcBorders>
              <w:top w:val="nil"/>
              <w:left w:val="nil"/>
              <w:bottom w:val="single" w:color="auto" w:sz="8" w:space="0"/>
              <w:right w:val="single" w:color="auto" w:sz="8" w:space="0"/>
            </w:tcBorders>
            <w:shd w:val="clear" w:color="000000" w:fill="A6A6A6"/>
            <w:vAlign w:val="center"/>
          </w:tcPr>
          <w:p w14:paraId="6AE903B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得分率</w:t>
            </w:r>
          </w:p>
        </w:tc>
        <w:tc>
          <w:tcPr>
            <w:tcW w:w="1863" w:type="dxa"/>
            <w:tcBorders>
              <w:top w:val="nil"/>
              <w:left w:val="nil"/>
              <w:bottom w:val="single" w:color="auto" w:sz="8" w:space="0"/>
              <w:right w:val="single" w:color="auto" w:sz="8" w:space="0"/>
            </w:tcBorders>
            <w:shd w:val="clear" w:color="000000" w:fill="A6A6A6"/>
            <w:vAlign w:val="center"/>
          </w:tcPr>
          <w:p w14:paraId="7AF3FD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sz w:val="30"/>
                <w:szCs w:val="30"/>
              </w:rPr>
            </w:pPr>
            <w:r>
              <w:rPr>
                <w:rFonts w:hint="eastAsia" w:ascii="仿宋_GB2312" w:hAnsi="仿宋_GB2312" w:eastAsia="仿宋_GB2312" w:cs="仿宋_GB2312"/>
                <w:b/>
                <w:sz w:val="30"/>
                <w:szCs w:val="30"/>
              </w:rPr>
              <w:t>实际得分</w:t>
            </w:r>
          </w:p>
        </w:tc>
      </w:tr>
      <w:tr w14:paraId="1C8CC742">
        <w:tblPrEx>
          <w:tblCellMar>
            <w:top w:w="0" w:type="dxa"/>
            <w:left w:w="108" w:type="dxa"/>
            <w:bottom w:w="0" w:type="dxa"/>
            <w:right w:w="108" w:type="dxa"/>
          </w:tblCellMar>
        </w:tblPrEx>
        <w:trPr>
          <w:trHeight w:val="548" w:hRule="exact"/>
        </w:trPr>
        <w:tc>
          <w:tcPr>
            <w:tcW w:w="2674" w:type="dxa"/>
            <w:tcBorders>
              <w:top w:val="nil"/>
              <w:left w:val="single" w:color="auto" w:sz="8" w:space="0"/>
              <w:bottom w:val="single" w:color="auto" w:sz="8" w:space="0"/>
              <w:right w:val="single" w:color="auto" w:sz="8" w:space="0"/>
            </w:tcBorders>
            <w:vAlign w:val="center"/>
          </w:tcPr>
          <w:p w14:paraId="0A14B7CE">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项目立项</w:t>
            </w:r>
          </w:p>
        </w:tc>
        <w:tc>
          <w:tcPr>
            <w:tcW w:w="2412" w:type="dxa"/>
            <w:tcBorders>
              <w:top w:val="nil"/>
              <w:left w:val="nil"/>
              <w:bottom w:val="single" w:color="auto" w:sz="8" w:space="0"/>
              <w:right w:val="single" w:color="auto" w:sz="8" w:space="0"/>
            </w:tcBorders>
            <w:vAlign w:val="center"/>
          </w:tcPr>
          <w:p w14:paraId="36762C5A">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111" w:type="dxa"/>
            <w:tcBorders>
              <w:top w:val="nil"/>
              <w:left w:val="nil"/>
              <w:bottom w:val="single" w:color="auto" w:sz="8" w:space="0"/>
              <w:right w:val="single" w:color="auto" w:sz="8" w:space="0"/>
            </w:tcBorders>
            <w:vAlign w:val="center"/>
          </w:tcPr>
          <w:p w14:paraId="2310E561">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1863" w:type="dxa"/>
            <w:tcBorders>
              <w:top w:val="nil"/>
              <w:left w:val="nil"/>
              <w:bottom w:val="single" w:color="auto" w:sz="8" w:space="0"/>
              <w:right w:val="single" w:color="auto" w:sz="8" w:space="0"/>
            </w:tcBorders>
            <w:vAlign w:val="center"/>
          </w:tcPr>
          <w:p w14:paraId="658DF9B8">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r>
      <w:tr w14:paraId="7EA1C280">
        <w:tblPrEx>
          <w:tblCellMar>
            <w:top w:w="0" w:type="dxa"/>
            <w:left w:w="108" w:type="dxa"/>
            <w:bottom w:w="0" w:type="dxa"/>
            <w:right w:w="108" w:type="dxa"/>
          </w:tblCellMar>
        </w:tblPrEx>
        <w:trPr>
          <w:trHeight w:val="561" w:hRule="exact"/>
        </w:trPr>
        <w:tc>
          <w:tcPr>
            <w:tcW w:w="2674" w:type="dxa"/>
            <w:tcBorders>
              <w:top w:val="nil"/>
              <w:left w:val="single" w:color="auto" w:sz="8" w:space="0"/>
              <w:bottom w:val="single" w:color="auto" w:sz="8" w:space="0"/>
              <w:right w:val="single" w:color="auto" w:sz="8" w:space="0"/>
            </w:tcBorders>
            <w:vAlign w:val="center"/>
          </w:tcPr>
          <w:p w14:paraId="7893E251">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绩效目标</w:t>
            </w:r>
          </w:p>
        </w:tc>
        <w:tc>
          <w:tcPr>
            <w:tcW w:w="2412" w:type="dxa"/>
            <w:tcBorders>
              <w:top w:val="nil"/>
              <w:left w:val="nil"/>
              <w:bottom w:val="single" w:color="auto" w:sz="8" w:space="0"/>
              <w:right w:val="single" w:color="auto" w:sz="8" w:space="0"/>
            </w:tcBorders>
            <w:vAlign w:val="center"/>
          </w:tcPr>
          <w:p w14:paraId="1AAF4858">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111" w:type="dxa"/>
            <w:tcBorders>
              <w:top w:val="nil"/>
              <w:left w:val="nil"/>
              <w:bottom w:val="single" w:color="auto" w:sz="8" w:space="0"/>
              <w:right w:val="single" w:color="auto" w:sz="8" w:space="0"/>
            </w:tcBorders>
            <w:vAlign w:val="center"/>
          </w:tcPr>
          <w:p w14:paraId="10490B8C">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75%</w:t>
            </w:r>
          </w:p>
        </w:tc>
        <w:tc>
          <w:tcPr>
            <w:tcW w:w="1863" w:type="dxa"/>
            <w:tcBorders>
              <w:top w:val="nil"/>
              <w:left w:val="nil"/>
              <w:bottom w:val="single" w:color="auto" w:sz="8" w:space="0"/>
              <w:right w:val="single" w:color="auto" w:sz="8" w:space="0"/>
            </w:tcBorders>
            <w:vAlign w:val="center"/>
          </w:tcPr>
          <w:p w14:paraId="2E8DA3F1">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r>
      <w:tr w14:paraId="2EFC51EA">
        <w:tblPrEx>
          <w:tblCellMar>
            <w:top w:w="0" w:type="dxa"/>
            <w:left w:w="108" w:type="dxa"/>
            <w:bottom w:w="0" w:type="dxa"/>
            <w:right w:w="108" w:type="dxa"/>
          </w:tblCellMar>
        </w:tblPrEx>
        <w:trPr>
          <w:trHeight w:val="596" w:hRule="exact"/>
        </w:trPr>
        <w:tc>
          <w:tcPr>
            <w:tcW w:w="2674" w:type="dxa"/>
            <w:tcBorders>
              <w:top w:val="nil"/>
              <w:left w:val="single" w:color="auto" w:sz="8" w:space="0"/>
              <w:bottom w:val="single" w:color="auto" w:sz="8" w:space="0"/>
              <w:right w:val="single" w:color="auto" w:sz="8" w:space="0"/>
            </w:tcBorders>
            <w:vAlign w:val="center"/>
          </w:tcPr>
          <w:p w14:paraId="1B2E84E3">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资金投入</w:t>
            </w:r>
          </w:p>
        </w:tc>
        <w:tc>
          <w:tcPr>
            <w:tcW w:w="2412" w:type="dxa"/>
            <w:tcBorders>
              <w:top w:val="nil"/>
              <w:left w:val="nil"/>
              <w:bottom w:val="single" w:color="auto" w:sz="8" w:space="0"/>
              <w:right w:val="single" w:color="auto" w:sz="8" w:space="0"/>
            </w:tcBorders>
            <w:vAlign w:val="center"/>
          </w:tcPr>
          <w:p w14:paraId="796590B9">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2111" w:type="dxa"/>
            <w:tcBorders>
              <w:top w:val="nil"/>
              <w:left w:val="nil"/>
              <w:bottom w:val="single" w:color="auto" w:sz="8" w:space="0"/>
              <w:right w:val="single" w:color="auto" w:sz="8" w:space="0"/>
            </w:tcBorders>
            <w:vAlign w:val="center"/>
          </w:tcPr>
          <w:p w14:paraId="00F635A0">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100%</w:t>
            </w:r>
          </w:p>
        </w:tc>
        <w:tc>
          <w:tcPr>
            <w:tcW w:w="1863" w:type="dxa"/>
            <w:tcBorders>
              <w:top w:val="nil"/>
              <w:left w:val="nil"/>
              <w:bottom w:val="single" w:color="auto" w:sz="8" w:space="0"/>
              <w:right w:val="single" w:color="auto" w:sz="8" w:space="0"/>
            </w:tcBorders>
            <w:vAlign w:val="center"/>
          </w:tcPr>
          <w:p w14:paraId="70EEB298">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r>
      <w:tr w14:paraId="0B7CB13C">
        <w:tblPrEx>
          <w:tblCellMar>
            <w:top w:w="0" w:type="dxa"/>
            <w:left w:w="108" w:type="dxa"/>
            <w:bottom w:w="0" w:type="dxa"/>
            <w:right w:w="108" w:type="dxa"/>
          </w:tblCellMar>
        </w:tblPrEx>
        <w:trPr>
          <w:trHeight w:val="591" w:hRule="exact"/>
        </w:trPr>
        <w:tc>
          <w:tcPr>
            <w:tcW w:w="2674" w:type="dxa"/>
            <w:tcBorders>
              <w:top w:val="single" w:color="auto" w:sz="8" w:space="0"/>
              <w:left w:val="single" w:color="auto" w:sz="8" w:space="0"/>
              <w:bottom w:val="single" w:color="auto" w:sz="8" w:space="0"/>
              <w:right w:val="single" w:color="auto" w:sz="8" w:space="0"/>
            </w:tcBorders>
            <w:vAlign w:val="center"/>
          </w:tcPr>
          <w:p w14:paraId="3EC88212">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合  计</w:t>
            </w:r>
          </w:p>
        </w:tc>
        <w:tc>
          <w:tcPr>
            <w:tcW w:w="2412" w:type="dxa"/>
            <w:tcBorders>
              <w:top w:val="single" w:color="auto" w:sz="8" w:space="0"/>
              <w:left w:val="nil"/>
              <w:bottom w:val="single" w:color="auto" w:sz="8" w:space="0"/>
              <w:right w:val="single" w:color="auto" w:sz="8" w:space="0"/>
            </w:tcBorders>
            <w:vAlign w:val="center"/>
          </w:tcPr>
          <w:p w14:paraId="19BD63D1">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2111" w:type="dxa"/>
            <w:tcBorders>
              <w:top w:val="single" w:color="auto" w:sz="8" w:space="0"/>
              <w:left w:val="nil"/>
              <w:bottom w:val="single" w:color="auto" w:sz="8" w:space="0"/>
              <w:right w:val="single" w:color="auto" w:sz="8" w:space="0"/>
            </w:tcBorders>
            <w:vAlign w:val="center"/>
          </w:tcPr>
          <w:p w14:paraId="58FE272F">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91.67%</w:t>
            </w:r>
          </w:p>
        </w:tc>
        <w:tc>
          <w:tcPr>
            <w:tcW w:w="1863" w:type="dxa"/>
            <w:tcBorders>
              <w:top w:val="single" w:color="auto" w:sz="8" w:space="0"/>
              <w:left w:val="nil"/>
              <w:bottom w:val="single" w:color="auto" w:sz="8" w:space="0"/>
              <w:right w:val="single" w:color="auto" w:sz="8" w:space="0"/>
            </w:tcBorders>
            <w:vAlign w:val="center"/>
          </w:tcPr>
          <w:p w14:paraId="5BCCB674">
            <w:pPr>
              <w:keepNext w:val="0"/>
              <w:keepLines w:val="0"/>
              <w:pageBreakBefore w:val="0"/>
              <w:kinsoku/>
              <w:wordWrap/>
              <w:overflowPunct/>
              <w:topLinePunct w:val="0"/>
              <w:autoSpaceDE/>
              <w:autoSpaceDN/>
              <w:bidi w:val="0"/>
              <w:adjustRightInd/>
              <w:snapToGrid/>
              <w:spacing w:line="560" w:lineRule="exact"/>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4.5</w:t>
            </w:r>
          </w:p>
        </w:tc>
      </w:tr>
    </w:tbl>
    <w:p w14:paraId="6E56ADB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对于“项目立项”，新冠疫情补助项目结算资金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塔地财社[2020]82号《关于下达2020年度新冠肺炎疫情防控补助结算资金的通知》文件要求，我中心新冠疫情补助项目按要求支付相关文件资金。项目立项有文件依据，根据评分标准，该指标不扣分，实际得分1分。</w:t>
      </w:r>
    </w:p>
    <w:p w14:paraId="0608412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对于“绩效目标”，新冠疫情补助项目经费，设置了较为详细的项目支出绩效目标，但项目绩效目标的设置，未能完全具有精细化要求。根据评分标准，该指标扣0.5分，实际得分1.5分。</w:t>
      </w:r>
    </w:p>
    <w:p w14:paraId="56CCAA6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对于“资金投入”，该项目严格按照财政预算要求编制，具备科学性和可行性，项目资金按单位业务需求合理分配资金经济分类，有效保障了项目资金的可操作性。根据评分标准，该指标不扣分，实际得分2分。</w:t>
      </w:r>
    </w:p>
    <w:p w14:paraId="60791725">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（二）项目过程情况</w:t>
      </w:r>
    </w:p>
    <w:p w14:paraId="4C25366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项目过程指标从资金到位率、预算执行率、资金使用合规性、管理制度健全性、制度执行有效性等5个方面对项目的管理情况进行考察。项目过程类指标分值5分，实际得分5分，得分率为100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。项目过程指标得分情况如表所示。</w:t>
      </w:r>
    </w:p>
    <w:tbl>
      <w:tblPr>
        <w:tblStyle w:val="10"/>
        <w:tblW w:w="9060" w:type="dxa"/>
        <w:tblInd w:w="0" w:type="dxa"/>
        <w:tblLayout w:type="fixed"/>
        <w:tblCellMar>
          <w:top w:w="0" w:type="dxa"/>
          <w:left w:w="108" w:type="dxa"/>
          <w:bottom w:w="0" w:type="dxa"/>
          <w:right w:w="108" w:type="dxa"/>
        </w:tblCellMar>
      </w:tblPr>
      <w:tblGrid>
        <w:gridCol w:w="2784"/>
        <w:gridCol w:w="2040"/>
        <w:gridCol w:w="2217"/>
        <w:gridCol w:w="2019"/>
      </w:tblGrid>
      <w:tr w14:paraId="4F55DF13">
        <w:tblPrEx>
          <w:tblCellMar>
            <w:top w:w="0" w:type="dxa"/>
            <w:left w:w="108" w:type="dxa"/>
            <w:bottom w:w="0" w:type="dxa"/>
            <w:right w:w="108" w:type="dxa"/>
          </w:tblCellMar>
        </w:tblPrEx>
        <w:trPr>
          <w:trHeight w:val="495" w:hRule="atLeast"/>
          <w:tblHeader/>
        </w:trPr>
        <w:tc>
          <w:tcPr>
            <w:tcW w:w="9060" w:type="dxa"/>
            <w:gridSpan w:val="4"/>
            <w:tcBorders>
              <w:top w:val="nil"/>
              <w:left w:val="nil"/>
              <w:bottom w:val="single" w:color="auto" w:sz="8" w:space="0"/>
              <w:right w:val="nil"/>
            </w:tcBorders>
            <w:noWrap/>
            <w:vAlign w:val="center"/>
          </w:tcPr>
          <w:p w14:paraId="56D845B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color w:val="000000"/>
                <w:kern w:val="0"/>
                <w:sz w:val="24"/>
              </w:rPr>
            </w:pPr>
            <w:r>
              <w:rPr>
                <w:rFonts w:hint="eastAsia" w:ascii="仿宋_GB2312" w:hAnsi="仿宋_GB2312" w:eastAsia="仿宋_GB2312" w:cs="仿宋_GB2312"/>
                <w:b/>
                <w:bCs/>
                <w:color w:val="000000"/>
                <w:kern w:val="0"/>
                <w:sz w:val="32"/>
                <w:szCs w:val="32"/>
              </w:rPr>
              <w:t>项目过程指标得分情况</w:t>
            </w:r>
          </w:p>
        </w:tc>
      </w:tr>
      <w:tr w14:paraId="45C7DB4E">
        <w:tblPrEx>
          <w:tblCellMar>
            <w:top w:w="0" w:type="dxa"/>
            <w:left w:w="108" w:type="dxa"/>
            <w:bottom w:w="0" w:type="dxa"/>
            <w:right w:w="108" w:type="dxa"/>
          </w:tblCellMar>
        </w:tblPrEx>
        <w:trPr>
          <w:trHeight w:val="510" w:hRule="exact"/>
          <w:tblHeader/>
        </w:trPr>
        <w:tc>
          <w:tcPr>
            <w:tcW w:w="2784" w:type="dxa"/>
            <w:tcBorders>
              <w:top w:val="nil"/>
              <w:left w:val="single" w:color="auto" w:sz="8" w:space="0"/>
              <w:bottom w:val="nil"/>
              <w:right w:val="single" w:color="auto" w:sz="8" w:space="0"/>
            </w:tcBorders>
            <w:shd w:val="clear" w:color="000000" w:fill="A6A6A6"/>
            <w:vAlign w:val="center"/>
          </w:tcPr>
          <w:p w14:paraId="00831D9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040" w:type="dxa"/>
            <w:tcBorders>
              <w:top w:val="nil"/>
              <w:left w:val="nil"/>
              <w:bottom w:val="nil"/>
              <w:right w:val="single" w:color="auto" w:sz="8" w:space="0"/>
            </w:tcBorders>
            <w:shd w:val="clear" w:color="000000" w:fill="A6A6A6"/>
            <w:vAlign w:val="center"/>
          </w:tcPr>
          <w:p w14:paraId="51F7C4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2217" w:type="dxa"/>
            <w:tcBorders>
              <w:top w:val="nil"/>
              <w:left w:val="nil"/>
              <w:bottom w:val="nil"/>
              <w:right w:val="single" w:color="auto" w:sz="8" w:space="0"/>
            </w:tcBorders>
            <w:shd w:val="clear" w:color="000000" w:fill="A6A6A6"/>
            <w:vAlign w:val="center"/>
          </w:tcPr>
          <w:p w14:paraId="45495CB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9" w:type="dxa"/>
            <w:tcBorders>
              <w:top w:val="nil"/>
              <w:left w:val="nil"/>
              <w:bottom w:val="nil"/>
              <w:right w:val="single" w:color="auto" w:sz="8" w:space="0"/>
            </w:tcBorders>
            <w:shd w:val="clear" w:color="000000" w:fill="A6A6A6"/>
            <w:vAlign w:val="center"/>
          </w:tcPr>
          <w:p w14:paraId="11971D5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5D0F0924">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1A63805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040" w:type="dxa"/>
            <w:tcBorders>
              <w:top w:val="nil"/>
              <w:left w:val="nil"/>
              <w:bottom w:val="single" w:color="auto" w:sz="4" w:space="0"/>
              <w:right w:val="single" w:color="auto" w:sz="4" w:space="0"/>
            </w:tcBorders>
            <w:noWrap/>
            <w:vAlign w:val="center"/>
          </w:tcPr>
          <w:p w14:paraId="465D1EF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217" w:type="dxa"/>
            <w:tcBorders>
              <w:top w:val="nil"/>
              <w:left w:val="nil"/>
              <w:bottom w:val="single" w:color="auto" w:sz="4" w:space="0"/>
              <w:right w:val="single" w:color="auto" w:sz="4" w:space="0"/>
            </w:tcBorders>
            <w:vAlign w:val="center"/>
          </w:tcPr>
          <w:p w14:paraId="5DDF605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14:paraId="79117D9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47AE4F96">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3D717FD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040" w:type="dxa"/>
            <w:tcBorders>
              <w:top w:val="nil"/>
              <w:left w:val="nil"/>
              <w:bottom w:val="single" w:color="auto" w:sz="4" w:space="0"/>
              <w:right w:val="single" w:color="auto" w:sz="4" w:space="0"/>
            </w:tcBorders>
            <w:noWrap/>
            <w:vAlign w:val="center"/>
          </w:tcPr>
          <w:p w14:paraId="6F60554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217" w:type="dxa"/>
            <w:tcBorders>
              <w:top w:val="nil"/>
              <w:left w:val="nil"/>
              <w:bottom w:val="single" w:color="auto" w:sz="4" w:space="0"/>
              <w:right w:val="single" w:color="auto" w:sz="4" w:space="0"/>
            </w:tcBorders>
            <w:vAlign w:val="center"/>
          </w:tcPr>
          <w:p w14:paraId="40432E5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14:paraId="526BAFC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788B7AA4">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1AE3F4B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资金使用合规性</w:t>
            </w:r>
          </w:p>
        </w:tc>
        <w:tc>
          <w:tcPr>
            <w:tcW w:w="2040" w:type="dxa"/>
            <w:tcBorders>
              <w:top w:val="nil"/>
              <w:left w:val="nil"/>
              <w:bottom w:val="single" w:color="auto" w:sz="4" w:space="0"/>
              <w:right w:val="single" w:color="auto" w:sz="4" w:space="0"/>
            </w:tcBorders>
            <w:noWrap/>
            <w:vAlign w:val="center"/>
          </w:tcPr>
          <w:p w14:paraId="13CEA65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217" w:type="dxa"/>
            <w:tcBorders>
              <w:top w:val="nil"/>
              <w:left w:val="nil"/>
              <w:bottom w:val="single" w:color="auto" w:sz="4" w:space="0"/>
              <w:right w:val="single" w:color="auto" w:sz="4" w:space="0"/>
            </w:tcBorders>
            <w:vAlign w:val="center"/>
          </w:tcPr>
          <w:p w14:paraId="0CEEC87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14:paraId="1743C62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11F7CFA8">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787580F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管理制度健全性</w:t>
            </w:r>
          </w:p>
        </w:tc>
        <w:tc>
          <w:tcPr>
            <w:tcW w:w="2040" w:type="dxa"/>
            <w:tcBorders>
              <w:top w:val="nil"/>
              <w:left w:val="nil"/>
              <w:bottom w:val="single" w:color="auto" w:sz="4" w:space="0"/>
              <w:right w:val="single" w:color="auto" w:sz="4" w:space="0"/>
            </w:tcBorders>
            <w:noWrap/>
            <w:vAlign w:val="center"/>
          </w:tcPr>
          <w:p w14:paraId="06C1038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217" w:type="dxa"/>
            <w:tcBorders>
              <w:top w:val="nil"/>
              <w:left w:val="nil"/>
              <w:bottom w:val="single" w:color="auto" w:sz="4" w:space="0"/>
              <w:right w:val="single" w:color="auto" w:sz="4" w:space="0"/>
            </w:tcBorders>
            <w:vAlign w:val="center"/>
          </w:tcPr>
          <w:p w14:paraId="161781F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14:paraId="6563BF0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5BF1F03B">
        <w:tblPrEx>
          <w:tblCellMar>
            <w:top w:w="0" w:type="dxa"/>
            <w:left w:w="108" w:type="dxa"/>
            <w:bottom w:w="0" w:type="dxa"/>
            <w:right w:w="108" w:type="dxa"/>
          </w:tblCellMar>
        </w:tblPrEx>
        <w:trPr>
          <w:trHeight w:val="510" w:hRule="exact"/>
        </w:trPr>
        <w:tc>
          <w:tcPr>
            <w:tcW w:w="2784" w:type="dxa"/>
            <w:tcBorders>
              <w:top w:val="nil"/>
              <w:left w:val="single" w:color="auto" w:sz="4" w:space="0"/>
              <w:bottom w:val="single" w:color="auto" w:sz="4" w:space="0"/>
              <w:right w:val="single" w:color="auto" w:sz="4" w:space="0"/>
            </w:tcBorders>
            <w:noWrap/>
            <w:vAlign w:val="center"/>
          </w:tcPr>
          <w:p w14:paraId="236F957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制度执行有效性</w:t>
            </w:r>
          </w:p>
        </w:tc>
        <w:tc>
          <w:tcPr>
            <w:tcW w:w="2040" w:type="dxa"/>
            <w:tcBorders>
              <w:top w:val="nil"/>
              <w:left w:val="nil"/>
              <w:bottom w:val="single" w:color="auto" w:sz="4" w:space="0"/>
              <w:right w:val="single" w:color="auto" w:sz="4" w:space="0"/>
            </w:tcBorders>
            <w:noWrap/>
            <w:vAlign w:val="center"/>
          </w:tcPr>
          <w:p w14:paraId="6C3B7CD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217" w:type="dxa"/>
            <w:tcBorders>
              <w:top w:val="nil"/>
              <w:left w:val="nil"/>
              <w:bottom w:val="single" w:color="auto" w:sz="4" w:space="0"/>
              <w:right w:val="single" w:color="auto" w:sz="4" w:space="0"/>
            </w:tcBorders>
            <w:vAlign w:val="center"/>
          </w:tcPr>
          <w:p w14:paraId="12B65B9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nil"/>
              <w:left w:val="nil"/>
              <w:bottom w:val="single" w:color="auto" w:sz="4" w:space="0"/>
              <w:right w:val="single" w:color="auto" w:sz="4" w:space="0"/>
            </w:tcBorders>
            <w:noWrap/>
            <w:vAlign w:val="center"/>
          </w:tcPr>
          <w:p w14:paraId="42017BB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222B2F23">
        <w:tblPrEx>
          <w:tblCellMar>
            <w:top w:w="0" w:type="dxa"/>
            <w:left w:w="108" w:type="dxa"/>
            <w:bottom w:w="0" w:type="dxa"/>
            <w:right w:w="108" w:type="dxa"/>
          </w:tblCellMar>
        </w:tblPrEx>
        <w:trPr>
          <w:trHeight w:val="510" w:hRule="exact"/>
        </w:trPr>
        <w:tc>
          <w:tcPr>
            <w:tcW w:w="2784" w:type="dxa"/>
            <w:tcBorders>
              <w:top w:val="single" w:color="auto" w:sz="4" w:space="0"/>
              <w:left w:val="single" w:color="auto" w:sz="4" w:space="0"/>
              <w:bottom w:val="single" w:color="auto" w:sz="4" w:space="0"/>
              <w:right w:val="single" w:color="auto" w:sz="4" w:space="0"/>
            </w:tcBorders>
            <w:noWrap/>
            <w:vAlign w:val="center"/>
          </w:tcPr>
          <w:p w14:paraId="0E0C380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2040" w:type="dxa"/>
            <w:tcBorders>
              <w:top w:val="single" w:color="auto" w:sz="4" w:space="0"/>
              <w:left w:val="nil"/>
              <w:bottom w:val="single" w:color="auto" w:sz="4" w:space="0"/>
              <w:right w:val="single" w:color="auto" w:sz="4" w:space="0"/>
            </w:tcBorders>
            <w:noWrap/>
            <w:vAlign w:val="center"/>
          </w:tcPr>
          <w:p w14:paraId="1456CB4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2217" w:type="dxa"/>
            <w:tcBorders>
              <w:top w:val="single" w:color="auto" w:sz="4" w:space="0"/>
              <w:left w:val="nil"/>
              <w:bottom w:val="single" w:color="auto" w:sz="4" w:space="0"/>
              <w:right w:val="single" w:color="auto" w:sz="4" w:space="0"/>
            </w:tcBorders>
            <w:vAlign w:val="center"/>
          </w:tcPr>
          <w:p w14:paraId="386D7AA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9" w:type="dxa"/>
            <w:tcBorders>
              <w:top w:val="single" w:color="auto" w:sz="4" w:space="0"/>
              <w:left w:val="nil"/>
              <w:bottom w:val="single" w:color="auto" w:sz="4" w:space="0"/>
              <w:right w:val="single" w:color="auto" w:sz="4" w:space="0"/>
            </w:tcBorders>
            <w:noWrap/>
            <w:vAlign w:val="center"/>
          </w:tcPr>
          <w:p w14:paraId="5E64422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r>
    </w:tbl>
    <w:p w14:paraId="20C0A70C">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对于“资金到位率”，项目资金到位及时，到位率为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。根据评分标准，该指标不扣分，实际得分1分。</w:t>
      </w:r>
    </w:p>
    <w:p w14:paraId="201BEEE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对于“预算执行率”，项目资金预算数734.71万元，全年执行数为734.71万元，执行率为100</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。根据评分标准，该指标不扣分，实际得分1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分。</w:t>
      </w:r>
    </w:p>
    <w:p w14:paraId="4850915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资金使用合规性”项目按照专项资金列支的范围使用资金，支出范围合规；资金支出能按财务制度执行，并能按国库集中支付制度规定执行，不存在资金违纪违规使用情况。根据评分标准，该指标不扣分，实际得分1分。</w:t>
      </w:r>
    </w:p>
    <w:p w14:paraId="1AC1D48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对于“管理制度健全性”，项目机构健全，分工明确，不存在不相容岗位兼任情况。根据评分标准，该指标不扣分，实际得分1分。</w:t>
      </w:r>
    </w:p>
    <w:p w14:paraId="1A7ADC7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对于“制度执行有效性”，组建了党校校长为组长，相关科室负责人为成员的项目建设领导小组，认真组织项目实施。根据评分标准，该指标不扣分，实际得分1分。</w:t>
      </w:r>
    </w:p>
    <w:p w14:paraId="48EDA18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p>
    <w:p w14:paraId="0C8F289D">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（三）项目产出情况</w:t>
      </w:r>
    </w:p>
    <w:p w14:paraId="608BAA9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项目绩效主要从项目产出的产出数量、产出质量、产出时效、成本情况4个方面对项目的绩效情况进行评价。项目绩效类指标分值50分，实际得分50分，得分率为100%。项目绩效指标得分情况如表所示。</w:t>
      </w:r>
    </w:p>
    <w:p w14:paraId="15CAD6AB">
      <w:pPr>
        <w:keepNext w:val="0"/>
        <w:keepLines w:val="0"/>
        <w:pageBreakBefore w:val="0"/>
        <w:kinsoku/>
        <w:wordWrap/>
        <w:overflowPunct/>
        <w:topLinePunct w:val="0"/>
        <w:autoSpaceDE/>
        <w:autoSpaceDN/>
        <w:bidi w:val="0"/>
        <w:adjustRightInd/>
        <w:snapToGrid/>
        <w:spacing w:line="560" w:lineRule="exact"/>
        <w:ind w:firstLine="2570" w:firstLineChars="800"/>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项目产出指标得分情况</w:t>
      </w:r>
    </w:p>
    <w:tbl>
      <w:tblPr>
        <w:tblStyle w:val="10"/>
        <w:tblW w:w="8094" w:type="dxa"/>
        <w:tblInd w:w="0" w:type="dxa"/>
        <w:tblLayout w:type="fixed"/>
        <w:tblCellMar>
          <w:top w:w="0" w:type="dxa"/>
          <w:left w:w="108" w:type="dxa"/>
          <w:bottom w:w="0" w:type="dxa"/>
          <w:right w:w="108" w:type="dxa"/>
        </w:tblCellMar>
      </w:tblPr>
      <w:tblGrid>
        <w:gridCol w:w="2904"/>
        <w:gridCol w:w="1485"/>
        <w:gridCol w:w="1695"/>
        <w:gridCol w:w="2010"/>
      </w:tblGrid>
      <w:tr w14:paraId="49ED7074">
        <w:tblPrEx>
          <w:tblCellMar>
            <w:top w:w="0" w:type="dxa"/>
            <w:left w:w="108" w:type="dxa"/>
            <w:bottom w:w="0" w:type="dxa"/>
            <w:right w:w="108" w:type="dxa"/>
          </w:tblCellMar>
        </w:tblPrEx>
        <w:trPr>
          <w:trHeight w:val="510" w:hRule="exact"/>
          <w:tblHeader/>
        </w:trPr>
        <w:tc>
          <w:tcPr>
            <w:tcW w:w="2904" w:type="dxa"/>
            <w:tcBorders>
              <w:top w:val="single" w:color="auto" w:sz="4" w:space="0"/>
              <w:left w:val="single" w:color="auto" w:sz="4" w:space="0"/>
              <w:bottom w:val="single" w:color="auto" w:sz="4" w:space="0"/>
              <w:right w:val="single" w:color="auto" w:sz="4" w:space="0"/>
            </w:tcBorders>
            <w:shd w:val="clear" w:color="000000" w:fill="A6A6A6"/>
            <w:vAlign w:val="center"/>
          </w:tcPr>
          <w:p w14:paraId="4E02498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485" w:type="dxa"/>
            <w:tcBorders>
              <w:top w:val="single" w:color="auto" w:sz="4" w:space="0"/>
              <w:left w:val="single" w:color="auto" w:sz="4" w:space="0"/>
              <w:bottom w:val="single" w:color="auto" w:sz="4" w:space="0"/>
              <w:right w:val="single" w:color="auto" w:sz="4" w:space="0"/>
            </w:tcBorders>
            <w:shd w:val="clear" w:color="000000" w:fill="A6A6A6"/>
            <w:vAlign w:val="center"/>
          </w:tcPr>
          <w:p w14:paraId="477E8D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695" w:type="dxa"/>
            <w:tcBorders>
              <w:top w:val="single" w:color="auto" w:sz="4" w:space="0"/>
              <w:left w:val="single" w:color="auto" w:sz="4" w:space="0"/>
              <w:bottom w:val="single" w:color="auto" w:sz="4" w:space="0"/>
              <w:right w:val="single" w:color="auto" w:sz="4" w:space="0"/>
            </w:tcBorders>
            <w:shd w:val="clear" w:color="000000" w:fill="A6A6A6"/>
            <w:vAlign w:val="center"/>
          </w:tcPr>
          <w:p w14:paraId="39809E9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2010" w:type="dxa"/>
            <w:tcBorders>
              <w:top w:val="single" w:color="auto" w:sz="4" w:space="0"/>
              <w:left w:val="single" w:color="auto" w:sz="4" w:space="0"/>
              <w:bottom w:val="single" w:color="auto" w:sz="4" w:space="0"/>
              <w:right w:val="single" w:color="auto" w:sz="4" w:space="0"/>
            </w:tcBorders>
            <w:shd w:val="clear" w:color="000000" w:fill="A6A6A6"/>
            <w:vAlign w:val="center"/>
          </w:tcPr>
          <w:p w14:paraId="040E493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7FD9B03B">
        <w:tblPrEx>
          <w:tblCellMar>
            <w:top w:w="0" w:type="dxa"/>
            <w:left w:w="108" w:type="dxa"/>
            <w:bottom w:w="0" w:type="dxa"/>
            <w:right w:w="108" w:type="dxa"/>
          </w:tblCellMar>
        </w:tblPrEx>
        <w:trPr>
          <w:trHeight w:val="720" w:hRule="atLeast"/>
        </w:trPr>
        <w:tc>
          <w:tcPr>
            <w:tcW w:w="2904" w:type="dxa"/>
            <w:tcBorders>
              <w:top w:val="single" w:color="auto" w:sz="4" w:space="0"/>
              <w:left w:val="single" w:color="auto" w:sz="4" w:space="0"/>
              <w:right w:val="single" w:color="auto" w:sz="4" w:space="0"/>
            </w:tcBorders>
            <w:shd w:val="clear" w:color="auto" w:fill="auto"/>
            <w:noWrap/>
            <w:vAlign w:val="center"/>
          </w:tcPr>
          <w:p w14:paraId="290EEA0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经费保障地区</w:t>
            </w:r>
          </w:p>
        </w:tc>
        <w:tc>
          <w:tcPr>
            <w:tcW w:w="148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27E9D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695" w:type="dxa"/>
            <w:tcBorders>
              <w:top w:val="single" w:color="auto" w:sz="4" w:space="0"/>
              <w:left w:val="nil"/>
              <w:bottom w:val="single" w:color="auto" w:sz="4" w:space="0"/>
              <w:right w:val="single" w:color="auto" w:sz="4" w:space="0"/>
            </w:tcBorders>
            <w:shd w:val="clear" w:color="auto" w:fill="auto"/>
            <w:vAlign w:val="center"/>
          </w:tcPr>
          <w:p w14:paraId="7BA36DB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563000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14:paraId="0F39B904">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3B665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经费保障覆盖率</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3AEB2E0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695" w:type="dxa"/>
            <w:tcBorders>
              <w:top w:val="single" w:color="auto" w:sz="4" w:space="0"/>
              <w:left w:val="nil"/>
              <w:bottom w:val="single" w:color="auto" w:sz="4" w:space="0"/>
              <w:right w:val="single" w:color="auto" w:sz="4" w:space="0"/>
            </w:tcBorders>
            <w:shd w:val="clear" w:color="auto" w:fill="auto"/>
            <w:vAlign w:val="center"/>
          </w:tcPr>
          <w:p w14:paraId="0613E80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13A9566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4A922330">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FDE67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资金拨付及时率</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301107D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695" w:type="dxa"/>
            <w:tcBorders>
              <w:top w:val="single" w:color="auto" w:sz="4" w:space="0"/>
              <w:left w:val="nil"/>
              <w:bottom w:val="single" w:color="auto" w:sz="4" w:space="0"/>
              <w:right w:val="single" w:color="auto" w:sz="4" w:space="0"/>
            </w:tcBorders>
            <w:shd w:val="clear" w:color="auto" w:fill="auto"/>
            <w:vAlign w:val="center"/>
          </w:tcPr>
          <w:p w14:paraId="4D636E1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506E7D9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14:paraId="17B682E8">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D50C0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项目支出成本</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2FA293A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695" w:type="dxa"/>
            <w:tcBorders>
              <w:top w:val="single" w:color="auto" w:sz="4" w:space="0"/>
              <w:left w:val="nil"/>
              <w:bottom w:val="single" w:color="auto" w:sz="4" w:space="0"/>
              <w:right w:val="single" w:color="auto" w:sz="4" w:space="0"/>
            </w:tcBorders>
            <w:shd w:val="clear" w:color="auto" w:fill="auto"/>
            <w:vAlign w:val="center"/>
          </w:tcPr>
          <w:p w14:paraId="3A5F4C5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71B4CAA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7507F718">
        <w:tblPrEx>
          <w:tblCellMar>
            <w:top w:w="0" w:type="dxa"/>
            <w:left w:w="108" w:type="dxa"/>
            <w:bottom w:w="0" w:type="dxa"/>
            <w:right w:w="108" w:type="dxa"/>
          </w:tblCellMar>
        </w:tblPrEx>
        <w:trPr>
          <w:trHeight w:val="510" w:hRule="exact"/>
        </w:trPr>
        <w:tc>
          <w:tcPr>
            <w:tcW w:w="290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9BDF8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  计</w:t>
            </w:r>
          </w:p>
        </w:tc>
        <w:tc>
          <w:tcPr>
            <w:tcW w:w="1485" w:type="dxa"/>
            <w:tcBorders>
              <w:top w:val="single" w:color="auto" w:sz="4" w:space="0"/>
              <w:left w:val="nil"/>
              <w:bottom w:val="single" w:color="auto" w:sz="4" w:space="0"/>
              <w:right w:val="single" w:color="auto" w:sz="4" w:space="0"/>
            </w:tcBorders>
            <w:shd w:val="clear" w:color="auto" w:fill="auto"/>
            <w:noWrap/>
            <w:vAlign w:val="center"/>
          </w:tcPr>
          <w:p w14:paraId="27E1761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c>
          <w:tcPr>
            <w:tcW w:w="1695" w:type="dxa"/>
            <w:tcBorders>
              <w:top w:val="single" w:color="auto" w:sz="4" w:space="0"/>
              <w:left w:val="nil"/>
              <w:bottom w:val="single" w:color="auto" w:sz="4" w:space="0"/>
              <w:right w:val="single" w:color="auto" w:sz="4" w:space="0"/>
            </w:tcBorders>
            <w:shd w:val="clear" w:color="auto" w:fill="auto"/>
            <w:vAlign w:val="center"/>
          </w:tcPr>
          <w:p w14:paraId="7B6BA5D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2010" w:type="dxa"/>
            <w:tcBorders>
              <w:top w:val="single" w:color="auto" w:sz="4" w:space="0"/>
              <w:left w:val="nil"/>
              <w:bottom w:val="single" w:color="auto" w:sz="4" w:space="0"/>
              <w:right w:val="single" w:color="auto" w:sz="4" w:space="0"/>
            </w:tcBorders>
            <w:shd w:val="clear" w:color="auto" w:fill="auto"/>
            <w:noWrap/>
            <w:vAlign w:val="center"/>
          </w:tcPr>
          <w:p w14:paraId="5601A46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50</w:t>
            </w:r>
          </w:p>
        </w:tc>
      </w:tr>
    </w:tbl>
    <w:p w14:paraId="0BC265AF">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数量指标：对于</w:t>
      </w:r>
      <w:r>
        <w:rPr>
          <w:rFonts w:hint="eastAsia" w:ascii="仿宋_GB2312" w:hAnsi="仿宋_GB2312" w:eastAsia="仿宋_GB2312" w:cs="仿宋_GB2312"/>
          <w:sz w:val="32"/>
          <w:szCs w:val="32"/>
          <w:lang w:val="en-US" w:eastAsia="zh-CN"/>
        </w:rPr>
        <w:t>购置车辆</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=1台</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1台；</w:t>
      </w:r>
      <w:r>
        <w:rPr>
          <w:rFonts w:hint="eastAsia" w:ascii="仿宋_GB2312" w:hAnsi="仿宋_GB2312" w:eastAsia="仿宋_GB2312" w:cs="仿宋_GB2312"/>
          <w:sz w:val="32"/>
          <w:szCs w:val="32"/>
          <w:lang w:eastAsia="zh-CN"/>
        </w:rPr>
        <w:t>购置PCR荧光定量仪，</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=1台</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1台；购置口罩护目镜等物资，</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≥100份</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100份；试剂（血清），</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≥5000人份</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5000人份；购置离心机，</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=2台</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2台；云视频网络安装，</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=1台</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1台；采购仪器设备耗材，</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val="en-US" w:eastAsia="zh-CN"/>
        </w:rPr>
        <w:t>≥1批</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1批，</w:t>
      </w:r>
      <w:r>
        <w:rPr>
          <w:rFonts w:hint="eastAsia" w:ascii="仿宋_GB2312" w:hAnsi="仿宋_GB2312" w:eastAsia="仿宋_GB2312" w:cs="仿宋_GB2312"/>
          <w:sz w:val="32"/>
          <w:szCs w:val="32"/>
        </w:rPr>
        <w:t>该指标根据保障塔城地区五县二市疫情物资需求。根据评分标准，该指标不扣分，实际得分</w:t>
      </w:r>
      <w:r>
        <w:rPr>
          <w:rFonts w:hint="eastAsia" w:ascii="仿宋_GB2312" w:hAnsi="仿宋_GB2312" w:eastAsia="仿宋_GB2312" w:cs="仿宋_GB2312"/>
          <w:sz w:val="32"/>
          <w:szCs w:val="32"/>
          <w:lang w:val="en-US" w:eastAsia="zh-CN"/>
        </w:rPr>
        <w:t>35</w:t>
      </w:r>
      <w:r>
        <w:rPr>
          <w:rFonts w:hint="eastAsia" w:ascii="仿宋_GB2312" w:hAnsi="仿宋_GB2312" w:eastAsia="仿宋_GB2312" w:cs="仿宋_GB2312"/>
          <w:sz w:val="32"/>
          <w:szCs w:val="32"/>
        </w:rPr>
        <w:t>分。</w:t>
      </w:r>
    </w:p>
    <w:p w14:paraId="4F64A34F">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质量指标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任务完成率，年初目标值</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0%，实际完成值100%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所有经费根据文件要求购买疫情防控物资，保障塔城地区疫情防控工作的正常运转。根据评分标准，该指标不扣分，实际得分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14:paraId="199DA95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时效指标：对于项目完成时间，年初目标值</w:t>
      </w:r>
      <w:r>
        <w:rPr>
          <w:rFonts w:hint="eastAsia" w:ascii="仿宋_GB2312" w:hAnsi="仿宋_GB2312" w:eastAsia="仿宋_GB2312" w:cs="仿宋_GB2312"/>
          <w:sz w:val="32"/>
          <w:szCs w:val="32"/>
          <w:lang w:val="en-US" w:eastAsia="zh-CN"/>
        </w:rPr>
        <w:t>2020年12月</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val="en-US" w:eastAsia="zh-CN"/>
        </w:rPr>
        <w:t>2020年12月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项目资金及时足额到位，相关支付日清月结。根据评分标准，该指标不扣分，实际得分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14:paraId="3A173984">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成本指标：对于项目完成成本控制，年初目标值≤734.71万元，实际完成值734.71万元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该指标根据单位全年支出成本未超过预算成本。根据评分标准，该指标不扣分，实际得分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p>
    <w:p w14:paraId="39E28B3B">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（四）项目效益情况</w:t>
      </w:r>
    </w:p>
    <w:p w14:paraId="04A9627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项目绩效主要从项目产出的效果的社会效益、服务对象满意度2个方面对项目的绩效情况进行评价。项目绩效类指标分值40分，实际得分37分，得分率为93.33%。项目绩效指标得分情况如表所示。</w:t>
      </w:r>
    </w:p>
    <w:p w14:paraId="35FFCB96">
      <w:pPr>
        <w:keepNext w:val="0"/>
        <w:keepLines w:val="0"/>
        <w:pageBreakBefore w:val="0"/>
        <w:kinsoku/>
        <w:wordWrap/>
        <w:overflowPunct/>
        <w:topLinePunct w:val="0"/>
        <w:autoSpaceDE/>
        <w:autoSpaceDN/>
        <w:bidi w:val="0"/>
        <w:adjustRightInd/>
        <w:snapToGrid/>
        <w:spacing w:line="560" w:lineRule="exact"/>
        <w:ind w:firstLine="2570" w:firstLineChars="800"/>
        <w:textAlignment w:val="auto"/>
        <w:rPr>
          <w:rFonts w:ascii="仿宋_GB2312" w:hAnsi="仿宋_GB2312" w:eastAsia="仿宋_GB2312" w:cs="仿宋_GB2312"/>
          <w:sz w:val="30"/>
          <w:szCs w:val="30"/>
        </w:rPr>
      </w:pPr>
      <w:r>
        <w:rPr>
          <w:rFonts w:hint="eastAsia" w:ascii="仿宋_GB2312" w:hAnsi="仿宋_GB2312" w:eastAsia="仿宋_GB2312" w:cs="仿宋_GB2312"/>
          <w:b/>
          <w:bCs/>
          <w:color w:val="000000"/>
          <w:kern w:val="0"/>
          <w:sz w:val="32"/>
          <w:szCs w:val="32"/>
        </w:rPr>
        <w:t>项目效益指标得分情况</w:t>
      </w:r>
    </w:p>
    <w:tbl>
      <w:tblPr>
        <w:tblStyle w:val="10"/>
        <w:tblW w:w="8454" w:type="dxa"/>
        <w:tblInd w:w="0" w:type="dxa"/>
        <w:tblLayout w:type="fixed"/>
        <w:tblCellMar>
          <w:top w:w="0" w:type="dxa"/>
          <w:left w:w="108" w:type="dxa"/>
          <w:bottom w:w="0" w:type="dxa"/>
          <w:right w:w="108" w:type="dxa"/>
        </w:tblCellMar>
      </w:tblPr>
      <w:tblGrid>
        <w:gridCol w:w="3864"/>
        <w:gridCol w:w="1305"/>
        <w:gridCol w:w="1530"/>
        <w:gridCol w:w="1755"/>
      </w:tblGrid>
      <w:tr w14:paraId="2B80F825">
        <w:tblPrEx>
          <w:tblCellMar>
            <w:top w:w="0" w:type="dxa"/>
            <w:left w:w="108" w:type="dxa"/>
            <w:bottom w:w="0" w:type="dxa"/>
            <w:right w:w="108" w:type="dxa"/>
          </w:tblCellMar>
        </w:tblPrEx>
        <w:trPr>
          <w:trHeight w:val="545" w:hRule="exact"/>
          <w:tblHeader/>
        </w:trPr>
        <w:tc>
          <w:tcPr>
            <w:tcW w:w="3864" w:type="dxa"/>
            <w:tcBorders>
              <w:top w:val="single" w:color="auto" w:sz="4" w:space="0"/>
              <w:left w:val="single" w:color="auto" w:sz="4" w:space="0"/>
              <w:bottom w:val="nil"/>
              <w:right w:val="single" w:color="auto" w:sz="4" w:space="0"/>
            </w:tcBorders>
            <w:shd w:val="clear" w:color="000000" w:fill="A6A6A6"/>
            <w:vAlign w:val="center"/>
          </w:tcPr>
          <w:p w14:paraId="4A94D18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1305" w:type="dxa"/>
            <w:tcBorders>
              <w:top w:val="single" w:color="auto" w:sz="4" w:space="0"/>
              <w:left w:val="single" w:color="auto" w:sz="4" w:space="0"/>
              <w:bottom w:val="nil"/>
              <w:right w:val="single" w:color="auto" w:sz="8" w:space="0"/>
            </w:tcBorders>
            <w:shd w:val="clear" w:color="000000" w:fill="A6A6A6"/>
            <w:vAlign w:val="center"/>
          </w:tcPr>
          <w:p w14:paraId="589673C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530" w:type="dxa"/>
            <w:tcBorders>
              <w:top w:val="single" w:color="auto" w:sz="4" w:space="0"/>
              <w:left w:val="nil"/>
              <w:bottom w:val="nil"/>
              <w:right w:val="single" w:color="auto" w:sz="8" w:space="0"/>
            </w:tcBorders>
            <w:shd w:val="clear" w:color="000000" w:fill="A6A6A6"/>
            <w:vAlign w:val="center"/>
          </w:tcPr>
          <w:p w14:paraId="3CAC216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755" w:type="dxa"/>
            <w:tcBorders>
              <w:top w:val="single" w:color="auto" w:sz="4" w:space="0"/>
              <w:left w:val="nil"/>
              <w:bottom w:val="nil"/>
              <w:right w:val="single" w:color="auto" w:sz="4" w:space="0"/>
            </w:tcBorders>
            <w:shd w:val="clear" w:color="000000" w:fill="A6A6A6"/>
            <w:vAlign w:val="center"/>
          </w:tcPr>
          <w:p w14:paraId="20B0A4F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14:paraId="3E08FAEE">
        <w:tblPrEx>
          <w:tblCellMar>
            <w:top w:w="0" w:type="dxa"/>
            <w:left w:w="108" w:type="dxa"/>
            <w:bottom w:w="0" w:type="dxa"/>
            <w:right w:w="108" w:type="dxa"/>
          </w:tblCellMar>
        </w:tblPrEx>
        <w:trPr>
          <w:trHeight w:val="651" w:hRule="exact"/>
        </w:trPr>
        <w:tc>
          <w:tcPr>
            <w:tcW w:w="3864" w:type="dxa"/>
            <w:tcBorders>
              <w:top w:val="nil"/>
              <w:left w:val="single" w:color="auto" w:sz="4" w:space="0"/>
              <w:bottom w:val="single" w:color="auto" w:sz="4" w:space="0"/>
              <w:right w:val="single" w:color="auto" w:sz="4" w:space="0"/>
            </w:tcBorders>
            <w:shd w:val="clear" w:color="auto" w:fill="auto"/>
            <w:noWrap/>
            <w:vAlign w:val="center"/>
          </w:tcPr>
          <w:p w14:paraId="7C8C868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提升新冠疫情防控能力</w:t>
            </w:r>
          </w:p>
        </w:tc>
        <w:tc>
          <w:tcPr>
            <w:tcW w:w="1305" w:type="dxa"/>
            <w:tcBorders>
              <w:top w:val="nil"/>
              <w:left w:val="single" w:color="auto" w:sz="4" w:space="0"/>
              <w:bottom w:val="single" w:color="auto" w:sz="4" w:space="0"/>
              <w:right w:val="single" w:color="auto" w:sz="4" w:space="0"/>
            </w:tcBorders>
            <w:shd w:val="clear" w:color="auto" w:fill="auto"/>
            <w:noWrap/>
            <w:vAlign w:val="center"/>
          </w:tcPr>
          <w:p w14:paraId="1516469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530" w:type="dxa"/>
            <w:tcBorders>
              <w:top w:val="nil"/>
              <w:left w:val="nil"/>
              <w:bottom w:val="single" w:color="auto" w:sz="4" w:space="0"/>
              <w:right w:val="single" w:color="auto" w:sz="4" w:space="0"/>
            </w:tcBorders>
            <w:shd w:val="clear" w:color="auto" w:fill="auto"/>
            <w:vAlign w:val="center"/>
          </w:tcPr>
          <w:p w14:paraId="78F10DE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80%</w:t>
            </w:r>
          </w:p>
        </w:tc>
        <w:tc>
          <w:tcPr>
            <w:tcW w:w="1755" w:type="dxa"/>
            <w:tcBorders>
              <w:top w:val="nil"/>
              <w:left w:val="nil"/>
              <w:bottom w:val="single" w:color="auto" w:sz="4" w:space="0"/>
              <w:right w:val="single" w:color="auto" w:sz="4" w:space="0"/>
            </w:tcBorders>
            <w:shd w:val="clear" w:color="auto" w:fill="auto"/>
            <w:noWrap/>
            <w:vAlign w:val="center"/>
          </w:tcPr>
          <w:p w14:paraId="53F72F8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r>
      <w:tr w14:paraId="7ADAE3E8">
        <w:tblPrEx>
          <w:tblCellMar>
            <w:top w:w="0" w:type="dxa"/>
            <w:left w:w="108" w:type="dxa"/>
            <w:bottom w:w="0" w:type="dxa"/>
            <w:right w:w="108" w:type="dxa"/>
          </w:tblCellMar>
        </w:tblPrEx>
        <w:trPr>
          <w:trHeight w:val="1119"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7CDFE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保障塔城地区新冠疫情防控工作的正常开展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F5FFC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530" w:type="dxa"/>
            <w:tcBorders>
              <w:top w:val="single" w:color="auto" w:sz="4" w:space="0"/>
              <w:left w:val="nil"/>
              <w:bottom w:val="single" w:color="auto" w:sz="4" w:space="0"/>
              <w:right w:val="single" w:color="auto" w:sz="4" w:space="0"/>
            </w:tcBorders>
            <w:shd w:val="clear" w:color="auto" w:fill="auto"/>
            <w:vAlign w:val="center"/>
          </w:tcPr>
          <w:p w14:paraId="4D5B0D3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57BF3D6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14:paraId="74E3494E">
        <w:tblPrEx>
          <w:tblCellMar>
            <w:top w:w="0" w:type="dxa"/>
            <w:left w:w="108" w:type="dxa"/>
            <w:bottom w:w="0" w:type="dxa"/>
            <w:right w:w="108" w:type="dxa"/>
          </w:tblCellMar>
        </w:tblPrEx>
        <w:trPr>
          <w:trHeight w:val="1016"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59627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单位使用人满意度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DEA00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530" w:type="dxa"/>
            <w:tcBorders>
              <w:top w:val="single" w:color="auto" w:sz="4" w:space="0"/>
              <w:left w:val="nil"/>
              <w:bottom w:val="single" w:color="auto" w:sz="4" w:space="0"/>
              <w:right w:val="single" w:color="auto" w:sz="4" w:space="0"/>
            </w:tcBorders>
            <w:shd w:val="clear" w:color="auto" w:fill="auto"/>
            <w:vAlign w:val="center"/>
          </w:tcPr>
          <w:p w14:paraId="406307B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0089D8C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6B399B5D">
        <w:tblPrEx>
          <w:tblCellMar>
            <w:top w:w="0" w:type="dxa"/>
            <w:left w:w="108" w:type="dxa"/>
            <w:bottom w:w="0" w:type="dxa"/>
            <w:right w:w="108" w:type="dxa"/>
          </w:tblCellMar>
        </w:tblPrEx>
        <w:trPr>
          <w:trHeight w:val="595" w:hRule="exact"/>
        </w:trPr>
        <w:tc>
          <w:tcPr>
            <w:tcW w:w="386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CA8B1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916FE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40</w:t>
            </w:r>
          </w:p>
        </w:tc>
        <w:tc>
          <w:tcPr>
            <w:tcW w:w="1530" w:type="dxa"/>
            <w:tcBorders>
              <w:top w:val="single" w:color="auto" w:sz="4" w:space="0"/>
              <w:left w:val="nil"/>
              <w:bottom w:val="single" w:color="auto" w:sz="4" w:space="0"/>
              <w:right w:val="single" w:color="auto" w:sz="4" w:space="0"/>
            </w:tcBorders>
            <w:shd w:val="clear" w:color="auto" w:fill="auto"/>
            <w:vAlign w:val="center"/>
          </w:tcPr>
          <w:p w14:paraId="00618A2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93.33%</w:t>
            </w:r>
          </w:p>
        </w:tc>
        <w:tc>
          <w:tcPr>
            <w:tcW w:w="1755" w:type="dxa"/>
            <w:tcBorders>
              <w:top w:val="single" w:color="auto" w:sz="4" w:space="0"/>
              <w:left w:val="nil"/>
              <w:bottom w:val="single" w:color="auto" w:sz="4" w:space="0"/>
              <w:right w:val="single" w:color="auto" w:sz="4" w:space="0"/>
            </w:tcBorders>
            <w:shd w:val="clear" w:color="auto" w:fill="auto"/>
            <w:noWrap/>
            <w:vAlign w:val="center"/>
          </w:tcPr>
          <w:p w14:paraId="7F051BA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37</w:t>
            </w:r>
          </w:p>
        </w:tc>
      </w:tr>
    </w:tbl>
    <w:p w14:paraId="307B80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社会效益指标：</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对于“</w:t>
      </w:r>
      <w:r>
        <w:rPr>
          <w:rFonts w:hint="eastAsia" w:ascii="仿宋_GB2312" w:hAnsi="仿宋_GB2312" w:eastAsia="仿宋_GB2312" w:cs="仿宋_GB2312"/>
          <w:color w:val="000000"/>
          <w:kern w:val="0"/>
          <w:sz w:val="32"/>
          <w:szCs w:val="32"/>
        </w:rPr>
        <w:t>控制新冠疫情</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显著控制</w:t>
      </w:r>
      <w:r>
        <w:rPr>
          <w:rFonts w:hint="eastAsia" w:ascii="仿宋_GB2312" w:hAnsi="仿宋_GB2312" w:eastAsia="仿宋_GB2312" w:cs="仿宋_GB2312"/>
          <w:sz w:val="32"/>
          <w:szCs w:val="32"/>
        </w:rPr>
        <w:t>，实际完成值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有效控制</w:t>
      </w:r>
      <w:r>
        <w:rPr>
          <w:rFonts w:hint="eastAsia" w:ascii="仿宋_GB2312" w:hAnsi="仿宋_GB2312" w:eastAsia="仿宋_GB2312" w:cs="仿宋_GB2312"/>
          <w:sz w:val="32"/>
          <w:szCs w:val="32"/>
        </w:rPr>
        <w:t>。项目资金保障了塔城地区新冠疫情防控所需物资，在一定程度有所提升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但是未能达到显著提升。根据评分标准，该指实际得分1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对于“</w:t>
      </w:r>
      <w:r>
        <w:rPr>
          <w:rFonts w:hint="eastAsia" w:ascii="仿宋_GB2312" w:hAnsi="仿宋_GB2312" w:eastAsia="仿宋_GB2312" w:cs="仿宋_GB2312"/>
          <w:color w:val="000000"/>
          <w:kern w:val="0"/>
          <w:sz w:val="32"/>
          <w:szCs w:val="32"/>
        </w:rPr>
        <w:t>提升群众防病意识</w:t>
      </w:r>
      <w:r>
        <w:rPr>
          <w:rFonts w:hint="eastAsia" w:ascii="仿宋_GB2312" w:hAnsi="仿宋_GB2312" w:eastAsia="仿宋_GB2312" w:cs="仿宋_GB2312"/>
          <w:sz w:val="32"/>
          <w:szCs w:val="32"/>
        </w:rPr>
        <w:t>”，年初目标值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有所提升，实际完成值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有所提升。项目资金在很大程度保障了塔城地区新冠疫情防控工作的正常开展，使工作</w:t>
      </w:r>
      <w:r>
        <w:rPr>
          <w:rFonts w:hint="eastAsia" w:ascii="仿宋_GB2312" w:hAnsi="仿宋_GB2312" w:eastAsia="仿宋_GB2312" w:cs="仿宋_GB2312"/>
          <w:sz w:val="32"/>
          <w:szCs w:val="32"/>
          <w:lang w:eastAsia="zh-CN"/>
        </w:rPr>
        <w:t>效率得到</w:t>
      </w:r>
      <w:r>
        <w:rPr>
          <w:rFonts w:hint="eastAsia" w:ascii="仿宋_GB2312" w:hAnsi="仿宋_GB2312" w:eastAsia="仿宋_GB2312" w:cs="仿宋_GB2312"/>
          <w:sz w:val="32"/>
          <w:szCs w:val="32"/>
        </w:rPr>
        <w:t>显著提升。根据评分标准，该指标不扣分，实际得分15分。</w:t>
      </w:r>
    </w:p>
    <w:p w14:paraId="5AF60807">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cs="黑体"/>
          <w:bCs/>
          <w:sz w:val="32"/>
          <w:szCs w:val="32"/>
        </w:rPr>
      </w:pPr>
      <w:r>
        <w:rPr>
          <w:rFonts w:hint="eastAsia" w:ascii="仿宋_GB2312" w:hAnsi="仿宋_GB2312" w:eastAsia="仿宋_GB2312" w:cs="仿宋_GB2312"/>
          <w:sz w:val="32"/>
          <w:szCs w:val="32"/>
        </w:rPr>
        <w:t>满意度指标：对于“群众满意度”，年初目标值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实际完成值100%。发放的调查问卷中的满意度问题主要包括：新冠疫情防控满意度评价；每项指标的满意度分为四档，即“非常满意”、“满意”、“一般”、“不满意”；受调查群众全部“非常满意”得满分5分。综合问卷调查结果，志愿者的满意度均为“非常满意”，分析结果为5分。根据评分标准，该指标不扣分，实际得分10分。</w:t>
      </w:r>
    </w:p>
    <w:p w14:paraId="12BE9E9D">
      <w:pPr>
        <w:keepNext w:val="0"/>
        <w:keepLines w:val="0"/>
        <w:pageBreakBefore w:val="0"/>
        <w:widowControl/>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bookmarkStart w:id="5" w:name="_Toc8780_WPSOffice_Level1"/>
      <w:r>
        <w:rPr>
          <w:rFonts w:hint="eastAsia" w:ascii="黑体" w:hAnsi="黑体" w:eastAsia="黑体" w:cs="黑体"/>
          <w:b/>
          <w:bCs w:val="0"/>
          <w:sz w:val="32"/>
          <w:szCs w:val="32"/>
        </w:rPr>
        <w:t>五、主要经验及做法、存在的问题及原因分析</w:t>
      </w:r>
      <w:bookmarkEnd w:id="5"/>
    </w:p>
    <w:p w14:paraId="22ACAFC8">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14:paraId="53FDF8E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E1A0AD9">
      <w:pPr>
        <w:keepNext w:val="0"/>
        <w:keepLines w:val="0"/>
        <w:pageBreakBefore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eastAsia="仿宋_GB2312" w:cs="仿宋_GB2312"/>
          <w:sz w:val="32"/>
          <w:szCs w:val="32"/>
        </w:rPr>
        <w:t>严格坚持先做事、后验收、再拨付的原则，基本杜绝了资金被挤占和挪用现象的发生，跟踪检查到位。做到项目手续完备、资料齐全、专款专用、专人负责、账目清楚。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09E3D1C8">
      <w:pPr>
        <w:keepNext w:val="0"/>
        <w:keepLines w:val="0"/>
        <w:pageBreakBefore w:val="0"/>
        <w:kinsoku/>
        <w:wordWrap/>
        <w:overflowPunct/>
        <w:topLinePunct w:val="0"/>
        <w:autoSpaceDE/>
        <w:autoSpaceDN/>
        <w:bidi w:val="0"/>
        <w:adjustRightInd/>
        <w:snapToGrid/>
        <w:spacing w:line="560" w:lineRule="exact"/>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w:t>
      </w:r>
      <w:r>
        <w:rPr>
          <w:rFonts w:hint="eastAsia" w:ascii="楷体_GB2312" w:hAnsi="楷体_GB2312" w:eastAsia="楷体_GB2312" w:cs="楷体_GB2312"/>
          <w:b/>
          <w:bCs/>
          <w:sz w:val="32"/>
          <w:szCs w:val="32"/>
        </w:rPr>
        <w:fldChar w:fldCharType="begin">
          <w:fldData xml:space="preserve">QQA1AEIARQA1AEEAMQAwAEEAQwBBADIANAA4ADkAQwA5ADIAMAA1AEQANwBEADcAMQBBADMARQA2
ADAAQgBFAA==
</w:fldData>
        </w:fldChar>
      </w:r>
      <w:r>
        <w:rPr>
          <w:rFonts w:hint="eastAsia" w:ascii="楷体_GB2312" w:hAnsi="楷体_GB2312" w:eastAsia="楷体_GB2312" w:cs="楷体_GB2312"/>
          <w:b/>
          <w:bCs/>
          <w:sz w:val="32"/>
          <w:szCs w:val="32"/>
        </w:rPr>
        <w:instrText xml:space="preserve">Addin (二)主要经验及做法、存在问题</w:instrText>
      </w:r>
      <w:r>
        <w:rPr>
          <w:rFonts w:hint="eastAsia" w:ascii="楷体_GB2312" w:hAnsi="楷体_GB2312" w:eastAsia="楷体_GB2312" w:cs="楷体_GB2312"/>
          <w:b/>
          <w:bCs/>
          <w:sz w:val="32"/>
          <w:szCs w:val="32"/>
        </w:rPr>
        <w:fldChar w:fldCharType="separate"/>
      </w:r>
      <w:r>
        <w:rPr>
          <w:rFonts w:hint="eastAsia" w:ascii="楷体_GB2312" w:hAnsi="楷体_GB2312" w:eastAsia="楷体_GB2312" w:cs="楷体_GB2312"/>
          <w:b/>
          <w:bCs/>
          <w:sz w:val="32"/>
          <w:szCs w:val="32"/>
        </w:rPr>
        <w:t>存在的问题及原因分析</w:t>
      </w:r>
    </w:p>
    <w:p w14:paraId="4BA5B8F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1、存在问题：项目绩效管理缺乏经验，绩效系统性整体性较弱化，有待强化。</w:t>
      </w:r>
    </w:p>
    <w:p w14:paraId="2B518E5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2、原因分析：在项目具体执行过程往往只重视预算执行情况，忽视产出和效果，项目实施过程中需提供行之有效的绩效管理办法和评价机制。</w:t>
      </w:r>
    </w:p>
    <w:p w14:paraId="481E65AD">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r>
        <w:rPr>
          <w:rFonts w:hint="eastAsia" w:ascii="楷体_GB2312" w:hAnsi="楷体_GB2312" w:eastAsia="楷体_GB2312" w:cs="楷体_GB2312"/>
          <w:b/>
          <w:bCs/>
          <w:sz w:val="32"/>
          <w:szCs w:val="32"/>
        </w:rPr>
        <w:fldChar w:fldCharType="end"/>
      </w:r>
      <w:bookmarkStart w:id="6" w:name="_Toc19772_WPSOffice_Level1"/>
      <w:r>
        <w:rPr>
          <w:rFonts w:hint="eastAsia" w:ascii="黑体" w:hAnsi="黑体" w:eastAsia="黑体" w:cs="黑体"/>
          <w:b/>
          <w:bCs w:val="0"/>
          <w:sz w:val="32"/>
          <w:szCs w:val="32"/>
        </w:rPr>
        <w:t>六、有关建议</w:t>
      </w:r>
      <w:bookmarkEnd w:id="6"/>
    </w:p>
    <w:p w14:paraId="08CE30C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4910E01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14:paraId="1798FE13">
      <w:pPr>
        <w:keepNext w:val="0"/>
        <w:keepLines w:val="0"/>
        <w:pageBreakBefore w:val="0"/>
        <w:kinsoku/>
        <w:wordWrap/>
        <w:overflowPunct/>
        <w:topLinePunct w:val="0"/>
        <w:autoSpaceDE/>
        <w:autoSpaceDN/>
        <w:bidi w:val="0"/>
        <w:adjustRightInd/>
        <w:snapToGrid/>
        <w:spacing w:line="560" w:lineRule="exact"/>
        <w:textAlignment w:val="auto"/>
        <w:rPr>
          <w:rFonts w:ascii="黑体" w:hAnsi="黑体" w:eastAsia="黑体" w:cs="黑体"/>
          <w:b/>
          <w:bCs w:val="0"/>
          <w:sz w:val="32"/>
          <w:szCs w:val="32"/>
        </w:rPr>
      </w:pPr>
      <w:bookmarkStart w:id="7" w:name="_Toc1432_WPSOffice_Level1"/>
      <w:r>
        <w:rPr>
          <w:rFonts w:hint="eastAsia" w:ascii="黑体" w:hAnsi="黑体" w:eastAsia="黑体" w:cs="黑体"/>
          <w:b/>
          <w:bCs w:val="0"/>
          <w:sz w:val="32"/>
          <w:szCs w:val="32"/>
        </w:rPr>
        <w:t>七、其他需要说明的问题</w:t>
      </w:r>
      <w:bookmarkEnd w:id="7"/>
    </w:p>
    <w:p w14:paraId="51A98238">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r>
        <w:rPr>
          <w:rFonts w:hint="eastAsia" w:ascii="宋体" w:hAnsi="宋体" w:cs="宋体"/>
          <w:b/>
          <w:color w:val="000000"/>
          <w:kern w:val="0"/>
          <w:sz w:val="32"/>
          <w:szCs w:val="32"/>
        </w:rPr>
        <w:br w:type="page"/>
      </w:r>
    </w:p>
    <w:tbl>
      <w:tblPr>
        <w:tblStyle w:val="10"/>
        <w:tblW w:w="8380" w:type="dxa"/>
        <w:tblInd w:w="0" w:type="dxa"/>
        <w:tblLayout w:type="fixed"/>
        <w:tblCellMar>
          <w:top w:w="0" w:type="dxa"/>
          <w:left w:w="0" w:type="dxa"/>
          <w:bottom w:w="0" w:type="dxa"/>
          <w:right w:w="0" w:type="dxa"/>
        </w:tblCellMar>
      </w:tblPr>
      <w:tblGrid>
        <w:gridCol w:w="644"/>
        <w:gridCol w:w="644"/>
        <w:gridCol w:w="644"/>
        <w:gridCol w:w="644"/>
        <w:gridCol w:w="644"/>
        <w:gridCol w:w="644"/>
        <w:gridCol w:w="1857"/>
        <w:gridCol w:w="1139"/>
        <w:gridCol w:w="380"/>
        <w:gridCol w:w="1140"/>
      </w:tblGrid>
      <w:tr w14:paraId="2392DD1E">
        <w:tblPrEx>
          <w:tblCellMar>
            <w:top w:w="0" w:type="dxa"/>
            <w:left w:w="0" w:type="dxa"/>
            <w:bottom w:w="0" w:type="dxa"/>
            <w:right w:w="0" w:type="dxa"/>
          </w:tblCellMar>
        </w:tblPrEx>
        <w:trPr>
          <w:trHeight w:val="546" w:hRule="atLeast"/>
        </w:trPr>
        <w:tc>
          <w:tcPr>
            <w:tcW w:w="8380" w:type="dxa"/>
            <w:gridSpan w:val="10"/>
            <w:tcBorders>
              <w:top w:val="nil"/>
              <w:left w:val="nil"/>
              <w:bottom w:val="nil"/>
              <w:right w:val="nil"/>
            </w:tcBorders>
            <w:shd w:val="clear" w:color="auto" w:fill="auto"/>
            <w:tcMar>
              <w:top w:w="15" w:type="dxa"/>
              <w:left w:w="15" w:type="dxa"/>
              <w:right w:w="15" w:type="dxa"/>
            </w:tcMar>
            <w:vAlign w:val="center"/>
          </w:tcPr>
          <w:p w14:paraId="07875B71">
            <w:pPr>
              <w:keepNext w:val="0"/>
              <w:keepLines w:val="0"/>
              <w:widowControl/>
              <w:suppressLineNumbers w:val="0"/>
              <w:jc w:val="center"/>
              <w:textAlignment w:val="center"/>
              <w:rPr>
                <w:rFonts w:ascii="宋体" w:hAnsi="宋体" w:cs="宋体"/>
                <w:b/>
                <w:color w:val="000000"/>
                <w:sz w:val="32"/>
                <w:szCs w:val="32"/>
              </w:rPr>
            </w:pPr>
            <w:r>
              <w:rPr>
                <w:rFonts w:hint="eastAsia" w:ascii="宋体" w:hAnsi="宋体" w:eastAsia="宋体" w:cs="宋体"/>
                <w:b/>
                <w:i w:val="0"/>
                <w:color w:val="000000"/>
                <w:kern w:val="0"/>
                <w:sz w:val="44"/>
                <w:szCs w:val="44"/>
                <w:u w:val="none"/>
                <w:lang w:val="en-US" w:eastAsia="zh-CN" w:bidi="ar"/>
              </w:rPr>
              <w:t>项目支出绩效自评表</w:t>
            </w:r>
          </w:p>
        </w:tc>
      </w:tr>
      <w:tr w14:paraId="7012FC61">
        <w:tblPrEx>
          <w:tblCellMar>
            <w:top w:w="0" w:type="dxa"/>
            <w:left w:w="0" w:type="dxa"/>
            <w:bottom w:w="0" w:type="dxa"/>
            <w:right w:w="0" w:type="dxa"/>
          </w:tblCellMar>
        </w:tblPrEx>
        <w:trPr>
          <w:trHeight w:val="546" w:hRule="atLeast"/>
        </w:trPr>
        <w:tc>
          <w:tcPr>
            <w:tcW w:w="8380" w:type="dxa"/>
            <w:gridSpan w:val="10"/>
            <w:tcBorders>
              <w:top w:val="nil"/>
              <w:left w:val="nil"/>
              <w:bottom w:val="nil"/>
              <w:right w:val="nil"/>
            </w:tcBorders>
            <w:shd w:val="clear" w:color="auto" w:fill="auto"/>
            <w:tcMar>
              <w:top w:w="15" w:type="dxa"/>
              <w:left w:w="15" w:type="dxa"/>
              <w:right w:w="15" w:type="dxa"/>
            </w:tcMar>
            <w:vAlign w:val="center"/>
          </w:tcPr>
          <w:p w14:paraId="1BBC43A8">
            <w:pPr>
              <w:keepNext w:val="0"/>
              <w:keepLines w:val="0"/>
              <w:widowControl/>
              <w:suppressLineNumbers w:val="0"/>
              <w:jc w:val="center"/>
              <w:textAlignment w:val="center"/>
              <w:rPr>
                <w:rFonts w:ascii="宋体" w:hAnsi="宋体" w:cs="宋体"/>
                <w:color w:val="000000"/>
                <w:sz w:val="32"/>
                <w:szCs w:val="32"/>
              </w:rPr>
            </w:pPr>
            <w:r>
              <w:rPr>
                <w:rFonts w:hint="eastAsia" w:ascii="宋体" w:hAnsi="宋体" w:eastAsia="宋体" w:cs="宋体"/>
                <w:i w:val="0"/>
                <w:color w:val="000000"/>
                <w:kern w:val="0"/>
                <w:sz w:val="32"/>
                <w:szCs w:val="32"/>
                <w:u w:val="none"/>
                <w:lang w:val="en-US" w:eastAsia="zh-CN" w:bidi="ar"/>
              </w:rPr>
              <w:t>（   2020 年度）</w:t>
            </w:r>
          </w:p>
        </w:tc>
      </w:tr>
      <w:tr w14:paraId="1F0EE4C3">
        <w:tblPrEx>
          <w:tblCellMar>
            <w:top w:w="0" w:type="dxa"/>
            <w:left w:w="0" w:type="dxa"/>
            <w:bottom w:w="0" w:type="dxa"/>
            <w:right w:w="0" w:type="dxa"/>
          </w:tblCellMar>
        </w:tblPrEx>
        <w:trPr>
          <w:trHeight w:val="546" w:hRule="atLeast"/>
        </w:trPr>
        <w:tc>
          <w:tcPr>
            <w:tcW w:w="8380" w:type="dxa"/>
            <w:gridSpan w:val="10"/>
            <w:tcBorders>
              <w:top w:val="nil"/>
              <w:left w:val="nil"/>
              <w:bottom w:val="nil"/>
              <w:right w:val="nil"/>
            </w:tcBorders>
            <w:shd w:val="clear" w:color="auto" w:fill="auto"/>
            <w:tcMar>
              <w:top w:w="15" w:type="dxa"/>
              <w:left w:w="15" w:type="dxa"/>
              <w:right w:w="15" w:type="dxa"/>
            </w:tcMar>
            <w:vAlign w:val="center"/>
          </w:tcPr>
          <w:p w14:paraId="1FA7F654">
            <w:pPr>
              <w:jc w:val="center"/>
              <w:rPr>
                <w:rFonts w:ascii="宋体" w:hAnsi="宋体" w:cs="宋体"/>
                <w:color w:val="000000"/>
                <w:sz w:val="22"/>
                <w:szCs w:val="22"/>
              </w:rPr>
            </w:pPr>
          </w:p>
        </w:tc>
      </w:tr>
      <w:tr w14:paraId="720D929E">
        <w:tblPrEx>
          <w:tblCellMar>
            <w:top w:w="0" w:type="dxa"/>
            <w:left w:w="0" w:type="dxa"/>
            <w:bottom w:w="0" w:type="dxa"/>
            <w:right w:w="0" w:type="dxa"/>
          </w:tblCellMar>
        </w:tblPrEx>
        <w:trPr>
          <w:trHeight w:val="558"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DD9F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09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B9CA1">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新型冠状病毒疫情专项资金</w:t>
            </w:r>
          </w:p>
        </w:tc>
      </w:tr>
      <w:tr w14:paraId="41C72FEE">
        <w:tblPrEx>
          <w:tblCellMar>
            <w:top w:w="0" w:type="dxa"/>
            <w:left w:w="0" w:type="dxa"/>
            <w:bottom w:w="0" w:type="dxa"/>
            <w:right w:w="0" w:type="dxa"/>
          </w:tblCellMar>
        </w:tblPrEx>
        <w:trPr>
          <w:trHeight w:val="1087"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A23C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主管部门</w:t>
            </w:r>
          </w:p>
        </w:tc>
        <w:tc>
          <w:tcPr>
            <w:tcW w:w="443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66AAA">
            <w:pPr>
              <w:jc w:val="center"/>
              <w:rPr>
                <w:rFonts w:ascii="宋体" w:hAnsi="宋体" w:cs="宋体"/>
                <w:color w:val="000000"/>
                <w:sz w:val="18"/>
                <w:szCs w:val="18"/>
              </w:rPr>
            </w:pP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3D739">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实施单位</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5A8A7">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塔城地区疾病预防控制中心</w:t>
            </w:r>
          </w:p>
        </w:tc>
      </w:tr>
      <w:tr w14:paraId="52FD5C56">
        <w:tblPrEx>
          <w:tblCellMar>
            <w:top w:w="0" w:type="dxa"/>
            <w:left w:w="0" w:type="dxa"/>
            <w:bottom w:w="0" w:type="dxa"/>
            <w:right w:w="0" w:type="dxa"/>
          </w:tblCellMar>
        </w:tblPrEx>
        <w:trPr>
          <w:trHeight w:val="558"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5C30A">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项目资金</w:t>
            </w:r>
          </w:p>
        </w:tc>
        <w:tc>
          <w:tcPr>
            <w:tcW w:w="644"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14:paraId="4B643730">
            <w:pPr>
              <w:rPr>
                <w:rFonts w:ascii="宋体" w:hAnsi="宋体" w:cs="宋体"/>
                <w:color w:val="000000"/>
                <w:sz w:val="18"/>
                <w:szCs w:val="18"/>
              </w:rPr>
            </w:pPr>
          </w:p>
        </w:tc>
        <w:tc>
          <w:tcPr>
            <w:tcW w:w="644" w:type="dxa"/>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bottom"/>
          </w:tcPr>
          <w:p w14:paraId="128C1E00"/>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EA862">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2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FCE0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全年预算数</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44E74">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70998">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执行率</w:t>
            </w:r>
          </w:p>
        </w:tc>
      </w:tr>
      <w:tr w14:paraId="31CA3504">
        <w:tblPrEx>
          <w:tblCellMar>
            <w:top w:w="0" w:type="dxa"/>
            <w:left w:w="0" w:type="dxa"/>
            <w:bottom w:w="0" w:type="dxa"/>
            <w:right w:w="0" w:type="dxa"/>
          </w:tblCellMar>
        </w:tblPrEx>
        <w:trPr>
          <w:trHeight w:val="558"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0D0B5">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（万元）</w:t>
            </w:r>
          </w:p>
        </w:tc>
        <w:tc>
          <w:tcPr>
            <w:tcW w:w="1288"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2DAE9">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0861B">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2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03FD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734.71</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53D5A">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734.71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C096E">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100.00%</w:t>
            </w:r>
          </w:p>
        </w:tc>
      </w:tr>
      <w:tr w14:paraId="49B8E306">
        <w:tblPrEx>
          <w:tblCellMar>
            <w:top w:w="0" w:type="dxa"/>
            <w:left w:w="0" w:type="dxa"/>
            <w:bottom w:w="0" w:type="dxa"/>
            <w:right w:w="0" w:type="dxa"/>
          </w:tblCellMar>
        </w:tblPrEx>
        <w:trPr>
          <w:trHeight w:val="558"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E8B62">
            <w:pPr>
              <w:jc w:val="center"/>
              <w:rPr>
                <w:rFonts w:ascii="宋体" w:hAnsi="宋体" w:cs="宋体"/>
                <w:color w:val="000000"/>
                <w:sz w:val="22"/>
                <w:szCs w:val="22"/>
              </w:rPr>
            </w:pP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9A7D0">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4B5DA">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2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1F6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0.00</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2FA4F">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0.00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F4F97">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14:paraId="7604B260">
        <w:tblPrEx>
          <w:tblCellMar>
            <w:top w:w="0" w:type="dxa"/>
            <w:left w:w="0" w:type="dxa"/>
            <w:bottom w:w="0" w:type="dxa"/>
            <w:right w:w="0" w:type="dxa"/>
          </w:tblCellMar>
        </w:tblPrEx>
        <w:trPr>
          <w:trHeight w:val="1087"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52E03">
            <w:pPr>
              <w:jc w:val="center"/>
              <w:rPr>
                <w:rFonts w:ascii="宋体" w:hAnsi="宋体" w:cs="宋体"/>
                <w:color w:val="000000"/>
                <w:sz w:val="22"/>
                <w:szCs w:val="22"/>
              </w:rPr>
            </w:pP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7F154">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0B4C9">
            <w:pPr>
              <w:jc w:val="center"/>
              <w:rPr>
                <w:rFonts w:ascii="宋体" w:hAnsi="宋体" w:cs="宋体"/>
                <w:color w:val="000000"/>
                <w:sz w:val="18"/>
                <w:szCs w:val="18"/>
              </w:rPr>
            </w:pPr>
          </w:p>
        </w:tc>
        <w:tc>
          <w:tcPr>
            <w:tcW w:w="2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ECABF">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00A1D6">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0092B">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14:paraId="67AA1494">
        <w:tblPrEx>
          <w:tblCellMar>
            <w:top w:w="0" w:type="dxa"/>
            <w:left w:w="0" w:type="dxa"/>
            <w:bottom w:w="0" w:type="dxa"/>
            <w:right w:w="0" w:type="dxa"/>
          </w:tblCellMar>
        </w:tblPrEx>
        <w:trPr>
          <w:trHeight w:val="558" w:hRule="atLeast"/>
        </w:trPr>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A02FB">
            <w:pPr>
              <w:jc w:val="center"/>
              <w:rPr>
                <w:rFonts w:ascii="宋体" w:hAnsi="宋体" w:cs="宋体"/>
                <w:color w:val="000000"/>
                <w:sz w:val="22"/>
                <w:szCs w:val="22"/>
              </w:rPr>
            </w:pPr>
          </w:p>
        </w:tc>
        <w:tc>
          <w:tcPr>
            <w:tcW w:w="12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B6607">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2B44E">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0</w:t>
            </w:r>
          </w:p>
        </w:tc>
        <w:tc>
          <w:tcPr>
            <w:tcW w:w="250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6CC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734.71</w:t>
            </w:r>
          </w:p>
        </w:tc>
        <w:tc>
          <w:tcPr>
            <w:tcW w:w="151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4BE87">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734.71</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EF033">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w:t>
            </w:r>
          </w:p>
        </w:tc>
      </w:tr>
      <w:tr w14:paraId="641F9CE4">
        <w:tblPrEx>
          <w:tblCellMar>
            <w:top w:w="0" w:type="dxa"/>
            <w:left w:w="0" w:type="dxa"/>
            <w:bottom w:w="0" w:type="dxa"/>
            <w:right w:w="0" w:type="dxa"/>
          </w:tblCellMar>
        </w:tblPrEx>
        <w:trPr>
          <w:trHeight w:val="558"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EC325">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507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C5A25">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预期目标</w:t>
            </w:r>
          </w:p>
        </w:tc>
        <w:tc>
          <w:tcPr>
            <w:tcW w:w="26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E59F4">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实际完成情况</w:t>
            </w:r>
          </w:p>
        </w:tc>
      </w:tr>
      <w:tr w14:paraId="36C35724">
        <w:tblPrEx>
          <w:tblCellMar>
            <w:top w:w="0" w:type="dxa"/>
            <w:left w:w="0" w:type="dxa"/>
            <w:bottom w:w="0" w:type="dxa"/>
            <w:right w:w="0" w:type="dxa"/>
          </w:tblCellMar>
        </w:tblPrEx>
        <w:trPr>
          <w:trHeight w:val="151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084A2">
            <w:pPr>
              <w:jc w:val="center"/>
              <w:rPr>
                <w:rFonts w:ascii="宋体" w:hAnsi="宋体" w:cs="宋体"/>
                <w:color w:val="000000"/>
                <w:sz w:val="18"/>
                <w:szCs w:val="18"/>
              </w:rPr>
            </w:pPr>
          </w:p>
        </w:tc>
        <w:tc>
          <w:tcPr>
            <w:tcW w:w="507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00869">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目标1：购置防疫车辆1台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目标2：购置荧光PCR1台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目标3：购置口罩和护目镜等等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目标4：购置血清试剂耗材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目标5：购置离心机2台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目标6：安装云视频监控设备</w:t>
            </w:r>
          </w:p>
        </w:tc>
        <w:tc>
          <w:tcPr>
            <w:tcW w:w="265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A176B">
            <w:pPr>
              <w:keepNext w:val="0"/>
              <w:keepLines w:val="0"/>
              <w:widowControl/>
              <w:suppressLineNumbers w:val="0"/>
              <w:jc w:val="left"/>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目标1：购置防疫车辆1台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目标2：购置荧光PCR1台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目标3：购置口罩和护目镜等等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目标4：购置血清试剂耗材</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目标5：购置离心机2台</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目标6：安装云视频监控设备</w:t>
            </w:r>
          </w:p>
        </w:tc>
      </w:tr>
      <w:tr w14:paraId="01451AAD">
        <w:tblPrEx>
          <w:tblCellMar>
            <w:top w:w="0" w:type="dxa"/>
            <w:left w:w="0" w:type="dxa"/>
            <w:bottom w:w="0" w:type="dxa"/>
            <w:right w:w="0" w:type="dxa"/>
          </w:tblCellMar>
        </w:tblPrEx>
        <w:trPr>
          <w:trHeight w:val="579"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7BDE3">
            <w:pPr>
              <w:jc w:val="center"/>
              <w:rPr>
                <w:rFonts w:ascii="宋体" w:hAnsi="宋体" w:cs="宋体"/>
                <w:color w:val="000000"/>
                <w:sz w:val="18"/>
                <w:szCs w:val="18"/>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08E5F">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一级指标</w:t>
            </w: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8D1C6">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二级指标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628D3">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三级指标</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6EDEA">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年度指标值</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6E329">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1EA7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偏差原因分析及改进措施</w:t>
            </w:r>
          </w:p>
        </w:tc>
      </w:tr>
      <w:tr w14:paraId="4448158A">
        <w:tblPrEx>
          <w:tblCellMar>
            <w:top w:w="0" w:type="dxa"/>
            <w:left w:w="0" w:type="dxa"/>
            <w:bottom w:w="0" w:type="dxa"/>
            <w:right w:w="0" w:type="dxa"/>
          </w:tblCellMar>
        </w:tblPrEx>
        <w:trPr>
          <w:trHeight w:val="579" w:hRule="atLeast"/>
        </w:trPr>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39296">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08708">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产出指标</w:t>
            </w:r>
          </w:p>
        </w:tc>
        <w:tc>
          <w:tcPr>
            <w:tcW w:w="64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D8DF9">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数量指标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64893">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购置车辆</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7E9DE">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55219">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52350">
            <w:pPr>
              <w:jc w:val="center"/>
            </w:pPr>
          </w:p>
        </w:tc>
      </w:tr>
      <w:tr w14:paraId="793573DD">
        <w:tblPrEx>
          <w:tblCellMar>
            <w:top w:w="0" w:type="dxa"/>
            <w:left w:w="0" w:type="dxa"/>
            <w:bottom w:w="0" w:type="dxa"/>
            <w:right w:w="0" w:type="dxa"/>
          </w:tblCellMar>
        </w:tblPrEx>
        <w:trPr>
          <w:trHeight w:val="108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62536">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D4D9D">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2A98C">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13B15">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购置PCR荧光定量仪</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76B5D">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5BB64">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647A7">
            <w:pPr>
              <w:jc w:val="center"/>
            </w:pPr>
          </w:p>
        </w:tc>
      </w:tr>
      <w:tr w14:paraId="1D482068">
        <w:tblPrEx>
          <w:tblCellMar>
            <w:top w:w="0" w:type="dxa"/>
            <w:left w:w="0" w:type="dxa"/>
            <w:bottom w:w="0" w:type="dxa"/>
            <w:right w:w="0" w:type="dxa"/>
          </w:tblCellMar>
        </w:tblPrEx>
        <w:trPr>
          <w:trHeight w:val="108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15149">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61030">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0ABB1">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CEBF5">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购置口罩护目镜等物资</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64EEB">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≥100份</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058A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100份</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429136">
            <w:pPr>
              <w:jc w:val="center"/>
            </w:pPr>
          </w:p>
        </w:tc>
      </w:tr>
      <w:tr w14:paraId="6F0B57C8">
        <w:tblPrEx>
          <w:tblCellMar>
            <w:top w:w="0" w:type="dxa"/>
            <w:left w:w="0" w:type="dxa"/>
            <w:bottom w:w="0" w:type="dxa"/>
            <w:right w:w="0" w:type="dxa"/>
          </w:tblCellMar>
        </w:tblPrEx>
        <w:trPr>
          <w:trHeight w:val="108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9055A">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F51E6">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4730D">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5276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试剂（血清）</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7DFE4">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≥5000人份</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147B9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5000人份</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61492">
            <w:pPr>
              <w:jc w:val="center"/>
            </w:pPr>
          </w:p>
        </w:tc>
      </w:tr>
      <w:tr w14:paraId="7B411CBA">
        <w:tblPrEx>
          <w:tblCellMar>
            <w:top w:w="0" w:type="dxa"/>
            <w:left w:w="0" w:type="dxa"/>
            <w:bottom w:w="0" w:type="dxa"/>
            <w:right w:w="0" w:type="dxa"/>
          </w:tblCellMar>
        </w:tblPrEx>
        <w:trPr>
          <w:trHeight w:val="108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786F1">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51FD7">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BFA5C">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763C0">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购置离心机</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D0B13">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AFC1D">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2台</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D442DD">
            <w:pPr>
              <w:jc w:val="center"/>
            </w:pPr>
          </w:p>
        </w:tc>
      </w:tr>
      <w:tr w14:paraId="431E0080">
        <w:tblPrEx>
          <w:tblCellMar>
            <w:top w:w="0" w:type="dxa"/>
            <w:left w:w="0" w:type="dxa"/>
            <w:bottom w:w="0" w:type="dxa"/>
            <w:right w:w="0" w:type="dxa"/>
          </w:tblCellMar>
        </w:tblPrEx>
        <w:trPr>
          <w:trHeight w:val="1028"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29458">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D64B5">
            <w:pPr>
              <w:jc w:val="center"/>
              <w:rPr>
                <w:rFonts w:ascii="宋体" w:hAnsi="宋体" w:cs="宋体"/>
                <w:color w:val="000000"/>
                <w:sz w:val="18"/>
                <w:szCs w:val="18"/>
              </w:rPr>
            </w:pPr>
          </w:p>
        </w:tc>
        <w:tc>
          <w:tcPr>
            <w:tcW w:w="644" w:type="dxa"/>
            <w:vMerge w:val="continue"/>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8B59B46">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F25F3">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云视频网络安装</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7DC66">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B2CB6">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1台</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8E224">
            <w:pPr>
              <w:jc w:val="center"/>
            </w:pPr>
          </w:p>
        </w:tc>
      </w:tr>
      <w:tr w14:paraId="628CA318">
        <w:tblPrEx>
          <w:tblCellMar>
            <w:top w:w="0" w:type="dxa"/>
            <w:left w:w="0" w:type="dxa"/>
            <w:bottom w:w="0" w:type="dxa"/>
            <w:right w:w="0" w:type="dxa"/>
          </w:tblCellMar>
        </w:tblPrEx>
        <w:trPr>
          <w:trHeight w:val="907"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3C90A">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5AEB4">
            <w:pPr>
              <w:jc w:val="center"/>
              <w:rPr>
                <w:rFonts w:ascii="宋体" w:hAnsi="宋体" w:cs="宋体"/>
                <w:color w:val="000000"/>
                <w:sz w:val="18"/>
                <w:szCs w:val="18"/>
              </w:rPr>
            </w:pPr>
          </w:p>
        </w:tc>
        <w:tc>
          <w:tcPr>
            <w:tcW w:w="64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643A1">
            <w:pPr>
              <w:jc w:val="center"/>
              <w:rPr>
                <w:rFonts w:ascii="宋体" w:hAnsi="宋体" w:cs="宋体"/>
                <w:color w:val="000000"/>
                <w:sz w:val="18"/>
                <w:szCs w:val="18"/>
              </w:rPr>
            </w:pP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866F2">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采购仪器设备耗材</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429C1">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≥1批</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8D3F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1批</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90609">
            <w:pPr>
              <w:jc w:val="center"/>
            </w:pPr>
          </w:p>
        </w:tc>
      </w:tr>
      <w:tr w14:paraId="713D0EF1">
        <w:tblPrEx>
          <w:tblCellMar>
            <w:top w:w="0" w:type="dxa"/>
            <w:left w:w="0" w:type="dxa"/>
            <w:bottom w:w="0" w:type="dxa"/>
            <w:right w:w="0" w:type="dxa"/>
          </w:tblCellMar>
        </w:tblPrEx>
        <w:trPr>
          <w:trHeight w:val="1618" w:hRule="atLeast"/>
        </w:trPr>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370B8">
            <w:pPr>
              <w:jc w:val="center"/>
              <w:rPr>
                <w:rFonts w:ascii="宋体" w:hAnsi="宋体" w:cs="宋体"/>
                <w:color w:val="000000"/>
                <w:sz w:val="18"/>
                <w:szCs w:val="18"/>
              </w:rPr>
            </w:pPr>
          </w:p>
        </w:tc>
        <w:tc>
          <w:tcPr>
            <w:tcW w:w="64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578F9">
            <w:pPr>
              <w:jc w:val="center"/>
              <w:rPr>
                <w:rFonts w:ascii="宋体" w:hAnsi="宋体" w:cs="宋体"/>
                <w:color w:val="000000"/>
                <w:sz w:val="18"/>
                <w:szCs w:val="18"/>
              </w:rPr>
            </w:pPr>
          </w:p>
        </w:tc>
        <w:tc>
          <w:tcPr>
            <w:tcW w:w="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C3C0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质量指标</w:t>
            </w:r>
          </w:p>
        </w:tc>
        <w:tc>
          <w:tcPr>
            <w:tcW w:w="193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D46EC">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任务完成率</w:t>
            </w:r>
          </w:p>
        </w:tc>
        <w:tc>
          <w:tcPr>
            <w:tcW w:w="18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A215D">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1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91871">
            <w:pPr>
              <w:keepNext w:val="0"/>
              <w:keepLines w:val="0"/>
              <w:widowControl/>
              <w:suppressLineNumbers w:val="0"/>
              <w:jc w:val="center"/>
              <w:textAlignment w:val="center"/>
              <w:rPr>
                <w:rFonts w:ascii="宋体" w:hAnsi="宋体" w:cs="宋体"/>
                <w:color w:val="000000"/>
                <w:sz w:val="18"/>
                <w:szCs w:val="18"/>
              </w:rPr>
            </w:pPr>
            <w:r>
              <w:rPr>
                <w:rFonts w:hint="eastAsia" w:ascii="宋体" w:hAnsi="宋体" w:eastAsia="宋体" w:cs="宋体"/>
                <w:i w:val="0"/>
                <w:color w:val="000000"/>
                <w:kern w:val="0"/>
                <w:sz w:val="18"/>
                <w:szCs w:val="18"/>
                <w:u w:val="none"/>
                <w:lang w:val="en-US" w:eastAsia="zh-CN" w:bidi="ar"/>
              </w:rPr>
              <w:t>100%</w:t>
            </w:r>
          </w:p>
        </w:tc>
        <w:tc>
          <w:tcPr>
            <w:tcW w:w="15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D5C3A">
            <w:pPr>
              <w:jc w:val="center"/>
            </w:pPr>
          </w:p>
        </w:tc>
      </w:tr>
    </w:tbl>
    <w:p w14:paraId="1033D715">
      <w:pPr>
        <w:sectPr>
          <w:footerReference r:id="rId5" w:type="default"/>
          <w:footerReference r:id="rId6" w:type="even"/>
          <w:pgSz w:w="11906" w:h="16838"/>
          <w:pgMar w:top="2098" w:right="1531" w:bottom="1985" w:left="1531" w:header="851" w:footer="992" w:gutter="0"/>
          <w:pgNumType w:fmt="numberInDash" w:start="0"/>
          <w:cols w:space="720" w:num="1"/>
          <w:docGrid w:type="lines" w:linePitch="579" w:charSpace="-1675"/>
        </w:sectPr>
      </w:pPr>
    </w:p>
    <w:p w14:paraId="5B6FED17">
      <w:pPr>
        <w:spacing w:line="600" w:lineRule="exact"/>
        <w:rPr>
          <w:rFonts w:ascii="仿宋_GB2312"/>
          <w:bCs/>
          <w:sz w:val="32"/>
          <w:szCs w:val="32"/>
        </w:rPr>
      </w:pPr>
      <w:r>
        <w:rPr>
          <w:rFonts w:hint="eastAsia" w:ascii="仿宋_GB2312"/>
          <w:bCs/>
          <w:sz w:val="32"/>
          <w:szCs w:val="32"/>
        </w:rPr>
        <w:t>附件1</w:t>
      </w:r>
    </w:p>
    <w:tbl>
      <w:tblPr>
        <w:tblStyle w:val="10"/>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14:paraId="45122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14:paraId="45CA1A4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14:paraId="2EE260D4">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14:paraId="5C0A53DF">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3" w:type="dxa"/>
            <w:shd w:val="clear" w:color="auto" w:fill="FFFFFF"/>
            <w:vAlign w:val="center"/>
          </w:tcPr>
          <w:p w14:paraId="3F324C1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8" w:type="dxa"/>
            <w:shd w:val="clear" w:color="auto" w:fill="FFFFFF"/>
            <w:vAlign w:val="center"/>
          </w:tcPr>
          <w:p w14:paraId="075C74C7">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300" w:type="dxa"/>
            <w:shd w:val="clear" w:color="auto" w:fill="FFFFFF"/>
            <w:vAlign w:val="center"/>
          </w:tcPr>
          <w:p w14:paraId="2467DE7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3" w:type="dxa"/>
            <w:shd w:val="clear" w:color="auto" w:fill="FFFFFF"/>
            <w:vAlign w:val="center"/>
          </w:tcPr>
          <w:p w14:paraId="2593D238">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3254B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vAlign w:val="center"/>
          </w:tcPr>
          <w:p w14:paraId="2D8D843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p w14:paraId="76362AA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6FAE85D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767" w:type="dxa"/>
            <w:vMerge w:val="restart"/>
            <w:shd w:val="clear" w:color="auto" w:fill="FFFFFF"/>
            <w:vAlign w:val="center"/>
          </w:tcPr>
          <w:p w14:paraId="178BA04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　</w:t>
            </w:r>
          </w:p>
        </w:tc>
        <w:tc>
          <w:tcPr>
            <w:tcW w:w="873" w:type="dxa"/>
            <w:shd w:val="clear" w:color="auto" w:fill="FFFFFF"/>
            <w:vAlign w:val="center"/>
          </w:tcPr>
          <w:p w14:paraId="2DC3589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立项依据</w:t>
            </w:r>
          </w:p>
          <w:p w14:paraId="07D0329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充分性</w:t>
            </w:r>
          </w:p>
        </w:tc>
        <w:tc>
          <w:tcPr>
            <w:tcW w:w="2353" w:type="dxa"/>
            <w:shd w:val="clear" w:color="auto" w:fill="FFFFFF"/>
            <w:vAlign w:val="center"/>
          </w:tcPr>
          <w:p w14:paraId="2374AC7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项目立项是否符合法律法规、相关政策、发展规划以及部门职责，用以反映和考核项目立项依据情况。</w:t>
            </w:r>
          </w:p>
        </w:tc>
        <w:tc>
          <w:tcPr>
            <w:tcW w:w="5188" w:type="dxa"/>
            <w:shd w:val="clear" w:color="auto" w:fill="FFFFFF"/>
            <w:vAlign w:val="center"/>
          </w:tcPr>
          <w:p w14:paraId="73D3105F">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①项目立项是否符合国家法律法规、国民经济发展规划和相关政策；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②项目立项是否符合行业发展规划和政策要求；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③项目立项是否与部门职责范围相符，属于部门履职所需；</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④项目是否属于公共财政支持范围，是否符合中央、地方事权支出责任划分原则；</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⑤项目是否与相关部门同类项目或部门内部相关项目重复。</w:t>
            </w:r>
          </w:p>
        </w:tc>
        <w:tc>
          <w:tcPr>
            <w:tcW w:w="1300" w:type="dxa"/>
            <w:shd w:val="clear" w:color="auto" w:fill="FFFFFF"/>
            <w:vAlign w:val="center"/>
          </w:tcPr>
          <w:p w14:paraId="71607C5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363" w:type="dxa"/>
            <w:shd w:val="clear" w:color="auto" w:fill="FFFFFF"/>
            <w:vAlign w:val="center"/>
          </w:tcPr>
          <w:p w14:paraId="4C9E16F5">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6DFBF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14:paraId="5D1C35C1">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14:paraId="6D26B4E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14:paraId="1F06B2F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立项程序</w:t>
            </w:r>
          </w:p>
          <w:p w14:paraId="1AD022E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规范性</w:t>
            </w:r>
          </w:p>
        </w:tc>
        <w:tc>
          <w:tcPr>
            <w:tcW w:w="2353" w:type="dxa"/>
            <w:shd w:val="clear" w:color="auto" w:fill="FFFFFF"/>
            <w:vAlign w:val="center"/>
          </w:tcPr>
          <w:p w14:paraId="68E3504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项目申请、设立过程是否符合相关要求，用以反映和考核项目立项的规范情况。</w:t>
            </w:r>
          </w:p>
        </w:tc>
        <w:tc>
          <w:tcPr>
            <w:tcW w:w="5188" w:type="dxa"/>
            <w:shd w:val="clear" w:color="auto" w:fill="FFFFFF"/>
            <w:vAlign w:val="center"/>
          </w:tcPr>
          <w:p w14:paraId="40BBAFA4">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①项目是否按照规定的程序申请设立；</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②审批文件、材料是否符合相关要求；</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③事前是否已经过必要的可行性研究、专家论证、风险评估、绩效评估、集体决策。</w:t>
            </w:r>
          </w:p>
        </w:tc>
        <w:tc>
          <w:tcPr>
            <w:tcW w:w="1300" w:type="dxa"/>
            <w:shd w:val="clear" w:color="auto" w:fill="FFFFFF"/>
            <w:vAlign w:val="center"/>
          </w:tcPr>
          <w:p w14:paraId="17988361">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c>
          <w:tcPr>
            <w:tcW w:w="1363" w:type="dxa"/>
            <w:shd w:val="clear" w:color="auto" w:fill="FFFFFF"/>
            <w:vAlign w:val="center"/>
          </w:tcPr>
          <w:p w14:paraId="0A86C392">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6B34B4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vAlign w:val="center"/>
          </w:tcPr>
          <w:p w14:paraId="5D4BDA2E">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14:paraId="69F10A6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　</w:t>
            </w:r>
          </w:p>
        </w:tc>
        <w:tc>
          <w:tcPr>
            <w:tcW w:w="873" w:type="dxa"/>
            <w:shd w:val="clear" w:color="auto" w:fill="FFFFFF"/>
            <w:vAlign w:val="center"/>
          </w:tcPr>
          <w:p w14:paraId="3E7A849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p w14:paraId="732D167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000000" w:fill="FFFFFF"/>
            <w:vAlign w:val="center"/>
          </w:tcPr>
          <w:p w14:paraId="4632FDF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项目所设定的绩效目标是否依据充分，是否符合客观实际，用以反映和考核项目绩效目标与项目实施的相符情况。</w:t>
            </w:r>
          </w:p>
        </w:tc>
        <w:tc>
          <w:tcPr>
            <w:tcW w:w="5188" w:type="dxa"/>
            <w:shd w:val="clear" w:color="000000" w:fill="FFFFFF"/>
            <w:vAlign w:val="center"/>
          </w:tcPr>
          <w:p w14:paraId="5333FC2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（如未设定预算绩效目标，也可考核其他工作任务目标）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①项目是否有绩效目标；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②项目绩效目标与实际工作内容是否具有相关性；</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③项目预期产出效益和效果是否符合正常的业绩水平；</w:t>
            </w:r>
          </w:p>
          <w:p w14:paraId="132D417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④是否与预算确定的项目投资额或资金量相匹配。</w:t>
            </w:r>
          </w:p>
        </w:tc>
        <w:tc>
          <w:tcPr>
            <w:tcW w:w="1300" w:type="dxa"/>
            <w:shd w:val="clear" w:color="000000" w:fill="FFFFFF"/>
            <w:vAlign w:val="center"/>
          </w:tcPr>
          <w:p w14:paraId="027104C0">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7A0D2503">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0.5</w:t>
            </w:r>
          </w:p>
        </w:tc>
      </w:tr>
      <w:tr w14:paraId="4CDF6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14:paraId="750E048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决策　</w:t>
            </w:r>
          </w:p>
        </w:tc>
        <w:tc>
          <w:tcPr>
            <w:tcW w:w="767" w:type="dxa"/>
            <w:shd w:val="clear" w:color="auto" w:fill="FFFFFF"/>
            <w:vAlign w:val="center"/>
          </w:tcPr>
          <w:p w14:paraId="63EB7F6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绩效目标</w:t>
            </w:r>
          </w:p>
        </w:tc>
        <w:tc>
          <w:tcPr>
            <w:tcW w:w="873" w:type="dxa"/>
            <w:shd w:val="clear" w:color="auto" w:fill="FFFFFF"/>
            <w:vAlign w:val="center"/>
          </w:tcPr>
          <w:p w14:paraId="2C5A7ED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绩效指标</w:t>
            </w:r>
          </w:p>
          <w:p w14:paraId="165BBC7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明确性</w:t>
            </w:r>
          </w:p>
        </w:tc>
        <w:tc>
          <w:tcPr>
            <w:tcW w:w="2353" w:type="dxa"/>
            <w:shd w:val="clear" w:color="000000" w:fill="FFFFFF"/>
            <w:vAlign w:val="center"/>
          </w:tcPr>
          <w:p w14:paraId="4005066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依据绩效目标设定的绩效指标是否清晰、细化、可衡量等，用以反映和考核项目绩效目标的明细化情况。</w:t>
            </w:r>
          </w:p>
        </w:tc>
        <w:tc>
          <w:tcPr>
            <w:tcW w:w="5188" w:type="dxa"/>
            <w:shd w:val="clear" w:color="000000" w:fill="FFFFFF"/>
            <w:vAlign w:val="center"/>
          </w:tcPr>
          <w:p w14:paraId="6A7EC85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①是否将项目绩效目标细化分解为具体的绩效指标；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②是否通过清晰、可衡量的指标值予以体现；</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③是否与项目目标任务数或计划数相对应。</w:t>
            </w:r>
            <w:r>
              <w:rPr>
                <w:rFonts w:hint="eastAsia" w:ascii="宋体" w:hAnsi="宋体" w:eastAsia="宋体" w:cs="宋体"/>
                <w:color w:val="000000"/>
                <w:kern w:val="0"/>
                <w:sz w:val="18"/>
                <w:szCs w:val="18"/>
              </w:rPr>
              <w:br w:type="textWrapping"/>
            </w:r>
          </w:p>
        </w:tc>
        <w:tc>
          <w:tcPr>
            <w:tcW w:w="1300" w:type="dxa"/>
            <w:shd w:val="clear" w:color="000000" w:fill="FFFFFF"/>
            <w:vAlign w:val="center"/>
          </w:tcPr>
          <w:p w14:paraId="78A1003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4A78E72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69E9C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vAlign w:val="center"/>
          </w:tcPr>
          <w:p w14:paraId="594D2C8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vAlign w:val="center"/>
          </w:tcPr>
          <w:p w14:paraId="440EED7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资金投入</w:t>
            </w:r>
          </w:p>
          <w:p w14:paraId="3689B6A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vAlign w:val="center"/>
          </w:tcPr>
          <w:p w14:paraId="010EB78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预算编制</w:t>
            </w:r>
          </w:p>
          <w:p w14:paraId="70D8721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科学性</w:t>
            </w:r>
          </w:p>
        </w:tc>
        <w:tc>
          <w:tcPr>
            <w:tcW w:w="2353" w:type="dxa"/>
            <w:shd w:val="clear" w:color="auto" w:fill="FFFFFF"/>
            <w:vAlign w:val="center"/>
          </w:tcPr>
          <w:p w14:paraId="2118517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14:paraId="0793DFB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①预算编制是否经过科学论证；</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②预算内容与项目内容是否匹配；</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③预算额度测算依据是否充分，是否按照标准编制；</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④预算确定的项目投资额或资金量是否与工作任务相匹配。</w:t>
            </w:r>
          </w:p>
        </w:tc>
        <w:tc>
          <w:tcPr>
            <w:tcW w:w="1300" w:type="dxa"/>
            <w:shd w:val="clear" w:color="auto" w:fill="FFFFFF"/>
            <w:vAlign w:val="center"/>
          </w:tcPr>
          <w:p w14:paraId="21B5BAE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auto" w:fill="FFFFFF"/>
            <w:vAlign w:val="center"/>
          </w:tcPr>
          <w:p w14:paraId="1C2C1F7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2675A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14:paraId="28F6D14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14:paraId="2F88969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14:paraId="6A8CFB5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资金分配</w:t>
            </w:r>
          </w:p>
          <w:p w14:paraId="1D13741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合理性</w:t>
            </w:r>
          </w:p>
        </w:tc>
        <w:tc>
          <w:tcPr>
            <w:tcW w:w="2353" w:type="dxa"/>
            <w:shd w:val="clear" w:color="auto" w:fill="FFFFFF"/>
            <w:vAlign w:val="center"/>
          </w:tcPr>
          <w:p w14:paraId="5442F7C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14:paraId="0E368A5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①预算资金分配依据是否充分；</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②资金分配额度是否合理，与项目单位或地方实际是否相适应。</w:t>
            </w:r>
          </w:p>
        </w:tc>
        <w:tc>
          <w:tcPr>
            <w:tcW w:w="1300" w:type="dxa"/>
            <w:shd w:val="clear" w:color="auto" w:fill="FFFFFF"/>
            <w:vAlign w:val="center"/>
          </w:tcPr>
          <w:p w14:paraId="1F44E35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auto" w:fill="FFFFFF"/>
            <w:vAlign w:val="center"/>
          </w:tcPr>
          <w:p w14:paraId="592E5F3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32F6E5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vAlign w:val="center"/>
          </w:tcPr>
          <w:p w14:paraId="732B4EA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w:t>
            </w:r>
          </w:p>
        </w:tc>
        <w:tc>
          <w:tcPr>
            <w:tcW w:w="767" w:type="dxa"/>
            <w:vMerge w:val="restart"/>
            <w:shd w:val="clear" w:color="auto" w:fill="FFFFFF"/>
            <w:vAlign w:val="center"/>
          </w:tcPr>
          <w:p w14:paraId="38EF0D3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vAlign w:val="center"/>
          </w:tcPr>
          <w:p w14:paraId="523F4D6A">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w:t>
            </w:r>
          </w:p>
        </w:tc>
        <w:tc>
          <w:tcPr>
            <w:tcW w:w="2353" w:type="dxa"/>
            <w:shd w:val="clear" w:color="000000" w:fill="FFFFFF"/>
            <w:vAlign w:val="center"/>
          </w:tcPr>
          <w:p w14:paraId="4B98D78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实际到位资金与预算资金的比率，用以反映和考核资金落实情况对项目实施的总体保障程度。</w:t>
            </w:r>
          </w:p>
        </w:tc>
        <w:tc>
          <w:tcPr>
            <w:tcW w:w="5188" w:type="dxa"/>
            <w:shd w:val="clear" w:color="000000" w:fill="FFFFFF"/>
            <w:vAlign w:val="center"/>
          </w:tcPr>
          <w:p w14:paraId="3BF8785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资金到位率=（实际到位资金/预算资金）×100%。</w:t>
            </w:r>
          </w:p>
          <w:p w14:paraId="000B13C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实际到位资金：一定时期（本年度或项目期）内落实到具体项目的资金。</w:t>
            </w:r>
          </w:p>
          <w:p w14:paraId="06390F7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预算资金：一定时期（本年度或项目期）内预算安排到具体项目的资金。</w:t>
            </w:r>
          </w:p>
        </w:tc>
        <w:tc>
          <w:tcPr>
            <w:tcW w:w="1300" w:type="dxa"/>
            <w:shd w:val="clear" w:color="000000" w:fill="FFFFFF"/>
            <w:vAlign w:val="center"/>
          </w:tcPr>
          <w:p w14:paraId="7154C4F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419AED0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09636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14:paraId="412C968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14:paraId="0CEC3613">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14:paraId="62C8404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w:t>
            </w:r>
          </w:p>
        </w:tc>
        <w:tc>
          <w:tcPr>
            <w:tcW w:w="2353" w:type="dxa"/>
            <w:shd w:val="clear" w:color="auto" w:fill="FFFFFF"/>
            <w:vAlign w:val="center"/>
          </w:tcPr>
          <w:p w14:paraId="6EB5BDC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项目预算资金是否按照计划执行，用以反映或考核项目预算执行情况。</w:t>
            </w:r>
          </w:p>
        </w:tc>
        <w:tc>
          <w:tcPr>
            <w:tcW w:w="5188" w:type="dxa"/>
            <w:shd w:val="clear" w:color="auto" w:fill="FFFFFF"/>
            <w:vAlign w:val="center"/>
          </w:tcPr>
          <w:p w14:paraId="42D07F7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预算执行率=（实际支出资金/实际到位资金）×100%。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实际支出资金：一定时期（本年度或项目期）内项目实际拨付的资金。</w:t>
            </w:r>
          </w:p>
        </w:tc>
        <w:tc>
          <w:tcPr>
            <w:tcW w:w="1300" w:type="dxa"/>
            <w:shd w:val="clear" w:color="auto" w:fill="FFFFFF"/>
            <w:vAlign w:val="center"/>
          </w:tcPr>
          <w:p w14:paraId="14BF367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auto" w:fill="FFFFFF"/>
            <w:vAlign w:val="center"/>
          </w:tcPr>
          <w:p w14:paraId="0BBFB7F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6D2C5F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vAlign w:val="center"/>
          </w:tcPr>
          <w:p w14:paraId="3C2606C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p w14:paraId="17C9C8C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过程　</w:t>
            </w:r>
          </w:p>
        </w:tc>
        <w:tc>
          <w:tcPr>
            <w:tcW w:w="767" w:type="dxa"/>
            <w:shd w:val="clear" w:color="auto" w:fill="FFFFFF"/>
            <w:vAlign w:val="center"/>
          </w:tcPr>
          <w:p w14:paraId="7BDF347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资金管理</w:t>
            </w:r>
          </w:p>
        </w:tc>
        <w:tc>
          <w:tcPr>
            <w:tcW w:w="873" w:type="dxa"/>
            <w:shd w:val="clear" w:color="auto" w:fill="FFFFFF"/>
            <w:vAlign w:val="center"/>
          </w:tcPr>
          <w:p w14:paraId="19A1B93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资金使用</w:t>
            </w:r>
          </w:p>
          <w:p w14:paraId="3265C54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合规性</w:t>
            </w:r>
          </w:p>
        </w:tc>
        <w:tc>
          <w:tcPr>
            <w:tcW w:w="2353" w:type="dxa"/>
            <w:shd w:val="clear" w:color="000000" w:fill="FFFFFF"/>
            <w:vAlign w:val="center"/>
          </w:tcPr>
          <w:p w14:paraId="183A28F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项目资金使用是否符合相关的财务管理制度规定，用以反映和考核项目资金的规范运行情况。</w:t>
            </w:r>
          </w:p>
        </w:tc>
        <w:tc>
          <w:tcPr>
            <w:tcW w:w="5188" w:type="dxa"/>
            <w:shd w:val="clear" w:color="000000" w:fill="FFFFFF"/>
            <w:vAlign w:val="center"/>
          </w:tcPr>
          <w:p w14:paraId="2F68E35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①是否符合国家财经法规和财务管理制度以及有关专项资金管理办法的规定；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②资金的拨付是否有完整的审批程序和手续；</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③是否符合项目预算批复或合同规定的用途；</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④是否存在截留、挤占、挪用、虚列支出等情况。</w:t>
            </w:r>
          </w:p>
        </w:tc>
        <w:tc>
          <w:tcPr>
            <w:tcW w:w="1300" w:type="dxa"/>
            <w:shd w:val="clear" w:color="000000" w:fill="FFFFFF"/>
            <w:vAlign w:val="center"/>
          </w:tcPr>
          <w:p w14:paraId="3267769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0FC77D1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61CA00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14:paraId="50692C3B">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restart"/>
            <w:shd w:val="clear" w:color="auto" w:fill="FFFFFF"/>
            <w:vAlign w:val="center"/>
          </w:tcPr>
          <w:p w14:paraId="1DC4AC95">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组织实施</w:t>
            </w:r>
          </w:p>
          <w:p w14:paraId="72F87DBD">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873" w:type="dxa"/>
            <w:shd w:val="clear" w:color="auto" w:fill="FFFFFF"/>
            <w:vAlign w:val="center"/>
          </w:tcPr>
          <w:p w14:paraId="31FCC31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管理制度</w:t>
            </w:r>
          </w:p>
          <w:p w14:paraId="47E78E6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健全性</w:t>
            </w:r>
          </w:p>
        </w:tc>
        <w:tc>
          <w:tcPr>
            <w:tcW w:w="2353" w:type="dxa"/>
            <w:shd w:val="clear" w:color="000000" w:fill="FFFFFF"/>
            <w:vAlign w:val="center"/>
          </w:tcPr>
          <w:p w14:paraId="5952713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项目实施单位的财务和业务管理制度是否健全，用以反映和考核财务和业务管理制度对项目顺利实施的保障情况。</w:t>
            </w:r>
          </w:p>
        </w:tc>
        <w:tc>
          <w:tcPr>
            <w:tcW w:w="5188" w:type="dxa"/>
            <w:shd w:val="clear" w:color="000000" w:fill="FFFFFF"/>
            <w:vAlign w:val="center"/>
          </w:tcPr>
          <w:p w14:paraId="2F68446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①是否已制定或具有相应的财务和业务管理制度；</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②财务和业务管理制度是否合法、合规、完整。</w:t>
            </w:r>
          </w:p>
        </w:tc>
        <w:tc>
          <w:tcPr>
            <w:tcW w:w="1300" w:type="dxa"/>
            <w:shd w:val="clear" w:color="000000" w:fill="FFFFFF"/>
            <w:vAlign w:val="center"/>
          </w:tcPr>
          <w:p w14:paraId="45C7199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6F16244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42458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vAlign w:val="center"/>
          </w:tcPr>
          <w:p w14:paraId="12A5A0A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14:paraId="463480E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14:paraId="64D45BA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制度执行</w:t>
            </w:r>
          </w:p>
          <w:p w14:paraId="75D5AB12">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有效性</w:t>
            </w:r>
          </w:p>
        </w:tc>
        <w:tc>
          <w:tcPr>
            <w:tcW w:w="2353" w:type="dxa"/>
            <w:shd w:val="clear" w:color="000000" w:fill="FFFFFF"/>
            <w:vAlign w:val="center"/>
          </w:tcPr>
          <w:p w14:paraId="061B7227">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项目实施是否符合相关管理规定，用以反映和考核相关管理制度的有效执行情况。</w:t>
            </w:r>
          </w:p>
        </w:tc>
        <w:tc>
          <w:tcPr>
            <w:tcW w:w="5188" w:type="dxa"/>
            <w:shd w:val="clear" w:color="000000" w:fill="FFFFFF"/>
            <w:vAlign w:val="center"/>
          </w:tcPr>
          <w:p w14:paraId="2FCDCDDF">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评价要点：</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①是否遵守相关法律法规和相关管理规定；</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②项目调整及支出调整手续是否完备；</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③项目合同书、验收报告、技术鉴定等资料是否齐全并及时归档；</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④项目实施的人员条件、场地设备、信息支撑等是否落实到位。</w:t>
            </w:r>
          </w:p>
        </w:tc>
        <w:tc>
          <w:tcPr>
            <w:tcW w:w="1300" w:type="dxa"/>
            <w:shd w:val="clear" w:color="000000" w:fill="FFFFFF"/>
            <w:vAlign w:val="center"/>
          </w:tcPr>
          <w:p w14:paraId="7B42A76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363" w:type="dxa"/>
            <w:shd w:val="clear" w:color="000000" w:fill="FFFFFF"/>
            <w:vAlign w:val="center"/>
          </w:tcPr>
          <w:p w14:paraId="000C3C8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r>
      <w:tr w14:paraId="5670A8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14:paraId="1547818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vAlign w:val="center"/>
          </w:tcPr>
          <w:p w14:paraId="6E4A3C5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产出数量</w:t>
            </w:r>
          </w:p>
        </w:tc>
        <w:tc>
          <w:tcPr>
            <w:tcW w:w="873" w:type="dxa"/>
            <w:shd w:val="clear" w:color="auto" w:fill="FFFFFF"/>
            <w:vAlign w:val="center"/>
          </w:tcPr>
          <w:p w14:paraId="4BB25FDD">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w:t>
            </w:r>
          </w:p>
        </w:tc>
        <w:tc>
          <w:tcPr>
            <w:tcW w:w="2353" w:type="dxa"/>
            <w:shd w:val="clear" w:color="000000" w:fill="FFFFFF"/>
            <w:vAlign w:val="center"/>
          </w:tcPr>
          <w:p w14:paraId="167B8D5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项目实施的实际产出数与计划产出数的比率，用以反映和考核项目产出数量目标的实现程度。</w:t>
            </w:r>
          </w:p>
        </w:tc>
        <w:tc>
          <w:tcPr>
            <w:tcW w:w="5188" w:type="dxa"/>
            <w:shd w:val="clear" w:color="000000" w:fill="FFFFFF"/>
            <w:vAlign w:val="center"/>
          </w:tcPr>
          <w:p w14:paraId="2279A44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实际完成率=（实际产出数/计划产出数）×100%。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实际产出数：一定时期（本年度或项目期）内项目实际产出的产品或提供的服务数量。</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计划产出数：项目绩效目标确定的在一定时期（本年度或项目期）内计划产出的产品或提供的服务数量。</w:t>
            </w:r>
          </w:p>
        </w:tc>
        <w:tc>
          <w:tcPr>
            <w:tcW w:w="1300" w:type="dxa"/>
            <w:shd w:val="clear" w:color="000000" w:fill="FFFFFF"/>
            <w:vAlign w:val="center"/>
          </w:tcPr>
          <w:p w14:paraId="343EC82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363" w:type="dxa"/>
            <w:shd w:val="clear" w:color="000000" w:fill="FFFFFF"/>
            <w:vAlign w:val="center"/>
          </w:tcPr>
          <w:p w14:paraId="777EA98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14:paraId="051EB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vAlign w:val="center"/>
          </w:tcPr>
          <w:p w14:paraId="51D0E90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w:t>
            </w:r>
          </w:p>
        </w:tc>
        <w:tc>
          <w:tcPr>
            <w:tcW w:w="767" w:type="dxa"/>
            <w:shd w:val="clear" w:color="auto" w:fill="FFFFFF"/>
            <w:vAlign w:val="center"/>
          </w:tcPr>
          <w:p w14:paraId="3550AA2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产出质量</w:t>
            </w:r>
          </w:p>
        </w:tc>
        <w:tc>
          <w:tcPr>
            <w:tcW w:w="873" w:type="dxa"/>
            <w:shd w:val="clear" w:color="auto" w:fill="FFFFFF"/>
            <w:vAlign w:val="center"/>
          </w:tcPr>
          <w:p w14:paraId="7AFEA453">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w:t>
            </w:r>
          </w:p>
        </w:tc>
        <w:tc>
          <w:tcPr>
            <w:tcW w:w="2353" w:type="dxa"/>
            <w:shd w:val="clear" w:color="000000" w:fill="FFFFFF"/>
            <w:vAlign w:val="center"/>
          </w:tcPr>
          <w:p w14:paraId="3C32EB4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项目完成的质量达标产出数与实际产出数的比率，用以反映和考核项目产出质量目标的实现程度。</w:t>
            </w:r>
          </w:p>
        </w:tc>
        <w:tc>
          <w:tcPr>
            <w:tcW w:w="5188" w:type="dxa"/>
            <w:shd w:val="clear" w:color="000000" w:fill="FFFFFF"/>
            <w:vAlign w:val="center"/>
          </w:tcPr>
          <w:p w14:paraId="00AFAA0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质量达标率=（质量达标产出数/实际产出数）×100%。</w:t>
            </w:r>
          </w:p>
          <w:p w14:paraId="3CD4FC5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50D697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14:paraId="710F0A41">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1E7A7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14:paraId="790302D4">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14:paraId="31665C90">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产出时效</w:t>
            </w:r>
          </w:p>
        </w:tc>
        <w:tc>
          <w:tcPr>
            <w:tcW w:w="873" w:type="dxa"/>
            <w:shd w:val="clear" w:color="auto" w:fill="FFFFFF"/>
            <w:vAlign w:val="center"/>
          </w:tcPr>
          <w:p w14:paraId="7AAD22FE">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完成及时性</w:t>
            </w:r>
          </w:p>
        </w:tc>
        <w:tc>
          <w:tcPr>
            <w:tcW w:w="2353" w:type="dxa"/>
            <w:shd w:val="clear" w:color="000000" w:fill="FFFFFF"/>
            <w:vAlign w:val="center"/>
          </w:tcPr>
          <w:p w14:paraId="32AD69B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项目实际完成时间与计划完成时间的比较，用以反映和考核项目产出时效目标的实现程度。</w:t>
            </w:r>
          </w:p>
        </w:tc>
        <w:tc>
          <w:tcPr>
            <w:tcW w:w="5188" w:type="dxa"/>
            <w:shd w:val="clear" w:color="000000" w:fill="FFFFFF"/>
            <w:vAlign w:val="center"/>
          </w:tcPr>
          <w:p w14:paraId="07777F9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实际完成时间：项目实施单位完成该项目实际所耗用的时间。</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计划完成时间：按照项目实施计划或相关规定完成该项目所需的时间。</w:t>
            </w:r>
          </w:p>
        </w:tc>
        <w:tc>
          <w:tcPr>
            <w:tcW w:w="1300" w:type="dxa"/>
            <w:shd w:val="clear" w:color="000000" w:fill="FFFFFF"/>
            <w:vAlign w:val="center"/>
          </w:tcPr>
          <w:p w14:paraId="42C9379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c>
          <w:tcPr>
            <w:tcW w:w="1363" w:type="dxa"/>
            <w:shd w:val="clear" w:color="000000" w:fill="FFFFFF"/>
            <w:vAlign w:val="center"/>
          </w:tcPr>
          <w:p w14:paraId="39FDE0D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15</w:t>
            </w:r>
          </w:p>
        </w:tc>
      </w:tr>
      <w:tr w14:paraId="6434DA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vAlign w:val="center"/>
          </w:tcPr>
          <w:p w14:paraId="2D0DBFD4">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shd w:val="clear" w:color="auto" w:fill="FFFFFF"/>
            <w:vAlign w:val="center"/>
          </w:tcPr>
          <w:p w14:paraId="32300427">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产出成本</w:t>
            </w:r>
          </w:p>
        </w:tc>
        <w:tc>
          <w:tcPr>
            <w:tcW w:w="873" w:type="dxa"/>
            <w:shd w:val="clear" w:color="auto" w:fill="FFFFFF"/>
            <w:vAlign w:val="center"/>
          </w:tcPr>
          <w:p w14:paraId="6866D230">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成本节约率</w:t>
            </w:r>
          </w:p>
        </w:tc>
        <w:tc>
          <w:tcPr>
            <w:tcW w:w="2353" w:type="dxa"/>
            <w:shd w:val="clear" w:color="000000" w:fill="FFFFFF"/>
            <w:vAlign w:val="center"/>
          </w:tcPr>
          <w:p w14:paraId="6002F46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完成项目计划工作目标的实际节约成本与计划成本的比率，用以反映和考核项目的成本节约程度。</w:t>
            </w:r>
          </w:p>
        </w:tc>
        <w:tc>
          <w:tcPr>
            <w:tcW w:w="5188" w:type="dxa"/>
            <w:shd w:val="clear" w:color="000000" w:fill="FFFFFF"/>
            <w:vAlign w:val="center"/>
          </w:tcPr>
          <w:p w14:paraId="27227F3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成本节约率=[（计划成本</w:t>
            </w:r>
            <w:r>
              <w:rPr>
                <w:rFonts w:hint="eastAsia" w:ascii="宋体" w:hAnsi="宋体" w:eastAsia="宋体" w:cs="宋体"/>
                <w:color w:val="000000"/>
                <w:kern w:val="0"/>
                <w:sz w:val="18"/>
                <w:szCs w:val="18"/>
                <w:lang w:eastAsia="zh-CN"/>
              </w:rPr>
              <w:t>－</w:t>
            </w:r>
            <w:r>
              <w:rPr>
                <w:rFonts w:hint="eastAsia" w:ascii="宋体" w:hAnsi="宋体" w:eastAsia="宋体" w:cs="宋体"/>
                <w:color w:val="000000"/>
                <w:kern w:val="0"/>
                <w:sz w:val="18"/>
                <w:szCs w:val="18"/>
              </w:rPr>
              <w:t>实际成本）/计划成本]×100%。</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实际成本：项目实施单位如期、保质、保量完成既定工作目标实际所耗费的支出。</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计划成本：项目实施单位为完成工作目标计划安排的支出，一般以项目预算为参考。</w:t>
            </w:r>
          </w:p>
        </w:tc>
        <w:tc>
          <w:tcPr>
            <w:tcW w:w="1300" w:type="dxa"/>
            <w:shd w:val="clear" w:color="000000" w:fill="FFFFFF"/>
            <w:vAlign w:val="center"/>
          </w:tcPr>
          <w:p w14:paraId="777C2B38">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14:paraId="5B732A6E">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r w14:paraId="2C2247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14:paraId="4AF1CDE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效益　</w:t>
            </w:r>
          </w:p>
        </w:tc>
        <w:tc>
          <w:tcPr>
            <w:tcW w:w="767" w:type="dxa"/>
            <w:vMerge w:val="restart"/>
            <w:shd w:val="clear" w:color="auto" w:fill="FFFFFF"/>
            <w:vAlign w:val="center"/>
          </w:tcPr>
          <w:p w14:paraId="1A991C9C">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项目效益　</w:t>
            </w:r>
          </w:p>
        </w:tc>
        <w:tc>
          <w:tcPr>
            <w:tcW w:w="873" w:type="dxa"/>
            <w:shd w:val="clear" w:color="auto" w:fill="FFFFFF"/>
            <w:vAlign w:val="center"/>
          </w:tcPr>
          <w:p w14:paraId="65D023C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实施效益</w:t>
            </w:r>
          </w:p>
        </w:tc>
        <w:tc>
          <w:tcPr>
            <w:tcW w:w="2353" w:type="dxa"/>
            <w:shd w:val="clear" w:color="auto" w:fill="FFFFFF"/>
            <w:vAlign w:val="center"/>
          </w:tcPr>
          <w:p w14:paraId="201C9D9A">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项目实施所产生的效益。</w:t>
            </w:r>
          </w:p>
        </w:tc>
        <w:tc>
          <w:tcPr>
            <w:tcW w:w="5188" w:type="dxa"/>
            <w:shd w:val="clear" w:color="auto" w:fill="FFFFFF"/>
            <w:vAlign w:val="center"/>
          </w:tcPr>
          <w:p w14:paraId="4F8EC62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项目实施所产生的社会效益、经济效益、生态效益、可持续影响等。可根据项目实际情况有选择地设置和细化。</w:t>
            </w:r>
          </w:p>
        </w:tc>
        <w:tc>
          <w:tcPr>
            <w:tcW w:w="1300" w:type="dxa"/>
            <w:shd w:val="clear" w:color="auto" w:fill="FFFFFF"/>
            <w:vAlign w:val="center"/>
          </w:tcPr>
          <w:p w14:paraId="0CB20E8C">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30</w:t>
            </w:r>
          </w:p>
        </w:tc>
        <w:tc>
          <w:tcPr>
            <w:tcW w:w="1363" w:type="dxa"/>
            <w:shd w:val="clear" w:color="auto" w:fill="FFFFFF"/>
            <w:vAlign w:val="center"/>
          </w:tcPr>
          <w:p w14:paraId="46EE6A65">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27</w:t>
            </w:r>
          </w:p>
        </w:tc>
      </w:tr>
      <w:tr w14:paraId="6FA12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vAlign w:val="center"/>
          </w:tcPr>
          <w:p w14:paraId="423AB8D1">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767" w:type="dxa"/>
            <w:vMerge w:val="continue"/>
            <w:shd w:val="clear" w:color="auto" w:fill="FFFFFF"/>
            <w:vAlign w:val="center"/>
          </w:tcPr>
          <w:p w14:paraId="51AD524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p>
        </w:tc>
        <w:tc>
          <w:tcPr>
            <w:tcW w:w="873" w:type="dxa"/>
            <w:shd w:val="clear" w:color="auto" w:fill="FFFFFF"/>
            <w:vAlign w:val="center"/>
          </w:tcPr>
          <w:p w14:paraId="77CDBD7F">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满意度</w:t>
            </w:r>
          </w:p>
        </w:tc>
        <w:tc>
          <w:tcPr>
            <w:tcW w:w="2353" w:type="dxa"/>
            <w:shd w:val="clear" w:color="000000" w:fill="FFFFFF"/>
            <w:vAlign w:val="center"/>
          </w:tcPr>
          <w:p w14:paraId="50F2C95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社会公众或服务对象对项目实施效果的满意程度。</w:t>
            </w:r>
          </w:p>
        </w:tc>
        <w:tc>
          <w:tcPr>
            <w:tcW w:w="5188" w:type="dxa"/>
            <w:shd w:val="clear" w:color="000000" w:fill="FFFFFF"/>
            <w:vAlign w:val="center"/>
          </w:tcPr>
          <w:p w14:paraId="669B1A54">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社会公众或服务对象是指因该项目实施而受到影响的部门（单位）、群体或个人。一般采取社会调查的方式。</w:t>
            </w:r>
          </w:p>
        </w:tc>
        <w:tc>
          <w:tcPr>
            <w:tcW w:w="1300" w:type="dxa"/>
            <w:shd w:val="clear" w:color="000000" w:fill="FFFFFF"/>
            <w:vAlign w:val="center"/>
          </w:tcPr>
          <w:p w14:paraId="704CE000">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1363" w:type="dxa"/>
            <w:shd w:val="clear" w:color="000000" w:fill="FFFFFF"/>
            <w:vAlign w:val="center"/>
          </w:tcPr>
          <w:p w14:paraId="20445C63">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w:t>
            </w:r>
          </w:p>
        </w:tc>
      </w:tr>
    </w:tbl>
    <w:p w14:paraId="2152EFAA">
      <w:pPr>
        <w:pStyle w:val="2"/>
        <w:keepNext w:val="0"/>
        <w:keepLines w:val="0"/>
        <w:pageBreakBefore w:val="0"/>
        <w:kinsoku/>
        <w:wordWrap/>
        <w:overflowPunct/>
        <w:topLinePunct w:val="0"/>
        <w:autoSpaceDE/>
        <w:autoSpaceDN/>
        <w:bidi w:val="0"/>
        <w:adjustRightInd/>
        <w:snapToGrid/>
        <w:spacing w:before="0" w:after="0" w:line="560" w:lineRule="exact"/>
        <w:textAlignment w:val="auto"/>
        <w:rPr>
          <w:rFonts w:hint="eastAsia" w:ascii="宋体" w:hAnsi="宋体" w:eastAsia="宋体" w:cs="宋体"/>
          <w:sz w:val="18"/>
          <w:szCs w:val="18"/>
        </w:rPr>
      </w:pPr>
    </w:p>
    <w:p w14:paraId="76D21472">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sz w:val="18"/>
          <w:szCs w:val="18"/>
        </w:rPr>
      </w:pPr>
    </w:p>
    <w:p w14:paraId="5497DBEA">
      <w:pPr>
        <w:keepNext w:val="0"/>
        <w:keepLines w:val="0"/>
        <w:pageBreakBefore w:val="0"/>
        <w:kinsoku/>
        <w:wordWrap/>
        <w:overflowPunct/>
        <w:topLinePunct w:val="0"/>
        <w:autoSpaceDE/>
        <w:autoSpaceDN/>
        <w:bidi w:val="0"/>
        <w:adjustRightInd/>
        <w:snapToGrid/>
        <w:spacing w:line="560" w:lineRule="exact"/>
        <w:ind w:firstLine="640"/>
        <w:textAlignment w:val="auto"/>
        <w:rPr>
          <w:rStyle w:val="12"/>
          <w:rFonts w:hint="eastAsia" w:ascii="宋体" w:hAnsi="宋体" w:eastAsia="宋体" w:cs="宋体"/>
          <w:bCs w:val="0"/>
          <w:spacing w:val="-4"/>
          <w:sz w:val="18"/>
          <w:szCs w:val="18"/>
        </w:rPr>
      </w:pPr>
    </w:p>
    <w:p w14:paraId="3F5C7F88">
      <w:pPr>
        <w:keepNext w:val="0"/>
        <w:keepLines w:val="0"/>
        <w:pageBreakBefore w:val="0"/>
        <w:kinsoku/>
        <w:wordWrap/>
        <w:overflowPunct/>
        <w:topLinePunct w:val="0"/>
        <w:autoSpaceDE/>
        <w:autoSpaceDN/>
        <w:bidi w:val="0"/>
        <w:adjustRightInd/>
        <w:snapToGrid/>
        <w:spacing w:line="560" w:lineRule="exact"/>
        <w:ind w:firstLine="640"/>
        <w:textAlignment w:val="auto"/>
        <w:rPr>
          <w:rStyle w:val="12"/>
          <w:rFonts w:hint="eastAsia" w:ascii="宋体" w:hAnsi="宋体" w:eastAsia="宋体" w:cs="宋体"/>
          <w:bCs w:val="0"/>
          <w:spacing w:val="-4"/>
          <w:sz w:val="18"/>
          <w:szCs w:val="18"/>
        </w:rPr>
      </w:pPr>
    </w:p>
    <w:p w14:paraId="5E8671BE">
      <w:pPr>
        <w:spacing w:line="540" w:lineRule="exact"/>
        <w:ind w:firstLine="640"/>
        <w:rPr>
          <w:rStyle w:val="12"/>
          <w:rFonts w:ascii="黑体" w:hAnsi="黑体" w:eastAsia="黑体"/>
          <w:bCs w:val="0"/>
          <w:spacing w:val="-4"/>
          <w:sz w:val="32"/>
          <w:szCs w:val="32"/>
        </w:rPr>
      </w:pPr>
    </w:p>
    <w:p w14:paraId="03673C3E">
      <w:pPr>
        <w:spacing w:line="540" w:lineRule="exact"/>
        <w:ind w:firstLine="640"/>
        <w:rPr>
          <w:rStyle w:val="12"/>
          <w:rFonts w:ascii="黑体" w:hAnsi="黑体" w:eastAsia="黑体"/>
          <w:bCs w:val="0"/>
          <w:spacing w:val="-4"/>
          <w:sz w:val="32"/>
          <w:szCs w:val="32"/>
        </w:rPr>
      </w:pPr>
    </w:p>
    <w:p w14:paraId="48208469">
      <w:pPr>
        <w:spacing w:line="540" w:lineRule="exact"/>
        <w:ind w:firstLine="640"/>
        <w:rPr>
          <w:rStyle w:val="12"/>
          <w:rFonts w:ascii="黑体" w:hAnsi="黑体" w:eastAsia="黑体"/>
          <w:bCs w:val="0"/>
          <w:spacing w:val="-4"/>
          <w:sz w:val="32"/>
          <w:szCs w:val="32"/>
        </w:rPr>
      </w:pPr>
    </w:p>
    <w:p w14:paraId="53AD3812">
      <w:pPr>
        <w:spacing w:line="540" w:lineRule="exact"/>
        <w:ind w:firstLine="640"/>
        <w:rPr>
          <w:rStyle w:val="12"/>
          <w:rFonts w:ascii="黑体" w:hAnsi="黑体" w:eastAsia="黑体"/>
          <w:bCs w:val="0"/>
          <w:spacing w:val="-4"/>
          <w:sz w:val="32"/>
          <w:szCs w:val="32"/>
        </w:rPr>
      </w:pPr>
    </w:p>
    <w:p w14:paraId="6F372329">
      <w:pPr>
        <w:spacing w:line="540" w:lineRule="exact"/>
        <w:rPr>
          <w:rStyle w:val="12"/>
          <w:rFonts w:ascii="仿宋" w:hAnsi="仿宋" w:eastAsia="仿宋"/>
          <w:b w:val="0"/>
          <w:spacing w:val="-4"/>
          <w:sz w:val="32"/>
          <w:szCs w:val="32"/>
        </w:rPr>
      </w:pPr>
    </w:p>
    <w:p w14:paraId="1693811D">
      <w:pPr>
        <w:spacing w:line="20" w:lineRule="atLeast"/>
        <w:contextualSpacing/>
        <w:rPr>
          <w:rFonts w:ascii="仿宋_GB2312" w:hAnsi="仿宋_GB2312" w:eastAsia="仿宋_GB2312" w:cs="仿宋_GB2312"/>
          <w:sz w:val="30"/>
          <w:szCs w:val="30"/>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D32359F-EB07-498B-8F11-8C593FFE6A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2" w:fontKey="{63A99D83-5091-4D7B-AE24-02BC734B43A2}"/>
  </w:font>
  <w:font w:name="方正小标宋简体">
    <w:panose1 w:val="02000000000000000000"/>
    <w:charset w:val="86"/>
    <w:family w:val="auto"/>
    <w:pitch w:val="default"/>
    <w:sig w:usb0="00000001" w:usb1="08000000" w:usb2="00000000" w:usb3="00000000" w:csb0="00040000" w:csb1="00000000"/>
    <w:embedRegular r:id="rId3" w:fontKey="{881905E9-D0F1-4D7A-8DF7-75A401D44021}"/>
  </w:font>
  <w:font w:name="仿宋_GB2312">
    <w:altName w:val="仿宋"/>
    <w:panose1 w:val="02010609030101010101"/>
    <w:charset w:val="86"/>
    <w:family w:val="modern"/>
    <w:pitch w:val="default"/>
    <w:sig w:usb0="00000000" w:usb1="00000000" w:usb2="00000000" w:usb3="00000000" w:csb0="00040000" w:csb1="00000000"/>
    <w:embedRegular r:id="rId4" w:fontKey="{CBA50F2B-98AD-4A86-9062-21FE28EB0FF2}"/>
  </w:font>
  <w:font w:name="楷体_GB2312">
    <w:altName w:val="楷体"/>
    <w:panose1 w:val="00000000000000000000"/>
    <w:charset w:val="86"/>
    <w:family w:val="auto"/>
    <w:pitch w:val="default"/>
    <w:sig w:usb0="00000000" w:usb1="00000000" w:usb2="00000000" w:usb3="00000000" w:csb0="00040000" w:csb1="00000000"/>
    <w:embedRegular r:id="rId5" w:fontKey="{B8E73B07-9D28-4071-8311-515F1219102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embedRegular r:id="rId6" w:fontKey="{470DED9E-BACF-4696-929C-2F352AE278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1B262">
    <w:pPr>
      <w:pStyle w:val="7"/>
      <w:jc w:val="right"/>
      <w:rPr>
        <w:rFonts w:ascii="宋体" w:hAnsi="宋体" w:eastAsia="宋体"/>
        <w:sz w:val="28"/>
        <w:szCs w:val="28"/>
      </w:rPr>
    </w:pPr>
    <w:r>
      <w:rPr>
        <w:sz w:val="28"/>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14:paraId="59C96992">
                <w:pPr>
                  <w:pStyle w:val="7"/>
                  <w:rPr>
                    <w:rFonts w:eastAsia="宋体"/>
                  </w:rPr>
                </w:pPr>
                <w:r>
                  <w:fldChar w:fldCharType="begin"/>
                </w:r>
                <w:r>
                  <w:instrText xml:space="preserve"> PAGE  \* MERGEFORMAT </w:instrText>
                </w:r>
                <w:r>
                  <w:fldChar w:fldCharType="separate"/>
                </w:r>
                <w:r>
                  <w:t>- 12 -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FA1FD">
    <w:pPr>
      <w:pStyle w:val="7"/>
      <w:jc w:val="center"/>
    </w:pPr>
    <w:r>
      <w:pict>
        <v:shape id="_x0000_s1029"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path/>
          <v:fill on="f" focussize="0,0"/>
          <v:stroke on="f" weight="0.5pt" joinstyle="miter"/>
          <v:imagedata o:title=""/>
          <o:lock v:ext="edit"/>
          <v:textbox inset="0mm,0mm,0mm,0mm" style="mso-fit-shape-to-text:t;">
            <w:txbxContent>
              <w:p w14:paraId="4CE57D40">
                <w:pPr>
                  <w:pStyle w:val="7"/>
                  <w:rPr>
                    <w:rFonts w:eastAsia="宋体"/>
                  </w:rPr>
                </w:pPr>
                <w:r>
                  <w:fldChar w:fldCharType="begin"/>
                </w:r>
                <w:r>
                  <w:instrText xml:space="preserve"> PAGE  \* MERGEFORMAT </w:instrText>
                </w:r>
                <w:r>
                  <w:fldChar w:fldCharType="separate"/>
                </w:r>
                <w:r>
                  <w:t>- 0 -</w:t>
                </w:r>
                <w:r>
                  <w:fldChar w:fldCharType="end"/>
                </w:r>
              </w:p>
            </w:txbxContent>
          </v:textbox>
        </v:shape>
      </w:pict>
    </w:r>
  </w:p>
  <w:p w14:paraId="71612DD0">
    <w:pPr>
      <w:pStyle w:val="7"/>
      <w:ind w:right="360"/>
      <w:jc w:val="center"/>
      <w:rPr>
        <w:rFonts w:ascii="宋体" w:hAnsi="宋体" w:eastAsia="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E125D">
    <w:pPr>
      <w:pStyle w:val="7"/>
      <w:jc w:val="right"/>
      <w:rPr>
        <w:rFonts w:ascii="宋体" w:hAnsi="宋体" w:eastAsia="宋体"/>
        <w:sz w:val="28"/>
        <w:szCs w:val="28"/>
      </w:rPr>
    </w:pPr>
    <w:r>
      <w:rPr>
        <w:sz w:val="28"/>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52B60D0A">
                <w:pPr>
                  <w:pStyle w:val="7"/>
                  <w:rPr>
                    <w:rFonts w:eastAsia="宋体"/>
                  </w:rPr>
                </w:pPr>
                <w:r>
                  <w:fldChar w:fldCharType="begin"/>
                </w:r>
                <w:r>
                  <w:instrText xml:space="preserve"> PAGE  \* MERGEFORMAT </w:instrText>
                </w:r>
                <w:r>
                  <w:fldChar w:fldCharType="separate"/>
                </w:r>
                <w:r>
                  <w:t>- 17 -</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C4284">
    <w:pPr>
      <w:pStyle w:val="7"/>
      <w:jc w:val="center"/>
    </w:pPr>
    <w:r>
      <w:pict>
        <v:shape id="_x0000_s1027" o:spid="_x0000_s1027"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path/>
          <v:fill on="f" focussize="0,0"/>
          <v:stroke on="f" weight="0.5pt" joinstyle="miter"/>
          <v:imagedata o:title=""/>
          <o:lock v:ext="edit"/>
          <v:textbox inset="0mm,0mm,0mm,0mm" style="mso-fit-shape-to-text:t;">
            <w:txbxContent>
              <w:p w14:paraId="18C73387">
                <w:pPr>
                  <w:pStyle w:val="7"/>
                  <w:rPr>
                    <w:rFonts w:eastAsia="宋体"/>
                  </w:rPr>
                </w:pPr>
                <w:r>
                  <w:fldChar w:fldCharType="begin"/>
                </w:r>
                <w:r>
                  <w:instrText xml:space="preserve"> PAGE  \* MERGEFORMAT </w:instrText>
                </w:r>
                <w:r>
                  <w:fldChar w:fldCharType="separate"/>
                </w:r>
                <w:r>
                  <w:t>- 16 -</w:t>
                </w:r>
                <w:r>
                  <w:fldChar w:fldCharType="end"/>
                </w:r>
              </w:p>
            </w:txbxContent>
          </v:textbox>
        </v:shape>
      </w:pict>
    </w:r>
  </w:p>
  <w:p w14:paraId="2A59B0EF">
    <w:pPr>
      <w:pStyle w:val="7"/>
      <w:ind w:right="360"/>
      <w:jc w:val="center"/>
      <w:rPr>
        <w:rFonts w:ascii="宋体" w:hAnsi="宋体" w:eastAsia="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7D328"/>
    <w:multiLevelType w:val="singleLevel"/>
    <w:tmpl w:val="B767D328"/>
    <w:lvl w:ilvl="0" w:tentative="0">
      <w:start w:val="1"/>
      <w:numFmt w:val="decimal"/>
      <w:suff w:val="nothing"/>
      <w:lvlText w:val="（%1）"/>
      <w:lvlJc w:val="left"/>
    </w:lvl>
  </w:abstractNum>
  <w:abstractNum w:abstractNumId="1">
    <w:nsid w:val="D2E7478A"/>
    <w:multiLevelType w:val="singleLevel"/>
    <w:tmpl w:val="D2E7478A"/>
    <w:lvl w:ilvl="0" w:tentative="0">
      <w:start w:val="2"/>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0"/>
  <w:bordersDoNotSurroundFooter w:val="0"/>
  <w:documentProtection w:enforcement="0"/>
  <w:defaultTabStop w:val="420"/>
  <w:evenAndOddHeaders w:val="1"/>
  <w:drawingGridHorizontalSpacing w:val="101"/>
  <w:drawingGridVerticalSpacing w:val="579"/>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D0058"/>
    <w:rsid w:val="00092390"/>
    <w:rsid w:val="000E3729"/>
    <w:rsid w:val="000F4112"/>
    <w:rsid w:val="000F4655"/>
    <w:rsid w:val="000F7C30"/>
    <w:rsid w:val="002807FA"/>
    <w:rsid w:val="002A7207"/>
    <w:rsid w:val="002A77DA"/>
    <w:rsid w:val="00331A8D"/>
    <w:rsid w:val="003A4A46"/>
    <w:rsid w:val="003F29C1"/>
    <w:rsid w:val="00442473"/>
    <w:rsid w:val="00454000"/>
    <w:rsid w:val="004B36DB"/>
    <w:rsid w:val="00513AE4"/>
    <w:rsid w:val="00514A5E"/>
    <w:rsid w:val="00564CBE"/>
    <w:rsid w:val="0060668E"/>
    <w:rsid w:val="00607357"/>
    <w:rsid w:val="00627F92"/>
    <w:rsid w:val="006700C2"/>
    <w:rsid w:val="006B55BD"/>
    <w:rsid w:val="006B786A"/>
    <w:rsid w:val="006C323A"/>
    <w:rsid w:val="006D0058"/>
    <w:rsid w:val="006D391A"/>
    <w:rsid w:val="006D654E"/>
    <w:rsid w:val="006E5A9D"/>
    <w:rsid w:val="0070309C"/>
    <w:rsid w:val="00711352"/>
    <w:rsid w:val="00714386"/>
    <w:rsid w:val="00725034"/>
    <w:rsid w:val="007565E9"/>
    <w:rsid w:val="007C3E67"/>
    <w:rsid w:val="007D0528"/>
    <w:rsid w:val="00814029"/>
    <w:rsid w:val="00873764"/>
    <w:rsid w:val="008771E2"/>
    <w:rsid w:val="008C1578"/>
    <w:rsid w:val="008F6E3C"/>
    <w:rsid w:val="00913A39"/>
    <w:rsid w:val="00933A8D"/>
    <w:rsid w:val="00981427"/>
    <w:rsid w:val="009853D6"/>
    <w:rsid w:val="009A16C4"/>
    <w:rsid w:val="009A79DA"/>
    <w:rsid w:val="00A6579F"/>
    <w:rsid w:val="00AB48DA"/>
    <w:rsid w:val="00AE7904"/>
    <w:rsid w:val="00B128D2"/>
    <w:rsid w:val="00B27295"/>
    <w:rsid w:val="00C02A83"/>
    <w:rsid w:val="00C13FD2"/>
    <w:rsid w:val="00C80AD2"/>
    <w:rsid w:val="00C97E19"/>
    <w:rsid w:val="00CC319C"/>
    <w:rsid w:val="00D21981"/>
    <w:rsid w:val="00D86537"/>
    <w:rsid w:val="00DA046F"/>
    <w:rsid w:val="00EF7D8C"/>
    <w:rsid w:val="00F3176F"/>
    <w:rsid w:val="00F93D47"/>
    <w:rsid w:val="00FA6BAA"/>
    <w:rsid w:val="00FD0443"/>
    <w:rsid w:val="01784A05"/>
    <w:rsid w:val="01914558"/>
    <w:rsid w:val="01CF00D6"/>
    <w:rsid w:val="025B3BE8"/>
    <w:rsid w:val="031E36AF"/>
    <w:rsid w:val="038A6EDE"/>
    <w:rsid w:val="0399685F"/>
    <w:rsid w:val="055139A5"/>
    <w:rsid w:val="070C54E0"/>
    <w:rsid w:val="070D0DDE"/>
    <w:rsid w:val="07552D6A"/>
    <w:rsid w:val="0939518B"/>
    <w:rsid w:val="0B893605"/>
    <w:rsid w:val="0C135457"/>
    <w:rsid w:val="0C141BBC"/>
    <w:rsid w:val="0C5D51E5"/>
    <w:rsid w:val="0D29368F"/>
    <w:rsid w:val="0F7530D6"/>
    <w:rsid w:val="0F8E064B"/>
    <w:rsid w:val="10581E1B"/>
    <w:rsid w:val="11FD6573"/>
    <w:rsid w:val="13D4644A"/>
    <w:rsid w:val="13ED34A5"/>
    <w:rsid w:val="15DF59D6"/>
    <w:rsid w:val="15F85BAC"/>
    <w:rsid w:val="16554DB2"/>
    <w:rsid w:val="183703D5"/>
    <w:rsid w:val="19242CB5"/>
    <w:rsid w:val="19733339"/>
    <w:rsid w:val="1A75199D"/>
    <w:rsid w:val="1D2C6782"/>
    <w:rsid w:val="1D684560"/>
    <w:rsid w:val="1DFA21B9"/>
    <w:rsid w:val="1F642450"/>
    <w:rsid w:val="1FD17C0C"/>
    <w:rsid w:val="201A665E"/>
    <w:rsid w:val="20747316"/>
    <w:rsid w:val="20820D71"/>
    <w:rsid w:val="20A53819"/>
    <w:rsid w:val="20C54D12"/>
    <w:rsid w:val="20CF45F1"/>
    <w:rsid w:val="21172E4E"/>
    <w:rsid w:val="235653BC"/>
    <w:rsid w:val="23710AB2"/>
    <w:rsid w:val="23D6312B"/>
    <w:rsid w:val="2542567F"/>
    <w:rsid w:val="27B97C29"/>
    <w:rsid w:val="286B6DC0"/>
    <w:rsid w:val="299440C2"/>
    <w:rsid w:val="29B55817"/>
    <w:rsid w:val="2C4418C5"/>
    <w:rsid w:val="2D8B7FBE"/>
    <w:rsid w:val="2D8E7843"/>
    <w:rsid w:val="2DAC5CC0"/>
    <w:rsid w:val="2DC16599"/>
    <w:rsid w:val="2E163768"/>
    <w:rsid w:val="2E75095B"/>
    <w:rsid w:val="301F6672"/>
    <w:rsid w:val="302D1B85"/>
    <w:rsid w:val="30EA7E32"/>
    <w:rsid w:val="32AA61FC"/>
    <w:rsid w:val="32F52106"/>
    <w:rsid w:val="33172B0D"/>
    <w:rsid w:val="33433B3D"/>
    <w:rsid w:val="33670977"/>
    <w:rsid w:val="33D51CDD"/>
    <w:rsid w:val="34800692"/>
    <w:rsid w:val="35182190"/>
    <w:rsid w:val="36562918"/>
    <w:rsid w:val="36E64691"/>
    <w:rsid w:val="37140406"/>
    <w:rsid w:val="387B27AA"/>
    <w:rsid w:val="394028F2"/>
    <w:rsid w:val="3A0128EB"/>
    <w:rsid w:val="3AB4330E"/>
    <w:rsid w:val="3AC500C9"/>
    <w:rsid w:val="3B2C2449"/>
    <w:rsid w:val="3C1B3EE5"/>
    <w:rsid w:val="3C2B6C5E"/>
    <w:rsid w:val="3C916D75"/>
    <w:rsid w:val="3CA059BD"/>
    <w:rsid w:val="3CF92CAE"/>
    <w:rsid w:val="3D755E2F"/>
    <w:rsid w:val="3F077EFC"/>
    <w:rsid w:val="3FD20574"/>
    <w:rsid w:val="3FD44BC9"/>
    <w:rsid w:val="3FDA4CE3"/>
    <w:rsid w:val="403D489F"/>
    <w:rsid w:val="41196C54"/>
    <w:rsid w:val="429E23B0"/>
    <w:rsid w:val="4312091A"/>
    <w:rsid w:val="445874D8"/>
    <w:rsid w:val="44B107B8"/>
    <w:rsid w:val="44F02B2E"/>
    <w:rsid w:val="450B57D4"/>
    <w:rsid w:val="4547788F"/>
    <w:rsid w:val="456742AD"/>
    <w:rsid w:val="45B67C28"/>
    <w:rsid w:val="484676D5"/>
    <w:rsid w:val="486661A3"/>
    <w:rsid w:val="48AB2F87"/>
    <w:rsid w:val="48E43BA8"/>
    <w:rsid w:val="49D85504"/>
    <w:rsid w:val="49F671AB"/>
    <w:rsid w:val="4BCC6442"/>
    <w:rsid w:val="4BEA7161"/>
    <w:rsid w:val="4C9318D1"/>
    <w:rsid w:val="4C962BB0"/>
    <w:rsid w:val="4CA85B75"/>
    <w:rsid w:val="4DE73A20"/>
    <w:rsid w:val="4E033EF0"/>
    <w:rsid w:val="4E4310CC"/>
    <w:rsid w:val="4F777F61"/>
    <w:rsid w:val="50262313"/>
    <w:rsid w:val="508F3813"/>
    <w:rsid w:val="516959CF"/>
    <w:rsid w:val="51E46BF3"/>
    <w:rsid w:val="522C5A2D"/>
    <w:rsid w:val="52310B39"/>
    <w:rsid w:val="52C215DB"/>
    <w:rsid w:val="52C87B95"/>
    <w:rsid w:val="54636DD4"/>
    <w:rsid w:val="55000196"/>
    <w:rsid w:val="5742436A"/>
    <w:rsid w:val="57472B42"/>
    <w:rsid w:val="57D35B06"/>
    <w:rsid w:val="57DD7104"/>
    <w:rsid w:val="588A234B"/>
    <w:rsid w:val="58BC2193"/>
    <w:rsid w:val="59133268"/>
    <w:rsid w:val="598D63D7"/>
    <w:rsid w:val="59E536A4"/>
    <w:rsid w:val="5A313F0D"/>
    <w:rsid w:val="5A3A6E93"/>
    <w:rsid w:val="5A893083"/>
    <w:rsid w:val="5AB31D12"/>
    <w:rsid w:val="5C0A733F"/>
    <w:rsid w:val="5C1B2810"/>
    <w:rsid w:val="5C415C39"/>
    <w:rsid w:val="5D480EBA"/>
    <w:rsid w:val="5DAB2317"/>
    <w:rsid w:val="5E405C0C"/>
    <w:rsid w:val="5EF16B2E"/>
    <w:rsid w:val="5F5711C4"/>
    <w:rsid w:val="5FAD31C1"/>
    <w:rsid w:val="5FE67149"/>
    <w:rsid w:val="5FF85BDA"/>
    <w:rsid w:val="60A277B2"/>
    <w:rsid w:val="60C02DB6"/>
    <w:rsid w:val="60F50300"/>
    <w:rsid w:val="613F7866"/>
    <w:rsid w:val="61B53D20"/>
    <w:rsid w:val="61E53B58"/>
    <w:rsid w:val="62066949"/>
    <w:rsid w:val="626A07E8"/>
    <w:rsid w:val="626F22F4"/>
    <w:rsid w:val="634E63B2"/>
    <w:rsid w:val="63960F93"/>
    <w:rsid w:val="649D74DD"/>
    <w:rsid w:val="65234EF5"/>
    <w:rsid w:val="659C2052"/>
    <w:rsid w:val="66231AAF"/>
    <w:rsid w:val="66547576"/>
    <w:rsid w:val="670B15D1"/>
    <w:rsid w:val="6A2724B2"/>
    <w:rsid w:val="6B025D87"/>
    <w:rsid w:val="6B1D30DA"/>
    <w:rsid w:val="6CBA30C2"/>
    <w:rsid w:val="6D8A3547"/>
    <w:rsid w:val="6DCC6C28"/>
    <w:rsid w:val="6E280F49"/>
    <w:rsid w:val="6F6B08DC"/>
    <w:rsid w:val="702C1DD5"/>
    <w:rsid w:val="711516D2"/>
    <w:rsid w:val="71233C7C"/>
    <w:rsid w:val="71C12BD4"/>
    <w:rsid w:val="71CD40C0"/>
    <w:rsid w:val="72ED352B"/>
    <w:rsid w:val="734E6B09"/>
    <w:rsid w:val="73D25B3D"/>
    <w:rsid w:val="763F446A"/>
    <w:rsid w:val="7679400C"/>
    <w:rsid w:val="769C7A31"/>
    <w:rsid w:val="779B0063"/>
    <w:rsid w:val="78C666E6"/>
    <w:rsid w:val="78FA0E91"/>
    <w:rsid w:val="79D82916"/>
    <w:rsid w:val="7B26755D"/>
    <w:rsid w:val="7CC3540F"/>
    <w:rsid w:val="7CFF243F"/>
    <w:rsid w:val="7D9A5C8C"/>
    <w:rsid w:val="7EBD740A"/>
    <w:rsid w:val="7EEC36DC"/>
    <w:rsid w:val="7F8F35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99"/>
    <w:pPr>
      <w:keepNext/>
      <w:keepLines/>
      <w:spacing w:before="260" w:after="260" w:line="416" w:lineRule="auto"/>
      <w:outlineLvl w:val="2"/>
    </w:pPr>
    <w:rPr>
      <w:rFonts w:ascii="Times New Roman"/>
      <w:b/>
      <w:bCs/>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semiHidden/>
    <w:unhideWhenUsed/>
    <w:qFormat/>
    <w:uiPriority w:val="99"/>
    <w:pPr>
      <w:jc w:val="left"/>
    </w:pPr>
  </w:style>
  <w:style w:type="paragraph" w:styleId="6">
    <w:name w:val="Balloon Text"/>
    <w:basedOn w:val="1"/>
    <w:link w:val="20"/>
    <w:semiHidden/>
    <w:unhideWhenUsed/>
    <w:qFormat/>
    <w:uiPriority w:val="99"/>
    <w:rPr>
      <w:sz w:val="18"/>
      <w:szCs w:val="18"/>
    </w:rPr>
  </w:style>
  <w:style w:type="paragraph" w:styleId="7">
    <w:name w:val="footer"/>
    <w:basedOn w:val="1"/>
    <w:link w:val="14"/>
    <w:qFormat/>
    <w:uiPriority w:val="99"/>
    <w:pPr>
      <w:tabs>
        <w:tab w:val="center" w:pos="4153"/>
        <w:tab w:val="right" w:pos="8306"/>
      </w:tabs>
      <w:snapToGrid w:val="0"/>
      <w:jc w:val="left"/>
    </w:pPr>
    <w:rPr>
      <w:rFonts w:eastAsia="黑体" w:asciiTheme="minorHAnsi" w:hAnsiTheme="minorHAnsi" w:cstheme="minorBidi"/>
      <w:sz w:val="18"/>
      <w:szCs w:val="18"/>
    </w:rPr>
  </w:style>
  <w:style w:type="paragraph" w:styleId="8">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bCs/>
    </w:rPr>
  </w:style>
  <w:style w:type="character" w:customStyle="1" w:styleId="13">
    <w:name w:val="页脚 Char"/>
    <w:link w:val="7"/>
    <w:qFormat/>
    <w:uiPriority w:val="99"/>
    <w:rPr>
      <w:rFonts w:eastAsia="黑体"/>
      <w:sz w:val="18"/>
      <w:szCs w:val="18"/>
    </w:rPr>
  </w:style>
  <w:style w:type="character" w:customStyle="1" w:styleId="14">
    <w:name w:val="页脚 Char1"/>
    <w:basedOn w:val="11"/>
    <w:link w:val="7"/>
    <w:semiHidden/>
    <w:qFormat/>
    <w:uiPriority w:val="99"/>
    <w:rPr>
      <w:rFonts w:ascii="Calibri" w:hAnsi="Calibri" w:eastAsia="宋体" w:cs="Times New Roman"/>
      <w:sz w:val="18"/>
      <w:szCs w:val="18"/>
    </w:rPr>
  </w:style>
  <w:style w:type="paragraph" w:styleId="15">
    <w:name w:val="List Paragraph"/>
    <w:basedOn w:val="1"/>
    <w:link w:val="18"/>
    <w:qFormat/>
    <w:uiPriority w:val="99"/>
    <w:pPr>
      <w:ind w:firstLine="420" w:firstLineChars="200"/>
    </w:pPr>
  </w:style>
  <w:style w:type="character" w:customStyle="1" w:styleId="16">
    <w:name w:val="页眉 Char"/>
    <w:basedOn w:val="11"/>
    <w:link w:val="8"/>
    <w:semiHidden/>
    <w:qFormat/>
    <w:uiPriority w:val="99"/>
    <w:rPr>
      <w:rFonts w:ascii="Calibri" w:hAnsi="Calibri" w:eastAsia="宋体" w:cs="Times New Roman"/>
      <w:kern w:val="2"/>
      <w:sz w:val="18"/>
      <w:szCs w:val="18"/>
    </w:rPr>
  </w:style>
  <w:style w:type="character" w:customStyle="1" w:styleId="17">
    <w:name w:val="标题 2 Char"/>
    <w:basedOn w:val="11"/>
    <w:link w:val="3"/>
    <w:qFormat/>
    <w:uiPriority w:val="9"/>
    <w:rPr>
      <w:rFonts w:asciiTheme="majorHAnsi" w:hAnsiTheme="majorHAnsi" w:eastAsiaTheme="majorEastAsia" w:cstheme="majorBidi"/>
      <w:b/>
      <w:bCs/>
      <w:kern w:val="2"/>
      <w:sz w:val="32"/>
      <w:szCs w:val="32"/>
    </w:rPr>
  </w:style>
  <w:style w:type="character" w:customStyle="1" w:styleId="18">
    <w:name w:val="列出段落 Char"/>
    <w:link w:val="15"/>
    <w:qFormat/>
    <w:locked/>
    <w:uiPriority w:val="99"/>
    <w:rPr>
      <w:rFonts w:ascii="Calibri" w:hAnsi="Calibri" w:eastAsia="宋体" w:cs="Times New Roman"/>
      <w:kern w:val="2"/>
      <w:sz w:val="21"/>
      <w:szCs w:val="24"/>
    </w:rPr>
  </w:style>
  <w:style w:type="paragraph" w:customStyle="1" w:styleId="19">
    <w:name w:val="闻政-正文段落文字"/>
    <w:basedOn w:val="1"/>
    <w:qFormat/>
    <w:uiPriority w:val="3"/>
    <w:pPr>
      <w:spacing w:line="500" w:lineRule="exact"/>
      <w:ind w:firstLine="200"/>
    </w:pPr>
    <w:rPr>
      <w:rFonts w:ascii="Times New Roman" w:hAnsi="Times New Roman" w:eastAsiaTheme="minorEastAsia"/>
      <w:kern w:val="0"/>
      <w:szCs w:val="28"/>
    </w:rPr>
  </w:style>
  <w:style w:type="character" w:customStyle="1" w:styleId="20">
    <w:name w:val="批注框文本 Char"/>
    <w:basedOn w:val="11"/>
    <w:link w:val="6"/>
    <w:semiHidden/>
    <w:qFormat/>
    <w:uiPriority w:val="99"/>
    <w:rPr>
      <w:rFonts w:ascii="Calibri" w:hAnsi="Calibri" w:eastAsia="宋体" w:cs="Times New Roman"/>
      <w:kern w:val="2"/>
      <w:sz w:val="18"/>
      <w:szCs w:val="18"/>
    </w:rPr>
  </w:style>
  <w:style w:type="paragraph" w:customStyle="1" w:styleId="21">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28</Pages>
  <Words>9009</Words>
  <Characters>9490</Characters>
  <Lines>13</Lines>
  <Paragraphs>21</Paragraphs>
  <TotalTime>5</TotalTime>
  <ScaleCrop>false</ScaleCrop>
  <LinksUpToDate>false</LinksUpToDate>
  <CharactersWithSpaces>9544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2020-03-25T11:26:00Z</dcterms:created>
  <dc:creator>颜娜</dc:creator>
  <cp:lastModifiedBy>周而</cp:lastModifiedBy>
  <cp:lastPrinted>2020-04-23T05:07:00Z</cp:lastPrinted>
  <dcterms:modified xsi:type="dcterms:W3CDTF">2025-03-31T11:09:04Z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SaveFontToCloudKey">
    <vt:lpwstr>229835342_cloud</vt:lpwstr>
  </property>
  <property fmtid="{D5CDD505-2E9C-101B-9397-08002B2CF9AE}" pid="4" name="ICV">
    <vt:lpwstr>78C6C411A6DB40AF84480DDFFB584E2C</vt:lpwstr>
  </property>
  <property fmtid="{D5CDD505-2E9C-101B-9397-08002B2CF9AE}" pid="5" name="KSOTemplateDocerSaveRecord">
    <vt:lpwstr>eyJoZGlkIjoiN2VjMGM4YTNmZTY1NDFjMWFjNmVmZmU0NDA2ZTk0ZmMiLCJ1c2VySWQiOiI4NjI1NDMxNDkifQ==</vt:lpwstr>
  </property>
</Properties>
</file>