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52"/>
          <w:szCs w:val="52"/>
        </w:rPr>
      </w:pPr>
    </w:p>
    <w:p>
      <w:pPr>
        <w:spacing w:line="54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lang w:val="en-US" w:eastAsia="zh-CN"/>
        </w:rPr>
        <w:t>新疆牧业综合管理信息平台</w:t>
      </w:r>
      <w:r>
        <w:rPr>
          <w:rFonts w:hint="eastAsia" w:ascii="方正小标宋_GBK" w:hAnsi="方正小标宋_GBK" w:eastAsia="方正小标宋_GBK" w:cs="方正小标宋_GBK"/>
          <w:kern w:val="0"/>
          <w:sz w:val="44"/>
          <w:szCs w:val="44"/>
        </w:rPr>
        <w:t>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宋体" w:hAnsi="宋体" w:eastAsia="宋体" w:cs="宋体"/>
          <w:kern w:val="0"/>
          <w:sz w:val="36"/>
          <w:szCs w:val="36"/>
        </w:rPr>
      </w:pPr>
      <w:r>
        <w:rPr>
          <w:rFonts w:hint="eastAsia" w:ascii="宋体" w:hAnsi="宋体" w:eastAsia="宋体" w:cs="宋体"/>
          <w:kern w:val="0"/>
          <w:sz w:val="36"/>
          <w:szCs w:val="36"/>
        </w:rPr>
        <w:t>（ 20</w:t>
      </w:r>
      <w:r>
        <w:rPr>
          <w:rFonts w:hint="eastAsia" w:ascii="宋体" w:hAnsi="宋体" w:eastAsia="宋体" w:cs="宋体"/>
          <w:kern w:val="0"/>
          <w:sz w:val="36"/>
          <w:szCs w:val="36"/>
          <w:lang w:val="en-US" w:eastAsia="zh-CN"/>
        </w:rPr>
        <w:t>20</w:t>
      </w:r>
      <w:r>
        <w:rPr>
          <w:rFonts w:hint="eastAsia" w:ascii="宋体" w:hAnsi="宋体" w:eastAsia="宋体"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center"/>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新疆牧业综合管理信息平台</w:t>
      </w:r>
    </w:p>
    <w:p>
      <w:pPr>
        <w:spacing w:line="700" w:lineRule="exact"/>
        <w:ind w:firstLine="720" w:firstLineChars="200"/>
        <w:jc w:val="center"/>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塔城地区畜牧兽医局</w:t>
      </w:r>
    </w:p>
    <w:p>
      <w:pPr>
        <w:spacing w:line="700" w:lineRule="exact"/>
        <w:ind w:firstLine="720" w:firstLineChars="200"/>
        <w:jc w:val="center"/>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塔城地区畜牧兽医局</w:t>
      </w:r>
    </w:p>
    <w:p>
      <w:pPr>
        <w:spacing w:line="700" w:lineRule="exact"/>
        <w:ind w:firstLine="720" w:firstLineChars="200"/>
        <w:jc w:val="center"/>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哈利比亚提</w:t>
      </w:r>
      <w:r>
        <w:rPr>
          <w:rFonts w:hint="eastAsia" w:hAnsi="宋体" w:eastAsia="仿宋_GB2312" w:cs="宋体"/>
          <w:kern w:val="0"/>
          <w:sz w:val="36"/>
          <w:szCs w:val="36"/>
          <w:lang w:val="en-US" w:eastAsia="zh-CN"/>
        </w:rPr>
        <w:t>·哈米提</w:t>
      </w:r>
    </w:p>
    <w:p>
      <w:pPr>
        <w:spacing w:line="700" w:lineRule="exact"/>
        <w:ind w:firstLine="1800" w:firstLineChars="500"/>
        <w:jc w:val="both"/>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p>
    <w:p>
      <w:pPr>
        <w:spacing w:line="540" w:lineRule="exact"/>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自治区畜牧信息综合管理平台建设项目是自治区畜牧厅建设实施的项目，主要用途为根据 2014 年 6 月 15 日新疆维吾尔自治区畜牧厅下发的“关于转发《地（州）畜牧业综合信息管理平台建设的指导意见》的通知要求：包括指挥、畜牧、兽医、草原、奶业等五个应用系统及相关通用软件、操作系统在内的管理平台子系统软件的安装、部署、调试、培训和数据录入等。</w:t>
      </w:r>
    </w:p>
    <w:p>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kern w:val="2"/>
        </w:rPr>
        <w:t>项目主要内容：</w:t>
      </w:r>
      <w:r>
        <w:rPr>
          <w:rFonts w:hint="eastAsia" w:ascii="仿宋_GB2312" w:hAnsi="仿宋_GB2312" w:eastAsia="仿宋_GB2312" w:cs="仿宋_GB2312"/>
          <w:b w:val="0"/>
          <w:bCs w:val="0"/>
          <w:kern w:val="2"/>
          <w:sz w:val="32"/>
          <w:szCs w:val="32"/>
          <w:lang w:val="en-US" w:eastAsia="zh-CN" w:bidi="ar-SA"/>
        </w:rPr>
        <w:t>指挥、畜牧、兽医、草原、奶业等五个应用系统及相关通用软件。操作系统在内的管理平台子系统软件的安装、培训和数据录入129人。</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万元，支出率为100%。</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万元，按照《</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资金管理办法》及单位财务制度等相关规定，资金支出符合</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项目预算资到位</w:t>
      </w:r>
      <w:r>
        <w:rPr>
          <w:rFonts w:hint="eastAsia" w:ascii="仿宋_GB2312" w:hAnsi="仿宋_GB2312" w:eastAsia="仿宋_GB2312" w:cs="仿宋_GB2312"/>
          <w:b w:val="0"/>
          <w:bCs w:val="0"/>
          <w:kern w:val="2"/>
          <w:lang w:val="en-US" w:eastAsia="zh-CN"/>
        </w:rPr>
        <w:t>41</w:t>
      </w:r>
      <w:r>
        <w:rPr>
          <w:rFonts w:hint="eastAsia" w:ascii="仿宋_GB2312" w:hAnsi="仿宋_GB2312" w:eastAsia="仿宋_GB2312" w:cs="仿宋_GB2312"/>
          <w:b w:val="0"/>
          <w:bCs w:val="0"/>
          <w:kern w:val="2"/>
        </w:rPr>
        <w:t>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（二）项目绩效目标</w:t>
      </w:r>
    </w:p>
    <w:p>
      <w:pPr>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自治区畜牧信息综合管理平台建设项目是自治区畜牧厅建设实施的项目，主要用途为根据 2014 年 6 月 15 日新疆维吾尔自治区畜牧厅下发的“关于转发《地（州）畜牧业综合信息管理平台建设的指导意见》的通知要求：包括指挥、畜牧、兽医、草原、奶业等五个应用系统及相关通用软件、操作系统在内的管理平台子系统软件的安装、部署、调试、培训和数据录入等。</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val="en-US" w:eastAsia="zh-CN"/>
        </w:rPr>
        <w:t>项目实施</w:t>
      </w:r>
      <w:r>
        <w:rPr>
          <w:rFonts w:hint="eastAsia" w:ascii="仿宋_GB2312" w:hAnsi="仿宋_GB2312" w:eastAsia="仿宋_GB2312" w:cs="仿宋_GB2312"/>
          <w:sz w:val="32"/>
          <w:szCs w:val="32"/>
        </w:rPr>
        <w:t>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val="en-US" w:eastAsia="zh-CN"/>
        </w:rPr>
        <w:t>项目实施</w:t>
      </w:r>
      <w:r>
        <w:rPr>
          <w:rFonts w:hint="eastAsia" w:ascii="仿宋_GB2312" w:hAnsi="仿宋_GB2312" w:eastAsia="仿宋_GB2312" w:cs="仿宋_GB2312"/>
          <w:sz w:val="32"/>
          <w:szCs w:val="32"/>
        </w:rPr>
        <w:t>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bookmarkStart w:id="2" w:name="_GoBack"/>
      <w:bookmarkEnd w:id="2"/>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2、绩效评价的对象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评价对象为</w:t>
      </w:r>
      <w:r>
        <w:rPr>
          <w:rFonts w:hint="eastAsia" w:ascii="仿宋_GB2312" w:hAnsi="仿宋_GB2312" w:eastAsia="仿宋_GB2312" w:cs="仿宋_GB2312"/>
          <w:sz w:val="32"/>
          <w:szCs w:val="32"/>
          <w:lang w:val="en-US" w:eastAsia="zh-CN"/>
        </w:rPr>
        <w:t>新疆牧业综合管理信息平台项目。</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leftChars="0" w:firstLine="641" w:firstLineChars="0"/>
        <w:jc w:val="both"/>
        <w:textAlignment w:val="auto"/>
        <w:outlineLvl w:val="9"/>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绩效评价的范围</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评价范围从新疆牧业综合管理信息平台项目的决策、过程、产出、效益等方面进行评价。</w:t>
      </w:r>
    </w:p>
    <w:p>
      <w:pPr>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、项目产出、项目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权重为</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40分</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4、评价标准</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绩效评价工作过程</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Style w:val="23"/>
        <w:pageBreakBefore w:val="0"/>
        <w:kinsoku/>
        <w:wordWrap/>
        <w:overflowPunct/>
        <w:topLinePunct w:val="0"/>
        <w:autoSpaceDE/>
        <w:autoSpaceDN/>
        <w:bidi w:val="0"/>
        <w:adjustRightInd/>
        <w:snapToGrid/>
        <w:spacing w:after="0" w:line="560" w:lineRule="exact"/>
        <w:textAlignment w:val="auto"/>
      </w:pPr>
    </w:p>
    <w:p>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新疆牧业综合管理信息平台项目支出</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98</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100%。项目过程类指标权重为5分，得分为5 分，得分率为 100%。项目产出类指标权重为50分，得分为50分，得分率为 100%。项目效益类指标权重为40分，得分为38分，得分率为 95%。</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r>
    </w:tbl>
    <w:p>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624" w:firstLineChars="200"/>
        <w:textAlignment w:val="auto"/>
        <w:rPr>
          <w:rStyle w:val="21"/>
          <w:rFonts w:hint="eastAsia" w:ascii="仿宋" w:hAnsi="仿宋" w:eastAsia="仿宋" w:cs="仿宋"/>
          <w:b w:val="0"/>
          <w:spacing w:val="-4"/>
          <w:kern w:val="2"/>
          <w:sz w:val="32"/>
          <w:szCs w:val="32"/>
          <w:lang w:val="en-US" w:eastAsia="zh-CN" w:bidi="ar-SA"/>
        </w:rPr>
      </w:pPr>
      <w:r>
        <w:rPr>
          <w:rStyle w:val="21"/>
          <w:rFonts w:hint="eastAsia" w:ascii="仿宋" w:hAnsi="仿宋" w:eastAsia="仿宋" w:cs="仿宋"/>
          <w:b w:val="0"/>
          <w:spacing w:val="-4"/>
          <w:kern w:val="2"/>
          <w:sz w:val="32"/>
          <w:szCs w:val="32"/>
          <w:lang w:val="en-US" w:eastAsia="zh-CN" w:bidi="ar-SA"/>
        </w:rPr>
        <w:t>项目决策1、项目立项依据充分权重为0.5分，得分0.5分，项目立项程序规范权重为0.5分，得分0.5分；</w:t>
      </w:r>
    </w:p>
    <w:p>
      <w:pPr>
        <w:pStyle w:val="2"/>
        <w:pageBreakBefore w:val="0"/>
        <w:numPr>
          <w:ilvl w:val="0"/>
          <w:numId w:val="0"/>
        </w:numPr>
        <w:kinsoku/>
        <w:wordWrap/>
        <w:overflowPunct/>
        <w:topLinePunct w:val="0"/>
        <w:autoSpaceDE/>
        <w:autoSpaceDN/>
        <w:bidi w:val="0"/>
        <w:adjustRightInd/>
        <w:snapToGrid/>
        <w:spacing w:before="0" w:after="0" w:line="560" w:lineRule="exact"/>
        <w:ind w:firstLine="624" w:firstLineChars="200"/>
        <w:jc w:val="both"/>
        <w:textAlignment w:val="auto"/>
        <w:rPr>
          <w:rStyle w:val="21"/>
          <w:rFonts w:hint="eastAsia" w:ascii="仿宋" w:hAnsi="仿宋" w:eastAsia="仿宋" w:cs="仿宋"/>
          <w:b w:val="0"/>
          <w:bCs/>
          <w:spacing w:val="-4"/>
          <w:kern w:val="2"/>
          <w:sz w:val="32"/>
          <w:szCs w:val="32"/>
          <w:lang w:val="en-US" w:eastAsia="zh-CN" w:bidi="ar-SA"/>
        </w:rPr>
      </w:pPr>
      <w:r>
        <w:rPr>
          <w:rStyle w:val="21"/>
          <w:rFonts w:hint="eastAsia" w:ascii="仿宋" w:hAnsi="仿宋" w:eastAsia="仿宋" w:cs="仿宋"/>
          <w:b w:val="0"/>
          <w:bCs/>
          <w:spacing w:val="-4"/>
          <w:kern w:val="2"/>
          <w:sz w:val="32"/>
          <w:szCs w:val="32"/>
          <w:lang w:val="en-US" w:eastAsia="zh-CN" w:bidi="ar-SA"/>
        </w:rPr>
        <w:t>2、绩效目标合理权重为1分，得分1分，绩效目标指标明确权重为1分，得分1分；</w:t>
      </w:r>
    </w:p>
    <w:p>
      <w:pPr>
        <w:pageBreakBefore w:val="0"/>
        <w:numPr>
          <w:ilvl w:val="0"/>
          <w:numId w:val="0"/>
        </w:numPr>
        <w:kinsoku/>
        <w:wordWrap/>
        <w:overflowPunct/>
        <w:topLinePunct w:val="0"/>
        <w:autoSpaceDE/>
        <w:autoSpaceDN/>
        <w:bidi w:val="0"/>
        <w:adjustRightInd/>
        <w:snapToGrid/>
        <w:spacing w:line="560" w:lineRule="exact"/>
        <w:ind w:firstLine="624" w:firstLineChars="200"/>
        <w:textAlignment w:val="auto"/>
        <w:rPr>
          <w:rFonts w:hint="default" w:ascii="Times New Roman" w:hAnsi="Times New Roman" w:eastAsia="楷体_GB2312" w:cs="Times New Roman"/>
          <w:b w:val="0"/>
          <w:bCs w:val="0"/>
          <w:kern w:val="2"/>
          <w:sz w:val="36"/>
          <w:szCs w:val="44"/>
          <w:highlight w:val="yellow"/>
          <w:lang w:val="en-US" w:eastAsia="zh-CN" w:bidi="ar-SA"/>
        </w:rPr>
      </w:pPr>
      <w:r>
        <w:rPr>
          <w:rStyle w:val="21"/>
          <w:rFonts w:hint="eastAsia" w:ascii="仿宋" w:hAnsi="仿宋" w:eastAsia="仿宋" w:cs="仿宋"/>
          <w:b w:val="0"/>
          <w:spacing w:val="-4"/>
          <w:kern w:val="2"/>
          <w:sz w:val="32"/>
          <w:szCs w:val="32"/>
          <w:lang w:val="en-US" w:eastAsia="zh-CN" w:bidi="ar-SA"/>
        </w:rPr>
        <w:t>3、资金投入预算编制科学权重1分，得分1分，资金分配合理权重为1分，得分1分。</w:t>
      </w:r>
    </w:p>
    <w:p>
      <w:pPr>
        <w:pStyle w:val="2"/>
        <w:pageBreakBefore w:val="0"/>
        <w:numPr>
          <w:ilvl w:val="0"/>
          <w:numId w:val="5"/>
        </w:numPr>
        <w:kinsoku/>
        <w:wordWrap/>
        <w:overflowPunct/>
        <w:topLinePunct w:val="0"/>
        <w:autoSpaceDE/>
        <w:autoSpaceDN/>
        <w:bidi w:val="0"/>
        <w:adjustRightInd/>
        <w:snapToGrid/>
        <w:spacing w:before="0" w:after="0" w:line="560" w:lineRule="exact"/>
        <w:ind w:firstLine="321" w:firstLineChars="100"/>
        <w:jc w:val="both"/>
        <w:textAlignment w:val="auto"/>
      </w:pPr>
      <w:r>
        <w:rPr>
          <w:rFonts w:hint="eastAsia" w:ascii="楷体_GB2312" w:hAnsi="楷体_GB2312" w:eastAsia="楷体_GB2312" w:cs="楷体_GB2312"/>
        </w:rPr>
        <w:t>项目过程情况</w:t>
      </w:r>
    </w:p>
    <w:p>
      <w:pPr>
        <w:pStyle w:val="52"/>
        <w:pageBreakBefore w:val="0"/>
        <w:kinsoku/>
        <w:wordWrap/>
        <w:overflowPunct/>
        <w:topLinePunct w:val="0"/>
        <w:autoSpaceDE/>
        <w:autoSpaceDN/>
        <w:bidi w:val="0"/>
        <w:adjustRightInd/>
        <w:snapToGrid/>
        <w:spacing w:line="560" w:lineRule="exact"/>
        <w:ind w:firstLine="560"/>
        <w:textAlignment w:val="auto"/>
        <w:rPr>
          <w:rStyle w:val="21"/>
          <w:rFonts w:hint="eastAsia" w:ascii="仿宋" w:hAnsi="仿宋" w:eastAsia="仿宋" w:cs="仿宋"/>
          <w:b w:val="0"/>
          <w:spacing w:val="-4"/>
          <w:kern w:val="2"/>
          <w:sz w:val="32"/>
          <w:szCs w:val="32"/>
          <w:lang w:val="en-US" w:eastAsia="zh-CN" w:bidi="ar-SA"/>
        </w:rPr>
      </w:pPr>
      <w:r>
        <w:rPr>
          <w:rStyle w:val="21"/>
          <w:rFonts w:hint="eastAsia" w:ascii="仿宋" w:hAnsi="仿宋" w:eastAsia="仿宋" w:cs="仿宋"/>
          <w:b w:val="0"/>
          <w:spacing w:val="-4"/>
          <w:kern w:val="2"/>
          <w:sz w:val="32"/>
          <w:szCs w:val="32"/>
          <w:lang w:val="en-US" w:eastAsia="zh-CN" w:bidi="ar-SA"/>
        </w:rPr>
        <w:t>召开专题会议研究本地医保信息化总体思路与主要问题(评价目标值：≥2次，业绩值：2次);</w:t>
      </w:r>
    </w:p>
    <w:p>
      <w:pPr>
        <w:pStyle w:val="52"/>
        <w:pageBreakBefore w:val="0"/>
        <w:kinsoku/>
        <w:wordWrap/>
        <w:overflowPunct/>
        <w:topLinePunct w:val="0"/>
        <w:autoSpaceDE/>
        <w:autoSpaceDN/>
        <w:bidi w:val="0"/>
        <w:adjustRightInd/>
        <w:snapToGrid/>
        <w:spacing w:line="560" w:lineRule="exact"/>
        <w:ind w:firstLine="560"/>
        <w:textAlignment w:val="auto"/>
        <w:rPr>
          <w:rStyle w:val="21"/>
          <w:rFonts w:hint="eastAsia" w:ascii="仿宋" w:hAnsi="仿宋" w:eastAsia="仿宋" w:cs="仿宋"/>
          <w:b w:val="0"/>
          <w:spacing w:val="-4"/>
          <w:kern w:val="2"/>
          <w:sz w:val="32"/>
          <w:szCs w:val="32"/>
          <w:lang w:val="en-US" w:eastAsia="zh-CN" w:bidi="ar-SA"/>
        </w:rPr>
      </w:pPr>
      <w:r>
        <w:rPr>
          <w:rStyle w:val="21"/>
          <w:rFonts w:hint="eastAsia" w:ascii="仿宋" w:hAnsi="仿宋" w:eastAsia="仿宋" w:cs="仿宋"/>
          <w:b w:val="0"/>
          <w:spacing w:val="-4"/>
          <w:kern w:val="2"/>
          <w:sz w:val="32"/>
          <w:szCs w:val="32"/>
          <w:lang w:val="en-US" w:eastAsia="zh-CN" w:bidi="ar-SA"/>
        </w:rPr>
        <w:t>对本地区信息系统维护人员及业务操作人员进行信息系统操作与安全管理专题培训(评价目标值：≥5次，业绩值：5次);</w:t>
      </w:r>
    </w:p>
    <w:p>
      <w:pPr>
        <w:pStyle w:val="52"/>
        <w:pageBreakBefore w:val="0"/>
        <w:kinsoku/>
        <w:wordWrap/>
        <w:overflowPunct/>
        <w:topLinePunct w:val="0"/>
        <w:autoSpaceDE/>
        <w:autoSpaceDN/>
        <w:bidi w:val="0"/>
        <w:adjustRightInd/>
        <w:snapToGrid/>
        <w:spacing w:line="560" w:lineRule="exact"/>
        <w:ind w:firstLine="560"/>
        <w:textAlignment w:val="auto"/>
        <w:rPr>
          <w:rStyle w:val="21"/>
          <w:rFonts w:hint="eastAsia" w:ascii="仿宋" w:hAnsi="仿宋" w:eastAsia="仿宋" w:cs="仿宋"/>
          <w:b w:val="0"/>
          <w:spacing w:val="-4"/>
          <w:kern w:val="2"/>
          <w:sz w:val="32"/>
          <w:szCs w:val="32"/>
          <w:lang w:val="en-US" w:eastAsia="zh-CN" w:bidi="ar-SA"/>
        </w:rPr>
      </w:pPr>
      <w:r>
        <w:rPr>
          <w:rStyle w:val="21"/>
          <w:rFonts w:hint="eastAsia" w:ascii="仿宋" w:hAnsi="仿宋" w:eastAsia="仿宋" w:cs="仿宋"/>
          <w:b w:val="0"/>
          <w:spacing w:val="-4"/>
          <w:kern w:val="2"/>
          <w:sz w:val="32"/>
          <w:szCs w:val="32"/>
          <w:lang w:val="en-US" w:eastAsia="zh-CN" w:bidi="ar-SA"/>
        </w:rPr>
        <w:t>医保信息系统正常，运行率(评价目标值：≥90%，业绩值：90%);</w:t>
      </w:r>
    </w:p>
    <w:p>
      <w:pPr>
        <w:pStyle w:val="52"/>
        <w:pageBreakBefore w:val="0"/>
        <w:kinsoku/>
        <w:wordWrap/>
        <w:overflowPunct/>
        <w:topLinePunct w:val="0"/>
        <w:autoSpaceDE/>
        <w:autoSpaceDN/>
        <w:bidi w:val="0"/>
        <w:adjustRightInd/>
        <w:snapToGrid/>
        <w:spacing w:line="560" w:lineRule="exact"/>
        <w:ind w:firstLine="560"/>
        <w:textAlignment w:val="auto"/>
        <w:rPr>
          <w:rStyle w:val="21"/>
          <w:rFonts w:hint="eastAsia" w:ascii="仿宋" w:hAnsi="仿宋" w:eastAsia="仿宋" w:cs="仿宋"/>
          <w:b w:val="0"/>
          <w:spacing w:val="-4"/>
          <w:kern w:val="2"/>
          <w:sz w:val="32"/>
          <w:szCs w:val="32"/>
          <w:lang w:val="en-US" w:eastAsia="zh-CN" w:bidi="ar-SA"/>
        </w:rPr>
      </w:pPr>
      <w:r>
        <w:rPr>
          <w:rStyle w:val="21"/>
          <w:rFonts w:hint="eastAsia" w:ascii="仿宋" w:hAnsi="仿宋" w:eastAsia="仿宋" w:cs="仿宋"/>
          <w:b w:val="0"/>
          <w:spacing w:val="-4"/>
          <w:kern w:val="2"/>
          <w:sz w:val="32"/>
          <w:szCs w:val="32"/>
          <w:lang w:val="en-US" w:eastAsia="zh-CN" w:bidi="ar-SA"/>
        </w:rPr>
        <w:t>本次视频网络建设系统成本(评价目标值：=41万元，业绩值：41万元);</w:t>
      </w:r>
    </w:p>
    <w:p>
      <w:pPr>
        <w:pStyle w:val="52"/>
        <w:pageBreakBefore w:val="0"/>
        <w:kinsoku/>
        <w:wordWrap/>
        <w:overflowPunct/>
        <w:topLinePunct w:val="0"/>
        <w:autoSpaceDE/>
        <w:autoSpaceDN/>
        <w:bidi w:val="0"/>
        <w:adjustRightInd/>
        <w:snapToGrid/>
        <w:spacing w:line="560" w:lineRule="exact"/>
        <w:ind w:firstLine="560"/>
        <w:textAlignment w:val="auto"/>
        <w:rPr>
          <w:rStyle w:val="21"/>
          <w:rFonts w:hint="eastAsia" w:ascii="仿宋" w:hAnsi="仿宋" w:eastAsia="仿宋" w:cs="仿宋"/>
          <w:b w:val="0"/>
          <w:spacing w:val="-4"/>
          <w:kern w:val="2"/>
          <w:sz w:val="32"/>
          <w:szCs w:val="32"/>
          <w:lang w:val="en-US" w:eastAsia="zh-CN" w:bidi="ar-SA"/>
        </w:rPr>
      </w:pPr>
      <w:r>
        <w:rPr>
          <w:rStyle w:val="21"/>
          <w:rFonts w:hint="eastAsia" w:ascii="仿宋" w:hAnsi="仿宋" w:eastAsia="仿宋" w:cs="仿宋"/>
          <w:b w:val="0"/>
          <w:spacing w:val="-4"/>
          <w:kern w:val="2"/>
          <w:sz w:val="32"/>
          <w:szCs w:val="32"/>
          <w:lang w:val="en-US" w:eastAsia="zh-CN" w:bidi="ar-SA"/>
        </w:rPr>
        <w:t>项目资金使用理率(评价目标值：≥95%，业绩值：95%);</w:t>
      </w:r>
    </w:p>
    <w:p>
      <w:pPr>
        <w:pStyle w:val="52"/>
        <w:pageBreakBefore w:val="0"/>
        <w:kinsoku/>
        <w:wordWrap/>
        <w:overflowPunct/>
        <w:topLinePunct w:val="0"/>
        <w:autoSpaceDE/>
        <w:autoSpaceDN/>
        <w:bidi w:val="0"/>
        <w:adjustRightInd/>
        <w:snapToGrid/>
        <w:spacing w:line="560" w:lineRule="exact"/>
        <w:ind w:firstLine="560"/>
        <w:textAlignment w:val="auto"/>
      </w:pPr>
      <w:r>
        <w:rPr>
          <w:rStyle w:val="21"/>
          <w:rFonts w:hint="eastAsia" w:ascii="仿宋" w:hAnsi="仿宋" w:eastAsia="仿宋" w:cs="仿宋"/>
          <w:b w:val="0"/>
          <w:spacing w:val="-4"/>
          <w:kern w:val="2"/>
          <w:sz w:val="32"/>
          <w:szCs w:val="32"/>
          <w:lang w:val="en-US" w:eastAsia="zh-CN" w:bidi="ar-SA"/>
        </w:rPr>
        <w:t>牧业综合管理信息平台(评价目标值：≥90%，业绩值：90%);</w:t>
      </w:r>
    </w:p>
    <w:p>
      <w:pPr>
        <w:pageBreakBefore w:val="0"/>
        <w:kinsoku/>
        <w:wordWrap/>
        <w:overflowPunct/>
        <w:topLinePunct w:val="0"/>
        <w:autoSpaceDE/>
        <w:autoSpaceDN/>
        <w:bidi w:val="0"/>
        <w:adjustRightInd/>
        <w:snapToGrid/>
        <w:spacing w:line="560" w:lineRule="exact"/>
        <w:textAlignment w:val="auto"/>
      </w:pPr>
    </w:p>
    <w:p>
      <w:pPr>
        <w:pStyle w:val="18"/>
        <w:pageBreakBefore w:val="0"/>
        <w:numPr>
          <w:ilvl w:val="0"/>
          <w:numId w:val="5"/>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textAlignment w:val="auto"/>
        <w:rPr>
          <w:rFonts w:hint="eastAsia" w:ascii="仿宋_GB2312" w:hAnsi="仿宋_GB2312" w:eastAsia="仿宋_GB2312" w:cs="仿宋_GB2312"/>
          <w:color w:val="000000"/>
          <w:spacing w:val="17"/>
          <w:kern w:val="2"/>
          <w:sz w:val="32"/>
          <w:szCs w:val="32"/>
          <w:lang w:val="en-US" w:eastAsia="zh-CN" w:bidi="ar-SA"/>
        </w:rPr>
      </w:pPr>
      <w:r>
        <w:rPr>
          <w:rFonts w:hint="eastAsia" w:ascii="仿宋_GB2312" w:hAnsi="仿宋_GB2312" w:eastAsia="仿宋_GB2312" w:cs="仿宋_GB2312"/>
          <w:color w:val="000000"/>
          <w:spacing w:val="17"/>
          <w:kern w:val="2"/>
          <w:sz w:val="32"/>
          <w:szCs w:val="32"/>
          <w:lang w:val="en-US" w:eastAsia="zh-CN" w:bidi="ar-SA"/>
        </w:rPr>
        <w:t>数量指标方面：培训数据录入人员数量，预期指标值≥150人，指标完成值150人，指标完成率100%；</w:t>
      </w:r>
    </w:p>
    <w:p>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rFonts w:hint="eastAsia" w:ascii="仿宋_GB2312" w:hAnsi="仿宋_GB2312" w:eastAsia="仿宋_GB2312" w:cs="仿宋_GB2312"/>
          <w:color w:val="000000"/>
          <w:spacing w:val="17"/>
          <w:kern w:val="2"/>
          <w:sz w:val="32"/>
          <w:szCs w:val="32"/>
          <w:lang w:val="en-US" w:eastAsia="zh-CN" w:bidi="ar-SA"/>
        </w:rPr>
      </w:pPr>
      <w:r>
        <w:rPr>
          <w:rFonts w:hint="eastAsia" w:ascii="仿宋_GB2312" w:hAnsi="仿宋_GB2312" w:eastAsia="仿宋_GB2312" w:cs="仿宋_GB2312"/>
          <w:color w:val="000000"/>
          <w:spacing w:val="17"/>
          <w:kern w:val="2"/>
          <w:sz w:val="32"/>
          <w:szCs w:val="32"/>
          <w:lang w:val="en-US" w:eastAsia="zh-CN" w:bidi="ar-SA"/>
        </w:rPr>
        <w:t>应用系统及相关通用软件数量，预期指标值≥5套，指标完成值5套，指标完成率100%；</w:t>
      </w:r>
    </w:p>
    <w:p>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仿宋_GB2312" w:hAnsi="仿宋_GB2312" w:eastAsia="仿宋_GB2312" w:cs="仿宋_GB2312"/>
          <w:sz w:val="32"/>
          <w:szCs w:val="32"/>
          <w:lang w:val="en-US" w:eastAsia="zh-CN"/>
        </w:rPr>
      </w:pPr>
      <w:r>
        <w:rPr>
          <w:rStyle w:val="51"/>
          <w:rFonts w:hint="eastAsia"/>
          <w:color w:val="auto"/>
        </w:rPr>
        <w:t>质量指标方面：</w:t>
      </w:r>
      <w:r>
        <w:rPr>
          <w:rFonts w:hint="eastAsia" w:ascii="仿宋_GB2312" w:hAnsi="仿宋_GB2312" w:eastAsia="仿宋_GB2312" w:cs="仿宋_GB2312"/>
          <w:sz w:val="32"/>
          <w:szCs w:val="32"/>
          <w:lang w:val="en-US" w:eastAsia="zh-CN"/>
        </w:rPr>
        <w:t>全区正常运转</w:t>
      </w:r>
      <w:r>
        <w:rPr>
          <w:rFonts w:hint="eastAsia" w:ascii="仿宋_GB2312" w:hAnsi="仿宋_GB2312" w:eastAsia="仿宋_GB2312" w:cs="仿宋_GB2312"/>
          <w:sz w:val="32"/>
          <w:szCs w:val="32"/>
        </w:rPr>
        <w:t>，预期指标值</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Style w:val="51"/>
          <w:rFonts w:hint="eastAsia"/>
          <w:b w:val="0"/>
          <w:bCs w:val="0"/>
          <w:color w:val="auto"/>
          <w:lang w:val="en-US" w:eastAsia="zh-CN"/>
        </w:rPr>
        <w:t>成本指标方面：</w:t>
      </w:r>
      <w:r>
        <w:rPr>
          <w:rFonts w:hint="eastAsia" w:ascii="仿宋_GB2312" w:hAnsi="仿宋_GB2312" w:eastAsia="仿宋_GB2312" w:cs="仿宋_GB2312"/>
          <w:sz w:val="32"/>
          <w:szCs w:val="32"/>
          <w:lang w:val="en-US" w:eastAsia="zh-CN"/>
        </w:rPr>
        <w:t>项目投入成本</w:t>
      </w:r>
      <w:r>
        <w:rPr>
          <w:rFonts w:hint="eastAsia" w:ascii="仿宋_GB2312" w:hAnsi="仿宋_GB2312" w:eastAsia="仿宋_GB2312" w:cs="仿宋_GB2312"/>
          <w:sz w:val="32"/>
          <w:szCs w:val="32"/>
        </w:rPr>
        <w:t>，预期指标值</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41万元</w:t>
      </w:r>
      <w:r>
        <w:rPr>
          <w:rFonts w:hint="eastAsia" w:ascii="仿宋_GB2312" w:hAnsi="仿宋_GB2312" w:eastAsia="仿宋_GB2312" w:cs="仿宋_GB2312"/>
          <w:sz w:val="32"/>
          <w:szCs w:val="32"/>
        </w:rPr>
        <w:t>，指标完成值</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41万元</w:t>
      </w:r>
      <w:r>
        <w:rPr>
          <w:rFonts w:hint="eastAsia" w:ascii="仿宋_GB2312" w:hAnsi="仿宋_GB2312" w:eastAsia="仿宋_GB2312" w:cs="仿宋_GB2312"/>
          <w:sz w:val="32"/>
          <w:szCs w:val="32"/>
        </w:rPr>
        <w:t>，</w:t>
      </w:r>
      <w:r>
        <w:rPr>
          <w:rFonts w:hint="eastAsia" w:ascii="仿宋" w:hAnsi="仿宋" w:eastAsia="仿宋" w:cs="仿宋"/>
          <w:sz w:val="32"/>
          <w:szCs w:val="32"/>
        </w:rPr>
        <w:t>指标完成值</w:t>
      </w:r>
      <w:r>
        <w:rPr>
          <w:rFonts w:hint="eastAsia" w:ascii="仿宋" w:hAnsi="仿宋" w:eastAsia="仿宋" w:cs="仿宋"/>
          <w:sz w:val="32"/>
          <w:szCs w:val="32"/>
          <w:lang w:val="en-US" w:eastAsia="zh-CN"/>
        </w:rPr>
        <w:t>41万元、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楷体_GB2312" w:hAnsi="楷体_GB2312" w:eastAsia="楷体_GB2312" w:cs="楷体_GB2312"/>
          <w:b/>
          <w:bCs/>
          <w:sz w:val="32"/>
          <w:szCs w:val="32"/>
        </w:rPr>
      </w:pPr>
      <w:r>
        <w:rPr>
          <w:rStyle w:val="51"/>
          <w:rFonts w:hint="eastAsia"/>
          <w:color w:val="auto"/>
          <w:lang w:val="en-US" w:eastAsia="zh-CN"/>
        </w:rPr>
        <w:t>时效指标方面：</w:t>
      </w:r>
      <w:r>
        <w:rPr>
          <w:rFonts w:hint="eastAsia" w:ascii="仿宋" w:hAnsi="仿宋" w:eastAsia="仿宋" w:cs="仿宋"/>
          <w:sz w:val="32"/>
          <w:szCs w:val="32"/>
        </w:rPr>
        <w:t>在2020年完成时限度各项资金支出进度要求，保障医保局各项工作顺利开展，预期指标值按计划完成，指标完成值按计划完成，指标完成率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18"/>
        <w:pageBreakBefore w:val="0"/>
        <w:numPr>
          <w:ilvl w:val="0"/>
          <w:numId w:val="5"/>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51"/>
          <w:color w:val="auto"/>
        </w:rPr>
      </w:pPr>
      <w:r>
        <w:rPr>
          <w:rStyle w:val="51"/>
          <w:rFonts w:hint="eastAsia"/>
          <w:color w:val="auto"/>
        </w:rPr>
        <w:t>经济效益指标方面：</w:t>
      </w:r>
      <w:r>
        <w:rPr>
          <w:rFonts w:hint="eastAsia" w:ascii="仿宋_GB2312" w:hAnsi="仿宋_GB2312" w:eastAsia="仿宋_GB2312" w:cs="仿宋_GB2312"/>
          <w:sz w:val="32"/>
          <w:szCs w:val="32"/>
          <w:lang w:val="en-US" w:eastAsia="zh-CN"/>
        </w:rPr>
        <w:t>生态保护相关信息能够在此平台共享，预期指标值</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90%，指标完成90%，指标完成率100%；</w:t>
      </w:r>
    </w:p>
    <w:p>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textAlignment w:val="auto"/>
        <w:rPr>
          <w:rFonts w:hint="eastAsia" w:ascii="仿宋_GB2312" w:hAnsi="仿宋_GB2312" w:eastAsia="仿宋_GB2312" w:cs="仿宋_GB2312"/>
          <w:sz w:val="32"/>
          <w:szCs w:val="32"/>
          <w:lang w:val="en-US" w:eastAsia="zh-CN"/>
        </w:rPr>
      </w:pPr>
      <w:r>
        <w:rPr>
          <w:rStyle w:val="51"/>
          <w:rFonts w:hint="eastAsia"/>
          <w:color w:val="auto"/>
        </w:rPr>
        <w:t>社会效益指标方面：</w:t>
      </w:r>
      <w:r>
        <w:rPr>
          <w:rFonts w:hint="eastAsia" w:ascii="仿宋_GB2312" w:hAnsi="仿宋_GB2312" w:eastAsia="仿宋_GB2312" w:cs="仿宋_GB2312"/>
          <w:sz w:val="32"/>
          <w:szCs w:val="32"/>
          <w:lang w:val="en-US" w:eastAsia="zh-CN"/>
        </w:rPr>
        <w:t>提高畜牧业发展管理的信息化平台</w:t>
      </w:r>
    </w:p>
    <w:p>
      <w:pPr>
        <w:pStyle w:val="17"/>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预期指标值</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80%，指标完成值80%，指标完成率100%；</w:t>
      </w:r>
    </w:p>
    <w:p>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textAlignment w:val="auto"/>
        <w:rPr>
          <w:rFonts w:ascii="仿宋_GB2312" w:hAnsi="仿宋_GB2312" w:eastAsia="仿宋_GB2312" w:cs="仿宋_GB2312"/>
          <w:sz w:val="32"/>
          <w:szCs w:val="32"/>
        </w:rPr>
      </w:pPr>
      <w:r>
        <w:rPr>
          <w:rStyle w:val="51"/>
          <w:color w:val="auto"/>
        </w:rPr>
        <w:t>满意度指标</w:t>
      </w:r>
      <w:r>
        <w:rPr>
          <w:rStyle w:val="51"/>
          <w:rFonts w:hint="eastAsia"/>
          <w:color w:val="auto"/>
        </w:rPr>
        <w:t>方面：</w:t>
      </w:r>
      <w:r>
        <w:rPr>
          <w:rFonts w:hint="eastAsia" w:ascii="仿宋_GB2312" w:hAnsi="仿宋_GB2312" w:eastAsia="仿宋_GB2312" w:cs="仿宋_GB2312"/>
          <w:sz w:val="32"/>
          <w:szCs w:val="32"/>
          <w:lang w:val="en-US" w:eastAsia="zh-CN"/>
        </w:rPr>
        <w:t>农牧民满意度</w:t>
      </w:r>
      <w:r>
        <w:rPr>
          <w:rFonts w:hint="eastAsia" w:ascii="仿宋_GB2312" w:hAnsi="仿宋_GB2312" w:eastAsia="仿宋_GB2312" w:cs="仿宋_GB2312"/>
          <w:sz w:val="32"/>
          <w:szCs w:val="32"/>
        </w:rPr>
        <w:t>，预期指标值</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adjustRightInd/>
        <w:snapToGrid/>
        <w:spacing w:line="560" w:lineRule="exact"/>
        <w:ind w:firstLine="641"/>
        <w:textAlignment w:val="auto"/>
        <w:rPr>
          <w:rStyle w:val="51"/>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6"/>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line="560" w:lineRule="exact"/>
        <w:ind w:firstLine="755" w:firstLineChars="242"/>
        <w:textAlignment w:val="auto"/>
        <w:rPr>
          <w:rFonts w:hint="eastAsia" w:ascii="仿宋_GB2312" w:hAnsi="仿宋_GB2312" w:eastAsia="仿宋_GB2312" w:cs="仿宋_GB2312"/>
          <w:color w:val="000000"/>
          <w:spacing w:val="-4"/>
          <w:sz w:val="32"/>
          <w:szCs w:val="32"/>
          <w:shd w:val="clear" w:color="FFFFFF" w:fill="FFFFFF"/>
        </w:rPr>
      </w:pPr>
      <w:r>
        <w:rPr>
          <w:rFonts w:hint="eastAsia" w:ascii="仿宋_GB2312" w:hAnsi="仿宋_GB2312" w:eastAsia="仿宋_GB2312" w:cs="仿宋_GB2312"/>
          <w:color w:val="000000"/>
          <w:spacing w:val="-4"/>
          <w:sz w:val="32"/>
          <w:szCs w:val="32"/>
          <w:shd w:val="clear" w:color="FFFFFF" w:fill="FFFFFF"/>
        </w:rPr>
        <w:t>资金安排中没有后续维护资金的支持。如机房托管费、链路维护费、网费等费用。</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8"/>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8"/>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highlight w:val="none"/>
        </w:rPr>
      </w:pPr>
      <w:r>
        <w:rPr>
          <w:rFonts w:hint="eastAsia" w:ascii="黑体" w:hAnsi="黑体" w:eastAsia="黑体"/>
          <w:b/>
          <w:bCs/>
          <w:sz w:val="32"/>
          <w:szCs w:val="32"/>
          <w:highlight w:val="none"/>
        </w:rPr>
        <w:t>其他需要说</w:t>
      </w:r>
      <w:bookmarkStart w:id="1" w:name="page8"/>
      <w:bookmarkEnd w:id="1"/>
      <w:r>
        <w:rPr>
          <w:rFonts w:hint="eastAsia" w:ascii="黑体" w:hAnsi="黑体" w:eastAsia="黑体"/>
          <w:b/>
          <w:bCs/>
          <w:sz w:val="32"/>
          <w:szCs w:val="32"/>
          <w:highlight w:val="none"/>
        </w:rPr>
        <w:t>明的问题</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严格按照自治区下达专项资金的使用要求，完成医疗服务与保障能力提升补助资金项目视频会议系统建设，提升医保信息化水平，进一步夯实技术基础，切实保障医保信息系统高效、安全运行，提高数据采集质量，保障医保业务稳定运行。</w:t>
      </w:r>
    </w:p>
    <w:p>
      <w:pPr>
        <w:pStyle w:val="2"/>
        <w:pageBreakBefore w:val="0"/>
        <w:kinsoku/>
        <w:wordWrap/>
        <w:overflowPunct/>
        <w:topLinePunct w:val="0"/>
        <w:autoSpaceDE/>
        <w:autoSpaceDN/>
        <w:bidi w:val="0"/>
        <w:adjustRightInd/>
        <w:snapToGrid/>
        <w:spacing w:before="0" w:after="0" w:line="560" w:lineRule="exact"/>
        <w:textAlignment w:val="auto"/>
        <w:rPr>
          <w:rFonts w:hint="eastAsia" w:ascii="黑体" w:hAnsi="黑体" w:eastAsia="黑体"/>
          <w:sz w:val="32"/>
          <w:szCs w:val="32"/>
        </w:rPr>
      </w:pPr>
    </w:p>
    <w:p>
      <w:pPr>
        <w:pStyle w:val="2"/>
        <w:pageBreakBefore w:val="0"/>
        <w:kinsoku/>
        <w:wordWrap/>
        <w:overflowPunct/>
        <w:topLinePunct w:val="0"/>
        <w:autoSpaceDE/>
        <w:autoSpaceDN/>
        <w:bidi w:val="0"/>
        <w:adjustRightInd/>
        <w:snapToGrid/>
        <w:spacing w:before="0" w:after="0" w:line="560" w:lineRule="exact"/>
        <w:jc w:val="both"/>
        <w:textAlignment w:val="auto"/>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r>
    </w:tbl>
    <w:p>
      <w:pPr>
        <w:pageBreakBefore w:val="0"/>
        <w:kinsoku/>
        <w:wordWrap/>
        <w:overflowPunct/>
        <w:topLinePunct w:val="0"/>
        <w:autoSpaceDE/>
        <w:autoSpaceDN/>
        <w:bidi w:val="0"/>
        <w:adjustRightInd/>
        <w:snapToGrid/>
        <w:spacing w:line="560" w:lineRule="exact"/>
        <w:textAlignment w:val="auto"/>
        <w:rPr>
          <w:rStyle w:val="21"/>
          <w:rFonts w:hint="eastAsia" w:ascii="黑体" w:hAnsi="黑体" w:eastAsia="黑体"/>
          <w:bCs w:val="0"/>
          <w:spacing w:val="-4"/>
          <w:sz w:val="32"/>
          <w:szCs w:val="32"/>
          <w:lang w:eastAsia="zh-CN"/>
        </w:rPr>
      </w:pPr>
    </w:p>
    <w:p>
      <w:pPr>
        <w:pStyle w:val="2"/>
        <w:pageBreakBefore w:val="0"/>
        <w:kinsoku/>
        <w:wordWrap/>
        <w:overflowPunct/>
        <w:topLinePunct w:val="0"/>
        <w:autoSpaceDE/>
        <w:autoSpaceDN/>
        <w:bidi w:val="0"/>
        <w:adjustRightInd/>
        <w:snapToGrid/>
        <w:spacing w:before="0" w:after="0" w:line="560" w:lineRule="exact"/>
        <w:textAlignment w:val="auto"/>
        <w:rPr>
          <w:rFonts w:hint="eastAsia"/>
          <w:lang w:eastAsia="zh-CN"/>
        </w:rPr>
        <w:sectPr>
          <w:pgSz w:w="16838" w:h="11906" w:orient="landscape"/>
          <w:pgMar w:top="1800" w:right="1440" w:bottom="1558" w:left="1440" w:header="851" w:footer="992" w:gutter="0"/>
          <w:cols w:space="425" w:num="1"/>
          <w:docGrid w:type="lines" w:linePitch="312" w:charSpace="0"/>
        </w:sectPr>
      </w:pPr>
    </w:p>
    <w:tbl>
      <w:tblPr>
        <w:tblStyle w:val="19"/>
        <w:tblW w:w="9135"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840"/>
        <w:gridCol w:w="840"/>
        <w:gridCol w:w="840"/>
        <w:gridCol w:w="930"/>
        <w:gridCol w:w="465"/>
        <w:gridCol w:w="465"/>
        <w:gridCol w:w="1395"/>
      </w:tblGrid>
      <w:tr>
        <w:tblPrEx>
          <w:shd w:val="clear" w:color="auto" w:fill="auto"/>
          <w:tblCellMar>
            <w:top w:w="0" w:type="dxa"/>
            <w:left w:w="0" w:type="dxa"/>
            <w:bottom w:w="0" w:type="dxa"/>
            <w:right w:w="0" w:type="dxa"/>
          </w:tblCellMar>
        </w:tblPrEx>
        <w:trPr>
          <w:trHeight w:val="409" w:hRule="atLeast"/>
        </w:trPr>
        <w:tc>
          <w:tcPr>
            <w:tcW w:w="9135"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135"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135" w:type="dxa"/>
            <w:gridSpan w:val="11"/>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45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2019年畜牧业综合信息平台建设</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32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塔城地区畜牧兽医局</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7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2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2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将项目支出后的实际状况与申报的绩效目标对比，从项目的经济性、效率性、有益性和可持续性等方面进行量化、具体分析。</w:t>
            </w:r>
          </w:p>
        </w:tc>
        <w:tc>
          <w:tcPr>
            <w:tcW w:w="32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将项目支出后的实际状况与申报的绩效目标对比，从项目的经济性、效率性、有益性和可持续性等方面进行量化、具体分析。</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3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培训数据录入人员数量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≥150人</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150人</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应用系统及相关通用软件数量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5套</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5套</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全区正常运转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2020年9月</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2020年9月</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项目投入成本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≤41万元</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41万元</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生态保护相关信息能够在此平台共享</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提高畜牧业发展管理的信息化平台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农牧民满意度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spacing w:line="540" w:lineRule="exact"/>
        <w:rPr>
          <w:rStyle w:val="21"/>
          <w:rFonts w:ascii="黑体" w:hAnsi="黑体" w:eastAsia="黑体"/>
          <w:bCs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6"/>
  </w:num>
  <w:num w:numId="4">
    <w:abstractNumId w:val="5"/>
  </w:num>
  <w:num w:numId="5">
    <w:abstractNumId w:val="7"/>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364ABF"/>
    <w:rsid w:val="03BD7537"/>
    <w:rsid w:val="049668CD"/>
    <w:rsid w:val="051A56F5"/>
    <w:rsid w:val="05EF09F9"/>
    <w:rsid w:val="066D6EAA"/>
    <w:rsid w:val="069F2CAB"/>
    <w:rsid w:val="07560DA1"/>
    <w:rsid w:val="08C662D4"/>
    <w:rsid w:val="09BD4D95"/>
    <w:rsid w:val="0C994E26"/>
    <w:rsid w:val="0DF13B4A"/>
    <w:rsid w:val="0E1D6A48"/>
    <w:rsid w:val="0E8F3606"/>
    <w:rsid w:val="0F8D41CB"/>
    <w:rsid w:val="11AB341D"/>
    <w:rsid w:val="11C75270"/>
    <w:rsid w:val="12011360"/>
    <w:rsid w:val="12637CC3"/>
    <w:rsid w:val="12E657C5"/>
    <w:rsid w:val="1306574D"/>
    <w:rsid w:val="167C7687"/>
    <w:rsid w:val="168B3546"/>
    <w:rsid w:val="18481DD1"/>
    <w:rsid w:val="1A2374E0"/>
    <w:rsid w:val="1B146CBD"/>
    <w:rsid w:val="1C317CE2"/>
    <w:rsid w:val="1DD45808"/>
    <w:rsid w:val="1DED42AC"/>
    <w:rsid w:val="20005763"/>
    <w:rsid w:val="20FB313D"/>
    <w:rsid w:val="220B4804"/>
    <w:rsid w:val="23D54E77"/>
    <w:rsid w:val="282475E3"/>
    <w:rsid w:val="294D7319"/>
    <w:rsid w:val="296E701E"/>
    <w:rsid w:val="2C6100C1"/>
    <w:rsid w:val="2E136A4A"/>
    <w:rsid w:val="31F14ADA"/>
    <w:rsid w:val="3264220D"/>
    <w:rsid w:val="33BB02FF"/>
    <w:rsid w:val="34B10054"/>
    <w:rsid w:val="36FC4B4F"/>
    <w:rsid w:val="3963178C"/>
    <w:rsid w:val="39BB2E8A"/>
    <w:rsid w:val="39F3004C"/>
    <w:rsid w:val="3B3D3EA2"/>
    <w:rsid w:val="3D6C311A"/>
    <w:rsid w:val="3E432CF2"/>
    <w:rsid w:val="41CC2676"/>
    <w:rsid w:val="427C20E8"/>
    <w:rsid w:val="46B21672"/>
    <w:rsid w:val="482C6729"/>
    <w:rsid w:val="4BC671AA"/>
    <w:rsid w:val="4F2507E8"/>
    <w:rsid w:val="4F552460"/>
    <w:rsid w:val="4FCC6863"/>
    <w:rsid w:val="500A214A"/>
    <w:rsid w:val="522D604D"/>
    <w:rsid w:val="5297585E"/>
    <w:rsid w:val="52AD7D6F"/>
    <w:rsid w:val="538656CA"/>
    <w:rsid w:val="5549519D"/>
    <w:rsid w:val="5557596B"/>
    <w:rsid w:val="5B596DFC"/>
    <w:rsid w:val="5DF03945"/>
    <w:rsid w:val="60D84322"/>
    <w:rsid w:val="60FF2A36"/>
    <w:rsid w:val="62423D46"/>
    <w:rsid w:val="62CD6275"/>
    <w:rsid w:val="637C2815"/>
    <w:rsid w:val="65896759"/>
    <w:rsid w:val="66C15190"/>
    <w:rsid w:val="6973015B"/>
    <w:rsid w:val="6A9E048A"/>
    <w:rsid w:val="6BF44A0E"/>
    <w:rsid w:val="6C2A343D"/>
    <w:rsid w:val="6E1F4EA5"/>
    <w:rsid w:val="701A7F32"/>
    <w:rsid w:val="717205C2"/>
    <w:rsid w:val="71CF7789"/>
    <w:rsid w:val="75E771CE"/>
    <w:rsid w:val="7A353D0B"/>
    <w:rsid w:val="7D3A5E2F"/>
    <w:rsid w:val="7D687CCB"/>
    <w:rsid w:val="7DD71948"/>
    <w:rsid w:val="7FB44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qFormat/>
    <w:uiPriority w:val="99"/>
    <w:pPr>
      <w:spacing w:before="100" w:beforeAutospacing="1" w:after="100" w:afterAutospacing="1"/>
      <w:jc w:val="left"/>
    </w:pPr>
    <w:rPr>
      <w:sz w:val="24"/>
      <w:lang w:bidi="ar"/>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paragraph" w:customStyle="1" w:styleId="23">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4">
    <w:name w:val="标题 1 字符"/>
    <w:basedOn w:val="20"/>
    <w:link w:val="3"/>
    <w:qFormat/>
    <w:uiPriority w:val="9"/>
    <w:rPr>
      <w:rFonts w:asciiTheme="majorHAnsi" w:hAnsiTheme="majorHAnsi" w:eastAsiaTheme="majorEastAsia"/>
      <w:b/>
      <w:bCs/>
      <w:kern w:val="32"/>
      <w:sz w:val="32"/>
      <w:szCs w:val="32"/>
    </w:rPr>
  </w:style>
  <w:style w:type="character" w:customStyle="1" w:styleId="25">
    <w:name w:val="标题 2 字符"/>
    <w:basedOn w:val="20"/>
    <w:link w:val="4"/>
    <w:semiHidden/>
    <w:qFormat/>
    <w:uiPriority w:val="9"/>
    <w:rPr>
      <w:rFonts w:asciiTheme="majorHAnsi" w:hAnsiTheme="majorHAnsi" w:eastAsiaTheme="majorEastAsia"/>
      <w:b/>
      <w:bCs/>
      <w:i/>
      <w:iCs/>
      <w:sz w:val="28"/>
      <w:szCs w:val="28"/>
    </w:rPr>
  </w:style>
  <w:style w:type="character" w:customStyle="1" w:styleId="26">
    <w:name w:val="标题 3 字符"/>
    <w:basedOn w:val="20"/>
    <w:link w:val="5"/>
    <w:semiHidden/>
    <w:qFormat/>
    <w:uiPriority w:val="9"/>
    <w:rPr>
      <w:rFonts w:asciiTheme="majorHAnsi" w:hAnsiTheme="majorHAnsi" w:eastAsiaTheme="majorEastAsia"/>
      <w:b/>
      <w:bCs/>
      <w:sz w:val="26"/>
      <w:szCs w:val="26"/>
    </w:rPr>
  </w:style>
  <w:style w:type="character" w:customStyle="1" w:styleId="27">
    <w:name w:val="标题 4 字符"/>
    <w:basedOn w:val="20"/>
    <w:link w:val="6"/>
    <w:semiHidden/>
    <w:qFormat/>
    <w:uiPriority w:val="9"/>
    <w:rPr>
      <w:b/>
      <w:bCs/>
      <w:sz w:val="28"/>
      <w:szCs w:val="28"/>
    </w:rPr>
  </w:style>
  <w:style w:type="character" w:customStyle="1" w:styleId="28">
    <w:name w:val="标题 5 字符"/>
    <w:basedOn w:val="20"/>
    <w:link w:val="7"/>
    <w:semiHidden/>
    <w:qFormat/>
    <w:uiPriority w:val="9"/>
    <w:rPr>
      <w:b/>
      <w:bCs/>
      <w:i/>
      <w:iCs/>
      <w:sz w:val="26"/>
      <w:szCs w:val="26"/>
    </w:rPr>
  </w:style>
  <w:style w:type="character" w:customStyle="1" w:styleId="29">
    <w:name w:val="标题 6 字符"/>
    <w:basedOn w:val="20"/>
    <w:link w:val="8"/>
    <w:semiHidden/>
    <w:qFormat/>
    <w:uiPriority w:val="9"/>
    <w:rPr>
      <w:b/>
      <w:bCs/>
    </w:rPr>
  </w:style>
  <w:style w:type="character" w:customStyle="1" w:styleId="30">
    <w:name w:val="标题 7 字符"/>
    <w:basedOn w:val="20"/>
    <w:link w:val="9"/>
    <w:semiHidden/>
    <w:qFormat/>
    <w:uiPriority w:val="9"/>
    <w:rPr>
      <w:sz w:val="24"/>
      <w:szCs w:val="24"/>
    </w:rPr>
  </w:style>
  <w:style w:type="character" w:customStyle="1" w:styleId="31">
    <w:name w:val="标题 8 字符"/>
    <w:basedOn w:val="20"/>
    <w:link w:val="10"/>
    <w:semiHidden/>
    <w:qFormat/>
    <w:uiPriority w:val="9"/>
    <w:rPr>
      <w:i/>
      <w:iCs/>
      <w:sz w:val="24"/>
      <w:szCs w:val="24"/>
    </w:rPr>
  </w:style>
  <w:style w:type="character" w:customStyle="1" w:styleId="32">
    <w:name w:val="标题 9 字符"/>
    <w:basedOn w:val="20"/>
    <w:link w:val="11"/>
    <w:semiHidden/>
    <w:qFormat/>
    <w:uiPriority w:val="9"/>
    <w:rPr>
      <w:rFonts w:asciiTheme="majorHAnsi" w:hAnsiTheme="majorHAnsi" w:eastAsiaTheme="majorEastAsia"/>
    </w:rPr>
  </w:style>
  <w:style w:type="character" w:customStyle="1" w:styleId="33">
    <w:name w:val="标题 字符"/>
    <w:basedOn w:val="20"/>
    <w:link w:val="2"/>
    <w:qFormat/>
    <w:uiPriority w:val="10"/>
    <w:rPr>
      <w:rFonts w:asciiTheme="majorHAnsi" w:hAnsiTheme="majorHAnsi" w:eastAsiaTheme="majorEastAsia"/>
      <w:b/>
      <w:bCs/>
      <w:kern w:val="28"/>
      <w:sz w:val="32"/>
      <w:szCs w:val="32"/>
    </w:rPr>
  </w:style>
  <w:style w:type="character" w:customStyle="1" w:styleId="34">
    <w:name w:val="副标题 字符"/>
    <w:basedOn w:val="20"/>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0"/>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0"/>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0"/>
    <w:qFormat/>
    <w:uiPriority w:val="21"/>
    <w:rPr>
      <w:b/>
      <w:i/>
      <w:sz w:val="24"/>
      <w:szCs w:val="24"/>
      <w:u w:val="single"/>
    </w:rPr>
  </w:style>
  <w:style w:type="character" w:customStyle="1" w:styleId="43">
    <w:name w:val="不明显参考1"/>
    <w:basedOn w:val="20"/>
    <w:qFormat/>
    <w:uiPriority w:val="31"/>
    <w:rPr>
      <w:sz w:val="24"/>
      <w:szCs w:val="24"/>
      <w:u w:val="single"/>
    </w:rPr>
  </w:style>
  <w:style w:type="character" w:customStyle="1" w:styleId="44">
    <w:name w:val="明显参考1"/>
    <w:basedOn w:val="20"/>
    <w:qFormat/>
    <w:uiPriority w:val="32"/>
    <w:rPr>
      <w:b/>
      <w:sz w:val="24"/>
      <w:u w:val="single"/>
    </w:rPr>
  </w:style>
  <w:style w:type="character" w:customStyle="1" w:styleId="45">
    <w:name w:val="书籍标题1"/>
    <w:basedOn w:val="20"/>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0"/>
    <w:link w:val="15"/>
    <w:qFormat/>
    <w:uiPriority w:val="99"/>
    <w:rPr>
      <w:rFonts w:ascii="Calibri" w:hAnsi="Calibri" w:eastAsia="宋体"/>
      <w:kern w:val="2"/>
      <w:sz w:val="18"/>
      <w:szCs w:val="18"/>
    </w:rPr>
  </w:style>
  <w:style w:type="character" w:customStyle="1" w:styleId="48">
    <w:name w:val="页脚 字符"/>
    <w:basedOn w:val="20"/>
    <w:link w:val="14"/>
    <w:qFormat/>
    <w:uiPriority w:val="99"/>
    <w:rPr>
      <w:rFonts w:ascii="Calibri" w:hAnsi="Calibri" w:eastAsia="宋体"/>
      <w:kern w:val="2"/>
      <w:sz w:val="18"/>
      <w:szCs w:val="18"/>
    </w:rPr>
  </w:style>
  <w:style w:type="character" w:customStyle="1" w:styleId="49">
    <w:name w:val="批注框文本 字符"/>
    <w:basedOn w:val="20"/>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8</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2025-09-05T08:22:22Z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67AFF85E813D4B63B6422CE5AA6EA0CE</vt:lpwstr>
  </property>
  <property fmtid="{D5CDD505-2E9C-101B-9397-08002B2CF9AE}" pid="4" name="KSOSaveFontToCloudKey">
    <vt:lpwstr>0_btnclosed</vt:lpwstr>
  </property>
</Properties>
</file>